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Kornit Digital Ltd.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M6372Q113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12/31/2017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9460" w:hanging="9"/>
        <w:spacing w:after="0" w:line="312" w:lineRule="auto"/>
        <w:tabs>
          <w:tab w:leader="none" w:pos="9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5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M6372Q113</w:t>
            </w:r>
          </w:p>
        </w:tc>
        <w:tc>
          <w:tcPr>
            <w:tcW w:w="5580" w:type="dxa"/>
            <w:vAlign w:val="bottom"/>
            <w:tcBorders>
              <w:top w:val="single" w:sz="8" w:color="auto"/>
              <w:bottom w:val="single" w:sz="8" w:color="auto"/>
              <w:right w:val="single" w:sz="8" w:color="auto"/>
            </w:tcBorders>
          </w:tcPr>
          <w:p>
            <w:pPr>
              <w:ind w:left="4980"/>
              <w:spacing w:after="0"/>
              <w:rPr>
                <w:sz w:val="20"/>
                <w:szCs w:val="20"/>
                <w:color w:val="auto"/>
              </w:rPr>
            </w:pPr>
            <w:r>
              <w:rPr>
                <w:rFonts w:ascii="Arial" w:cs="Arial" w:eastAsia="Arial" w:hAnsi="Arial"/>
                <w:sz w:val="18"/>
                <w:szCs w:val="18"/>
                <w:color w:val="auto"/>
                <w:w w:val="98"/>
              </w:rPr>
              <w:t>Page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6972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97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20" w:right="7700" w:hanging="627"/>
        <w:spacing w:after="0" w:line="572"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William Blair &amp; Company, LLC</w:t>
      </w:r>
    </w:p>
    <w:p>
      <w:pPr>
        <w:ind w:left="1020" w:right="5420" w:hanging="627"/>
        <w:spacing w:after="0" w:line="25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jc w:val="both"/>
        <w:ind w:left="10780"/>
        <w:spacing w:after="0"/>
        <w:tabs>
          <w:tab w:leader="none" w:pos="1118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760"/>
        <w:spacing w:after="0"/>
        <w:tabs>
          <w:tab w:leader="none" w:pos="11180" w:val="left"/>
        </w:tabs>
        <w:rPr>
          <w:sz w:val="20"/>
          <w:szCs w:val="20"/>
          <w:color w:val="auto"/>
        </w:rPr>
      </w:pPr>
      <w:r>
        <w:rPr>
          <w:rFonts w:ascii="Arial" w:cs="Arial" w:eastAsia="Arial" w:hAnsi="Arial"/>
          <w:sz w:val="18"/>
          <w:szCs w:val="18"/>
          <w:color w:val="auto"/>
        </w:rPr>
        <w:t>(b)</w:t>
        <w:tab/>
        <w:t>o</w:t>
      </w:r>
    </w:p>
    <w:p>
      <w:pPr>
        <w:spacing w:after="0" w:line="200" w:lineRule="exact"/>
        <w:rPr>
          <w:sz w:val="20"/>
          <w:szCs w:val="20"/>
          <w:color w:val="auto"/>
        </w:rPr>
      </w:pPr>
    </w:p>
    <w:p>
      <w:pPr>
        <w:spacing w:after="0" w:line="240" w:lineRule="exact"/>
        <w:rPr>
          <w:sz w:val="20"/>
          <w:szCs w:val="20"/>
          <w:color w:val="auto"/>
        </w:rPr>
      </w:pPr>
    </w:p>
    <w:p>
      <w:pPr>
        <w:ind w:left="1020" w:hanging="62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20" w:right="6720" w:hanging="627"/>
        <w:spacing w:after="0" w:line="50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4420" w:hanging="590"/>
        <w:spacing w:after="0"/>
        <w:tabs>
          <w:tab w:leader="none" w:pos="4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1,140,772</w:t>
            </w:r>
          </w:p>
        </w:tc>
        <w:tc>
          <w:tcPr>
            <w:tcW w:w="0" w:type="dxa"/>
            <w:vAlign w:val="bottom"/>
          </w:tcPr>
          <w:p>
            <w:pPr>
              <w:spacing w:after="0"/>
              <w:rPr>
                <w:sz w:val="1"/>
                <w:szCs w:val="1"/>
                <w:color w:val="auto"/>
              </w:rPr>
            </w:pPr>
          </w:p>
        </w:tc>
      </w:tr>
      <w:tr>
        <w:trPr>
          <w:trHeight w:val="290"/>
        </w:trPr>
        <w:tc>
          <w:tcPr>
            <w:tcW w:w="2380" w:type="dxa"/>
            <w:vAlign w:val="bottom"/>
          </w:tcPr>
          <w:p>
            <w:pPr>
              <w:jc w:val="center"/>
              <w:ind w:right="1010"/>
              <w:spacing w:after="0"/>
              <w:rPr>
                <w:sz w:val="20"/>
                <w:szCs w:val="20"/>
                <w:color w:val="auto"/>
              </w:rPr>
            </w:pPr>
            <w:r>
              <w:rPr>
                <w:rFonts w:ascii="Arial" w:cs="Arial" w:eastAsia="Arial" w:hAnsi="Arial"/>
                <w:sz w:val="18"/>
                <w:szCs w:val="18"/>
                <w:color w:val="auto"/>
                <w:w w:val="96"/>
              </w:rPr>
              <w:t>NUMBER OF</w:t>
            </w:r>
          </w:p>
        </w:tc>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rPr>
              <w:t>6.</w:t>
            </w:r>
          </w:p>
        </w:tc>
        <w:tc>
          <w:tcPr>
            <w:tcW w:w="722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2380" w:type="dxa"/>
            <w:vAlign w:val="bottom"/>
            <w:vMerge w:val="restart"/>
          </w:tcPr>
          <w:p>
            <w:pPr>
              <w:jc w:val="center"/>
              <w:ind w:right="1010"/>
              <w:spacing w:after="0"/>
              <w:rPr>
                <w:sz w:val="20"/>
                <w:szCs w:val="20"/>
                <w:color w:val="auto"/>
              </w:rPr>
            </w:pPr>
            <w:r>
              <w:rPr>
                <w:rFonts w:ascii="Arial" w:cs="Arial" w:eastAsia="Arial" w:hAnsi="Arial"/>
                <w:sz w:val="18"/>
                <w:szCs w:val="18"/>
                <w:color w:val="auto"/>
                <w:w w:val="91"/>
              </w:rPr>
              <w:t>SHARES</w:t>
            </w:r>
          </w:p>
        </w:tc>
        <w:tc>
          <w:tcPr>
            <w:tcW w:w="700" w:type="dxa"/>
            <w:vAlign w:val="bottom"/>
            <w:vMerge w:val="continue"/>
          </w:tcPr>
          <w:p>
            <w:pPr>
              <w:spacing w:after="0"/>
              <w:rPr>
                <w:sz w:val="11"/>
                <w:szCs w:val="11"/>
                <w:color w:val="auto"/>
              </w:rPr>
            </w:pPr>
          </w:p>
        </w:tc>
        <w:tc>
          <w:tcPr>
            <w:tcW w:w="7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3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7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80" w:type="dxa"/>
            <w:vAlign w:val="bottom"/>
          </w:tcPr>
          <w:p>
            <w:pPr>
              <w:jc w:val="center"/>
              <w:ind w:right="1010"/>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18"/>
                <w:szCs w:val="18"/>
                <w:color w:val="auto"/>
              </w:rPr>
            </w:pPr>
          </w:p>
        </w:tc>
        <w:tc>
          <w:tcPr>
            <w:tcW w:w="722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80" w:type="dxa"/>
            <w:vAlign w:val="bottom"/>
            <w:vMerge w:val="restart"/>
          </w:tcPr>
          <w:p>
            <w:pPr>
              <w:jc w:val="center"/>
              <w:ind w:right="1010"/>
              <w:spacing w:after="0"/>
              <w:rPr>
                <w:sz w:val="20"/>
                <w:szCs w:val="20"/>
                <w:color w:val="auto"/>
              </w:rPr>
            </w:pPr>
            <w:r>
              <w:rPr>
                <w:rFonts w:ascii="Arial" w:cs="Arial" w:eastAsia="Arial" w:hAnsi="Arial"/>
                <w:sz w:val="18"/>
                <w:szCs w:val="18"/>
                <w:color w:val="auto"/>
                <w:w w:val="97"/>
              </w:rPr>
              <w:t>OWNED BY</w:t>
            </w:r>
          </w:p>
        </w:tc>
        <w:tc>
          <w:tcPr>
            <w:tcW w:w="700" w:type="dxa"/>
            <w:vAlign w:val="bottom"/>
            <w:tcBorders>
              <w:bottom w:val="single" w:sz="8" w:color="auto"/>
            </w:tcBorders>
          </w:tcPr>
          <w:p>
            <w:pPr>
              <w:spacing w:after="0"/>
              <w:rPr>
                <w:sz w:val="11"/>
                <w:szCs w:val="11"/>
                <w:color w:val="auto"/>
              </w:rPr>
            </w:pPr>
          </w:p>
        </w:tc>
        <w:tc>
          <w:tcPr>
            <w:tcW w:w="72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80" w:type="dxa"/>
            <w:vAlign w:val="bottom"/>
          </w:tcPr>
          <w:p>
            <w:pPr>
              <w:jc w:val="center"/>
              <w:ind w:right="1010"/>
              <w:spacing w:after="0"/>
              <w:rPr>
                <w:sz w:val="20"/>
                <w:szCs w:val="20"/>
                <w:color w:val="auto"/>
              </w:rPr>
            </w:pPr>
            <w:r>
              <w:rPr>
                <w:rFonts w:ascii="Arial" w:cs="Arial" w:eastAsia="Arial" w:hAnsi="Arial"/>
                <w:sz w:val="18"/>
                <w:szCs w:val="18"/>
                <w:color w:val="auto"/>
                <w:w w:val="95"/>
              </w:rPr>
              <w:t>EACH</w:t>
            </w:r>
          </w:p>
        </w:tc>
        <w:tc>
          <w:tcPr>
            <w:tcW w:w="700" w:type="dxa"/>
            <w:vAlign w:val="bottom"/>
            <w:vMerge w:val="restart"/>
          </w:tcPr>
          <w:p>
            <w:pPr>
              <w:jc w:val="right"/>
              <w:ind w:right="150"/>
              <w:spacing w:after="0"/>
              <w:rPr>
                <w:sz w:val="20"/>
                <w:szCs w:val="20"/>
                <w:color w:val="auto"/>
              </w:rPr>
            </w:pPr>
            <w:r>
              <w:rPr>
                <w:rFonts w:ascii="Arial" w:cs="Arial" w:eastAsia="Arial" w:hAnsi="Arial"/>
                <w:sz w:val="18"/>
                <w:szCs w:val="18"/>
                <w:color w:val="auto"/>
              </w:rPr>
              <w:t>7.</w:t>
            </w:r>
          </w:p>
        </w:tc>
        <w:tc>
          <w:tcPr>
            <w:tcW w:w="722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2380" w:type="dxa"/>
            <w:vAlign w:val="bottom"/>
            <w:vMerge w:val="restart"/>
          </w:tcPr>
          <w:p>
            <w:pPr>
              <w:jc w:val="center"/>
              <w:ind w:right="1010"/>
              <w:spacing w:after="0"/>
              <w:rPr>
                <w:sz w:val="20"/>
                <w:szCs w:val="20"/>
                <w:color w:val="auto"/>
              </w:rPr>
            </w:pPr>
            <w:r>
              <w:rPr>
                <w:rFonts w:ascii="Arial" w:cs="Arial" w:eastAsia="Arial" w:hAnsi="Arial"/>
                <w:sz w:val="18"/>
                <w:szCs w:val="18"/>
                <w:color w:val="auto"/>
                <w:w w:val="93"/>
              </w:rPr>
              <w:t>REPORTING</w:t>
            </w:r>
          </w:p>
        </w:tc>
        <w:tc>
          <w:tcPr>
            <w:tcW w:w="700" w:type="dxa"/>
            <w:vAlign w:val="bottom"/>
            <w:vMerge w:val="continue"/>
          </w:tcPr>
          <w:p>
            <w:pPr>
              <w:spacing w:after="0"/>
              <w:rPr>
                <w:sz w:val="12"/>
                <w:szCs w:val="12"/>
                <w:color w:val="auto"/>
              </w:rPr>
            </w:pPr>
          </w:p>
        </w:tc>
        <w:tc>
          <w:tcPr>
            <w:tcW w:w="7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80" w:type="dxa"/>
            <w:vAlign w:val="bottom"/>
          </w:tcPr>
          <w:p>
            <w:pPr>
              <w:jc w:val="center"/>
              <w:ind w:right="1010"/>
              <w:spacing w:after="0"/>
              <w:rPr>
                <w:sz w:val="20"/>
                <w:szCs w:val="20"/>
                <w:color w:val="auto"/>
              </w:rPr>
            </w:pPr>
            <w:r>
              <w:rPr>
                <w:rFonts w:ascii="Arial" w:cs="Arial" w:eastAsia="Arial" w:hAnsi="Arial"/>
                <w:sz w:val="18"/>
                <w:szCs w:val="18"/>
                <w:color w:val="auto"/>
                <w:w w:val="89"/>
              </w:rPr>
              <w:t>PERSON</w:t>
            </w:r>
          </w:p>
        </w:tc>
        <w:tc>
          <w:tcPr>
            <w:tcW w:w="700" w:type="dxa"/>
            <w:vAlign w:val="bottom"/>
          </w:tcPr>
          <w:p>
            <w:pPr>
              <w:spacing w:after="0"/>
              <w:rPr>
                <w:sz w:val="18"/>
                <w:szCs w:val="18"/>
                <w:color w:val="auto"/>
              </w:rPr>
            </w:pPr>
          </w:p>
        </w:tc>
        <w:tc>
          <w:tcPr>
            <w:tcW w:w="7220" w:type="dxa"/>
            <w:vAlign w:val="bottom"/>
            <w:vMerge w:val="restart"/>
          </w:tcPr>
          <w:p>
            <w:pPr>
              <w:ind w:left="220"/>
              <w:spacing w:after="0"/>
              <w:rPr>
                <w:sz w:val="20"/>
                <w:szCs w:val="20"/>
                <w:color w:val="auto"/>
              </w:rPr>
            </w:pPr>
            <w:r>
              <w:rPr>
                <w:rFonts w:ascii="Arial" w:cs="Arial" w:eastAsia="Arial" w:hAnsi="Arial"/>
                <w:sz w:val="18"/>
                <w:szCs w:val="18"/>
                <w:color w:val="auto"/>
              </w:rPr>
              <w:t>2,461,857</w:t>
            </w:r>
          </w:p>
        </w:tc>
        <w:tc>
          <w:tcPr>
            <w:tcW w:w="0" w:type="dxa"/>
            <w:vAlign w:val="bottom"/>
          </w:tcPr>
          <w:p>
            <w:pPr>
              <w:spacing w:after="0"/>
              <w:rPr>
                <w:sz w:val="1"/>
                <w:szCs w:val="1"/>
                <w:color w:val="auto"/>
              </w:rPr>
            </w:pPr>
          </w:p>
        </w:tc>
      </w:tr>
      <w:tr>
        <w:trPr>
          <w:trHeight w:val="149"/>
        </w:trPr>
        <w:tc>
          <w:tcPr>
            <w:tcW w:w="2380" w:type="dxa"/>
            <w:vAlign w:val="bottom"/>
            <w:vMerge w:val="restart"/>
          </w:tcPr>
          <w:p>
            <w:pPr>
              <w:jc w:val="center"/>
              <w:ind w:right="1010"/>
              <w:spacing w:after="0"/>
              <w:rPr>
                <w:sz w:val="20"/>
                <w:szCs w:val="20"/>
                <w:color w:val="auto"/>
              </w:rPr>
            </w:pPr>
            <w:r>
              <w:rPr>
                <w:rFonts w:ascii="Arial" w:cs="Arial" w:eastAsia="Arial" w:hAnsi="Arial"/>
                <w:sz w:val="18"/>
                <w:szCs w:val="18"/>
                <w:color w:val="auto"/>
              </w:rPr>
              <w:t>WITH</w:t>
            </w:r>
          </w:p>
        </w:tc>
        <w:tc>
          <w:tcPr>
            <w:tcW w:w="700" w:type="dxa"/>
            <w:vAlign w:val="bottom"/>
            <w:tcBorders>
              <w:bottom w:val="single" w:sz="8" w:color="auto"/>
            </w:tcBorders>
          </w:tcPr>
          <w:p>
            <w:pPr>
              <w:spacing w:after="0"/>
              <w:rPr>
                <w:sz w:val="12"/>
                <w:szCs w:val="12"/>
                <w:color w:val="auto"/>
              </w:rPr>
            </w:pPr>
          </w:p>
        </w:tc>
        <w:tc>
          <w:tcPr>
            <w:tcW w:w="7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3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420" w:right="4480" w:hanging="590"/>
        <w:spacing w:after="0" w:line="528" w:lineRule="auto"/>
        <w:tabs>
          <w:tab w:leader="none" w:pos="4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3" w:lineRule="exact"/>
        <w:rPr>
          <w:rFonts w:ascii="Arial" w:cs="Arial" w:eastAsia="Arial" w:hAnsi="Arial"/>
          <w:sz w:val="18"/>
          <w:szCs w:val="18"/>
          <w:color w:val="auto"/>
        </w:rPr>
      </w:pPr>
    </w:p>
    <w:p>
      <w:pPr>
        <w:ind w:left="1020" w:right="3840" w:hanging="627"/>
        <w:spacing w:after="0" w:line="50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2,461,857</w:t>
      </w:r>
    </w:p>
    <w:p>
      <w:pPr>
        <w:spacing w:after="0" w:line="2" w:lineRule="exact"/>
        <w:rPr>
          <w:sz w:val="20"/>
          <w:szCs w:val="20"/>
          <w:color w:val="auto"/>
        </w:rPr>
      </w:pPr>
    </w:p>
    <w:p>
      <w:pPr>
        <w:ind w:left="1020" w:right="3740" w:hanging="672"/>
        <w:spacing w:after="0" w:line="25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o</w:t>
      </w:r>
    </w:p>
    <w:p>
      <w:pPr>
        <w:spacing w:after="0" w:line="224" w:lineRule="exact"/>
        <w:rPr>
          <w:sz w:val="20"/>
          <w:szCs w:val="20"/>
          <w:color w:val="auto"/>
        </w:rPr>
      </w:pPr>
    </w:p>
    <w:p>
      <w:pPr>
        <w:ind w:left="1020" w:right="5340" w:hanging="669"/>
        <w:spacing w:after="0" w:line="50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color w:val="2A2A2A"/>
        </w:rPr>
        <w:t>7.30%</w:t>
      </w:r>
    </w:p>
    <w:p>
      <w:pPr>
        <w:spacing w:after="0" w:line="1" w:lineRule="exact"/>
        <w:rPr>
          <w:rFonts w:ascii="Arial" w:cs="Arial" w:eastAsia="Arial" w:hAnsi="Arial"/>
          <w:sz w:val="18"/>
          <w:szCs w:val="18"/>
          <w:color w:val="auto"/>
        </w:rPr>
      </w:pPr>
    </w:p>
    <w:p>
      <w:pPr>
        <w:ind w:left="1020" w:right="6060" w:hanging="672"/>
        <w:spacing w:after="0" w:line="52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BD,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1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M6372Q113</w:t>
            </w:r>
          </w:p>
        </w:tc>
        <w:tc>
          <w:tcPr>
            <w:tcW w:w="3740" w:type="dxa"/>
            <w:vAlign w:val="bottom"/>
            <w:tcBorders>
              <w:top w:val="single" w:sz="8" w:color="auto"/>
              <w:bottom w:val="single" w:sz="8" w:color="auto"/>
              <w:right w:val="single" w:sz="8" w:color="auto"/>
            </w:tcBorders>
          </w:tcPr>
          <w:p>
            <w:pPr>
              <w:spacing w:after="0"/>
              <w:rPr>
                <w:sz w:val="19"/>
                <w:szCs w:val="19"/>
                <w:color w:val="auto"/>
              </w:rPr>
            </w:pPr>
          </w:p>
        </w:tc>
        <w:tc>
          <w:tcPr>
            <w:tcW w:w="5580" w:type="dxa"/>
            <w:vAlign w:val="bottom"/>
            <w:tcBorders>
              <w:top w:val="single" w:sz="8" w:color="auto"/>
              <w:bottom w:val="single" w:sz="8" w:color="auto"/>
              <w:right w:val="single" w:sz="8" w:color="auto"/>
            </w:tcBorders>
          </w:tcPr>
          <w:p>
            <w:pPr>
              <w:ind w:left="4980"/>
              <w:spacing w:after="0"/>
              <w:rPr>
                <w:sz w:val="20"/>
                <w:szCs w:val="20"/>
                <w:color w:val="auto"/>
              </w:rPr>
            </w:pPr>
            <w:r>
              <w:rPr>
                <w:rFonts w:ascii="Arial" w:cs="Arial" w:eastAsia="Arial" w:hAnsi="Arial"/>
                <w:sz w:val="18"/>
                <w:szCs w:val="18"/>
                <w:color w:val="auto"/>
                <w:w w:val="98"/>
              </w:rPr>
              <w:t>Page 3</w:t>
            </w:r>
          </w:p>
        </w:tc>
      </w:tr>
      <w:tr>
        <w:trPr>
          <w:trHeight w:val="627"/>
        </w:trPr>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932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520"/>
              <w:spacing w:after="0"/>
              <w:rPr>
                <w:sz w:val="20"/>
                <w:szCs w:val="20"/>
                <w:color w:val="auto"/>
              </w:rPr>
            </w:pPr>
            <w:r>
              <w:rPr>
                <w:rFonts w:ascii="Arial" w:cs="Arial" w:eastAsia="Arial" w:hAnsi="Arial"/>
                <w:sz w:val="18"/>
                <w:szCs w:val="18"/>
                <w:color w:val="auto"/>
              </w:rPr>
              <w:t>Kornit Digital Ltd.</w:t>
            </w:r>
          </w:p>
        </w:tc>
      </w:tr>
      <w:tr>
        <w:trPr>
          <w:trHeight w:val="418"/>
        </w:trPr>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Item 1(b).</w:t>
            </w:r>
          </w:p>
        </w:tc>
        <w:tc>
          <w:tcPr>
            <w:tcW w:w="9320" w:type="dxa"/>
            <w:vAlign w:val="bottom"/>
            <w:gridSpan w:val="2"/>
          </w:tcPr>
          <w:p>
            <w:pPr>
              <w:ind w:left="5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520"/>
              <w:spacing w:after="0"/>
              <w:rPr>
                <w:sz w:val="20"/>
                <w:szCs w:val="20"/>
                <w:color w:val="auto"/>
              </w:rPr>
            </w:pPr>
            <w:r>
              <w:rPr>
                <w:rFonts w:ascii="Arial" w:cs="Arial" w:eastAsia="Arial" w:hAnsi="Arial"/>
                <w:sz w:val="18"/>
                <w:szCs w:val="18"/>
                <w:color w:val="auto"/>
              </w:rPr>
              <w:t>12 Ha'Amal Street, Afek Park, Rosh Ha'Ayin 4824096, Israel</w:t>
            </w:r>
          </w:p>
        </w:tc>
      </w:tr>
      <w:tr>
        <w:trPr>
          <w:trHeight w:val="418"/>
        </w:trPr>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Item 2(a).</w:t>
            </w:r>
          </w:p>
        </w:tc>
        <w:tc>
          <w:tcPr>
            <w:tcW w:w="932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520"/>
              <w:spacing w:after="0"/>
              <w:rPr>
                <w:sz w:val="20"/>
                <w:szCs w:val="20"/>
                <w:color w:val="auto"/>
              </w:rPr>
            </w:pPr>
            <w:r>
              <w:rPr>
                <w:rFonts w:ascii="Arial" w:cs="Arial" w:eastAsia="Arial" w:hAnsi="Arial"/>
                <w:sz w:val="18"/>
                <w:szCs w:val="18"/>
                <w:color w:val="auto"/>
              </w:rPr>
              <w:t>William Blair &amp; Company, LLC</w:t>
            </w:r>
          </w:p>
        </w:tc>
      </w:tr>
      <w:tr>
        <w:trPr>
          <w:trHeight w:val="418"/>
        </w:trPr>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Item 2(b).</w:t>
            </w:r>
          </w:p>
        </w:tc>
        <w:tc>
          <w:tcPr>
            <w:tcW w:w="9320" w:type="dxa"/>
            <w:vAlign w:val="bottom"/>
            <w:gridSpan w:val="2"/>
          </w:tcPr>
          <w:p>
            <w:pPr>
              <w:ind w:left="5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520"/>
              <w:spacing w:after="0"/>
              <w:rPr>
                <w:sz w:val="20"/>
                <w:szCs w:val="20"/>
                <w:color w:val="auto"/>
              </w:rPr>
            </w:pPr>
            <w:r>
              <w:rPr>
                <w:rFonts w:ascii="Arial" w:cs="Arial" w:eastAsia="Arial" w:hAnsi="Arial"/>
                <w:sz w:val="18"/>
                <w:szCs w:val="18"/>
                <w:color w:val="auto"/>
              </w:rPr>
              <w:t>150 North Riverside Plaza, Chicago, IL 60606</w:t>
            </w:r>
          </w:p>
        </w:tc>
      </w:tr>
      <w:tr>
        <w:trPr>
          <w:trHeight w:val="418"/>
        </w:trPr>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Item 2(c).</w:t>
            </w:r>
          </w:p>
        </w:tc>
        <w:tc>
          <w:tcPr>
            <w:tcW w:w="9320" w:type="dxa"/>
            <w:vAlign w:val="bottom"/>
            <w:gridSpan w:val="2"/>
          </w:tcPr>
          <w:p>
            <w:pPr>
              <w:ind w:left="52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520"/>
              <w:spacing w:after="0"/>
              <w:rPr>
                <w:sz w:val="20"/>
                <w:szCs w:val="20"/>
                <w:color w:val="auto"/>
              </w:rPr>
            </w:pPr>
            <w:r>
              <w:rPr>
                <w:rFonts w:ascii="Arial" w:cs="Arial" w:eastAsia="Arial" w:hAnsi="Arial"/>
                <w:sz w:val="18"/>
                <w:szCs w:val="18"/>
                <w:color w:val="auto"/>
              </w:rPr>
              <w:t>Delaware</w:t>
            </w:r>
          </w:p>
        </w:tc>
      </w:tr>
      <w:tr>
        <w:trPr>
          <w:trHeight w:val="418"/>
        </w:trPr>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Item 2(d).</w:t>
            </w:r>
          </w:p>
        </w:tc>
        <w:tc>
          <w:tcPr>
            <w:tcW w:w="9320" w:type="dxa"/>
            <w:vAlign w:val="bottom"/>
            <w:gridSpan w:val="2"/>
          </w:tcPr>
          <w:p>
            <w:pPr>
              <w:ind w:left="52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520"/>
              <w:spacing w:after="0"/>
              <w:rPr>
                <w:sz w:val="20"/>
                <w:szCs w:val="20"/>
                <w:color w:val="auto"/>
              </w:rPr>
            </w:pPr>
            <w:r>
              <w:rPr>
                <w:rFonts w:ascii="Arial" w:cs="Arial" w:eastAsia="Arial" w:hAnsi="Arial"/>
                <w:sz w:val="18"/>
                <w:szCs w:val="18"/>
                <w:color w:val="auto"/>
              </w:rPr>
              <w:t>Common Stock</w:t>
            </w:r>
          </w:p>
        </w:tc>
      </w:tr>
      <w:tr>
        <w:trPr>
          <w:trHeight w:val="418"/>
        </w:trPr>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Item 2(e).</w:t>
            </w:r>
          </w:p>
        </w:tc>
        <w:tc>
          <w:tcPr>
            <w:tcW w:w="9320" w:type="dxa"/>
            <w:vAlign w:val="bottom"/>
            <w:gridSpan w:val="2"/>
          </w:tcPr>
          <w:p>
            <w:pPr>
              <w:ind w:left="52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2100" w:type="dxa"/>
            <w:vAlign w:val="bottom"/>
          </w:tcPr>
          <w:p>
            <w:pPr>
              <w:spacing w:after="0"/>
              <w:rPr>
                <w:sz w:val="20"/>
                <w:szCs w:val="20"/>
                <w:color w:val="auto"/>
              </w:rPr>
            </w:pPr>
          </w:p>
        </w:tc>
        <w:tc>
          <w:tcPr>
            <w:tcW w:w="9320" w:type="dxa"/>
            <w:vAlign w:val="bottom"/>
            <w:gridSpan w:val="2"/>
          </w:tcPr>
          <w:p>
            <w:pPr>
              <w:ind w:left="520"/>
              <w:spacing w:after="0"/>
              <w:rPr>
                <w:sz w:val="20"/>
                <w:szCs w:val="20"/>
                <w:color w:val="auto"/>
              </w:rPr>
            </w:pPr>
            <w:r>
              <w:rPr>
                <w:rFonts w:ascii="Arial" w:cs="Arial" w:eastAsia="Arial" w:hAnsi="Arial"/>
                <w:sz w:val="18"/>
                <w:szCs w:val="18"/>
                <w:color w:val="auto"/>
              </w:rPr>
              <w:t>M6372Q113</w:t>
            </w:r>
          </w:p>
        </w:tc>
      </w:tr>
      <w:tr>
        <w:trPr>
          <w:trHeight w:val="432"/>
        </w:trPr>
        <w:tc>
          <w:tcPr>
            <w:tcW w:w="2100" w:type="dxa"/>
            <w:vAlign w:val="bottom"/>
          </w:tcPr>
          <w:p>
            <w:pPr>
              <w:ind w:left="100"/>
              <w:spacing w:after="0"/>
              <w:rPr>
                <w:sz w:val="20"/>
                <w:szCs w:val="20"/>
                <w:color w:val="auto"/>
              </w:rPr>
            </w:pPr>
            <w:r>
              <w:rPr>
                <w:rFonts w:ascii="Arial" w:cs="Arial" w:eastAsia="Arial" w:hAnsi="Arial"/>
                <w:sz w:val="18"/>
                <w:szCs w:val="18"/>
                <w:b w:val="1"/>
                <w:bCs w:val="1"/>
                <w:color w:val="auto"/>
              </w:rPr>
              <w:t>Item 3.</w:t>
            </w:r>
          </w:p>
        </w:tc>
        <w:tc>
          <w:tcPr>
            <w:tcW w:w="9320" w:type="dxa"/>
            <w:vAlign w:val="bottom"/>
            <w:gridSpan w:val="2"/>
          </w:tcPr>
          <w:p>
            <w:pPr>
              <w:ind w:left="520"/>
              <w:spacing w:after="0"/>
              <w:rPr>
                <w:sz w:val="20"/>
                <w:szCs w:val="20"/>
                <w:color w:val="auto"/>
              </w:rPr>
            </w:pPr>
            <w:r>
              <w:rPr>
                <w:rFonts w:ascii="Arial" w:cs="Arial" w:eastAsia="Arial" w:hAnsi="Arial"/>
                <w:sz w:val="18"/>
                <w:szCs w:val="18"/>
                <w:b w:val="1"/>
                <w:bCs w:val="1"/>
                <w:color w:val="auto"/>
                <w:w w:val="92"/>
              </w:rPr>
              <w:t>If this statement is filed pursuant to §§ 240.13d-1(b), or 240.13d-2(b) or (c), check whether the person filing is a:</w:t>
            </w:r>
          </w:p>
        </w:tc>
      </w:tr>
    </w:tbl>
    <w:p>
      <w:pPr>
        <w:spacing w:after="0" w:line="202"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520" w:type="dxa"/>
            <w:vAlign w:val="bottom"/>
          </w:tcPr>
          <w:p>
            <w:pPr>
              <w:ind w:left="120"/>
              <w:spacing w:after="0"/>
              <w:rPr>
                <w:sz w:val="20"/>
                <w:szCs w:val="20"/>
                <w:color w:val="auto"/>
              </w:rPr>
            </w:pPr>
            <w:r>
              <w:rPr>
                <w:rFonts w:ascii="Arial" w:cs="Arial" w:eastAsia="Arial" w:hAnsi="Arial"/>
                <w:sz w:val="18"/>
                <w:szCs w:val="18"/>
                <w:color w:val="auto"/>
              </w:rPr>
              <w:t>x</w:t>
            </w:r>
          </w:p>
        </w:tc>
        <w:tc>
          <w:tcPr>
            <w:tcW w:w="7780" w:type="dxa"/>
            <w:vAlign w:val="bottom"/>
          </w:tcPr>
          <w:p>
            <w:pPr>
              <w:ind w:left="30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Bank as defined in Section 3(a)(6) of the Act (15 U.S.C. 78c);</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69"/>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w w:val="94"/>
              </w:rPr>
              <w:t>Investment company registered under Section 8 of the Investment Company Act of 1940 (15 U.S.C.</w:t>
            </w: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80a-8);</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(e)</w:t>
            </w:r>
          </w:p>
        </w:tc>
        <w:tc>
          <w:tcPr>
            <w:tcW w:w="520" w:type="dxa"/>
            <w:vAlign w:val="bottom"/>
          </w:tcPr>
          <w:p>
            <w:pPr>
              <w:ind w:left="120"/>
              <w:spacing w:after="0"/>
              <w:rPr>
                <w:sz w:val="20"/>
                <w:szCs w:val="20"/>
                <w:color w:val="auto"/>
              </w:rPr>
            </w:pPr>
            <w:r>
              <w:rPr>
                <w:rFonts w:ascii="Arial" w:cs="Arial" w:eastAsia="Arial" w:hAnsi="Arial"/>
                <w:sz w:val="18"/>
                <w:szCs w:val="18"/>
                <w:color w:val="auto"/>
              </w:rPr>
              <w:t>x</w:t>
            </w:r>
          </w:p>
        </w:tc>
        <w:tc>
          <w:tcPr>
            <w:tcW w:w="7780" w:type="dxa"/>
            <w:vAlign w:val="bottom"/>
          </w:tcPr>
          <w:p>
            <w:pPr>
              <w:ind w:left="30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284"/>
        </w:trPr>
        <w:tc>
          <w:tcPr>
            <w:tcW w:w="320" w:type="dxa"/>
            <w:vAlign w:val="bottom"/>
          </w:tcPr>
          <w:p>
            <w:pPr>
              <w:ind w:left="20"/>
              <w:spacing w:after="0"/>
              <w:rPr>
                <w:sz w:val="20"/>
                <w:szCs w:val="20"/>
                <w:color w:val="auto"/>
              </w:rPr>
            </w:pPr>
            <w:r>
              <w:rPr>
                <w:rFonts w:ascii="Arial" w:cs="Arial" w:eastAsia="Arial" w:hAnsi="Arial"/>
                <w:sz w:val="18"/>
                <w:szCs w:val="18"/>
                <w:color w:val="auto"/>
              </w:rPr>
              <w:t>(f)</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(g)</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(h)</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w w:val="90"/>
              </w:rPr>
              <w:t>A savings association as defined in Section 3(b) of the Federal Deposit Insurance Act (12 U.S.C. 1813);</w:t>
            </w:r>
          </w:p>
        </w:tc>
      </w:tr>
      <w:tr>
        <w:trPr>
          <w:trHeight w:val="269"/>
        </w:trPr>
        <w:tc>
          <w:tcPr>
            <w:tcW w:w="320" w:type="dxa"/>
            <w:vAlign w:val="bottom"/>
          </w:tcPr>
          <w:p>
            <w:pPr>
              <w:ind w:left="20"/>
              <w:spacing w:after="0"/>
              <w:rPr>
                <w:sz w:val="20"/>
                <w:szCs w:val="20"/>
                <w:color w:val="auto"/>
              </w:rPr>
            </w:pPr>
            <w:r>
              <w:rPr>
                <w:rFonts w:ascii="Arial" w:cs="Arial" w:eastAsia="Arial" w:hAnsi="Arial"/>
                <w:sz w:val="18"/>
                <w:szCs w:val="18"/>
                <w:color w:val="auto"/>
              </w:rPr>
              <w:t>(i)</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w:t>
            </w:r>
          </w:p>
        </w:tc>
      </w:tr>
      <w:tr>
        <w:trPr>
          <w:trHeight w:val="230"/>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the Investment Company Act (15 U.S.C. 80a-3);</w:t>
            </w:r>
          </w:p>
        </w:tc>
      </w:tr>
      <w:tr>
        <w:trPr>
          <w:trHeight w:val="284"/>
        </w:trPr>
        <w:tc>
          <w:tcPr>
            <w:tcW w:w="320" w:type="dxa"/>
            <w:vAlign w:val="bottom"/>
          </w:tcPr>
          <w:p>
            <w:pPr>
              <w:ind w:left="20"/>
              <w:spacing w:after="0"/>
              <w:rPr>
                <w:sz w:val="20"/>
                <w:szCs w:val="20"/>
                <w:color w:val="auto"/>
              </w:rPr>
            </w:pPr>
            <w:r>
              <w:rPr>
                <w:rFonts w:ascii="Arial" w:cs="Arial" w:eastAsia="Arial" w:hAnsi="Arial"/>
                <w:sz w:val="18"/>
                <w:szCs w:val="18"/>
                <w:color w:val="auto"/>
              </w:rPr>
              <w:t>(j)</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A non-U.S. institution in accordance with § 240.13d-1(b)(1)(ii)(J);</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(k)</w:t>
            </w:r>
          </w:p>
        </w:tc>
        <w:tc>
          <w:tcPr>
            <w:tcW w:w="520" w:type="dxa"/>
            <w:vAlign w:val="bottom"/>
          </w:tcPr>
          <w:p>
            <w:pPr>
              <w:ind w:left="120"/>
              <w:spacing w:after="0"/>
              <w:rPr>
                <w:sz w:val="20"/>
                <w:szCs w:val="20"/>
                <w:color w:val="auto"/>
              </w:rPr>
            </w:pPr>
            <w:r>
              <w:rPr>
                <w:rFonts w:ascii="Arial" w:cs="Arial" w:eastAsia="Arial" w:hAnsi="Arial"/>
                <w:sz w:val="18"/>
                <w:szCs w:val="18"/>
                <w:color w:val="auto"/>
              </w:rPr>
              <w:t>o</w:t>
            </w:r>
          </w:p>
        </w:tc>
        <w:tc>
          <w:tcPr>
            <w:tcW w:w="7780" w:type="dxa"/>
            <w:vAlign w:val="bottom"/>
          </w:tcPr>
          <w:p>
            <w:pPr>
              <w:ind w:left="300"/>
              <w:spacing w:after="0"/>
              <w:rPr>
                <w:sz w:val="20"/>
                <w:szCs w:val="20"/>
                <w:color w:val="auto"/>
              </w:rPr>
            </w:pPr>
            <w:r>
              <w:rPr>
                <w:rFonts w:ascii="Arial" w:cs="Arial" w:eastAsia="Arial" w:hAnsi="Arial"/>
                <w:sz w:val="18"/>
                <w:szCs w:val="18"/>
                <w:color w:val="auto"/>
              </w:rPr>
              <w:t>Group, in accordance with § 240.13d-1(b)(1)(ii)(K).</w:t>
            </w:r>
          </w:p>
        </w:tc>
      </w:tr>
    </w:tbl>
    <w:p>
      <w:pPr>
        <w:spacing w:after="0" w:line="26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04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M6372Q113</w:t>
            </w:r>
          </w:p>
        </w:tc>
        <w:tc>
          <w:tcPr>
            <w:tcW w:w="98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right w:val="single" w:sz="8" w:color="auto"/>
            </w:tcBorders>
          </w:tcPr>
          <w:p>
            <w:pPr>
              <w:spacing w:after="0"/>
              <w:rPr>
                <w:sz w:val="19"/>
                <w:szCs w:val="19"/>
                <w:color w:val="auto"/>
              </w:rPr>
            </w:pPr>
          </w:p>
        </w:tc>
        <w:tc>
          <w:tcPr>
            <w:tcW w:w="5580" w:type="dxa"/>
            <w:vAlign w:val="bottom"/>
            <w:tcBorders>
              <w:top w:val="single" w:sz="8" w:color="auto"/>
              <w:bottom w:val="single" w:sz="8" w:color="auto"/>
              <w:right w:val="single" w:sz="8" w:color="auto"/>
            </w:tcBorders>
          </w:tcPr>
          <w:p>
            <w:pPr>
              <w:ind w:left="4980"/>
              <w:spacing w:after="0"/>
              <w:rPr>
                <w:sz w:val="20"/>
                <w:szCs w:val="20"/>
                <w:color w:val="auto"/>
              </w:rPr>
            </w:pPr>
            <w:r>
              <w:rPr>
                <w:rFonts w:ascii="Arial" w:cs="Arial" w:eastAsia="Arial" w:hAnsi="Arial"/>
                <w:sz w:val="18"/>
                <w:szCs w:val="18"/>
                <w:color w:val="auto"/>
                <w:w w:val="98"/>
              </w:rPr>
              <w:t>Page 4</w:t>
            </w:r>
          </w:p>
        </w:tc>
      </w:tr>
      <w:tr>
        <w:trPr>
          <w:trHeight w:val="627"/>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4.</w:t>
            </w:r>
          </w:p>
        </w:tc>
        <w:tc>
          <w:tcPr>
            <w:tcW w:w="9380" w:type="dxa"/>
            <w:vAlign w:val="bottom"/>
            <w:gridSpan w:val="3"/>
          </w:tcPr>
          <w:p>
            <w:pPr>
              <w:ind w:left="460"/>
              <w:spacing w:after="0"/>
              <w:rPr>
                <w:sz w:val="20"/>
                <w:szCs w:val="20"/>
                <w:color w:val="auto"/>
              </w:rPr>
            </w:pPr>
            <w:r>
              <w:rPr>
                <w:rFonts w:ascii="Arial" w:cs="Arial" w:eastAsia="Arial" w:hAnsi="Arial"/>
                <w:sz w:val="18"/>
                <w:szCs w:val="18"/>
                <w:b w:val="1"/>
                <w:bCs w:val="1"/>
                <w:color w:val="auto"/>
              </w:rPr>
              <w:t>Ownership:</w:t>
            </w:r>
          </w:p>
        </w:tc>
      </w:tr>
      <w:tr>
        <w:trPr>
          <w:trHeight w:val="216"/>
        </w:trPr>
        <w:tc>
          <w:tcPr>
            <w:tcW w:w="2040" w:type="dxa"/>
            <w:vAlign w:val="bottom"/>
          </w:tcPr>
          <w:p>
            <w:pPr>
              <w:spacing w:after="0"/>
              <w:rPr>
                <w:sz w:val="18"/>
                <w:szCs w:val="18"/>
                <w:color w:val="auto"/>
              </w:rPr>
            </w:pPr>
          </w:p>
        </w:tc>
        <w:tc>
          <w:tcPr>
            <w:tcW w:w="9380" w:type="dxa"/>
            <w:vAlign w:val="bottom"/>
            <w:gridSpan w:val="3"/>
          </w:tcPr>
          <w:p>
            <w:pPr>
              <w:ind w:left="460"/>
              <w:spacing w:after="0"/>
              <w:rPr>
                <w:sz w:val="20"/>
                <w:szCs w:val="20"/>
                <w:color w:val="auto"/>
              </w:rPr>
            </w:pPr>
            <w:r>
              <w:rPr>
                <w:rFonts w:ascii="Arial" w:cs="Arial" w:eastAsia="Arial" w:hAnsi="Arial"/>
                <w:sz w:val="18"/>
                <w:szCs w:val="18"/>
                <w:color w:val="auto"/>
                <w:w w:val="93"/>
              </w:rPr>
              <w:t>Provide the following information regarding the aggregate number and percentage of the class of securities of the issuer</w:t>
            </w:r>
          </w:p>
        </w:tc>
      </w:tr>
      <w:tr>
        <w:trPr>
          <w:trHeight w:val="230"/>
        </w:trPr>
        <w:tc>
          <w:tcPr>
            <w:tcW w:w="2040" w:type="dxa"/>
            <w:vAlign w:val="bottom"/>
          </w:tcPr>
          <w:p>
            <w:pPr>
              <w:spacing w:after="0"/>
              <w:rPr>
                <w:sz w:val="20"/>
                <w:szCs w:val="20"/>
                <w:color w:val="auto"/>
              </w:rPr>
            </w:pPr>
          </w:p>
        </w:tc>
        <w:tc>
          <w:tcPr>
            <w:tcW w:w="9380" w:type="dxa"/>
            <w:vAlign w:val="bottom"/>
            <w:gridSpan w:val="3"/>
          </w:tcPr>
          <w:p>
            <w:pPr>
              <w:ind w:left="460"/>
              <w:spacing w:after="0"/>
              <w:rPr>
                <w:sz w:val="20"/>
                <w:szCs w:val="20"/>
                <w:color w:val="auto"/>
              </w:rPr>
            </w:pPr>
            <w:r>
              <w:rPr>
                <w:rFonts w:ascii="Arial" w:cs="Arial" w:eastAsia="Arial" w:hAnsi="Arial"/>
                <w:sz w:val="18"/>
                <w:szCs w:val="18"/>
                <w:color w:val="auto"/>
              </w:rPr>
              <w:t>identified in Item 1.</w:t>
            </w:r>
          </w:p>
        </w:tc>
      </w:tr>
      <w:tr>
        <w:trPr>
          <w:trHeight w:val="432"/>
        </w:trPr>
        <w:tc>
          <w:tcPr>
            <w:tcW w:w="2040" w:type="dxa"/>
            <w:vAlign w:val="bottom"/>
          </w:tcPr>
          <w:p>
            <w:pPr>
              <w:spacing w:after="0"/>
              <w:rPr>
                <w:sz w:val="24"/>
                <w:szCs w:val="24"/>
                <w:color w:val="auto"/>
              </w:rPr>
            </w:pPr>
          </w:p>
        </w:tc>
        <w:tc>
          <w:tcPr>
            <w:tcW w:w="980" w:type="dxa"/>
            <w:vAlign w:val="bottom"/>
          </w:tcPr>
          <w:p>
            <w:pPr>
              <w:ind w:left="620"/>
              <w:spacing w:after="0"/>
              <w:rPr>
                <w:sz w:val="20"/>
                <w:szCs w:val="20"/>
                <w:color w:val="auto"/>
              </w:rPr>
            </w:pPr>
            <w:r>
              <w:rPr>
                <w:rFonts w:ascii="Arial" w:cs="Arial" w:eastAsia="Arial" w:hAnsi="Arial"/>
                <w:sz w:val="18"/>
                <w:szCs w:val="18"/>
                <w:color w:val="auto"/>
              </w:rPr>
              <w:t>(a)</w:t>
            </w:r>
          </w:p>
        </w:tc>
        <w:tc>
          <w:tcPr>
            <w:tcW w:w="8400" w:type="dxa"/>
            <w:vAlign w:val="bottom"/>
            <w:gridSpan w:val="2"/>
          </w:tcPr>
          <w:p>
            <w:pPr>
              <w:ind w:left="180"/>
              <w:spacing w:after="0"/>
              <w:rPr>
                <w:sz w:val="20"/>
                <w:szCs w:val="20"/>
                <w:color w:val="auto"/>
              </w:rPr>
            </w:pPr>
            <w:r>
              <w:rPr>
                <w:rFonts w:ascii="Arial" w:cs="Arial" w:eastAsia="Arial" w:hAnsi="Arial"/>
                <w:sz w:val="18"/>
                <w:szCs w:val="18"/>
                <w:color w:val="auto"/>
              </w:rPr>
              <w:t>Amount beneficially owned: 2,461,857</w:t>
            </w:r>
          </w:p>
        </w:tc>
      </w:tr>
      <w:tr>
        <w:trPr>
          <w:trHeight w:val="432"/>
        </w:trPr>
        <w:tc>
          <w:tcPr>
            <w:tcW w:w="2040" w:type="dxa"/>
            <w:vAlign w:val="bottom"/>
          </w:tcPr>
          <w:p>
            <w:pPr>
              <w:spacing w:after="0"/>
              <w:rPr>
                <w:sz w:val="24"/>
                <w:szCs w:val="24"/>
                <w:color w:val="auto"/>
              </w:rPr>
            </w:pPr>
          </w:p>
        </w:tc>
        <w:tc>
          <w:tcPr>
            <w:tcW w:w="980" w:type="dxa"/>
            <w:vAlign w:val="bottom"/>
          </w:tcPr>
          <w:p>
            <w:pPr>
              <w:ind w:left="620"/>
              <w:spacing w:after="0"/>
              <w:rPr>
                <w:sz w:val="20"/>
                <w:szCs w:val="20"/>
                <w:color w:val="auto"/>
              </w:rPr>
            </w:pPr>
            <w:r>
              <w:rPr>
                <w:rFonts w:ascii="Arial" w:cs="Arial" w:eastAsia="Arial" w:hAnsi="Arial"/>
                <w:sz w:val="18"/>
                <w:szCs w:val="18"/>
                <w:color w:val="auto"/>
              </w:rPr>
              <w:t>(b)</w:t>
            </w:r>
          </w:p>
        </w:tc>
        <w:tc>
          <w:tcPr>
            <w:tcW w:w="8400" w:type="dxa"/>
            <w:vAlign w:val="bottom"/>
            <w:gridSpan w:val="2"/>
          </w:tcPr>
          <w:p>
            <w:pPr>
              <w:ind w:left="18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color w:val="2A2A2A"/>
              </w:rPr>
              <w:t>7.30%</w:t>
            </w:r>
          </w:p>
        </w:tc>
      </w:tr>
      <w:tr>
        <w:trPr>
          <w:trHeight w:val="432"/>
        </w:trPr>
        <w:tc>
          <w:tcPr>
            <w:tcW w:w="2040" w:type="dxa"/>
            <w:vAlign w:val="bottom"/>
          </w:tcPr>
          <w:p>
            <w:pPr>
              <w:spacing w:after="0"/>
              <w:rPr>
                <w:sz w:val="24"/>
                <w:szCs w:val="24"/>
                <w:color w:val="auto"/>
              </w:rPr>
            </w:pPr>
          </w:p>
        </w:tc>
        <w:tc>
          <w:tcPr>
            <w:tcW w:w="980" w:type="dxa"/>
            <w:vAlign w:val="bottom"/>
          </w:tcPr>
          <w:p>
            <w:pPr>
              <w:ind w:left="620"/>
              <w:spacing w:after="0"/>
              <w:rPr>
                <w:sz w:val="20"/>
                <w:szCs w:val="20"/>
                <w:color w:val="auto"/>
              </w:rPr>
            </w:pPr>
            <w:r>
              <w:rPr>
                <w:rFonts w:ascii="Arial" w:cs="Arial" w:eastAsia="Arial" w:hAnsi="Arial"/>
                <w:sz w:val="18"/>
                <w:szCs w:val="18"/>
                <w:color w:val="auto"/>
              </w:rPr>
              <w:t>(c)</w:t>
            </w:r>
          </w:p>
        </w:tc>
        <w:tc>
          <w:tcPr>
            <w:tcW w:w="8400" w:type="dxa"/>
            <w:vAlign w:val="bottom"/>
            <w:gridSpan w:val="2"/>
          </w:tcPr>
          <w:p>
            <w:pPr>
              <w:ind w:left="180"/>
              <w:spacing w:after="0"/>
              <w:rPr>
                <w:sz w:val="20"/>
                <w:szCs w:val="20"/>
                <w:color w:val="auto"/>
              </w:rPr>
            </w:pPr>
            <w:r>
              <w:rPr>
                <w:rFonts w:ascii="Arial" w:cs="Arial" w:eastAsia="Arial" w:hAnsi="Arial"/>
                <w:sz w:val="18"/>
                <w:szCs w:val="18"/>
                <w:color w:val="auto"/>
              </w:rPr>
              <w:t>Number of shares as to which the person has:</w:t>
            </w:r>
          </w:p>
        </w:tc>
      </w:tr>
    </w:tbl>
    <w:p>
      <w:pPr>
        <w:spacing w:after="0" w:line="202" w:lineRule="exact"/>
        <w:rPr>
          <w:sz w:val="20"/>
          <w:szCs w:val="20"/>
          <w:color w:val="auto"/>
        </w:rPr>
      </w:pPr>
    </w:p>
    <w:p>
      <w:pPr>
        <w:ind w:left="3300"/>
        <w:spacing w:after="0"/>
        <w:tabs>
          <w:tab w:leader="none" w:pos="37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Sole power to vote or to direct the vote: 1,140,772</w:t>
      </w:r>
    </w:p>
    <w:p>
      <w:pPr>
        <w:spacing w:after="0" w:line="225" w:lineRule="exact"/>
        <w:rPr>
          <w:sz w:val="20"/>
          <w:szCs w:val="20"/>
          <w:color w:val="auto"/>
        </w:rPr>
      </w:pPr>
    </w:p>
    <w:p>
      <w:pPr>
        <w:ind w:left="3280"/>
        <w:spacing w:after="0"/>
        <w:tabs>
          <w:tab w:leader="none" w:pos="37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 0</w:t>
      </w:r>
    </w:p>
    <w:p>
      <w:pPr>
        <w:spacing w:after="0" w:line="225" w:lineRule="exact"/>
        <w:rPr>
          <w:sz w:val="20"/>
          <w:szCs w:val="20"/>
          <w:color w:val="auto"/>
        </w:rPr>
      </w:pPr>
    </w:p>
    <w:p>
      <w:pPr>
        <w:ind w:left="3260"/>
        <w:spacing w:after="0"/>
        <w:tabs>
          <w:tab w:leader="none" w:pos="3760" w:val="left"/>
        </w:tabs>
        <w:rPr>
          <w:sz w:val="20"/>
          <w:szCs w:val="20"/>
          <w:color w:val="auto"/>
        </w:rPr>
      </w:pPr>
      <w:r>
        <w:rPr>
          <w:rFonts w:ascii="Arial" w:cs="Arial" w:eastAsia="Arial" w:hAnsi="Arial"/>
          <w:sz w:val="18"/>
          <w:szCs w:val="18"/>
          <w:color w:val="auto"/>
        </w:rPr>
        <w:t>(iii)</w:t>
        <w:tab/>
        <w:t>Sole power to dispose or to direct the disposition of: 2,461,857</w:t>
      </w:r>
    </w:p>
    <w:p>
      <w:pPr>
        <w:spacing w:after="0" w:line="225" w:lineRule="exact"/>
        <w:rPr>
          <w:sz w:val="20"/>
          <w:szCs w:val="20"/>
          <w:color w:val="auto"/>
        </w:rPr>
      </w:pPr>
    </w:p>
    <w:p>
      <w:pPr>
        <w:jc w:val="center"/>
        <w:ind w:left="2960"/>
        <w:spacing w:after="0"/>
        <w:tabs>
          <w:tab w:leader="none" w:pos="240" w:val="left"/>
        </w:tabs>
        <w:rPr>
          <w:sz w:val="20"/>
          <w:szCs w:val="20"/>
          <w:color w:val="auto"/>
        </w:rPr>
      </w:pPr>
      <w:r>
        <w:rPr>
          <w:rFonts w:ascii="Arial" w:cs="Arial" w:eastAsia="Arial" w:hAnsi="Arial"/>
          <w:sz w:val="18"/>
          <w:szCs w:val="18"/>
          <w:color w:val="auto"/>
        </w:rPr>
        <w:t>(iv)</w:t>
        <w:tab/>
        <w:t>Shared power to dispose or to direct the disposition of: 0</w:t>
      </w:r>
    </w:p>
    <w:p>
      <w:pPr>
        <w:sectPr>
          <w:pgSz w:w="11900" w:h="16838" w:orient="portrait"/>
          <w:cols w:equalWidth="0" w:num="1">
            <w:col w:w="11420"/>
          </w:cols>
          <w:pgMar w:left="240" w:top="687" w:right="239" w:bottom="1440" w:gutter="0" w:footer="0" w:header="0"/>
        </w:sect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more than 5 percent of the class of securities, check the following. o</w:t>
      </w:r>
    </w:p>
    <w:p>
      <w:pPr>
        <w:spacing w:after="0" w:line="200"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 Parent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w:t>
      </w:r>
    </w:p>
    <w:p>
      <w:pPr>
        <w:spacing w:after="0" w:line="32" w:lineRule="exact"/>
        <w:rPr>
          <w:sz w:val="20"/>
          <w:szCs w:val="20"/>
          <w:color w:val="auto"/>
        </w:rPr>
      </w:pPr>
    </w:p>
    <w:p>
      <w:pPr>
        <w:sectPr>
          <w:pgSz w:w="11900" w:h="16838" w:orient="portrait"/>
          <w:cols w:equalWidth="0" w:num="2">
            <w:col w:w="1780" w:space="720"/>
            <w:col w:w="8920"/>
          </w:cols>
          <w:pgMar w:left="240" w:top="687" w:right="239" w:bottom="1440" w:gutter="0" w:footer="0" w:header="0"/>
          <w:type w:val="continuous"/>
        </w:sectPr>
      </w:pPr>
    </w:p>
    <w:p>
      <w:pPr>
        <w:jc w:val="both"/>
        <w:ind w:left="2500" w:right="100"/>
        <w:spacing w:after="0" w:line="255" w:lineRule="auto"/>
        <w:rPr>
          <w:sz w:val="20"/>
          <w:szCs w:val="20"/>
          <w:color w:val="auto"/>
        </w:rPr>
      </w:pPr>
      <w:r>
        <w:rPr>
          <w:rFonts w:ascii="Arial" w:cs="Arial" w:eastAsia="Arial" w:hAnsi="Arial"/>
          <w:sz w:val="18"/>
          <w:szCs w:val="18"/>
          <w:color w:val="auto"/>
        </w:rPr>
        <w:t>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5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M6372Q113</w:t>
            </w:r>
          </w:p>
        </w:tc>
        <w:tc>
          <w:tcPr>
            <w:tcW w:w="5580" w:type="dxa"/>
            <w:vAlign w:val="bottom"/>
            <w:tcBorders>
              <w:top w:val="single" w:sz="8" w:color="auto"/>
              <w:bottom w:val="single" w:sz="8" w:color="auto"/>
              <w:right w:val="single" w:sz="8" w:color="auto"/>
            </w:tcBorders>
          </w:tcPr>
          <w:p>
            <w:pPr>
              <w:ind w:left="4980"/>
              <w:spacing w:after="0"/>
              <w:rPr>
                <w:sz w:val="20"/>
                <w:szCs w:val="20"/>
                <w:color w:val="auto"/>
              </w:rPr>
            </w:pPr>
            <w:r>
              <w:rPr>
                <w:rFonts w:ascii="Arial" w:cs="Arial" w:eastAsia="Arial" w:hAnsi="Arial"/>
                <w:sz w:val="18"/>
                <w:szCs w:val="18"/>
                <w:color w:val="auto"/>
                <w:w w:val="98"/>
              </w:rPr>
              <w:t>Page 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53"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February 12, 2018</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ind w:left="60"/>
              <w:spacing w:after="0"/>
              <w:rPr>
                <w:sz w:val="20"/>
                <w:szCs w:val="20"/>
                <w:color w:val="auto"/>
              </w:rPr>
            </w:pPr>
            <w:r>
              <w:rPr>
                <w:rFonts w:ascii="Arial" w:cs="Arial" w:eastAsia="Arial" w:hAnsi="Arial"/>
                <w:sz w:val="18"/>
                <w:szCs w:val="18"/>
                <w:color w:val="auto"/>
              </w:rPr>
              <w:t>/s/ Ryan DeVore</w:t>
            </w:r>
          </w:p>
        </w:tc>
      </w:tr>
      <w:tr>
        <w:trPr>
          <w:trHeight w:val="41"/>
        </w:trPr>
        <w:tc>
          <w:tcPr>
            <w:tcW w:w="10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ind w:left="60"/>
              <w:spacing w:after="0"/>
              <w:rPr>
                <w:sz w:val="20"/>
                <w:szCs w:val="20"/>
                <w:color w:val="auto"/>
              </w:rPr>
            </w:pPr>
            <w:r>
              <w:rPr>
                <w:rFonts w:ascii="Arial" w:cs="Arial" w:eastAsia="Arial" w:hAnsi="Arial"/>
                <w:sz w:val="18"/>
                <w:szCs w:val="18"/>
                <w:color w:val="auto"/>
              </w:rPr>
              <w:t>Ryan DeVore</w:t>
            </w:r>
          </w:p>
        </w:tc>
      </w:tr>
      <w:tr>
        <w:trPr>
          <w:trHeight w:val="41"/>
        </w:trPr>
        <w:tc>
          <w:tcPr>
            <w:tcW w:w="10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60"/>
              <w:spacing w:after="0"/>
              <w:rPr>
                <w:sz w:val="20"/>
                <w:szCs w:val="20"/>
                <w:color w:val="auto"/>
              </w:rPr>
            </w:pPr>
            <w:r>
              <w:rPr>
                <w:rFonts w:ascii="Arial" w:cs="Arial" w:eastAsia="Arial" w:hAnsi="Arial"/>
                <w:sz w:val="18"/>
                <w:szCs w:val="18"/>
                <w:color w:val="auto"/>
              </w:rPr>
              <w:t>Partner</w:t>
            </w:r>
          </w:p>
        </w:tc>
      </w:tr>
      <w:tr>
        <w:trPr>
          <w:trHeight w:val="41"/>
        </w:trPr>
        <w:tc>
          <w:tcPr>
            <w:tcW w:w="10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lvl w:ilvl="1">
      <w:lvlJc w:val="left"/>
      <w:lvlText w:val="%2."/>
      <w:numFmt w:val="decimal"/>
      <w:start w:val="5"/>
    </w:lvl>
  </w:abstractNum>
  <w:abstractNum w:abstractNumId="3">
    <w:nsid w:val="3D1B58BA"/>
    <w:multiLevelType w:val="hybridMultilevel"/>
    <w:lvl w:ilvl="0">
      <w:lvlJc w:val="left"/>
      <w:lvlText w:val="%1"/>
      <w:numFmt w:val="decimal"/>
      <w:start w:val="1"/>
    </w:lvl>
    <w:lvl w:ilvl="1">
      <w:lvlJc w:val="left"/>
      <w:lvlText w:val="%2."/>
      <w:numFmt w:val="decimal"/>
      <w:start w:val="8"/>
    </w:lvl>
  </w:abstractNum>
  <w:abstractNum w:abstractNumId="4">
    <w:nsid w:val="507ED7AB"/>
    <w:multiLevelType w:val="hybridMultilevel"/>
    <w:lvl w:ilvl="0">
      <w:lvlJc w:val="left"/>
      <w:lvlText w:val="%1."/>
      <w:numFmt w:val="decimal"/>
      <w:start w:val="9"/>
    </w:lvl>
    <w:lvl w:ilvl="1">
      <w:lvlJc w:val="left"/>
      <w:lvlText w:val="%2"/>
      <w:numFmt w:val="decimal"/>
      <w:start w:val="1"/>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2019-12-08T12:22:37Z</dcterms:created>
  <dcterms:modified xsi:type="dcterms:W3CDTF">2019-12-08T12:22:37Z</dcterms:modified>
</cp:coreProperties>
</file>