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November 2021</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7"/>
          <w:szCs w:val="17"/>
          <w:color w:val="auto"/>
        </w:rPr>
        <w:t>This Report of Foreign Private Issuer on Form 6-K (this “</w:t>
      </w:r>
      <w:r>
        <w:rPr>
          <w:rFonts w:ascii="Arial" w:cs="Arial" w:eastAsia="Arial" w:hAnsi="Arial"/>
          <w:sz w:val="17"/>
          <w:szCs w:val="17"/>
          <w:b w:val="1"/>
          <w:bCs w:val="1"/>
          <w:color w:val="auto"/>
        </w:rPr>
        <w:t>Form 6-K</w:t>
      </w:r>
      <w:r>
        <w:rPr>
          <w:rFonts w:ascii="Arial" w:cs="Arial" w:eastAsia="Arial" w:hAnsi="Arial"/>
          <w:sz w:val="17"/>
          <w:szCs w:val="17"/>
          <w:color w:val="auto"/>
        </w:rPr>
        <w:t>”) is being furnished by Kornit Digital Ltd. (“</w:t>
      </w:r>
      <w:r>
        <w:rPr>
          <w:rFonts w:ascii="Arial" w:cs="Arial" w:eastAsia="Arial" w:hAnsi="Arial"/>
          <w:sz w:val="17"/>
          <w:szCs w:val="17"/>
          <w:b w:val="1"/>
          <w:bCs w:val="1"/>
          <w:color w:val="auto"/>
        </w:rPr>
        <w:t>Kornit</w:t>
      </w:r>
      <w:r>
        <w:rPr>
          <w:rFonts w:ascii="Arial" w:cs="Arial" w:eastAsia="Arial" w:hAnsi="Arial"/>
          <w:sz w:val="17"/>
          <w:szCs w:val="17"/>
          <w:color w:val="auto"/>
        </w:rPr>
        <w:t>”) to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for the sole purposes of: (i) furnishing, as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to this Form 6-K, the unaudited interim consolidated financial statements of Kornit as of, and for the nine month period ended, September 30, 2021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xml:space="preserve">”); and (ii) furnishing, as </w:t>
      </w:r>
      <w:r>
        <w:rPr>
          <w:rFonts w:ascii="Arial" w:cs="Arial" w:eastAsia="Arial" w:hAnsi="Arial"/>
          <w:sz w:val="17"/>
          <w:szCs w:val="17"/>
          <w:u w:val="single" w:color="auto"/>
          <w:color w:val="auto"/>
        </w:rPr>
        <w:t>Exhibit 99.2</w:t>
      </w:r>
      <w:r>
        <w:rPr>
          <w:rFonts w:ascii="Arial" w:cs="Arial" w:eastAsia="Arial" w:hAnsi="Arial"/>
          <w:sz w:val="17"/>
          <w:szCs w:val="17"/>
          <w:color w:val="auto"/>
        </w:rPr>
        <w:t xml:space="preserve"> to this Form 6-K, Management’s Discussion and Analysis of Financial Condition and Results of Operations, which discusses and analyzes Kornit’s financial condition and results of operations as of, and for the nine month period ended, September 30, 2021.</w:t>
      </w:r>
    </w:p>
    <w:p>
      <w:pPr>
        <w:spacing w:after="0" w:line="172"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are the Financial Statements, formatted in XBRL (eXtensible Business Reporting Language), consisting of the following sub-exhibits: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tcPr>
          <w:p>
            <w:pPr>
              <w:spacing w:after="0"/>
              <w:rPr>
                <w:sz w:val="20"/>
                <w:szCs w:val="20"/>
                <w:color w:val="auto"/>
              </w:rPr>
            </w:pPr>
            <w:r>
              <w:rPr>
                <w:rFonts w:ascii="Arial" w:cs="Arial" w:eastAsia="Arial" w:hAnsi="Arial"/>
                <w:sz w:val="18"/>
                <w:szCs w:val="18"/>
                <w:b w:val="1"/>
                <w:bCs w:val="1"/>
                <w:color w:val="auto"/>
              </w:rPr>
              <w:t>Document 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EX-101.INS</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Inline XBRL Taxonomy Instance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EX-101.CAL</w:t>
            </w: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EX-101.LAB</w:t>
            </w: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spacing w:after="0" w:line="187"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7"/>
          <w:szCs w:val="17"/>
          <w:color w:val="auto"/>
        </w:rPr>
        <w:t>The XBRL related information in Exhibit 101 to this Form 6-K shall not deemed “filed” for purposes of Section 18 of the Securities Exchange Act of 1934, as amended, or otherwise subject to liability under that section and shall not be incorporated by reference into any filing or other document pursuant to the Securities Act of 1933, as amended, except as shall be expressly set forth by specific reference in such filing or document.</w:t>
      </w:r>
    </w:p>
    <w:p>
      <w:pPr>
        <w:spacing w:after="0" w:line="16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contents of this Report of Foreign Private Issuer on Form 6-K are incorporated by reference in the Company’s registration statements on Form F-3 (SEC File No. 333-248784), filed with the SEC on September 14, 2020, and on Form S-8 (SEC File Nos. 333-237346, 333-230567, 333-223794, 333-217039, 333-214015, 333-203970 and 333-254749), filed with the SEC on March 25, 2021, March 23, 2020, March 28, 2019, March 20, 2018, March 30, 2017, October 6, 2016 and May 7, 2015,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November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40" w:type="dxa"/>
            <w:vAlign w:val="bottom"/>
          </w:tcPr>
          <w:p>
            <w:pPr>
              <w:ind w:left="150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0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16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interim consolidated financial statements of the Company as of, and for, the nine month period ended September 30,</w:t>
              </w:r>
            </w:hyperlink>
          </w:p>
        </w:tc>
      </w:tr>
      <w:tr>
        <w:trPr>
          <w:trHeight w:val="217"/>
        </w:trPr>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2021.</w:t>
              </w:r>
            </w:hyperlink>
          </w:p>
        </w:tc>
        <w:tc>
          <w:tcPr>
            <w:tcW w:w="2100" w:type="dxa"/>
            <w:vAlign w:val="bottom"/>
            <w:tcBorders>
              <w:bottom w:val="single" w:sz="8" w:color="CCEEFF"/>
            </w:tcBorders>
            <w:shd w:val="clear" w:color="auto" w:fill="CCEEFF"/>
          </w:tcPr>
          <w:p>
            <w:pPr>
              <w:spacing w:after="0"/>
              <w:rPr>
                <w:sz w:val="18"/>
                <w:szCs w:val="18"/>
                <w:color w:val="auto"/>
              </w:rPr>
            </w:pPr>
          </w:p>
        </w:tc>
        <w:tc>
          <w:tcPr>
            <w:tcW w:w="7640" w:type="dxa"/>
            <w:vAlign w:val="bottom"/>
            <w:tcBorders>
              <w:bottom w:val="single" w:sz="8" w:color="CCEEFF"/>
            </w:tcBorders>
            <w:shd w:val="clear" w:color="auto" w:fill="CCEEFF"/>
          </w:tcPr>
          <w:p>
            <w:pPr>
              <w:spacing w:after="0"/>
              <w:rPr>
                <w:sz w:val="18"/>
                <w:szCs w:val="18"/>
                <w:color w:val="auto"/>
              </w:rPr>
            </w:pPr>
          </w:p>
        </w:tc>
      </w:tr>
      <w:tr>
        <w:trPr>
          <w:trHeight w:val="175"/>
        </w:trPr>
        <w:tc>
          <w:tcPr>
            <w:tcW w:w="100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80" w:type="dxa"/>
            <w:vAlign w:val="bottom"/>
          </w:tcPr>
          <w:p>
            <w:pPr>
              <w:spacing w:after="0"/>
              <w:rPr>
                <w:sz w:val="15"/>
                <w:szCs w:val="15"/>
                <w:color w:val="auto"/>
              </w:rPr>
            </w:pPr>
          </w:p>
        </w:tc>
        <w:tc>
          <w:tcPr>
            <w:tcW w:w="10160" w:type="dxa"/>
            <w:vAlign w:val="bottom"/>
            <w:tcBorders>
              <w:bottom w:val="single" w:sz="8" w:color="0000EE"/>
            </w:tcBorders>
            <w:gridSpan w:val="3"/>
          </w:tcPr>
          <w:p>
            <w:pPr>
              <w:spacing w:after="0" w:line="17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Management’s Discussion and Analysis of Financial Condition and Results of Operations of the Company as of, and for the nine month</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period ended, September 30, 2021.</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EX-101.INS</w:t>
            </w:r>
          </w:p>
        </w:tc>
        <w:tc>
          <w:tcPr>
            <w:tcW w:w="10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Instance Document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101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EX-101.CAL</w:t>
            </w:r>
          </w:p>
        </w:tc>
        <w:tc>
          <w:tcPr>
            <w:tcW w:w="10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101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EX-101.LAB</w:t>
            </w:r>
          </w:p>
        </w:tc>
        <w:tc>
          <w:tcPr>
            <w:tcW w:w="10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10160" w:type="dxa"/>
            <w:vAlign w:val="bottom"/>
            <w:gridSpan w:val="3"/>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641"/>
        </w:trPr>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gridSpan w:val="3"/>
          </w:tcPr>
          <w:p>
            <w:pPr>
              <w:ind w:left="45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87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12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91"/>
              </w:rPr>
              <w:t>Exhibit 99.1</w:t>
            </w:r>
          </w:p>
        </w:tc>
      </w:tr>
      <w:tr>
        <w:trPr>
          <w:trHeight w:val="432"/>
        </w:trPr>
        <w:tc>
          <w:tcPr>
            <w:tcW w:w="2840" w:type="dxa"/>
            <w:vAlign w:val="bottom"/>
          </w:tcPr>
          <w:p>
            <w:pPr>
              <w:spacing w:after="0"/>
              <w:rPr>
                <w:sz w:val="24"/>
                <w:szCs w:val="24"/>
                <w:color w:val="auto"/>
              </w:rPr>
            </w:pPr>
          </w:p>
        </w:tc>
        <w:tc>
          <w:tcPr>
            <w:tcW w:w="6280" w:type="dxa"/>
            <w:vAlign w:val="bottom"/>
            <w:gridSpan w:val="6"/>
          </w:tcPr>
          <w:p>
            <w:pPr>
              <w:jc w:val="center"/>
              <w:ind w:right="630"/>
              <w:spacing w:after="0"/>
              <w:rPr>
                <w:sz w:val="20"/>
                <w:szCs w:val="20"/>
                <w:color w:val="auto"/>
              </w:rPr>
            </w:pPr>
            <w:r>
              <w:rPr>
                <w:rFonts w:ascii="Arial" w:cs="Arial" w:eastAsia="Arial" w:hAnsi="Arial"/>
                <w:sz w:val="18"/>
                <w:szCs w:val="18"/>
                <w:b w:val="1"/>
                <w:bCs w:val="1"/>
                <w:color w:val="auto"/>
              </w:rPr>
              <w:t>KORNIT DIGITAL LTD. AND ITS SUBSIDIARIES</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6280" w:type="dxa"/>
            <w:vAlign w:val="bottom"/>
            <w:gridSpan w:val="6"/>
          </w:tcPr>
          <w:p>
            <w:pPr>
              <w:jc w:val="center"/>
              <w:ind w:right="610"/>
              <w:spacing w:after="0"/>
              <w:rPr>
                <w:sz w:val="20"/>
                <w:szCs w:val="20"/>
                <w:color w:val="auto"/>
              </w:rPr>
            </w:pPr>
            <w:r>
              <w:rPr>
                <w:rFonts w:ascii="Arial" w:cs="Arial" w:eastAsia="Arial" w:hAnsi="Arial"/>
                <w:sz w:val="18"/>
                <w:szCs w:val="18"/>
                <w:b w:val="1"/>
                <w:bCs w:val="1"/>
                <w:color w:val="auto"/>
              </w:rPr>
              <w:t>INTERIM CONSOLIDATED FINANCIAL STATEMENTS</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2"/>
          </w:tcPr>
          <w:p>
            <w:pPr>
              <w:jc w:val="center"/>
              <w:ind w:right="2050"/>
              <w:spacing w:after="0"/>
              <w:rPr>
                <w:sz w:val="20"/>
                <w:szCs w:val="20"/>
                <w:color w:val="auto"/>
              </w:rPr>
            </w:pPr>
            <w:r>
              <w:rPr>
                <w:rFonts w:ascii="Arial" w:cs="Arial" w:eastAsia="Arial" w:hAnsi="Arial"/>
                <w:sz w:val="18"/>
                <w:szCs w:val="18"/>
                <w:b w:val="1"/>
                <w:bCs w:val="1"/>
                <w:color w:val="auto"/>
                <w:w w:val="95"/>
              </w:rPr>
              <w:t>AS OF SEPTEMBER 30, 2021</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2"/>
          </w:tcPr>
          <w:p>
            <w:pPr>
              <w:jc w:val="center"/>
              <w:ind w:right="2050"/>
              <w:spacing w:after="0"/>
              <w:rPr>
                <w:sz w:val="20"/>
                <w:szCs w:val="20"/>
                <w:color w:val="auto"/>
              </w:rPr>
            </w:pPr>
            <w:r>
              <w:rPr>
                <w:rFonts w:ascii="Arial" w:cs="Arial" w:eastAsia="Arial" w:hAnsi="Arial"/>
                <w:sz w:val="18"/>
                <w:szCs w:val="18"/>
                <w:b w:val="1"/>
                <w:bCs w:val="1"/>
                <w:color w:val="auto"/>
              </w:rPr>
              <w:t>UNAUDITED</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2"/>
          </w:tcPr>
          <w:p>
            <w:pPr>
              <w:jc w:val="center"/>
              <w:ind w:right="2050"/>
              <w:spacing w:after="0"/>
              <w:rPr>
                <w:sz w:val="20"/>
                <w:szCs w:val="20"/>
                <w:color w:val="auto"/>
              </w:rPr>
            </w:pPr>
            <w:r>
              <w:rPr>
                <w:rFonts w:ascii="Arial" w:cs="Arial" w:eastAsia="Arial" w:hAnsi="Arial"/>
                <w:sz w:val="18"/>
                <w:szCs w:val="18"/>
                <w:b w:val="1"/>
                <w:bCs w:val="1"/>
                <w:color w:val="auto"/>
                <w:w w:val="98"/>
              </w:rPr>
              <w:t>U.S. DOLLARS IN THOUSANDS</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jc w:val="center"/>
              <w:ind w:right="2890"/>
              <w:spacing w:after="0"/>
              <w:rPr>
                <w:sz w:val="20"/>
                <w:szCs w:val="20"/>
                <w:color w:val="auto"/>
              </w:rPr>
            </w:pPr>
            <w:r>
              <w:rPr>
                <w:rFonts w:ascii="Arial" w:cs="Arial" w:eastAsia="Arial" w:hAnsi="Arial"/>
                <w:sz w:val="18"/>
                <w:szCs w:val="18"/>
                <w:b w:val="1"/>
                <w:bCs w:val="1"/>
                <w:color w:val="auto"/>
              </w:rPr>
              <w:t>INDEX</w:t>
            </w: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2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2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912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Interim Consolidated Balance Sheets</w:t>
              </w:r>
            </w:hyperlink>
          </w:p>
        </w:tc>
        <w:tc>
          <w:tcPr>
            <w:tcW w:w="2120" w:type="dxa"/>
            <w:vAlign w:val="bottom"/>
            <w:gridSpan w:val="2"/>
            <w:shd w:val="clear" w:color="auto" w:fill="CCEEFF"/>
          </w:tcPr>
          <w:p>
            <w:pPr>
              <w:jc w:val="center"/>
              <w:ind w:left="1150"/>
              <w:spacing w:after="0" w:line="176" w:lineRule="exact"/>
              <w:rPr>
                <w:sz w:val="20"/>
                <w:szCs w:val="20"/>
                <w:color w:val="auto"/>
              </w:rPr>
            </w:pPr>
            <w:r>
              <w:rPr>
                <w:rFonts w:ascii="Arial" w:cs="Arial" w:eastAsia="Arial" w:hAnsi="Arial"/>
                <w:sz w:val="18"/>
                <w:szCs w:val="18"/>
                <w:b w:val="1"/>
                <w:bCs w:val="1"/>
                <w:color w:val="auto"/>
                <w:w w:val="92"/>
              </w:rPr>
              <w:t>2-3</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12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Interim Consolidated Statements of Operations</w:t>
              </w:r>
            </w:hyperlink>
          </w:p>
        </w:tc>
        <w:tc>
          <w:tcPr>
            <w:tcW w:w="2120" w:type="dxa"/>
            <w:vAlign w:val="bottom"/>
            <w:gridSpan w:val="2"/>
            <w:shd w:val="clear" w:color="auto" w:fill="CCEEFF"/>
          </w:tcPr>
          <w:p>
            <w:pPr>
              <w:jc w:val="center"/>
              <w:ind w:left="1130"/>
              <w:spacing w:after="0" w:line="176" w:lineRule="exact"/>
              <w:rPr>
                <w:sz w:val="20"/>
                <w:szCs w:val="20"/>
                <w:color w:val="auto"/>
              </w:rPr>
            </w:pPr>
            <w:r>
              <w:rPr>
                <w:rFonts w:ascii="Arial" w:cs="Arial" w:eastAsia="Arial" w:hAnsi="Arial"/>
                <w:sz w:val="18"/>
                <w:szCs w:val="18"/>
                <w:b w:val="1"/>
                <w:bCs w:val="1"/>
                <w:color w:val="auto"/>
                <w:w w:val="99"/>
              </w:rPr>
              <w:t>4</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12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Interim Consolidated Statements of Comprehensive Income (Loss)</w:t>
              </w:r>
            </w:hyperlink>
          </w:p>
        </w:tc>
        <w:tc>
          <w:tcPr>
            <w:tcW w:w="2120" w:type="dxa"/>
            <w:vAlign w:val="bottom"/>
            <w:gridSpan w:val="2"/>
            <w:shd w:val="clear" w:color="auto" w:fill="CCEEFF"/>
          </w:tcPr>
          <w:p>
            <w:pPr>
              <w:jc w:val="center"/>
              <w:ind w:left="1130"/>
              <w:spacing w:after="0" w:line="176" w:lineRule="exact"/>
              <w:rPr>
                <w:sz w:val="20"/>
                <w:szCs w:val="20"/>
                <w:color w:val="auto"/>
              </w:rPr>
            </w:pPr>
            <w:r>
              <w:rPr>
                <w:rFonts w:ascii="Arial" w:cs="Arial" w:eastAsia="Arial" w:hAnsi="Arial"/>
                <w:sz w:val="18"/>
                <w:szCs w:val="18"/>
                <w:b w:val="1"/>
                <w:bCs w:val="1"/>
                <w:color w:val="auto"/>
                <w:w w:val="99"/>
              </w:rPr>
              <w:t>5</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12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Interim Statements of Changes in Shareholders' Equity</w:t>
              </w:r>
            </w:hyperlink>
          </w:p>
        </w:tc>
        <w:tc>
          <w:tcPr>
            <w:tcW w:w="2120" w:type="dxa"/>
            <w:vAlign w:val="bottom"/>
            <w:gridSpan w:val="2"/>
            <w:shd w:val="clear" w:color="auto" w:fill="CCEEFF"/>
          </w:tcPr>
          <w:p>
            <w:pPr>
              <w:jc w:val="center"/>
              <w:ind w:left="1130"/>
              <w:spacing w:after="0" w:line="176" w:lineRule="exact"/>
              <w:rPr>
                <w:sz w:val="20"/>
                <w:szCs w:val="20"/>
                <w:color w:val="auto"/>
              </w:rPr>
            </w:pPr>
            <w:r>
              <w:rPr>
                <w:rFonts w:ascii="Arial" w:cs="Arial" w:eastAsia="Arial" w:hAnsi="Arial"/>
                <w:sz w:val="18"/>
                <w:szCs w:val="18"/>
                <w:b w:val="1"/>
                <w:bCs w:val="1"/>
                <w:color w:val="auto"/>
                <w:w w:val="99"/>
              </w:rPr>
              <w:t>6</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12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Interim Consolidated Statements of Cash Flows</w:t>
              </w:r>
            </w:hyperlink>
          </w:p>
        </w:tc>
        <w:tc>
          <w:tcPr>
            <w:tcW w:w="2120" w:type="dxa"/>
            <w:vAlign w:val="bottom"/>
            <w:gridSpan w:val="2"/>
            <w:shd w:val="clear" w:color="auto" w:fill="CCEEFF"/>
          </w:tcPr>
          <w:p>
            <w:pPr>
              <w:jc w:val="center"/>
              <w:ind w:left="1150"/>
              <w:spacing w:after="0" w:line="176" w:lineRule="exact"/>
              <w:rPr>
                <w:sz w:val="20"/>
                <w:szCs w:val="20"/>
                <w:color w:val="auto"/>
              </w:rPr>
            </w:pPr>
            <w:r>
              <w:rPr>
                <w:rFonts w:ascii="Arial" w:cs="Arial" w:eastAsia="Arial" w:hAnsi="Arial"/>
                <w:sz w:val="18"/>
                <w:szCs w:val="18"/>
                <w:b w:val="1"/>
                <w:bCs w:val="1"/>
                <w:color w:val="auto"/>
                <w:w w:val="92"/>
              </w:rPr>
              <w:t>7-8</w:t>
            </w:r>
          </w:p>
        </w:tc>
      </w:tr>
      <w:tr>
        <w:trPr>
          <w:trHeight w:val="216"/>
        </w:trPr>
        <w:tc>
          <w:tcPr>
            <w:tcW w:w="28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912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Notes to Interim Consolidated Financial Statements</w:t>
              </w:r>
            </w:hyperlink>
          </w:p>
        </w:tc>
        <w:tc>
          <w:tcPr>
            <w:tcW w:w="2120" w:type="dxa"/>
            <w:vAlign w:val="bottom"/>
            <w:gridSpan w:val="2"/>
            <w:shd w:val="clear" w:color="auto" w:fill="CCEEFF"/>
          </w:tcPr>
          <w:p>
            <w:pPr>
              <w:jc w:val="center"/>
              <w:ind w:left="1130"/>
              <w:spacing w:after="0" w:line="176" w:lineRule="exact"/>
              <w:rPr>
                <w:sz w:val="20"/>
                <w:szCs w:val="20"/>
                <w:color w:val="auto"/>
              </w:rPr>
            </w:pPr>
            <w:r>
              <w:rPr>
                <w:rFonts w:ascii="Arial" w:cs="Arial" w:eastAsia="Arial" w:hAnsi="Arial"/>
                <w:sz w:val="18"/>
                <w:szCs w:val="18"/>
                <w:b w:val="1"/>
                <w:bCs w:val="1"/>
                <w:color w:val="auto"/>
                <w:w w:val="94"/>
              </w:rPr>
              <w:t>9-22</w:t>
            </w:r>
          </w:p>
        </w:tc>
      </w:tr>
      <w:tr>
        <w:trPr>
          <w:trHeight w:val="21"/>
        </w:trPr>
        <w:tc>
          <w:tcPr>
            <w:tcW w:w="28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125,777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Short-term bank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241,103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224,804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49,866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52,487</w:t>
            </w: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accounts receivable and prepaid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11,148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480,049</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477,530</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71,636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Deposits and 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Severance pay fund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21,053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16,466</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198,132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151,459</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678,181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628,989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tcPr>
          <w:p>
            <w:pPr>
              <w:ind w:left="558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15,022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revenues and advances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91,164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89,627</w:t>
            </w:r>
          </w:p>
        </w:tc>
        <w:tc>
          <w:tcPr>
            <w:tcW w:w="0" w:type="dxa"/>
            <w:vAlign w:val="bottom"/>
          </w:tcPr>
          <w:p>
            <w:pPr>
              <w:spacing w:after="0"/>
              <w:rPr>
                <w:sz w:val="1"/>
                <w:szCs w:val="1"/>
                <w:color w:val="auto"/>
              </w:rPr>
            </w:pPr>
          </w:p>
        </w:tc>
      </w:tr>
      <w:tr>
        <w:trPr>
          <w:trHeight w:val="216"/>
        </w:trPr>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Accrued severance pay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18,688</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4"/>
          </w:tcPr>
          <w:p>
            <w:pPr>
              <w:spacing w:after="0" w:line="156" w:lineRule="exact"/>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21,882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41"/>
        </w:trPr>
        <w:tc>
          <w:tcPr>
            <w:tcW w:w="160" w:type="dxa"/>
            <w:vAlign w:val="bottom"/>
            <w:tcBorders>
              <w:top w:val="single" w:sz="8" w:color="auto"/>
              <w:bottom w:val="single" w:sz="8" w:color="CCEEFF"/>
            </w:tcBorders>
          </w:tcPr>
          <w:p>
            <w:pPr>
              <w:spacing w:after="0"/>
              <w:rPr>
                <w:sz w:val="3"/>
                <w:szCs w:val="3"/>
                <w:color w:val="auto"/>
              </w:rPr>
            </w:pPr>
          </w:p>
        </w:tc>
        <w:tc>
          <w:tcPr>
            <w:tcW w:w="220" w:type="dxa"/>
            <w:vAlign w:val="bottom"/>
            <w:tcBorders>
              <w:top w:val="single" w:sz="8" w:color="auto"/>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Ordinary shares of NIS 0.01 par value – Authorized: 200,000,000 shares at September 30, 2021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0"/>
              </w:rPr>
              <w:t>2020, respectively; Issued and Outstanding: 46,477,324 shares and 45,988,613 shares at September 30, 2021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520,884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488,208</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42,528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27,955</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520" w:type="dxa"/>
            <w:vAlign w:val="bottom"/>
            <w:gridSpan w:val="3"/>
          </w:tcPr>
          <w:p>
            <w:pPr>
              <w:ind w:left="20"/>
              <w:spacing w:after="0" w:line="156" w:lineRule="exact"/>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565,135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519,017</w:t>
            </w:r>
          </w:p>
        </w:tc>
        <w:tc>
          <w:tcPr>
            <w:tcW w:w="0" w:type="dxa"/>
            <w:vAlign w:val="bottom"/>
          </w:tcPr>
          <w:p>
            <w:pPr>
              <w:spacing w:after="0"/>
              <w:rPr>
                <w:sz w:val="1"/>
                <w:szCs w:val="1"/>
                <w:color w:val="auto"/>
              </w:rPr>
            </w:pPr>
          </w:p>
        </w:tc>
      </w:tr>
      <w:tr>
        <w:trPr>
          <w:trHeight w:val="41"/>
        </w:trPr>
        <w:tc>
          <w:tcPr>
            <w:tcW w:w="16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CCEEFF"/>
            </w:tcBorders>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8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678,181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628,989</w:t>
            </w:r>
          </w:p>
        </w:tc>
        <w:tc>
          <w:tcPr>
            <w:tcW w:w="0" w:type="dxa"/>
            <w:vAlign w:val="bottom"/>
          </w:tcPr>
          <w:p>
            <w:pPr>
              <w:spacing w:after="0"/>
              <w:rPr>
                <w:sz w:val="1"/>
                <w:szCs w:val="1"/>
                <w:color w:val="auto"/>
              </w:rPr>
            </w:pPr>
          </w:p>
        </w:tc>
      </w:tr>
      <w:tr>
        <w:trPr>
          <w:trHeight w:val="20"/>
        </w:trPr>
        <w:tc>
          <w:tcPr>
            <w:tcW w:w="8680" w:type="dxa"/>
            <w:vAlign w:val="bottom"/>
            <w:gridSpan w:val="4"/>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4"/>
          </w:tcPr>
          <w:p>
            <w:pPr>
              <w:ind w:left="558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25"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103,536</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27,776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98,457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50,117</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124,934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70,183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109,524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50,857</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25,375</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24,972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18,957</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96,424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66,545</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(15,688)</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 on income (tax benefit)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Taxes on income (tax benefit)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(10,684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gridSpan w:val="2"/>
          </w:tcPr>
          <w:p>
            <w:pPr>
              <w:spacing w:after="0"/>
              <w:rPr>
                <w:sz w:val="20"/>
                <w:szCs w:val="20"/>
                <w:color w:val="auto"/>
              </w:rPr>
            </w:pPr>
            <w:r>
              <w:rPr>
                <w:rFonts w:ascii="Arial" w:cs="Arial" w:eastAsia="Arial" w:hAnsi="Arial"/>
                <w:sz w:val="18"/>
                <w:szCs w:val="18"/>
                <w:color w:val="auto"/>
              </w:rPr>
              <w:t>Basic net earnings (losses)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(0.26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Arial" w:cs="Arial" w:eastAsia="Arial" w:hAnsi="Arial"/>
                <w:sz w:val="18"/>
                <w:szCs w:val="18"/>
                <w:color w:val="auto"/>
              </w:rPr>
              <w:t>Diluted net earnings (losses)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(0.26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tcPr>
          <w:p>
            <w:pPr>
              <w:ind w:left="558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STATEMENTS OF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marketable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Unrealized gains (losses) arising during the period, net of tax on income (tax benefit) of $(94) and $154,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reclassified into net income (loss)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on cash flow hedges: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Unrealized gains (losses) arising during the period, net of tax on income (tax benefit) of $(2) and $11, respectively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(gains) reclassified into net income (loss)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(9,078</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STATEMENTS OF CHANGES IN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240" w:type="dxa"/>
            <w:vAlign w:val="bottom"/>
            <w:gridSpan w:val="6"/>
          </w:tcPr>
          <w:p>
            <w:pPr>
              <w:ind w:left="38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2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 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comprehensive</w:t>
            </w: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Shareholders'</w:t>
            </w:r>
          </w:p>
        </w:tc>
      </w:tr>
      <w:tr>
        <w:trPr>
          <w:trHeight w:val="241"/>
        </w:trPr>
        <w:tc>
          <w:tcPr>
            <w:tcW w:w="428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income (loss)</w:t>
            </w:r>
          </w:p>
        </w:tc>
        <w:tc>
          <w:tcPr>
            <w:tcW w:w="1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earnings</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4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45,988,613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488,208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519,017</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Exercise of options and vesting of restricted stock units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10,969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10,969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Warrants to customers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r>
      <w:tr>
        <w:trPr>
          <w:trHeight w:val="23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14,573</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14,573</w:t>
            </w:r>
          </w:p>
        </w:tc>
      </w:tr>
      <w:tr>
        <w:trPr>
          <w:trHeight w:val="216"/>
        </w:trPr>
        <w:tc>
          <w:tcPr>
            <w:tcW w:w="42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46,477,324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42,528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565,135</w:t>
            </w:r>
          </w:p>
        </w:tc>
        <w:tc>
          <w:tcPr>
            <w:tcW w:w="100" w:type="dxa"/>
            <w:vAlign w:val="bottom"/>
            <w:shd w:val="clear" w:color="auto" w:fill="CCEEFF"/>
          </w:tcPr>
          <w:p>
            <w:pPr>
              <w:spacing w:after="0"/>
              <w:rPr>
                <w:sz w:val="19"/>
                <w:szCs w:val="19"/>
                <w:color w:val="auto"/>
              </w:rPr>
            </w:pPr>
          </w:p>
        </w:tc>
      </w:tr>
      <w:tr>
        <w:trPr>
          <w:trHeight w:val="27"/>
        </w:trPr>
        <w:tc>
          <w:tcPr>
            <w:tcW w:w="4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14"/>
        </w:trPr>
        <w:tc>
          <w:tcPr>
            <w:tcW w:w="4280" w:type="dxa"/>
            <w:vAlign w:val="bottom"/>
          </w:tcPr>
          <w:p>
            <w:pPr>
              <w:spacing w:after="0"/>
              <w:rPr>
                <w:sz w:val="24"/>
                <w:szCs w:val="24"/>
                <w:color w:val="auto"/>
              </w:rPr>
            </w:pPr>
          </w:p>
        </w:tc>
        <w:tc>
          <w:tcPr>
            <w:tcW w:w="2240" w:type="dxa"/>
            <w:vAlign w:val="bottom"/>
            <w:gridSpan w:val="6"/>
          </w:tcPr>
          <w:p>
            <w:pPr>
              <w:ind w:left="38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2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paid 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comprehensive</w:t>
            </w: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Shareholders'</w:t>
            </w:r>
          </w:p>
        </w:tc>
      </w:tr>
      <w:tr>
        <w:trPr>
          <w:trHeight w:val="241"/>
        </w:trPr>
        <w:tc>
          <w:tcPr>
            <w:tcW w:w="428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income (loss)</w:t>
            </w:r>
          </w:p>
        </w:tc>
        <w:tc>
          <w:tcPr>
            <w:tcW w:w="1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earnings</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4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40,684,340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338,303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ordinary shares in a public offering, net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 in an amount of $739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4,689,941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162,531</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162,545</w:t>
            </w:r>
          </w:p>
        </w:tc>
        <w:tc>
          <w:tcPr>
            <w:tcW w:w="100" w:type="dxa"/>
            <w:vAlign w:val="bottom"/>
            <w:shd w:val="clear" w:color="auto" w:fill="CCEEFF"/>
          </w:tcPr>
          <w:p>
            <w:pPr>
              <w:spacing w:after="0"/>
              <w:rPr>
                <w:sz w:val="20"/>
                <w:szCs w:val="20"/>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7"/>
              </w:rPr>
              <w:t>Exercise of options and vesting of restricted stock units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257,235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4,941</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Warrants to customers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3,564</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(10,684)</w:t>
            </w: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(10,684)</w:t>
            </w:r>
          </w:p>
        </w:tc>
      </w:tr>
      <w:tr>
        <w:trPr>
          <w:trHeight w:val="216"/>
        </w:trPr>
        <w:tc>
          <w:tcPr>
            <w:tcW w:w="4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45,631,516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482,963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22,054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507,586</w:t>
            </w:r>
          </w:p>
        </w:tc>
        <w:tc>
          <w:tcPr>
            <w:tcW w:w="100" w:type="dxa"/>
            <w:vAlign w:val="bottom"/>
          </w:tcPr>
          <w:p>
            <w:pPr>
              <w:spacing w:after="0"/>
              <w:rPr>
                <w:sz w:val="19"/>
                <w:szCs w:val="19"/>
                <w:color w:val="auto"/>
              </w:rPr>
            </w:pPr>
          </w:p>
        </w:tc>
      </w:tr>
      <w:tr>
        <w:trPr>
          <w:trHeight w:val="27"/>
        </w:trPr>
        <w:tc>
          <w:tcPr>
            <w:tcW w:w="4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U.S. dollars in thousands</w:t>
            </w:r>
          </w:p>
        </w:tc>
        <w:tc>
          <w:tcPr>
            <w:tcW w:w="24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868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26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Fair value of warrants deducted from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17,568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Realized gain on sale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Other accounts receivables and prepaid expenses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(9,529)</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Operating lease right-of-use assets and liabilities,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Deposits and long-term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Employees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revenues and advances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and disposal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Arial" w:cs="Arial" w:eastAsia="Arial" w:hAnsi="Arial"/>
                <w:sz w:val="18"/>
                <w:szCs w:val="18"/>
                <w:color w:val="auto"/>
              </w:rPr>
              <w:t>Foreign currency translation loss on intercompany balances with foreign subsidiaries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43,130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Capitalization of software development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(15,059)</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Investment in (proceeds from) bank deposits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43,192</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58,532</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20,006</w:t>
            </w:r>
          </w:p>
        </w:tc>
        <w:tc>
          <w:tcPr>
            <w:tcW w:w="0" w:type="dxa"/>
            <w:vAlign w:val="bottom"/>
          </w:tcPr>
          <w:p>
            <w:pPr>
              <w:spacing w:after="0"/>
              <w:rPr>
                <w:sz w:val="1"/>
                <w:szCs w:val="1"/>
                <w:color w:val="auto"/>
              </w:rPr>
            </w:pPr>
          </w:p>
        </w:tc>
      </w:tr>
      <w:tr>
        <w:trPr>
          <w:trHeight w:val="237"/>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(44,310)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(74,718)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77,254</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Payments related to shares withheld for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public offering, net of issuance costs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162,720</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167,580</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242,937</w:t>
            </w: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125,777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40,743</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96,668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283,680</w:t>
            </w: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3"/>
          </w:tcPr>
          <w:p>
            <w:pPr>
              <w:ind w:left="558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987"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86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40" w:type="dxa"/>
            <w:vAlign w:val="bottom"/>
            <w:tcBorders>
              <w:top w:val="single" w:sz="8" w:color="auto"/>
            </w:tcBorders>
          </w:tcPr>
          <w:p>
            <w:pPr>
              <w:spacing w:after="0"/>
              <w:rPr>
                <w:sz w:val="22"/>
                <w:szCs w:val="22"/>
                <w:color w:val="auto"/>
              </w:rPr>
            </w:pPr>
          </w:p>
        </w:tc>
        <w:tc>
          <w:tcPr>
            <w:tcW w:w="3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acquired in credit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gridSpan w:val="2"/>
          </w:tcPr>
          <w:p>
            <w:pPr>
              <w:spacing w:after="0"/>
              <w:rPr>
                <w:sz w:val="20"/>
                <w:szCs w:val="20"/>
                <w:color w:val="auto"/>
              </w:rPr>
            </w:pPr>
            <w:r>
              <w:rPr>
                <w:rFonts w:ascii="Arial" w:cs="Arial" w:eastAsia="Arial" w:hAnsi="Arial"/>
                <w:sz w:val="18"/>
                <w:szCs w:val="18"/>
                <w:color w:val="auto"/>
              </w:rPr>
              <w:t>Issuance expenses on credit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tcPr>
          <w:p>
            <w:pPr>
              <w:ind w:left="558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2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left="1540" w:hanging="506"/>
        <w:spacing w:after="0" w:line="259" w:lineRule="auto"/>
        <w:tabs>
          <w:tab w:leader="none" w:pos="1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86"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Company established wholly owned subsidiaries in Israel, the United States, Germany, Hong Kong, Japan and the United Kingdom. The Company's subsidiaries are engaged primarily in services, sales, and marketing, except for the Israeli subsidiary which is engaged primarily in research and development and manufacturing.</w:t>
      </w:r>
    </w:p>
    <w:p>
      <w:pPr>
        <w:spacing w:after="0" w:line="183" w:lineRule="exact"/>
        <w:rPr>
          <w:rFonts w:ascii="Arial" w:cs="Arial" w:eastAsia="Arial" w:hAnsi="Arial"/>
          <w:sz w:val="18"/>
          <w:szCs w:val="18"/>
          <w:color w:val="auto"/>
        </w:rPr>
      </w:pPr>
    </w:p>
    <w:p>
      <w:pPr>
        <w:jc w:val="both"/>
        <w:ind w:left="1520" w:hanging="500"/>
        <w:spacing w:after="0" w:line="279" w:lineRule="auto"/>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520" w:hanging="500"/>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interim consolidated financial statements:</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accompanying unaudited interim consolidated financial statements have been prepared in accordance with U.S. generally accepted accounting principles ("U.S. GAAP") for interim financial information. In the opinion of management, the unaudited interim consolidated financial statements include all adjustments of a normal recurring nature necessary for a fair presentation of the Company's consolidated financial statements.</w:t>
      </w:r>
    </w:p>
    <w:p>
      <w:pPr>
        <w:spacing w:after="0" w:line="186" w:lineRule="exact"/>
        <w:rPr>
          <w:rFonts w:ascii="Arial" w:cs="Arial" w:eastAsia="Arial" w:hAnsi="Arial"/>
          <w:sz w:val="18"/>
          <w:szCs w:val="18"/>
          <w:color w:val="auto"/>
        </w:rPr>
      </w:pPr>
    </w:p>
    <w:p>
      <w:pPr>
        <w:ind w:left="1540"/>
        <w:spacing w:after="0" w:line="308" w:lineRule="auto"/>
        <w:rPr>
          <w:rFonts w:ascii="Arial" w:cs="Arial" w:eastAsia="Arial" w:hAnsi="Arial"/>
          <w:sz w:val="18"/>
          <w:szCs w:val="18"/>
          <w:color w:val="auto"/>
        </w:rPr>
      </w:pPr>
      <w:r>
        <w:rPr>
          <w:rFonts w:ascii="Arial" w:cs="Arial" w:eastAsia="Arial" w:hAnsi="Arial"/>
          <w:sz w:val="17"/>
          <w:szCs w:val="17"/>
          <w:color w:val="auto"/>
        </w:rPr>
        <w:t>The balance sheet at December 31, 2020 has been derived from the audited consolidated financial statements of the Company at that date but does not include all information and footnotes required by U.S. GAAP for complete financial statements.</w:t>
      </w:r>
    </w:p>
    <w:p>
      <w:pPr>
        <w:spacing w:after="0" w:line="146" w:lineRule="exact"/>
        <w:rPr>
          <w:rFonts w:ascii="Arial" w:cs="Arial" w:eastAsia="Arial" w:hAnsi="Arial"/>
          <w:sz w:val="18"/>
          <w:szCs w:val="18"/>
          <w:color w:val="auto"/>
        </w:rPr>
      </w:pPr>
    </w:p>
    <w:p>
      <w:pPr>
        <w:jc w:val="both"/>
        <w:ind w:left="1540"/>
        <w:spacing w:after="0" w:line="275" w:lineRule="auto"/>
        <w:rPr>
          <w:rFonts w:ascii="Arial" w:cs="Arial" w:eastAsia="Arial" w:hAnsi="Arial"/>
          <w:sz w:val="18"/>
          <w:szCs w:val="18"/>
          <w:color w:val="auto"/>
        </w:rPr>
      </w:pPr>
      <w:r>
        <w:rPr>
          <w:rFonts w:ascii="Arial" w:cs="Arial" w:eastAsia="Arial" w:hAnsi="Arial"/>
          <w:sz w:val="17"/>
          <w:szCs w:val="17"/>
          <w:color w:val="auto"/>
        </w:rPr>
        <w:t>The accompanying unaudited interim consolidated financial statements should be read in conjunction with the audited consolidated financial statements and accompanying notes for the year ended December 31, 2020, included in the Company’s Annual Report on Form 20-F filed with the U.S. Securities and Exchange Commission ("SEC") on March 25, 2021. The significant accounting policies applied in the Company’s audited 2020 consolidated financial statements and notes thereto included in the Annual Report are applied consistently in these unaudited interim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2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500"/>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540"/>
        <w:spacing w:after="0" w:line="296" w:lineRule="auto"/>
        <w:rPr>
          <w:rFonts w:ascii="Arial" w:cs="Arial" w:eastAsia="Arial" w:hAnsi="Arial"/>
          <w:sz w:val="18"/>
          <w:szCs w:val="18"/>
          <w:color w:val="auto"/>
        </w:rPr>
      </w:pPr>
      <w:r>
        <w:rPr>
          <w:rFonts w:ascii="Arial" w:cs="Arial" w:eastAsia="Arial" w:hAnsi="Arial"/>
          <w:sz w:val="16"/>
          <w:szCs w:val="16"/>
          <w:color w:val="auto"/>
        </w:rPr>
        <w:t>The preparation of the unaudited interim consolidated financial statements in conformity with U.S. GAAP requires management to make estimates, judgments and assumptions that affect the reported amounts of assets and liabilities and the disclosure of contingent assets and liabilities at the date of the interim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61" w:lineRule="exact"/>
        <w:rPr>
          <w:rFonts w:ascii="Arial" w:cs="Arial" w:eastAsia="Arial" w:hAnsi="Arial"/>
          <w:sz w:val="18"/>
          <w:szCs w:val="18"/>
          <w:color w:val="auto"/>
        </w:rPr>
      </w:pPr>
    </w:p>
    <w:p>
      <w:pPr>
        <w:jc w:val="both"/>
        <w:ind w:left="1540"/>
        <w:spacing w:after="0" w:line="301" w:lineRule="auto"/>
        <w:rPr>
          <w:rFonts w:ascii="Arial" w:cs="Arial" w:eastAsia="Arial" w:hAnsi="Arial"/>
          <w:sz w:val="18"/>
          <w:szCs w:val="18"/>
          <w:color w:val="auto"/>
        </w:rPr>
      </w:pPr>
      <w:r>
        <w:rPr>
          <w:rFonts w:ascii="Arial" w:cs="Arial" w:eastAsia="Arial" w:hAnsi="Arial"/>
          <w:sz w:val="16"/>
          <w:szCs w:val="16"/>
          <w:color w:val="auto"/>
        </w:rPr>
        <w:t>On an ongoing basis, the Company's management evaluates estimates, including those related to intangible assets and goodwill, tax assets and liabilities, fair values of stock-based awards, inventory write-offs, warranty provision, allowance for credit losses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157"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color w:val="auto"/>
        </w:rPr>
        <w:t>The duration, scope and effects of the ongoing COVID-19 pandemic, government and other third-party responses to it, and the related macroeconomic effects, including to the Company’s business and the business of the Company’s suppliers and customers are uncertain, rapidly changing and difficult to predict. As a result, the Company’s accounting estimates and assumptions may change over time in response to this evolving situation. Such changes could result in future impairments of intangibles, long-lived assets, inventories, incremental credit losses on receivables and marketable securities, or an increase in the Company’s insurance liabilities as of the time of a relevant measurement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COMBINATIONS</w:t>
      </w:r>
    </w:p>
    <w:p>
      <w:pPr>
        <w:spacing w:after="0" w:line="229" w:lineRule="exact"/>
        <w:rPr>
          <w:sz w:val="20"/>
          <w:szCs w:val="20"/>
          <w:color w:val="auto"/>
        </w:rPr>
      </w:pPr>
    </w:p>
    <w:p>
      <w:pPr>
        <w:jc w:val="both"/>
        <w:ind w:left="1520" w:hanging="500"/>
        <w:spacing w:after="0" w:line="279"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August 10, 2021, the Company consummated the acquisition, pursuant to an asset purchase agreement, of certain assets of Voxel8 Inc., an advanced additive manufacturing technology for textiles, which allows for digital fabrication of functional features with zonal control of material properties, in addition to utilizing high-performance elastomers adhering to inkjet technology. Under the agreement the Company purchased the associated assets for a total consideration of $14,991 in cash.</w:t>
      </w:r>
    </w:p>
    <w:p>
      <w:pPr>
        <w:spacing w:after="0" w:line="171" w:lineRule="exact"/>
        <w:rPr>
          <w:rFonts w:ascii="Arial" w:cs="Arial" w:eastAsia="Arial" w:hAnsi="Arial"/>
          <w:sz w:val="17"/>
          <w:szCs w:val="17"/>
          <w:color w:val="auto"/>
        </w:rPr>
      </w:pPr>
    </w:p>
    <w:p>
      <w:pPr>
        <w:jc w:val="both"/>
        <w:ind w:left="1540"/>
        <w:spacing w:after="0" w:line="263" w:lineRule="auto"/>
        <w:rPr>
          <w:rFonts w:ascii="Arial" w:cs="Arial" w:eastAsia="Arial" w:hAnsi="Arial"/>
          <w:sz w:val="17"/>
          <w:szCs w:val="17"/>
          <w:color w:val="auto"/>
        </w:rPr>
      </w:pPr>
      <w:r>
        <w:rPr>
          <w:rFonts w:ascii="Arial" w:cs="Arial" w:eastAsia="Arial" w:hAnsi="Arial"/>
          <w:sz w:val="18"/>
          <w:szCs w:val="18"/>
          <w:color w:val="auto"/>
        </w:rPr>
        <w:t>In addition, the Company incurred acquisition-related costs in a total amount of $194. Acquisition-related costs include legal, accounting, consulting fees and other external costs directly related to the acquisition. These transaction costs were included in general and administrative expenses in the consolidated statements of operations.</w:t>
      </w:r>
    </w:p>
    <w:p>
      <w:pPr>
        <w:spacing w:after="0" w:line="183" w:lineRule="exact"/>
        <w:rPr>
          <w:rFonts w:ascii="Arial" w:cs="Arial" w:eastAsia="Arial" w:hAnsi="Arial"/>
          <w:sz w:val="17"/>
          <w:szCs w:val="17"/>
          <w:color w:val="auto"/>
        </w:rPr>
      </w:pPr>
    </w:p>
    <w:p>
      <w:pPr>
        <w:jc w:val="both"/>
        <w:ind w:left="1540"/>
        <w:spacing w:after="0" w:line="263" w:lineRule="auto"/>
        <w:rPr>
          <w:rFonts w:ascii="Arial" w:cs="Arial" w:eastAsia="Arial" w:hAnsi="Arial"/>
          <w:sz w:val="17"/>
          <w:szCs w:val="17"/>
          <w:color w:val="auto"/>
        </w:rPr>
      </w:pPr>
      <w:r>
        <w:rPr>
          <w:rFonts w:ascii="Arial" w:cs="Arial" w:eastAsia="Arial" w:hAnsi="Arial"/>
          <w:sz w:val="18"/>
          <w:szCs w:val="18"/>
          <w:color w:val="auto"/>
        </w:rPr>
        <w:t>The main reasons for this acquisition are to strengthen the Company ability to explore potential existing and new lucrative markets such as functional apparel and footwear, as well as to be able to offer versatility of decorative capabilities enabling the production of various functional applications on textile substrates.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20"/>
        <w:spacing w:after="0" w:line="313"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COMBINATIONS (Cont.)</w:t>
      </w:r>
    </w:p>
    <w:p>
      <w:pPr>
        <w:spacing w:after="0" w:line="229" w:lineRule="exact"/>
        <w:rPr>
          <w:sz w:val="20"/>
          <w:szCs w:val="20"/>
          <w:color w:val="auto"/>
        </w:rPr>
      </w:pPr>
    </w:p>
    <w:p>
      <w:pPr>
        <w:jc w:val="both"/>
        <w:ind w:left="1540"/>
        <w:spacing w:after="0" w:line="296" w:lineRule="auto"/>
        <w:rPr>
          <w:sz w:val="20"/>
          <w:szCs w:val="20"/>
          <w:color w:val="auto"/>
        </w:rPr>
      </w:pPr>
      <w:r>
        <w:rPr>
          <w:rFonts w:ascii="Arial" w:cs="Arial" w:eastAsia="Arial" w:hAnsi="Arial"/>
          <w:sz w:val="16"/>
          <w:szCs w:val="16"/>
          <w:color w:val="auto"/>
        </w:rPr>
        <w:t>The Voxel8 acquisition was accounted for as a business combination in accordance with ASC 805 “Business Combinations”.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spacing w:after="0" w:line="161"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Under business combination accounting principles, the total purchase price was allocated to Voxel8’s net tangible and intangible assets based on their estimated fair values as set forth below. The excess of the purchase price over the net tangible and identifiable intangible assets was recorded as goodwill which is deductible for tax purposes,</w:t>
      </w:r>
    </w:p>
    <w:p>
      <w:pPr>
        <w:spacing w:after="0" w:line="184" w:lineRule="exact"/>
        <w:rPr>
          <w:sz w:val="20"/>
          <w:szCs w:val="20"/>
          <w:color w:val="auto"/>
        </w:rPr>
      </w:pPr>
    </w:p>
    <w:p>
      <w:pPr>
        <w:jc w:val="both"/>
        <w:ind w:left="1540"/>
        <w:spacing w:after="0" w:line="301" w:lineRule="auto"/>
        <w:rPr>
          <w:sz w:val="20"/>
          <w:szCs w:val="20"/>
          <w:color w:val="auto"/>
        </w:rPr>
      </w:pPr>
      <w:r>
        <w:rPr>
          <w:rFonts w:ascii="Arial" w:cs="Arial" w:eastAsia="Arial" w:hAnsi="Arial"/>
          <w:sz w:val="16"/>
          <w:szCs w:val="16"/>
          <w:color w:val="auto"/>
        </w:rPr>
        <w:t>The preliminary fair value estimates for the intangible assets acquired for Voxel8 acquisition were based upon preliminary calculations and valuations, and the estimates and assumptions for this acquisition are subject to change as the Company obtains additional information during the respective measurement period to the information that was existed as of the acquisition date (up to one year from the respective acquisition dates). The following table summarizes the purchase price allocation of Voxel8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Fair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41"/>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value</w:t>
            </w: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w w:val="92"/>
              </w:rPr>
              <w:t>period (years)</w:t>
            </w:r>
          </w:p>
        </w:tc>
      </w:tr>
      <w:tr>
        <w:trPr>
          <w:trHeight w:val="216"/>
        </w:trPr>
        <w:tc>
          <w:tcPr>
            <w:tcW w:w="8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net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w:t>
            </w: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Technology - Materials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1,795</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Technology - Systems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Harvard License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8.5</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Infinite</w:t>
            </w: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14,991</w:t>
            </w:r>
          </w:p>
        </w:tc>
        <w:tc>
          <w:tcPr>
            <w:tcW w:w="1220" w:type="dxa"/>
            <w:vAlign w:val="bottom"/>
            <w:shd w:val="clear" w:color="auto" w:fill="CCEEFF"/>
          </w:tcPr>
          <w:p>
            <w:pPr>
              <w:spacing w:after="0"/>
              <w:rPr>
                <w:sz w:val="22"/>
                <w:szCs w:val="22"/>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Pro forma results of operations related to this acquisition have not been prepared because they are not material to the Company's consolidated statements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tables summarize our marketable securities by significant investing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41"/>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0" w:type="dxa"/>
            <w:vAlign w:val="bottom"/>
            <w:gridSpan w:val="2"/>
          </w:tcPr>
          <w:p>
            <w:pPr>
              <w:jc w:val="center"/>
              <w:ind w:right="241"/>
              <w:spacing w:after="0" w:line="198"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23,897</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Matures after one year through four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83,016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83,628</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10,210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10,188</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93,226</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898</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93,816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118,921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(308</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119,736</w:t>
            </w:r>
          </w:p>
        </w:tc>
        <w:tc>
          <w:tcPr>
            <w:tcW w:w="80" w:type="dxa"/>
            <w:vAlign w:val="bottom"/>
          </w:tcPr>
          <w:p>
            <w:pPr>
              <w:spacing w:after="0"/>
              <w:rPr>
                <w:sz w:val="22"/>
                <w:szCs w:val="22"/>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200" w:type="dxa"/>
            <w:vAlign w:val="bottom"/>
            <w:gridSpan w:val="2"/>
          </w:tcPr>
          <w:p>
            <w:pPr>
              <w:jc w:val="center"/>
              <w:ind w:right="241"/>
              <w:spacing w:after="0" w:line="198"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77"/>
              </w:rPr>
              <w:t>loss</w:t>
            </w:r>
          </w:p>
        </w:tc>
        <w:tc>
          <w:tcPr>
            <w:tcW w:w="14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13,316</w:t>
            </w:r>
          </w:p>
        </w:tc>
        <w:tc>
          <w:tcPr>
            <w:tcW w:w="80" w:type="dxa"/>
            <w:vAlign w:val="bottom"/>
            <w:shd w:val="clear" w:color="auto" w:fill="CCEEFF"/>
          </w:tcPr>
          <w:p>
            <w:pPr>
              <w:spacing w:after="0"/>
              <w:rPr>
                <w:sz w:val="18"/>
                <w:szCs w:val="18"/>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Matures after one year through four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63,611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65,423</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debentures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6,213</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69,756</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71,636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83,264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(14</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85,354</w:t>
            </w:r>
          </w:p>
        </w:tc>
        <w:tc>
          <w:tcPr>
            <w:tcW w:w="8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Investments with continuous unrealized losses for less than 12 months and 12 months or greater and their related fair values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220" w:type="dxa"/>
            <w:vAlign w:val="bottom"/>
            <w:gridSpan w:val="3"/>
          </w:tcPr>
          <w:p>
            <w:pPr>
              <w:ind w:left="300"/>
              <w:spacing w:after="0"/>
              <w:rPr>
                <w:sz w:val="20"/>
                <w:szCs w:val="20"/>
                <w:color w:val="auto"/>
              </w:rPr>
            </w:pPr>
            <w:r>
              <w:rPr>
                <w:rFonts w:ascii="Arial" w:cs="Arial" w:eastAsia="Arial" w:hAnsi="Arial"/>
                <w:sz w:val="18"/>
                <w:szCs w:val="18"/>
                <w:b w:val="1"/>
                <w:bCs w:val="1"/>
                <w:color w:val="auto"/>
              </w:rPr>
              <w:t>12 months or greater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Unrealized</w:t>
            </w: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55"/>
        </w:trPr>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22"/>
                <w:szCs w:val="22"/>
                <w:color w:val="auto"/>
              </w:rPr>
            </w:pPr>
          </w:p>
        </w:tc>
        <w:tc>
          <w:tcPr>
            <w:tcW w:w="124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Fair value</w:t>
            </w:r>
          </w:p>
        </w:tc>
        <w:tc>
          <w:tcPr>
            <w:tcW w:w="1000" w:type="dxa"/>
            <w:vAlign w:val="bottom"/>
          </w:tcPr>
          <w:p>
            <w:pPr>
              <w:jc w:val="right"/>
              <w:ind w:right="158"/>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2"/>
                <w:szCs w:val="22"/>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losses</w:t>
            </w:r>
          </w:p>
        </w:tc>
      </w:tr>
      <w:tr>
        <w:trPr>
          <w:trHeight w:val="216"/>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8,649</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8,649</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50,897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8"/>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50,897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 (Cont.)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220" w:type="dxa"/>
            <w:vAlign w:val="bottom"/>
            <w:gridSpan w:val="3"/>
          </w:tcPr>
          <w:p>
            <w:pPr>
              <w:jc w:val="right"/>
              <w:ind w:right="238"/>
              <w:spacing w:after="0"/>
              <w:rPr>
                <w:sz w:val="20"/>
                <w:szCs w:val="20"/>
                <w:color w:val="auto"/>
              </w:rPr>
            </w:pPr>
            <w:r>
              <w:rPr>
                <w:rFonts w:ascii="Arial" w:cs="Arial" w:eastAsia="Arial" w:hAnsi="Arial"/>
                <w:sz w:val="18"/>
                <w:szCs w:val="18"/>
                <w:b w:val="1"/>
                <w:bCs w:val="1"/>
                <w:color w:val="auto"/>
              </w:rPr>
              <w:t>12 months or greater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2"/>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Unrealized</w:t>
            </w: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2"/>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7"/>
                <w:szCs w:val="17"/>
                <w:color w:val="auto"/>
              </w:rPr>
            </w:pPr>
          </w:p>
        </w:tc>
      </w:tr>
      <w:tr>
        <w:trPr>
          <w:trHeight w:val="255"/>
        </w:trPr>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22"/>
                <w:szCs w:val="22"/>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Fair value</w:t>
            </w:r>
          </w:p>
        </w:tc>
        <w:tc>
          <w:tcPr>
            <w:tcW w:w="1000" w:type="dxa"/>
            <w:vAlign w:val="bottom"/>
          </w:tcPr>
          <w:p>
            <w:pPr>
              <w:jc w:val="right"/>
              <w:ind w:right="118"/>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2"/>
                <w:szCs w:val="22"/>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Losses</w:t>
            </w:r>
          </w:p>
        </w:tc>
      </w:tr>
      <w:tr>
        <w:trPr>
          <w:trHeight w:val="216"/>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6,823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line="256" w:lineRule="exact"/>
              <w:rPr>
                <w:sz w:val="20"/>
                <w:szCs w:val="20"/>
                <w:color w:val="auto"/>
              </w:rPr>
            </w:pPr>
            <w:r>
              <w:rPr>
                <w:rFonts w:ascii="Arial" w:cs="Arial" w:eastAsia="Arial" w:hAnsi="Arial"/>
                <w:sz w:val="16"/>
                <w:szCs w:val="16"/>
                <w:color w:val="auto"/>
              </w:rPr>
              <w:t>(14</w:t>
            </w:r>
            <w:r>
              <w:rPr>
                <w:rFonts w:ascii="Arial" w:cs="Arial" w:eastAsia="Arial" w:hAnsi="Arial"/>
                <w:sz w:val="29"/>
                <w:szCs w:val="2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8"/>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(14</w:t>
            </w:r>
            <w:r>
              <w:rPr>
                <w:rFonts w:ascii="Arial" w:cs="Arial" w:eastAsia="Arial" w:hAnsi="Arial"/>
                <w:sz w:val="29"/>
                <w:szCs w:val="29"/>
                <w:color w:val="auto"/>
                <w:vertAlign w:val="superscript"/>
              </w:rPr>
              <w:t>)</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The Company measures its marketable securities and foreign currency derivative contracts at fair value. Marketable securities and foreign currency derivative contracts are classified within Level II as the valuation inputs are based on quoted prices and market observable data of similar instruments.</w:t>
      </w:r>
    </w:p>
    <w:p>
      <w:pPr>
        <w:spacing w:after="0" w:line="184"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September 30, 2021 and December 31, 2020 by level within the fair value hierarchy.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0"/>
              </w:rPr>
              <w:t>As of September 30,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119,736</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119,736</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5980" w:type="dxa"/>
            <w:vAlign w:val="bottom"/>
          </w:tcPr>
          <w:p>
            <w:pPr>
              <w:spacing w:after="0"/>
              <w:rPr>
                <w:sz w:val="20"/>
                <w:szCs w:val="20"/>
                <w:color w:val="auto"/>
              </w:rPr>
            </w:pPr>
            <w:r>
              <w:rPr>
                <w:rFonts w:ascii="Arial" w:cs="Arial" w:eastAsia="Arial" w:hAnsi="Arial"/>
                <w:sz w:val="18"/>
                <w:szCs w:val="18"/>
                <w:color w:val="auto"/>
              </w:rPr>
              <w:t>Total financial assets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119,798</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119,798</w:t>
            </w:r>
          </w:p>
        </w:tc>
        <w:tc>
          <w:tcPr>
            <w:tcW w:w="8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8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8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85,354</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85,354</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Foreign currency derivative contracts</w:t>
            </w:r>
          </w:p>
        </w:tc>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0"/>
                <w:szCs w:val="20"/>
                <w:color w:val="auto"/>
              </w:rPr>
            </w:pPr>
            <w:r>
              <w:rPr>
                <w:rFonts w:ascii="Arial" w:cs="Arial" w:eastAsia="Arial" w:hAnsi="Arial"/>
                <w:sz w:val="18"/>
                <w:szCs w:val="18"/>
                <w:color w:val="auto"/>
              </w:rPr>
              <w:t>Total financial assets</w:t>
            </w:r>
          </w:p>
        </w:tc>
        <w:tc>
          <w:tcPr>
            <w:tcW w:w="28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85,354</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13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INVENTORIES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Finished products (*)</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31,425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34,461</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55,344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52,487</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amounts of $5,578 and $10,628 as of September 30, 2021 and December 31, 2020, respectively, with respect to inventory delivered to customers for which revenue was not yet recognized.</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Inventory write-offs amounted to $4,223 and $2,554 during the nine months ended September 30,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 AND HEDGING ACTIVITIES</w:t>
      </w:r>
    </w:p>
    <w:p>
      <w:pPr>
        <w:spacing w:after="0" w:line="229" w:lineRule="exact"/>
        <w:rPr>
          <w:sz w:val="20"/>
          <w:szCs w:val="20"/>
          <w:color w:val="auto"/>
        </w:rPr>
      </w:pPr>
    </w:p>
    <w:p>
      <w:pPr>
        <w:jc w:val="both"/>
        <w:ind w:left="1020"/>
        <w:spacing w:after="0" w:line="288" w:lineRule="auto"/>
        <w:rPr>
          <w:sz w:val="20"/>
          <w:szCs w:val="20"/>
          <w:color w:val="auto"/>
        </w:rPr>
      </w:pPr>
      <w:r>
        <w:rPr>
          <w:rFonts w:ascii="Arial" w:cs="Arial" w:eastAsia="Arial" w:hAnsi="Arial"/>
          <w:sz w:val="16"/>
          <w:szCs w:val="16"/>
          <w:color w:val="auto"/>
        </w:rPr>
        <w:t>The Company follows FASB ASC No. 815," 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 The Company used derivative financial instruments, specifically foreign currency forward and option contracts (“Hedging Contracts“), to manage exposure to foreign currency risks, by hedging a portion of the Company's forecasted expenses denominated in New Israeli Shekels expected to incur within a year. The effect of exchange rate changes on foreign currency hedging contracts is expected to partially offset the effect of exchange rate changes on the underlying hedged item.</w:t>
      </w:r>
    </w:p>
    <w:p>
      <w:pPr>
        <w:spacing w:after="0" w:line="168" w:lineRule="exact"/>
        <w:rPr>
          <w:sz w:val="20"/>
          <w:szCs w:val="20"/>
          <w:color w:val="auto"/>
        </w:rPr>
      </w:pPr>
    </w:p>
    <w:p>
      <w:pPr>
        <w:jc w:val="both"/>
        <w:ind w:left="1020"/>
        <w:spacing w:after="0" w:line="301" w:lineRule="auto"/>
        <w:rPr>
          <w:sz w:val="20"/>
          <w:szCs w:val="20"/>
          <w:color w:val="auto"/>
        </w:rPr>
      </w:pPr>
      <w:r>
        <w:rPr>
          <w:rFonts w:ascii="Arial" w:cs="Arial" w:eastAsia="Arial" w:hAnsi="Arial"/>
          <w:sz w:val="16"/>
          <w:szCs w:val="16"/>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spacing w:after="0" w:line="157" w:lineRule="exact"/>
        <w:rPr>
          <w:sz w:val="20"/>
          <w:szCs w:val="20"/>
          <w:color w:val="auto"/>
        </w:rPr>
      </w:pPr>
    </w:p>
    <w:p>
      <w:pPr>
        <w:ind w:left="1520" w:hanging="500"/>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instruments notional amounts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The following table summarizes the notional amounts for hedged items, when transactions are designated as hedge accounting: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33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w:t>
            </w:r>
          </w:p>
        </w:tc>
        <w:tc>
          <w:tcPr>
            <w:tcW w:w="5540" w:type="dxa"/>
            <w:vAlign w:val="bottom"/>
            <w:gridSpan w:val="2"/>
            <w:shd w:val="clear" w:color="auto" w:fill="CCEEFF"/>
          </w:tcPr>
          <w:p>
            <w:pPr>
              <w:ind w:left="5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 AND HEDGING ACTIVITIES (Cont.)</w:t>
      </w:r>
    </w:p>
    <w:p>
      <w:pPr>
        <w:spacing w:after="0" w:line="229" w:lineRule="exact"/>
        <w:rPr>
          <w:sz w:val="20"/>
          <w:szCs w:val="20"/>
          <w:color w:val="auto"/>
        </w:rPr>
      </w:pPr>
    </w:p>
    <w:p>
      <w:pPr>
        <w:ind w:left="1520" w:hanging="500"/>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instrument outstanding</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 of September 30, 2021, and December 31, 2020, the fair value of the Company's outstanding forward and option contracts amounted to $62 and $0 which is included within "Other payables and accrued expenses" in the balance sheets.</w:t>
      </w:r>
    </w:p>
    <w:p>
      <w:pPr>
        <w:spacing w:after="0" w:line="146" w:lineRule="exact"/>
        <w:rPr>
          <w:rFonts w:ascii="Arial" w:cs="Arial" w:eastAsia="Arial" w:hAnsi="Arial"/>
          <w:sz w:val="18"/>
          <w:szCs w:val="18"/>
          <w:color w:val="auto"/>
        </w:rPr>
      </w:pPr>
    </w:p>
    <w:p>
      <w:pPr>
        <w:ind w:left="1520" w:hanging="500"/>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instrument gains and losses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During the nine months ended September 30, 2021 and 2020, the company recorded pretax expenses of $9 and $24, respectively from derivatives designated in cash flow hedging relationships.</w:t>
      </w:r>
    </w:p>
    <w:p>
      <w:pPr>
        <w:spacing w:after="0" w:line="170"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Company's outstanding derivatives designated as cash flow hedging instruments, and their related gains and losses, are reported in the statement of cash flows as cash flows from operating activities.</w:t>
      </w:r>
    </w:p>
    <w:p>
      <w:pPr>
        <w:spacing w:after="0" w:line="170"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maximum length of time over which the Company hedges its exposure to the variability in future cash flows for forecasted transactions is less than 12 months.</w:t>
      </w:r>
    </w:p>
    <w:p>
      <w:pPr>
        <w:spacing w:after="0" w:line="170"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estimated net amount of the existing unrealized loss that is reported in accumulated other comprehensive income at the reporting date that is expected to be reclassified into earnings within the next 12 months is $48.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CONTINGENT LIABILITIES</w:t>
      </w:r>
    </w:p>
    <w:p>
      <w:pPr>
        <w:spacing w:after="0" w:line="229" w:lineRule="exact"/>
        <w:rPr>
          <w:sz w:val="20"/>
          <w:szCs w:val="20"/>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540"/>
        <w:spacing w:after="0" w:line="301" w:lineRule="auto"/>
        <w:rPr>
          <w:rFonts w:ascii="Arial" w:cs="Arial" w:eastAsia="Arial" w:hAnsi="Arial"/>
          <w:sz w:val="18"/>
          <w:szCs w:val="18"/>
          <w:color w:val="auto"/>
        </w:rPr>
      </w:pPr>
      <w:r>
        <w:rPr>
          <w:rFonts w:ascii="Arial" w:cs="Arial" w:eastAsia="Arial" w:hAnsi="Arial"/>
          <w:sz w:val="16"/>
          <w:szCs w:val="16"/>
          <w:color w:val="auto"/>
        </w:rPr>
        <w:t>As of September 30, 2021, the Company has a line of credit with an Israeli bank for total borrowings of up to $2 million. This line of credit is unsecured and available provided that the Company maintains a 30% ratio of total tangible shareholders' equity to total tangible assets, and that the total credit use will be less than 70% of the Company and its subsidiaries’ receivables. Interest rates across this credit line varied from 0.3% to Prime (Israel Interbank Offered Rate) +0.7% (currently 2.3%) as of September 30, 2021.</w:t>
      </w:r>
    </w:p>
    <w:p>
      <w:pPr>
        <w:spacing w:after="0" w:line="15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September 30, 2021, the Company has not utilized its line of credit.</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As of September 30, 2021, the Company has purchase commitments from vendors in an amount of $54,683. These commitments are due primarily within one year.</w:t>
      </w:r>
    </w:p>
    <w:p>
      <w:pPr>
        <w:spacing w:after="0" w:line="170"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540"/>
        <w:spacing w:after="0" w:line="263" w:lineRule="auto"/>
        <w:rPr>
          <w:rFonts w:ascii="Arial" w:cs="Arial" w:eastAsia="Arial" w:hAnsi="Arial"/>
          <w:sz w:val="18"/>
          <w:szCs w:val="18"/>
          <w:color w:val="auto"/>
        </w:rPr>
      </w:pPr>
      <w:r>
        <w:rPr>
          <w:rFonts w:ascii="Arial" w:cs="Arial" w:eastAsia="Arial" w:hAnsi="Arial"/>
          <w:sz w:val="18"/>
          <w:szCs w:val="18"/>
          <w:color w:val="auto"/>
        </w:rPr>
        <w:t>From time to time, the Company is involved in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CONTINGENT LIABILITIES (Cont.)</w:t>
      </w:r>
    </w:p>
    <w:p>
      <w:pPr>
        <w:spacing w:after="0" w:line="229"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2016, the Company is obligated to pay 2.5% royalties of its annual ink revenues up to an annual maximum amount of $625.</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Royalty expenses for the nine months ended September 30, 2021 and 2020 were $469 each.</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As of September 30, 2021, the Company provided five bank guarantees in a total amount of $575 for its rented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(LOSSES) PER SHARE</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sets forth the computation of basic and diluted net earnings (losses) per share:</w:t>
      </w:r>
    </w:p>
    <w:p>
      <w:pPr>
        <w:spacing w:after="0" w:line="221"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 for basic and diluted net earnings (losses)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(10,684)</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(losses) per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46,200,884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41,059,090</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Share options, warrants and restricted share units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1,645,193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earnings (losses) per share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47,846,077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41,059,090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(losses)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(0.26</w:t>
            </w:r>
            <w:r>
              <w:rPr>
                <w:rFonts w:ascii="Arial" w:cs="Arial" w:eastAsia="Arial" w:hAnsi="Arial"/>
                <w:sz w:val="29"/>
                <w:szCs w:val="29"/>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(losses)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(0.26</w:t>
            </w:r>
            <w:r>
              <w:rPr>
                <w:rFonts w:ascii="Arial" w:cs="Arial" w:eastAsia="Arial" w:hAnsi="Arial"/>
                <w:sz w:val="29"/>
                <w:szCs w:val="29"/>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No shares related to the outstanding options and RSUs were excluded from the calculation of diluted earnings per share due to their anti-dilutive effect for the nine months ended September 30, 2021. During the nine months ended September 30, 2020, the Company was in a loss position and therefore all its securities were antidilutive.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9" w:lineRule="exact"/>
        <w:rPr>
          <w:sz w:val="20"/>
          <w:szCs w:val="20"/>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25" w:lineRule="exact"/>
        <w:rPr>
          <w:rFonts w:ascii="Arial" w:cs="Arial" w:eastAsia="Arial" w:hAnsi="Arial"/>
          <w:sz w:val="18"/>
          <w:szCs w:val="18"/>
          <w:color w:val="auto"/>
        </w:rPr>
      </w:pPr>
    </w:p>
    <w:p>
      <w:pPr>
        <w:ind w:left="2040" w:hanging="507"/>
        <w:spacing w:after="0"/>
        <w:tabs>
          <w:tab w:leader="none" w:pos="2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225"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Each ordinary share confers equal rights to dividends and bonus shares, and to participate in the distribution of surplus assets upon liquidation in proportion to the par value of that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6" w:lineRule="exact"/>
        <w:rPr>
          <w:rFonts w:ascii="Arial" w:cs="Arial" w:eastAsia="Arial" w:hAnsi="Arial"/>
          <w:sz w:val="18"/>
          <w:szCs w:val="18"/>
          <w:color w:val="auto"/>
        </w:rPr>
      </w:pPr>
    </w:p>
    <w:p>
      <w:pPr>
        <w:jc w:val="both"/>
        <w:ind w:left="2040" w:hanging="507"/>
        <w:spacing w:after="0" w:line="301" w:lineRule="auto"/>
        <w:tabs>
          <w:tab w:leader="none" w:pos="20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On September 16, 2020, the Company closed a follow on and secondary offering where 2,999,999 ordinary shares were sold in the transaction to the public for an aggregate net proceeds of $161,981, net of underwriting discounts, commissions and offering expenses. In addition, 1,689,942 ordinary shares issued pursuant to exercise of warrants, were sold by the Company’s global customer. The Company did not receive any of the proceeds from the sale of these ordinary shares.</w:t>
      </w:r>
    </w:p>
    <w:p>
      <w:pPr>
        <w:spacing w:after="0" w:line="157" w:lineRule="exact"/>
        <w:rPr>
          <w:rFonts w:ascii="Arial" w:cs="Arial" w:eastAsia="Arial" w:hAnsi="Arial"/>
          <w:sz w:val="16"/>
          <w:szCs w:val="16"/>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 option and RSU's plans: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A summary of the Company's share option activity for the nine months ended September 30, 2021 and related information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of shares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upon exercise</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686,456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5,005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125.25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(217,547)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(21,935)</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Outstanding as of September 30, 2021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451,979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56,296</w:t>
            </w:r>
          </w:p>
        </w:tc>
        <w:tc>
          <w:tcPr>
            <w:tcW w:w="100" w:type="dxa"/>
            <w:vAlign w:val="bottom"/>
          </w:tcPr>
          <w:p>
            <w:pPr>
              <w:spacing w:after="0"/>
              <w:rPr>
                <w:sz w:val="19"/>
                <w:szCs w:val="19"/>
                <w:color w:val="auto"/>
              </w:rPr>
            </w:pPr>
          </w:p>
        </w:tc>
      </w:tr>
      <w:tr>
        <w:trPr>
          <w:trHeight w:val="34"/>
        </w:trPr>
        <w:tc>
          <w:tcPr>
            <w:tcW w:w="598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296,525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38,203</w:t>
            </w:r>
          </w:p>
        </w:tc>
        <w:tc>
          <w:tcPr>
            <w:tcW w:w="100" w:type="dxa"/>
            <w:vAlign w:val="bottom"/>
          </w:tcPr>
          <w:p>
            <w:pPr>
              <w:spacing w:after="0"/>
              <w:rPr>
                <w:sz w:val="19"/>
                <w:szCs w:val="19"/>
                <w:color w:val="auto"/>
              </w:rPr>
            </w:pPr>
          </w:p>
        </w:tc>
      </w:tr>
      <w:tr>
        <w:trPr>
          <w:trHeight w:val="34"/>
        </w:trPr>
        <w:tc>
          <w:tcPr>
            <w:tcW w:w="598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ind w:left="1540" w:firstLine="12"/>
        <w:spacing w:after="0" w:line="277" w:lineRule="auto"/>
        <w:rPr>
          <w:sz w:val="20"/>
          <w:szCs w:val="20"/>
          <w:color w:val="auto"/>
        </w:rPr>
      </w:pPr>
      <w:r>
        <w:rPr>
          <w:rFonts w:ascii="Arial" w:cs="Arial" w:eastAsia="Arial" w:hAnsi="Arial"/>
          <w:sz w:val="18"/>
          <w:szCs w:val="18"/>
          <w:color w:val="auto"/>
        </w:rPr>
        <w:t>As of September 30, 2021, the Company had $2,069 of unrecognized compensation expense related to non-vested stock options expected to be recognized over a weighted average period of 1.95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260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 summary of the Company’s RSUs activity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Unvested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Unvested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200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834,321</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242,685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(271,164)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(71,884)</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733,958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200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7" w:right="339" w:bottom="1440" w:gutter="0" w:footer="0" w:header="0"/>
        </w:sectPr>
      </w:pPr>
    </w:p>
    <w:p>
      <w:pPr>
        <w:spacing w:after="0" w:line="9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weighted average fair values at grant date of RSUs granted during the nine months ended September 30, 2021 was $108.90</w:t>
      </w:r>
    </w:p>
    <w:p>
      <w:pPr>
        <w:spacing w:after="0" w:line="24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of September 30, 2021, the Company had $39,023 of unrecognized compensation expense related to RSUs expected to be recognized over a weighted average period of 2.85 years.</w:t>
      </w:r>
    </w:p>
    <w:p>
      <w:pPr>
        <w:spacing w:after="0" w:line="170"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Company's Board of Directors has approved Equity Incentive Plans pursuant to which the Company is authorized to issue to employees, directors and officers of the Company and its subsidiaries (the "optionees") options to purchase ordinary shares of NIS 0.01 par value each, at an exercise price equal to at least the fair market value of the ordinary shares at the date of grant. 25% of total options are exercisable one year after the date determined for each optionee and a further 6.25% become exercisable at the end of each subsequent three-month period over the following 3 years.</w:t>
      </w:r>
    </w:p>
    <w:p>
      <w:pPr>
        <w:spacing w:after="0" w:line="188"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Under the Equity Incentive Plans, beginning in 2017, the Company grants Restricted Stock Units (“RSUs”). The RSUs generally vest over a period of four years of employment. Options and RSUs that have vested are exercisable for up to 10 years from the grant date of the options or RSU to each employee. Options and RSUs that are cancelled or forfeited before expiration become available for future grants.</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As of September 30, 2021, an aggregate of 4,111,196 ordinary shares are available for future grants.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520" w:hanging="500"/>
        <w:spacing w:after="0" w:line="27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table sets forth the total share-based compensation expense included in the consolidated statements of operations for the nine months ended September 30, 2021 and 2020:</w:t>
      </w:r>
    </w:p>
    <w:p>
      <w:pPr>
        <w:spacing w:after="0" w:line="166"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2,150</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On January 10, 2017, the Company signed a master purchase agreement with Amazon Inc. (the "Agreement") under which 2,932,176 warrants to purchase ordinary shares of the Company at an exercise price of $13.04 per share were issued to Amazon as a customer incentive. The warrants are subject to vesting as a function of payments for purchased products and services of up to $150 million over a five year period beginning on May 1, 2016, with the shares vesting incrementally each time Amazon makes a payment totaling $5 million to the Company. On September 16, 2020 Amazon Inc. exercised 2,162,463 warrants in a cashless manner and sold the 1,689,942 ordinary shares received upon exercise. As of September 30, 2021, 769,713 warrants are exercisable under the Agreement.</w:t>
      </w:r>
    </w:p>
    <w:p>
      <w:pPr>
        <w:spacing w:after="0" w:line="164"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On September 14, 2020, the Company signed an amendment to the master purchase agreement (the "Amended Agreement") with Amazon Inc. under which an additional 3,401,028 warrants to purchase ordinary shares of the Company at an exercise price of $59.26 per share were issued to Amazon as a customer incentive. The warrants are subject to vesting as a function of payments for purchased products and services of up to $400 million over a five-year period beginning in January 2021, with the shares vesting incrementally each time Amazon makes a payment totaling $5 million to the Company. As of September 30, 2021, 427,559 warrants are exercisable under the Amended Agreement.</w:t>
      </w:r>
    </w:p>
    <w:p>
      <w:pPr>
        <w:spacing w:after="0" w:line="192"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Company recognized a reduction to revenues of $17,568 and $3,564 during the nine months ended September 30, 2021, and 2020, respectively, due to the accounting impact of Amazon’s warrants.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INCOME (LOSS)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 net of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4"/>
              </w:rPr>
              <w:t>gain (loss)</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on</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 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marketable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cash flow</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hedges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adjustment</w:t>
            </w:r>
          </w:p>
        </w:tc>
        <w:tc>
          <w:tcPr>
            <w:tcW w:w="220" w:type="dxa"/>
            <w:vAlign w:val="bottom"/>
          </w:tcPr>
          <w:p>
            <w:pPr>
              <w:spacing w:after="0"/>
              <w:rPr>
                <w:sz w:val="20"/>
                <w:szCs w:val="20"/>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5"/>
          </w:tcPr>
          <w:p>
            <w:pPr>
              <w:jc w:val="right"/>
              <w:ind w:right="1060"/>
              <w:spacing w:after="0"/>
              <w:rPr>
                <w:sz w:val="20"/>
                <w:szCs w:val="20"/>
                <w:color w:val="auto"/>
              </w:rPr>
            </w:pPr>
            <w:r>
              <w:rPr>
                <w:rFonts w:ascii="Arial" w:cs="Arial" w:eastAsia="Arial" w:hAnsi="Arial"/>
                <w:sz w:val="18"/>
                <w:szCs w:val="18"/>
                <w:b w:val="1"/>
                <w:bCs w:val="1"/>
                <w:color w:val="auto"/>
              </w:rPr>
              <w:t>Unaudited</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Nine months ended September 30, 2021: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2,733</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(1,149)</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(1,176)</w:t>
            </w: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(1,181</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48"/>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NOTE 12:- REVENUE RECOGNITION</w:t>
            </w:r>
          </w:p>
        </w:tc>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60" w:type="dxa"/>
            <w:vAlign w:val="bottom"/>
            <w:gridSpan w:val="6"/>
          </w:tcPr>
          <w:p>
            <w:pPr>
              <w:ind w:left="1020"/>
              <w:spacing w:after="0"/>
              <w:rPr>
                <w:sz w:val="20"/>
                <w:szCs w:val="20"/>
                <w:color w:val="auto"/>
              </w:rPr>
            </w:pPr>
            <w:r>
              <w:rPr>
                <w:rFonts w:ascii="Arial" w:cs="Arial" w:eastAsia="Arial" w:hAnsi="Arial"/>
                <w:sz w:val="18"/>
                <w:szCs w:val="18"/>
                <w:color w:val="auto"/>
                <w:w w:val="91"/>
              </w:rPr>
              <w:t>Revenue disaggregated by revenue source for the nine months ended September 30, 2021 and 2020, consists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4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55,266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Ink and consumables</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66,703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48,270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Service contracts and software subscriptions</w:t>
            </w:r>
          </w:p>
        </w:tc>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13,156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0"/>
                <w:szCs w:val="20"/>
                <w:color w:val="auto"/>
              </w:rPr>
            </w:pPr>
            <w:r>
              <w:rPr>
                <w:rFonts w:ascii="Arial" w:cs="Arial" w:eastAsia="Arial" w:hAnsi="Arial"/>
                <w:sz w:val="18"/>
                <w:szCs w:val="18"/>
                <w:color w:val="auto"/>
              </w:rPr>
              <w:t>Total revenue</w:t>
            </w:r>
          </w:p>
        </w:tc>
        <w:tc>
          <w:tcPr>
            <w:tcW w:w="4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234,458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121,040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320" w:type="dxa"/>
            <w:vAlign w:val="bottom"/>
            <w:vMerge w:val="restart"/>
          </w:tcPr>
          <w:p>
            <w:pPr>
              <w:jc w:val="right"/>
              <w:ind w:right="287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 RECOGNITION (Cont.)</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presents revenue disaggregated by geography based on customer location:</w:t>
      </w:r>
    </w:p>
    <w:p>
      <w:pPr>
        <w:spacing w:after="0" w:line="221"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10,624</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7,061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234,458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121,040</w:t>
            </w:r>
          </w:p>
        </w:tc>
        <w:tc>
          <w:tcPr>
            <w:tcW w:w="10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Remaining performance obligations represents contracted revenues that have not yet been recognized, which includes deferred revenues and non-cancelable contracts that will be invoiced and recognized as revenue in future periods. The following table represents the remaining performance obligations as of September 30, 2021, which are expected to be satisfied and recognized in future periods: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Remainder of</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w w:val="99"/>
              </w:rPr>
              <w:t>and thereafter</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2,769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3,735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15,441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spacing w:after="0" w:line="279" w:lineRule="auto"/>
        <w:rPr>
          <w:sz w:val="20"/>
          <w:szCs w:val="20"/>
          <w:color w:val="auto"/>
        </w:rPr>
      </w:pPr>
      <w:r>
        <w:rPr>
          <w:rFonts w:ascii="Arial" w:cs="Arial" w:eastAsia="Arial" w:hAnsi="Arial"/>
          <w:sz w:val="17"/>
          <w:szCs w:val="17"/>
          <w:color w:val="auto"/>
        </w:rPr>
        <w:t>Contract liabilities include amounts received from customers for which revenue has not yet been recognized. Contract liabilities amounted to $11,824 and $27,156 as of September 30, 2021 and December 31, 2020, respectively and are presented under deferred revenues and advances from customers and other long-term liabilities. During the nine months ended September 30, 2021, the Company recognized revenues in the amount of $16,535 which have been included in the contract liabilities at January 1, 2021.</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Provision for returns amounted to $2,238 and $1,759 as of September 30, 2021 and December 31, 2020,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right="4540"/>
        <w:spacing w:after="0" w:line="329" w:lineRule="auto"/>
        <w:rPr>
          <w:sz w:val="20"/>
          <w:szCs w:val="20"/>
          <w:color w:val="auto"/>
        </w:rPr>
      </w:pPr>
      <w:r>
        <w:rPr>
          <w:rFonts w:ascii="Arial" w:cs="Arial" w:eastAsia="Arial" w:hAnsi="Arial"/>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w:t>
      </w:r>
    </w:p>
    <w:p>
      <w:pPr>
        <w:spacing w:after="0" w:line="229" w:lineRule="exact"/>
        <w:rPr>
          <w:sz w:val="20"/>
          <w:szCs w:val="20"/>
          <w:color w:val="auto"/>
        </w:rPr>
      </w:pPr>
    </w:p>
    <w:p>
      <w:pPr>
        <w:jc w:val="both"/>
        <w:ind w:left="1300" w:hanging="644"/>
        <w:spacing w:after="0" w:line="26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main reconciling items between the theoretical and actual tax rate during the nine months ended September 30, 2021, derives mainly from: tax expense related to the Company's foreign subsidiaries income at different tax rates, deferred tax benefit recognized in Israel related to current losses at Preferred Enterprise reduced tax rates and permanent differences.</w:t>
      </w:r>
    </w:p>
    <w:p>
      <w:pPr>
        <w:spacing w:after="0" w:line="183"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is currently subject to a tax audit for the years 2013 to 2019 by the Israeli Tax Authority, or ITA. In respect of the years 2013-2014, the Company has been issued a tax order, concerning which it appealed to the district court. The ITA also issued assessments for the years 2015 until 2019, on which the Company filed an objection, and the ITA has to determine whether to accept the objection or issue a tax order for the years 2015-2019 as well. The Company’s management, based on a legal opinion received from its legal counsels, believes that it has adequately provided for any reasonably foreseeable outcome related to the ITA tax audits. Nevertheless, the ITA may disagree with its positions taken in its tax returns for any other years as well, and the Company may be subject to additional tax liabilities, which could have a material adverse effect on the Company’s results of operations.</w:t>
      </w:r>
    </w:p>
    <w:p>
      <w:pPr>
        <w:spacing w:after="0" w:line="166"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U.S and German subsidiaries received final tax assessment through 2014 and 2016, respectively, and the Hong Kong, UK and Japan subsidiaries have not received a final tax assessment since inception.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TRANSACTIONS WITH RELATED PARTIES</w:t>
      </w:r>
    </w:p>
    <w:p>
      <w:pPr>
        <w:spacing w:after="0" w:line="229"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87" w:lineRule="exact"/>
        <w:rPr>
          <w:sz w:val="20"/>
          <w:szCs w:val="20"/>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Fritz Companies Israel T. Ltd. ("Fritz")</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Fritz is a logistics company which is owned, in part, by the Chairman of the Board since March 2018. The Company has an ongoing logistic contract with Fritz. During the nine months ended September 30, 2021 and 2020 logistic service fees amounted to $3,481 and $2,659, respectively. As of September 30, 2021, and December 31, 2020, the Company had trade payables balances due to this related party in amounts of $587 and $1,546, respectively.</w:t>
      </w:r>
    </w:p>
    <w:p>
      <w:pPr>
        <w:spacing w:after="0" w:line="186"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Accord Insurance Agency Ltd. ("Accord")</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 maintains a business relationship with Accord Insurance Agency Ltd., or Accord, a company which is an insurance agency that is owned in part and controlled, by the Chairman of the Board. Accord is the Company's insurance agent for most of its insurance policies. During the nine months ended September 30, 2021 and 2020 total premium under the contracts was $289 and $742, respectively.</w:t>
      </w:r>
    </w:p>
    <w:p>
      <w:pPr>
        <w:spacing w:after="0" w:line="186"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Priority Software Ltd. ("Priority")</w:t>
      </w:r>
    </w:p>
    <w:p>
      <w:pPr>
        <w:spacing w:after="0" w:line="22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Priority is the Company’s ERP solution provider, which is owned, in part, by a few of the Company’s Board members. During the nine months ended September 30, 2021 and 2020 maintenances fees and additional licenses acquired amounted to $172 and $61 respectively As of September 30, 2021 and December 31, 2020, the Company had trade payables balances due to this related party in amount of $0 and $65, respectively.</w:t>
      </w:r>
    </w:p>
    <w:p>
      <w:pPr>
        <w:spacing w:after="0" w:line="186"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Tritone Technologies Ltd. (“Tritone”)</w:t>
      </w:r>
    </w:p>
    <w:p>
      <w:pPr>
        <w:spacing w:after="0" w:line="225" w:lineRule="exact"/>
        <w:rPr>
          <w:rFonts w:ascii="Arial" w:cs="Arial" w:eastAsia="Arial" w:hAnsi="Arial"/>
          <w:sz w:val="18"/>
          <w:szCs w:val="18"/>
          <w:color w:val="auto"/>
        </w:rPr>
      </w:pPr>
    </w:p>
    <w:p>
      <w:pPr>
        <w:jc w:val="both"/>
        <w:ind w:left="1540"/>
        <w:spacing w:after="0" w:line="293" w:lineRule="auto"/>
        <w:rPr>
          <w:rFonts w:ascii="Arial" w:cs="Arial" w:eastAsia="Arial" w:hAnsi="Arial"/>
          <w:sz w:val="18"/>
          <w:szCs w:val="18"/>
          <w:color w:val="auto"/>
        </w:rPr>
      </w:pPr>
      <w:r>
        <w:rPr>
          <w:rFonts w:ascii="Arial" w:cs="Arial" w:eastAsia="Arial" w:hAnsi="Arial"/>
          <w:sz w:val="16"/>
          <w:szCs w:val="16"/>
          <w:color w:val="auto"/>
        </w:rPr>
        <w:t>On September 13, 2020, the Company entered into a sublease agreement with Tritone Technologies Ltd., whose CEO is a director of the Company and whose one of its shareholders is an equity fund controlled by the chairman of the Board, for the sublease of 192 square meters in Rosh Ha’Ayin. The term of the lease is 24 months until September 12, 2022, with an option to extend the term by additional 12 months. The rent under the sublease is approx. $2 per month. The sublease agreement is carried out on a “back-to-back” basis, as the Company pays over the rent that it receives directly to its landlord. As of September 30, 2021 and December 31, 2020, the Company had a trade receivable balance due from this related party in an amount of $5 and $3, respectively.</w:t>
      </w:r>
    </w:p>
    <w:p>
      <w:pPr>
        <w:spacing w:after="0" w:line="164"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Magalcom Ltd. (“Magalcom”)</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entered into a transaction with Magalcom which is owned, in part and controlled, by the Chairman of the Board, for the replacement of communication equipment in its conference rooms. Total consideration to be paid to Magalcom pursuant to this transaction is approximately $650. During the nine months ended September 30, 2021 and 2020 service fees amounted to $518 and $0 respectively. As of September 30, 2021 and December 31, 2020, the Company had a trade payables balance due to this related party in an amount of $404 and $9, respectively.</w:t>
      </w:r>
    </w:p>
    <w:p>
      <w:pPr>
        <w:spacing w:after="0" w:line="187" w:lineRule="exact"/>
        <w:rPr>
          <w:rFonts w:ascii="Arial" w:cs="Arial" w:eastAsia="Arial" w:hAnsi="Arial"/>
          <w:sz w:val="18"/>
          <w:szCs w:val="18"/>
          <w:color w:val="auto"/>
        </w:rPr>
      </w:pPr>
    </w:p>
    <w:p>
      <w:pPr>
        <w:ind w:left="5060" w:hanging="95"/>
        <w:spacing w:after="0"/>
        <w:tabs>
          <w:tab w:leader="none" w:pos="5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2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AND FINANCIAL REVIEW AND PROSPECTS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5"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Nine Months Ended September</w:t>
      </w:r>
    </w:p>
    <w:p>
      <w:pPr>
        <w:spacing w:after="0" w:line="27"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5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226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206,682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27,776</w:t>
            </w:r>
          </w:p>
        </w:tc>
        <w:tc>
          <w:tcPr>
            <w:tcW w:w="2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234,458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121,040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98,457</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26,477</w:t>
            </w: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124,934</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70,183</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109,524</w:t>
            </w:r>
          </w:p>
        </w:tc>
        <w:tc>
          <w:tcPr>
            <w:tcW w:w="2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50,857</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Research and development, net</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30,736</w:t>
            </w: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22,213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40,716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25,375</w:t>
            </w:r>
          </w:p>
        </w:tc>
        <w:tc>
          <w:tcPr>
            <w:tcW w:w="0" w:type="dxa"/>
            <w:vAlign w:val="bottom"/>
          </w:tcPr>
          <w:p>
            <w:pPr>
              <w:spacing w:after="0"/>
              <w:rPr>
                <w:sz w:val="1"/>
                <w:szCs w:val="1"/>
                <w:color w:val="auto"/>
              </w:rPr>
            </w:pPr>
          </w:p>
        </w:tc>
      </w:tr>
      <w:tr>
        <w:trPr>
          <w:trHeight w:val="237"/>
        </w:trPr>
        <w:tc>
          <w:tcPr>
            <w:tcW w:w="8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24,972</w:t>
            </w:r>
          </w:p>
        </w:tc>
        <w:tc>
          <w:tcPr>
            <w:tcW w:w="2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18,957</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96,424</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13,100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(15,688)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2,635</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 (tax benefit)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15,735</w:t>
            </w:r>
          </w:p>
        </w:tc>
        <w:tc>
          <w:tcPr>
            <w:tcW w:w="2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(11,261</w:t>
            </w:r>
          </w:p>
        </w:tc>
        <w:tc>
          <w:tcPr>
            <w:tcW w:w="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540" w:type="dxa"/>
            <w:vAlign w:val="bottom"/>
          </w:tcPr>
          <w:p>
            <w:pPr>
              <w:spacing w:after="0" w:line="203" w:lineRule="exact"/>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14,573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(10,684</w:t>
            </w:r>
          </w:p>
        </w:tc>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1"/>
        </w:trPr>
        <w:tc>
          <w:tcPr>
            <w:tcW w:w="8540" w:type="dxa"/>
            <w:vAlign w:val="bottom"/>
          </w:tcPr>
          <w:p>
            <w:pPr>
              <w:spacing w:after="0"/>
              <w:rPr>
                <w:sz w:val="24"/>
                <w:szCs w:val="24"/>
                <w:color w:val="auto"/>
              </w:rPr>
            </w:pPr>
          </w:p>
        </w:tc>
        <w:tc>
          <w:tcPr>
            <w:tcW w:w="270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41"/>
        </w:trPr>
        <w:tc>
          <w:tcPr>
            <w:tcW w:w="8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226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9"/>
              </w:rPr>
              <w:t>(as a % of revenues)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Cost of revenues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46.7</w:t>
            </w:r>
          </w:p>
        </w:tc>
        <w:tc>
          <w:tcPr>
            <w:tcW w:w="2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Research and development, net</w:t>
            </w:r>
          </w:p>
        </w:tc>
        <w:tc>
          <w:tcPr>
            <w:tcW w:w="24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6"/>
        </w:trPr>
        <w:tc>
          <w:tcPr>
            <w:tcW w:w="8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(13.0)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 (tax benefit)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w:t>
            </w:r>
          </w:p>
        </w:tc>
        <w:tc>
          <w:tcPr>
            <w:tcW w:w="2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w:t>
            </w:r>
          </w:p>
        </w:tc>
        <w:tc>
          <w:tcPr>
            <w:tcW w:w="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on income (tax benefit)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(8.8</w:t>
            </w:r>
          </w:p>
        </w:tc>
        <w:tc>
          <w:tcPr>
            <w:tcW w:w="200" w:type="dxa"/>
            <w:vAlign w:val="bottom"/>
          </w:tcPr>
          <w:p>
            <w:pPr>
              <w:spacing w:after="0" w:line="203"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Geographic Breakdown of 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66"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32"/>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34"/>
        </w:trPr>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thousands)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157,523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71,471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52,745</w:t>
            </w:r>
          </w:p>
        </w:tc>
        <w:tc>
          <w:tcPr>
            <w:tcW w:w="26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31,581</w:t>
            </w:r>
          </w:p>
        </w:tc>
        <w:tc>
          <w:tcPr>
            <w:tcW w:w="2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26.1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r>
      <w:tr>
        <w:trPr>
          <w:trHeight w:val="23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tcPr>
          <w:p>
            <w:pPr>
              <w:spacing w:after="0"/>
              <w:rPr>
                <w:sz w:val="20"/>
                <w:szCs w:val="20"/>
                <w:color w:val="auto"/>
              </w:rPr>
            </w:pPr>
          </w:p>
        </w:tc>
      </w:tr>
      <w:tr>
        <w:trPr>
          <w:trHeight w:val="25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234,458</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121,040</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increased by $113.5 million, or 93.7%, to $234.5 million in the nine months ended September 30, 2021, from $121.0 million in the nine months ended September 30, 2020, which is net of $17.6 million and $3.6 million, the fair value of warrants associated with revenues recognized from Amazon, in the nine months ended September 30, 2021 and 2020, respectively. The increase in revenues resulted from: a 38.2% increase in ink and other consumables revenues to $66.7 million in the nine months ended September 30, 2021 from $48.3 million in the nine months ended September 30, 2020; a 58.6% increase in service revenues to $27.8 million in the nine months ended September 30, 2021, from $17.5 million in the nine months ended September 30, 2020, and an increase of 153.3% in systems revenues to $140.0 million in the nine months ended September 30, 2021, from $55.3 million in the nine months ended September 30, 2020. The results for the nine months ended September 30, 2020 reflected the impact of the COVID-19 pandemic, which began shortly before the end of the first quarter of 2020 and resulted in significant deferrals of orders.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Cost of revenues increased by $54.7 million, or 78.0%, to $124.9 million in the nine months ended September 30, 2021, from $70.2 million in the nine months ended September 30, 2020. Gross profit increased by $58.6 million, or 115.4%, to $109.5 million in the nine months ended September 30, 2021, from $50.9 million in the nine months ended September 30, 2020. Gross margin increased to 46.7% in the nine months ended September 30, 2021, compared to 42.0% in the nine months ended September 30, 2020 during which we faced the impact of COVID-19 on revenues and certain costs. Inventory write-offs amounted to $4.2 million in the nine months ended September 30, 2021 compared to $2.6 million in the nine months ended September 30, 2020.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ind w:left="340"/>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9"/>
              </w:rPr>
              <w:t>2020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ind w:left="420"/>
              <w:spacing w:after="0"/>
              <w:rPr>
                <w:sz w:val="20"/>
                <w:szCs w:val="20"/>
                <w:color w:val="auto"/>
              </w:rPr>
            </w:pPr>
            <w:r>
              <w:rPr>
                <w:rFonts w:ascii="Arial" w:cs="Arial" w:eastAsia="Arial" w:hAnsi="Arial"/>
                <w:sz w:val="18"/>
                <w:szCs w:val="18"/>
                <w:b w:val="1"/>
                <w:bCs w:val="1"/>
                <w:color w:val="auto"/>
              </w:rPr>
              <w:t>($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22,213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8,523</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0"/>
              </w:rPr>
              <w:t>38.4%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40,716</w:t>
            </w:r>
          </w:p>
        </w:tc>
        <w:tc>
          <w:tcPr>
            <w:tcW w:w="12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25,375</w:t>
            </w:r>
          </w:p>
        </w:tc>
        <w:tc>
          <w:tcPr>
            <w:tcW w:w="12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15,341</w:t>
            </w:r>
          </w:p>
        </w:tc>
        <w:tc>
          <w:tcPr>
            <w:tcW w:w="3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1"/>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5"/>
              </w:rPr>
              <w:t>10.6</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18,957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5"/>
              </w:rPr>
              <w:t>15.7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5"/>
              </w:rPr>
              <w:t>31.7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96,424</w:t>
            </w:r>
          </w:p>
        </w:tc>
        <w:tc>
          <w:tcPr>
            <w:tcW w:w="120" w:type="dxa"/>
            <w:vAlign w:val="bottom"/>
          </w:tcPr>
          <w:p>
            <w:pPr>
              <w:spacing w:after="0"/>
              <w:rPr>
                <w:sz w:val="20"/>
                <w:szCs w:val="20"/>
                <w:color w:val="auto"/>
              </w:rPr>
            </w:pPr>
          </w:p>
        </w:tc>
        <w:tc>
          <w:tcPr>
            <w:tcW w:w="980" w:type="dxa"/>
            <w:vAlign w:val="bottom"/>
          </w:tcPr>
          <w:p>
            <w:pPr>
              <w:ind w:left="660"/>
              <w:spacing w:after="0"/>
              <w:rPr>
                <w:sz w:val="20"/>
                <w:szCs w:val="20"/>
                <w:color w:val="auto"/>
              </w:rPr>
            </w:pPr>
            <w:r>
              <w:rPr>
                <w:rFonts w:ascii="Arial" w:cs="Arial" w:eastAsia="Arial" w:hAnsi="Arial"/>
                <w:sz w:val="18"/>
                <w:szCs w:val="18"/>
                <w:color w:val="auto"/>
                <w:w w:val="85"/>
              </w:rPr>
              <w:t>41.1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66,545</w:t>
            </w:r>
          </w:p>
        </w:tc>
        <w:tc>
          <w:tcPr>
            <w:tcW w:w="120" w:type="dxa"/>
            <w:vAlign w:val="bottom"/>
          </w:tcPr>
          <w:p>
            <w:pPr>
              <w:spacing w:after="0"/>
              <w:rPr>
                <w:sz w:val="20"/>
                <w:szCs w:val="20"/>
                <w:color w:val="auto"/>
              </w:rPr>
            </w:pPr>
          </w:p>
        </w:tc>
        <w:tc>
          <w:tcPr>
            <w:tcW w:w="980" w:type="dxa"/>
            <w:vAlign w:val="bottom"/>
          </w:tcPr>
          <w:p>
            <w:pPr>
              <w:ind w:left="660"/>
              <w:spacing w:after="0"/>
              <w:rPr>
                <w:sz w:val="20"/>
                <w:szCs w:val="20"/>
                <w:color w:val="auto"/>
              </w:rPr>
            </w:pPr>
            <w:r>
              <w:rPr>
                <w:rFonts w:ascii="Arial" w:cs="Arial" w:eastAsia="Arial" w:hAnsi="Arial"/>
                <w:sz w:val="18"/>
                <w:szCs w:val="18"/>
                <w:color w:val="auto"/>
                <w:w w:val="85"/>
              </w:rPr>
              <w:t>55.0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29,879</w:t>
            </w:r>
          </w:p>
        </w:tc>
        <w:tc>
          <w:tcPr>
            <w:tcW w:w="32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Arial" w:cs="Arial" w:eastAsia="Arial" w:hAnsi="Arial"/>
                <w:sz w:val="18"/>
                <w:szCs w:val="18"/>
                <w:color w:val="auto"/>
                <w:w w:val="85"/>
              </w:rPr>
              <w:t>44.9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Research and Development, net. </w:t>
      </w:r>
      <w:r>
        <w:rPr>
          <w:rFonts w:ascii="Arial" w:cs="Arial" w:eastAsia="Arial" w:hAnsi="Arial"/>
          <w:sz w:val="17"/>
          <w:szCs w:val="17"/>
          <w:color w:val="auto"/>
        </w:rPr>
        <w:t>Research and development net expenses increased by 38.4% in the nine months ended September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30, 2020. The increase was mainly attributable to an increase of $5.2 million in salaries and related personnel expenses and share based compensation as a result of an increase in the number of employees with higher seniority, compared to the nine months ended September 30, 2020. In addition, the increase reflected an increase of $1.1 million in materials consumed for R&amp;D activities and an increase of $1.2 million in consulting services. As a percentage of total revenues, our research and development expenses decreased from 18.3% in the nine months ended September 30, 2020 to 13.1% in the nine months ended September 30, 2021, mainly due to the increase in revenues in the nine months ended September 30, 2021 compared to the revenues in the nine months ended September 30, 2020.</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60.5% in the nine months ended September 30, 2021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2020. This increase was primarily due to an increase of $7.1 million in salaries and related personnel expenses and share-based compensation expenses due to a higher number of employees and variable compensation payout during the nine months ended September 30, 2021 compared to the nine months ended September 30, 2020, and increase of $4.6M in marketing activities due to higher volume of activities. As a percentage of total revenues, our sales and marketing expenses decreased during this period from 21.0% in the nine months ended September 30, 2020 to 17.4% in the nine months ended September 30, 2021, mainly due to the increase in revenues in the nine months ended September 30, 2021 compared to the revenues in the nine months ended September 30, 2020.</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31.7% in the nine months ended September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2020. This primarily resulted from an increase of $3.5 million in salaries, related personnel expenses and share-based compensation expenses mainly due to additional personnel and an increase of $1.2 million in consulting services. As a percentage of total revenues, our general and administrative expenses decreased from 15.7% in the nine months ended September 30, 2020 to 10.6% in the nine months ended September 30, 2021 mainly due to the increase in revenues in the nine months ended September 30, 2021 compared to the revenues in the nine months ended September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net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Finance income, net totaled $2.6 million in the nine months ended September 30, 2021, compared to $4.4 million in the nine months ended September 30, 2020. The $1.8 million decrease resulted mainly from a decrease to $3.0 million interest on marketable securities and bank deposits in the nine months ended September 30, 2021, compared to $3.6 million in the nine months ended September 30, 2020, and by a decrease to $0.2 million of currency exchange losses in the nine months ended September 30, 2021, compared to $0.7 million of currency exchange gains in the nine months ended September 30,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Taxes on income amounted to $1.2 million in the nine months ended September 30, 2021, compared to tax benefit of $0.6 million in the nine months ended September 30, 2020. The change from tax benefit to taxes on income is due to moving from loss to income.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currently subject to a tax audit for the years 2013 to 2019 by the Israeli Tax Authority, or ITA. In respect of the years 2013 to 2014, we have been issued a tax order, which we are appealing to the district court. The ITA also issued assessments for the years 2015 to 2019, to which we have filed an objection, and the ITA has to determine whether to accept the objection or issue a tax order. Based on a legal opinion we received from our legal counsels, we believe that we have adequately provided for any reasonably foreseeable outcome related to the ITA tax audits. Nevertheless, the ITA may disagree with our positions taken in our tax returns for any other years as well, and we may be subject to additional tax liabilities, which could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we had approximately $96.7 million in cash and cash equivalents, $241.1 million in short term deposits and $119.7 million in short-term and long-term marketable securities, which, in the aggregate, totaled $457.5 million. We fund our operations mostly with cash raised via our equity financings, including our January 2017, September 2019 and September 2020 follow-on offerings, as well as, secondarily, cash generated from our operations.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we had a line of credit with an Israeli bank for total borrowings of up to $2.0 million. This line of credit is unsecured and available provided that we maintain a 30% ratio of total tangible shareholders’ equity to total tangible assets and that the total credit use will be less than 70% of our receivables. Interest rates across this credit line varied from 0.3% to Prime (Israel Interbank Offered Rate) +0.7% (currently 2.3% as of September 30, 2021).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cash on hand.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43,130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(74,718)</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77,254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nine months ended September 30, 2021 was $43.1 million.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311" w:lineRule="auto"/>
        <w:rPr>
          <w:sz w:val="20"/>
          <w:szCs w:val="20"/>
          <w:color w:val="auto"/>
        </w:rPr>
      </w:pPr>
      <w:r>
        <w:rPr>
          <w:rFonts w:ascii="Arial" w:cs="Arial" w:eastAsia="Arial" w:hAnsi="Arial"/>
          <w:sz w:val="16"/>
          <w:szCs w:val="16"/>
          <w:color w:val="auto"/>
        </w:rPr>
        <w:t>Net cash provided by operating activities consisted of net income of $14.6 million, as adjusted upwards in an amount of $31.8 million for non-cash line items, including fair value of warrants deducted from revenues, stock-based compensation expenses, depreciation, amortization of intangible assets and amortization of premium on marketable securities, offset, in part, by other adjustments not included hereunder in an amount of $3.3 million.</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2021, our accounts receivable decreased by $1.7 million, reflecting the strong collection of customers debts. Number of days receivables were outstanding for the nine months ended September 30, 2021 decreased to 58 days, compared to 112 days for the nine months ended September 30,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same period, deferred revenues and advances from customers decreased by $15.3 million, thereby reducing cash provided by operating activities by that amount, while other payables and accrued expenses increased by $10.5 million, reflecting the increase in business volume, which increased cash provided by operating activities by that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nine months ended September 30, 2020 was $1.9 million.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operating activities consisted of net loss of $10.7 million, as adjusted upwards in an amount of $13.7 million for non-cash line items, including stock-based compensation expenses, fair value of warrants deducted from revenues, depreciation, amortization of intangible assets, amortization of premium on marketable securities and realized gain on sale of marketable securities and foreign currency translation gain on inter-company balances with foreign subsidiaries, as offset, in part, by other adjustments not included hereunder in an amount of $4.9 million.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2020, our accounts receivable increased by $7.9 million reflecting the increase in our revenues, which decreased cash used in operating activities by that amount. Number of days receivables were outstanding for the nine months ended September 30, 2020 increased to 112 days, compared to 93 days for the nine months ended September 30, 2019.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same period, our inventory increased by $9.5 million compared to the year ended December 31, 2019, which decreased cash used in operating activities by that amount. This inventory increase was primarily due to the impact of COVID-19 on revenues (as products that were not sold accumulated as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$74.7 million for the nine months ended September 30, 2021, which was primarily attributable to net purchase of marketable securities and increase in bank deposits of $50.3 million, cash paid in connection with acquisition net of cash acquired of $15 million and investment of $9.4 million in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investing activities was $77.3 million for the nine months ended September 30, 2020, which was primarily attributable to net proceeds from sale of marketable securities and withdrawals from bank deposits of $103.2 million offset, in part, by cash paid in connection with acquisition net of cash acquired of $15.1 million investment of $10.9 million in property and equipment.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provided by financing activities was $2.5 million for the nine months ended September 30, 2021, which was primarily attributable to proceeds from exercise of employee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$167.6 million for the nine months ended September 30, 2020, which was primarily attributable to proceeds from our September 2020 public offering of ordinary shares, net of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information herein may be deemed to be “forward-looking statements” within the meaning of the Private Securities Litigation Reform Act of 1995, Section 27A of the Securities Act of 1933, and Section 21E of the Securities Exchange Act of 1934. Forward-looking statements are those that predict or describe future events or trends and that do not relate solely to historical matters. You can generally identify forward-looking statements as statements containing the words “may,” “will,” “could,” “should,” “expect,” “anticipate,” “intend,” “estimate,” “believe,” “project,” “plan,” “assume” or other similar expressions, or negatives of those expressions, although not all forward-looking statements contain these identifying words</w:t>
      </w:r>
      <w:r>
        <w:rPr>
          <w:rFonts w:ascii="Arial" w:cs="Arial" w:eastAsia="Arial" w:hAnsi="Arial"/>
          <w:sz w:val="17"/>
          <w:szCs w:val="17"/>
          <w:i w:val="1"/>
          <w:iCs w:val="1"/>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forward-looking statements may include, but are not limited to, statements regarding our future strategy, future operations, projected financial position, proposed products, estimated future revenues, projected costs, future prospects, the future of our industry and results that might be obtained by pursuing management’s current plans and objectives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expectations regarding the further duration of the global COVID-19 pandemic and its impact on our operations, financial position and cash flows, and those of our customers and suppliers;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to develop, introduce and sell new or improved products and product enhancements, including specifically our Poly Pro and Presto products;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servable addressable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objective to increase sales to large accounts with multi-system delivery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to continue our expansion into new product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regarding our distribution strategy for our products;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expectations concerning the timing for completion of the development of our new, modern manufacturing facility in Kiryat Gat, Israel;</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impact of new accounting pronouncements on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our Annual Report on Form 20-F for the year ended December 31, 2020, which is on file with the Securities and Exchange Commission (“SEC”), and the other risk factors discussed from time to time by our company in reports filed or furnished to the SEC.</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lvl w:ilvl="1">
      <w:lvlJc w:val="left"/>
      <w:lvlText w:val="%2."/>
      <w:numFmt w:val="lowerLetter"/>
      <w:start w:val="1"/>
    </w:lvl>
  </w:abstractNum>
  <w:abstractNum w:abstractNumId="1">
    <w:nsid w:val="5BD062C2"/>
    <w:multiLevelType w:val="hybridMultilevel"/>
    <w:lvl w:ilvl="0">
      <w:lvlJc w:val="left"/>
      <w:lvlText w:val="%1."/>
      <w:numFmt w:val="lowerLetter"/>
      <w:start w:val="3"/>
    </w:lvl>
    <w:lvl w:ilvl="1">
      <w:lvlJc w:val="left"/>
      <w:lvlText w:val="%2"/>
      <w:numFmt w:val="lowerLetter"/>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1"/>
    </w:lvl>
    <w:lvl w:ilvl="1">
      <w:lvlJc w:val="left"/>
      <w:lvlText w:val="%2."/>
      <w:numFmt w:val="decimal"/>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1"/>
    </w:lvl>
    <w:lvl w:ilvl="1">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2021-11-17T05:25:49Z</dcterms:created>
  <dcterms:modified xsi:type="dcterms:W3CDTF">2021-11-17T05:25:49Z</dcterms:modified>
</cp:coreProperties>
</file>