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142875</wp:posOffset>
            </wp:positionV>
            <wp:extent cx="1259840" cy="771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59840" cy="7715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Kornit Digital Ltd</w:t>
      </w:r>
      <w:r>
        <w:rPr>
          <w:rFonts w:ascii="Times New Roman" w:cs="Times New Roman" w:eastAsia="Times New Roman" w:hAnsi="Times New Roman"/>
          <w:sz w:val="18"/>
          <w:szCs w:val="18"/>
          <w:color w:val="auto"/>
        </w:rPr>
        <w: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54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9"/>
              </w:rPr>
              <w:t>Israel</w:t>
            </w:r>
          </w:p>
        </w:tc>
        <w:tc>
          <w:tcPr>
            <w:tcW w:w="290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001-36903</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22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900" w:type="dxa"/>
            <w:vAlign w:val="bottom"/>
            <w:tcBorders>
              <w:top w:val="single" w:sz="8" w:color="auto"/>
            </w:tcBorders>
            <w:gridSpan w:val="3"/>
          </w:tcPr>
          <w:p>
            <w:pPr>
              <w:jc w:val="center"/>
              <w:ind w:right="70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(IRS Employer</w:t>
            </w:r>
          </w:p>
        </w:tc>
      </w:tr>
      <w:tr>
        <w:trPr>
          <w:trHeight w:val="234"/>
        </w:trPr>
        <w:tc>
          <w:tcPr>
            <w:tcW w:w="454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9"/>
        </w:trPr>
        <w:tc>
          <w:tcPr>
            <w:tcW w:w="4540" w:type="dxa"/>
            <w:vAlign w:val="bottom"/>
            <w:tcBorders>
              <w:bottom w:val="single" w:sz="8" w:color="auto"/>
            </w:tcBorders>
            <w:gridSpan w:val="3"/>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9"/>
              </w:rPr>
              <w:t>12 Ha`Amal St., Afek Park, Rosh-Ha`Ayin</w:t>
            </w:r>
          </w:p>
        </w:tc>
        <w:tc>
          <w:tcPr>
            <w:tcW w:w="9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jc w:val="right"/>
              <w:ind w:right="2350"/>
              <w:spacing w:after="0"/>
              <w:rPr>
                <w:sz w:val="20"/>
                <w:szCs w:val="20"/>
                <w:color w:val="auto"/>
              </w:rPr>
            </w:pPr>
            <w:r>
              <w:rPr>
                <w:rFonts w:ascii="Times New Roman" w:cs="Times New Roman" w:eastAsia="Times New Roman" w:hAnsi="Times New Roman"/>
                <w:sz w:val="18"/>
                <w:szCs w:val="18"/>
                <w:b w:val="1"/>
                <w:bCs w:val="1"/>
                <w:color w:val="auto"/>
              </w:rPr>
              <w:t>4809246</w:t>
            </w:r>
          </w:p>
        </w:tc>
      </w:tr>
      <w:tr>
        <w:trPr>
          <w:trHeight w:val="234"/>
        </w:trPr>
        <w:tc>
          <w:tcPr>
            <w:tcW w:w="4540" w:type="dxa"/>
            <w:vAlign w:val="bottom"/>
            <w:gridSpan w:val="3"/>
          </w:tcPr>
          <w:p>
            <w:pPr>
              <w:jc w:val="center"/>
              <w:ind w:left="89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Assaf Zipori, Chief Financial Officer, +972-3-908-5800</w:t>
      </w:r>
    </w:p>
    <w:p>
      <w:pPr>
        <w:spacing w:after="0" w:line="31" w:lineRule="exact"/>
        <w:rPr>
          <w:sz w:val="24"/>
          <w:szCs w:val="24"/>
          <w:color w:val="auto"/>
        </w:rPr>
      </w:pPr>
    </w:p>
    <w:p>
      <w:pPr>
        <w:ind w:left="1820"/>
        <w:spacing w:after="0"/>
        <w:rPr>
          <w:sz w:val="20"/>
          <w:szCs w:val="20"/>
          <w:color w:val="auto"/>
        </w:rPr>
      </w:pPr>
      <w:r>
        <w:rPr>
          <w:rFonts w:ascii="Times New Roman" w:cs="Times New Roman" w:eastAsia="Times New Roman" w:hAnsi="Times New Roman"/>
          <w:sz w:val="18"/>
          <w:szCs w:val="18"/>
          <w:color w:val="auto"/>
        </w:rPr>
        <w:t>(Name and telephone number, including area code, of the person to contact in connection with this report)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w:t>
      </w:r>
    </w:p>
    <w:p>
      <w:pPr>
        <w:spacing w:after="0" w:line="225" w:lineRule="exact"/>
        <w:rPr>
          <w:sz w:val="24"/>
          <w:szCs w:val="24"/>
          <w:color w:val="auto"/>
        </w:rPr>
      </w:pPr>
    </w:p>
    <w:p>
      <w:pPr>
        <w:ind w:left="220" w:hanging="215"/>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471805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Conflict Minerals Disclosures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Conflict Minerals Disclosure and Report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Kornit Digital Ltd.’s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Conflict Minerals Report is provided as Exhibit 1.01 to this Form SD and is publicly available at:</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http://www.kornit.com/conflict-minerals-policy/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contents of the website referred to in this Form SD is included for general information only and is not incorporated by reference in this Form SD.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Exhibit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filed its Conflict Minerals Report as Exhibit 1.01 hereto as required by Item 1.01 of Form SD.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Resource Extraction Issuer Disclosure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Resource Extraction Issuer Disclosure and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Exhibits</w:t>
      </w:r>
    </w:p>
    <w:p>
      <w:pPr>
        <w:spacing w:after="0" w:line="229"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18"/>
          <w:szCs w:val="18"/>
          <w:color w:val="auto"/>
        </w:rPr>
        <w:t>Exhibit 1.01 -</w:t>
      </w:r>
      <w:r>
        <w:rPr>
          <w:sz w:val="20"/>
          <w:szCs w:val="20"/>
          <w:color w:val="auto"/>
        </w:rPr>
        <w:tab/>
      </w:r>
      <w:r>
        <w:rPr>
          <w:rFonts w:ascii="Times New Roman" w:cs="Times New Roman" w:eastAsia="Times New Roman" w:hAnsi="Times New Roman"/>
          <w:sz w:val="18"/>
          <w:szCs w:val="18"/>
          <w:u w:val="single" w:color="auto"/>
          <w:color w:val="0000EE"/>
        </w:rPr>
        <w:t>Conflict Minerals Report is attached per Section 1 of this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80"/>
          </w:cols>
          <w:pgMar w:left="320" w:top="900" w:right="7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u w:val="single" w:color="auto"/>
          <w:color w:val="auto"/>
        </w:rPr>
        <w:t>Kornit Digital Ltd.</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(Registrant)</w:t>
      </w:r>
    </w:p>
    <w:p>
      <w:pPr>
        <w:spacing w:after="0" w:line="207" w:lineRule="exact"/>
        <w:rPr>
          <w:sz w:val="20"/>
          <w:szCs w:val="20"/>
          <w:color w:val="auto"/>
        </w:rPr>
      </w:pPr>
    </w:p>
    <w:tbl>
      <w:tblPr>
        <w:tblLayout w:type="fixed"/>
        <w:tblInd w:w="6760" w:type="dxa"/>
        <w:tblCellMar>
          <w:top w:w="0" w:type="dxa"/>
          <w:left w:w="0" w:type="dxa"/>
          <w:bottom w:w="0" w:type="dxa"/>
          <w:right w:w="0" w:type="dxa"/>
        </w:tblCellMar>
      </w:tblPr>
      <w:tr>
        <w:trPr>
          <w:trHeight w:val="241"/>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Assaf Zipori</w:t>
            </w:r>
          </w:p>
        </w:tc>
      </w:tr>
      <w:tr>
        <w:trPr>
          <w:trHeight w:val="198"/>
        </w:trPr>
        <w:tc>
          <w:tcPr>
            <w:tcW w:w="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Assaf Zipori</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May 28, 2026</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Conflict Minerals Report of Kornit Digital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5"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This is the Conflict Minerals Report of Kornit Digital Ltd. (“</w:t>
      </w:r>
      <w:r>
        <w:rPr>
          <w:rFonts w:ascii="Times New Roman" w:cs="Times New Roman" w:eastAsia="Times New Roman" w:hAnsi="Times New Roman"/>
          <w:sz w:val="18"/>
          <w:szCs w:val="18"/>
          <w:b w:val="1"/>
          <w:bCs w:val="1"/>
          <w:color w:val="auto"/>
        </w:rPr>
        <w:t>Kornit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we</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our company</w:t>
      </w:r>
      <w:r>
        <w:rPr>
          <w:rFonts w:ascii="Times New Roman" w:cs="Times New Roman" w:eastAsia="Times New Roman" w:hAnsi="Times New Roman"/>
          <w:sz w:val="18"/>
          <w:szCs w:val="18"/>
          <w:color w:val="auto"/>
        </w:rPr>
        <w:t>”) for calendar year 2025 in accordance with Rule 13p-1 of the Securities Exchange Act of 1934 (the “</w:t>
      </w:r>
      <w:r>
        <w:rPr>
          <w:rFonts w:ascii="Times New Roman" w:cs="Times New Roman" w:eastAsia="Times New Roman" w:hAnsi="Times New Roman"/>
          <w:sz w:val="18"/>
          <w:szCs w:val="18"/>
          <w:b w:val="1"/>
          <w:bCs w:val="1"/>
          <w:color w:val="auto"/>
        </w:rPr>
        <w:t>Rule</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respectively, and Form SD. The Rule was adopted by the Securities and Exchange Commission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to implement reporting and disclosure requirements related to “</w:t>
      </w:r>
      <w:r>
        <w:rPr>
          <w:rFonts w:ascii="Times New Roman" w:cs="Times New Roman" w:eastAsia="Times New Roman" w:hAnsi="Times New Roman"/>
          <w:sz w:val="18"/>
          <w:szCs w:val="18"/>
          <w:b w:val="1"/>
          <w:bCs w:val="1"/>
          <w:color w:val="auto"/>
        </w:rPr>
        <w:t>Conflict Minerals</w:t>
      </w:r>
      <w:r>
        <w:rPr>
          <w:rFonts w:ascii="Times New Roman" w:cs="Times New Roman" w:eastAsia="Times New Roman" w:hAnsi="Times New Roman"/>
          <w:sz w:val="18"/>
          <w:szCs w:val="18"/>
          <w:color w:val="auto"/>
        </w:rPr>
        <w:t>” as directed by the Dodd-Frank Wall Street Reform and Consumer Protection Act of 2010 (the “</w:t>
      </w:r>
      <w:r>
        <w:rPr>
          <w:rFonts w:ascii="Times New Roman" w:cs="Times New Roman" w:eastAsia="Times New Roman" w:hAnsi="Times New Roman"/>
          <w:sz w:val="18"/>
          <w:szCs w:val="18"/>
          <w:b w:val="1"/>
          <w:bCs w:val="1"/>
          <w:color w:val="auto"/>
        </w:rPr>
        <w:t>Dodd-Frank Act</w:t>
      </w:r>
      <w:r>
        <w:rPr>
          <w:rFonts w:ascii="Times New Roman" w:cs="Times New Roman" w:eastAsia="Times New Roman" w:hAnsi="Times New Roman"/>
          <w:sz w:val="18"/>
          <w:szCs w:val="18"/>
          <w:color w:val="auto"/>
        </w:rPr>
        <w:t>”). Conflict Minerals are defined by the SEC as columbite-tantalite (coltan), cassiterite, gold, wolframite, or their derivatives, which are limited to tantalum, tin, and tungsten. The Rule imposes certain reporting obligations on companies whose securities are registered under the Exchange Act (“</w:t>
      </w:r>
      <w:r>
        <w:rPr>
          <w:rFonts w:ascii="Times New Roman" w:cs="Times New Roman" w:eastAsia="Times New Roman" w:hAnsi="Times New Roman"/>
          <w:sz w:val="18"/>
          <w:szCs w:val="18"/>
          <w:b w:val="1"/>
          <w:bCs w:val="1"/>
          <w:color w:val="auto"/>
        </w:rPr>
        <w:t>registrants</w:t>
      </w:r>
      <w:r>
        <w:rPr>
          <w:rFonts w:ascii="Times New Roman" w:cs="Times New Roman" w:eastAsia="Times New Roman" w:hAnsi="Times New Roman"/>
          <w:sz w:val="18"/>
          <w:szCs w:val="18"/>
          <w:color w:val="auto"/>
        </w:rPr>
        <w:t>”) whose products contain Conflict Minerals that are necessary for the functionality or production of their products. If a registrant has reason to believe that any of those Conflict Minerals may have originated in the Democratic Republic of the Congo (the “</w:t>
      </w:r>
      <w:r>
        <w:rPr>
          <w:rFonts w:ascii="Times New Roman" w:cs="Times New Roman" w:eastAsia="Times New Roman" w:hAnsi="Times New Roman"/>
          <w:sz w:val="18"/>
          <w:szCs w:val="18"/>
          <w:b w:val="1"/>
          <w:bCs w:val="1"/>
          <w:color w:val="auto"/>
        </w:rPr>
        <w:t>DRC</w:t>
      </w:r>
      <w:r>
        <w:rPr>
          <w:rFonts w:ascii="Times New Roman" w:cs="Times New Roman" w:eastAsia="Times New Roman" w:hAnsi="Times New Roman"/>
          <w:sz w:val="18"/>
          <w:szCs w:val="18"/>
          <w:color w:val="auto"/>
        </w:rPr>
        <w:t>”) or a country that shares an internationally recognized border with the DRC (collectively, “</w:t>
      </w:r>
      <w:r>
        <w:rPr>
          <w:rFonts w:ascii="Times New Roman" w:cs="Times New Roman" w:eastAsia="Times New Roman" w:hAnsi="Times New Roman"/>
          <w:sz w:val="18"/>
          <w:szCs w:val="18"/>
          <w:b w:val="1"/>
          <w:bCs w:val="1"/>
          <w:color w:val="auto"/>
        </w:rPr>
        <w:t>Covered Countries</w:t>
      </w:r>
      <w:r>
        <w:rPr>
          <w:rFonts w:ascii="Times New Roman" w:cs="Times New Roman" w:eastAsia="Times New Roman" w:hAnsi="Times New Roman"/>
          <w:sz w:val="18"/>
          <w:szCs w:val="18"/>
          <w:color w:val="auto"/>
        </w:rPr>
        <w:t>”) or is unable to determine the country of origin of those Conflict Minerals, and is unable to determine that those Conflict Minerals originated solely from recycled and/or scrap sources, the registrant is required to submit a Conflict Minerals Report to the SEC that includes a description of the measures it took to exercise due diligence on the Conflict Minerals’ source and chain of custody. As part of the Company’s commitment to human rights, it has reviewed the supply chain for its products in accordance with the guidance provided by European Union (“</w:t>
      </w:r>
      <w:r>
        <w:rPr>
          <w:rFonts w:ascii="Times New Roman" w:cs="Times New Roman" w:eastAsia="Times New Roman" w:hAnsi="Times New Roman"/>
          <w:sz w:val="18"/>
          <w:szCs w:val="18"/>
          <w:b w:val="1"/>
          <w:bCs w:val="1"/>
          <w:color w:val="auto"/>
        </w:rPr>
        <w:t>EU</w:t>
      </w:r>
      <w:r>
        <w:rPr>
          <w:rFonts w:ascii="Times New Roman" w:cs="Times New Roman" w:eastAsia="Times New Roman" w:hAnsi="Times New Roman"/>
          <w:sz w:val="18"/>
          <w:szCs w:val="18"/>
          <w:color w:val="auto"/>
        </w:rPr>
        <w:t>”) regulations and has contacted its suppliers for information regarding Conflict Minerals that may have been sourced from conflict-affected or high-risk areas (“</w:t>
      </w:r>
      <w:r>
        <w:rPr>
          <w:rFonts w:ascii="Times New Roman" w:cs="Times New Roman" w:eastAsia="Times New Roman" w:hAnsi="Times New Roman"/>
          <w:sz w:val="18"/>
          <w:szCs w:val="18"/>
          <w:b w:val="1"/>
          <w:bCs w:val="1"/>
          <w:color w:val="auto"/>
        </w:rPr>
        <w:t>CAHRAs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Kornit develops, designs and markets innovative digital printing solutions for the global printed textile industry. Our vision is to facilitate the industry’s transition from analog processes to digital production methods that address contemporary supply, demand and environmental dynamics. We focus on the high throughput direct-to-garment (“</w:t>
      </w:r>
      <w:r>
        <w:rPr>
          <w:rFonts w:ascii="Times New Roman" w:cs="Times New Roman" w:eastAsia="Times New Roman" w:hAnsi="Times New Roman"/>
          <w:sz w:val="18"/>
          <w:szCs w:val="18"/>
          <w:b w:val="1"/>
          <w:bCs w:val="1"/>
          <w:color w:val="auto"/>
        </w:rPr>
        <w:t>DTG</w:t>
      </w:r>
      <w:r>
        <w:rPr>
          <w:rFonts w:ascii="Times New Roman" w:cs="Times New Roman" w:eastAsia="Times New Roman" w:hAnsi="Times New Roman"/>
          <w:sz w:val="18"/>
          <w:szCs w:val="18"/>
          <w:color w:val="auto"/>
        </w:rPr>
        <w:t>”), DTG Mass Production and Direct-to-Fabric segments of the printed textile industry. Our solutions include our proprietary digital printing systems, ink, and other consumables, associated software and value-added services that allow for printing large scale short and longer runs of complex images and designs directly on finished garments and fabrics. Our customers include fulfillers and demand generators, such as brands, licensors, and content creators, primarily within the fashion, apparel and home décor segments of the industry.</w:t>
      </w:r>
    </w:p>
    <w:p>
      <w:pPr>
        <w:spacing w:after="0" w:line="18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Our company was founded in 2002 in Israel, shipped its first system in 2005 and, as of December 31, 2025, had approximately 802 active customers globally. As of December 31, 2025, we had 633 employees located primarily across four regions: Israel, the Americas, Europe and Asia Pacific. In the year ended December 31, 2025, we generated revenues of $208.2 million, representing an increase of 2.1% as compared with the prior fiscal year. In the year ended December 31, 2025, we generated 58.7% of our revenues from the Americas region, 24.8% from the Europe, Middle East and Africa region, 10.6 % from the Asia Pacific region and 5.8 % from other regions.</w:t>
      </w:r>
    </w:p>
    <w:p>
      <w:pPr>
        <w:spacing w:after="0" w:line="183"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Our solutions significantly reduce production lead times and enable our customers to produce smaller quantities of individually printed designs more effectively, sustainably, and cost-efficiently compared to analog methods of production. While macroeconomic conditions, customer capacity utilization and foreign exchange movements may affect short-term demand and system utilization levels, growth in our installed base, including both traditionally sold systems and All-Inclusive Click (AIC™) deployments, has expanded our long-term recurring revenue opportunity. Our solutions are also differentiated from other digital methods of production because they eliminate the need to pre-treat fabrics prior to printing, thereby offering our customers the ability to digitally print high quality images and designs on a variety of fabrics in a streamlined and environmentally friendly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We have developed and offer a broad portfolio of differentiated digital printing solutions for the DTG market that provide answers to challenges faced by participants in the global printed textile industry. Our DTG solutions utilize our patented wet-on-wet printing methodology, which eliminates the common practice of separately coating and drying textiles prior to printing. This methodology also enables printing on a wide range of untreated fabrics, including cotton, wool, polyester, lycra, and denim. Our patented NeoPigment® ink and other consumables, have been specially formulated to be compatible with our systems and overcome the quality-related challenges that pigment-based inks have traditionally faced when used in digital printing. Our software solutions simplify workflows in the printing process, by offering a complete solution from web order intake through graphic job preparation and execution.</w:t>
      </w:r>
    </w:p>
    <w:p>
      <w:pPr>
        <w:spacing w:after="0" w:line="18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Building on the expertise and capabilities that we have accumulated in developing and offering differentiated solutions for the industrial DTG market, we also offer an industrial digital printing solution, the Presto MAX, which targets the on-demand Direct-to-Fabric market. While the DTG market generally involves printing on finished garments, the Direct-to-Fabric market is focused on printing on fabrics that are subsequently converted into finished garments, home décor, and other items. The Presto MAX, like our predecessor Direct-to-Fabric products, the Presto and the Allegro, utilize our proprietary wet-on-wet printing methodology and house an integrated drying and curing system. It offers the sole single-step, eco-friendly, stand-alone industrial Direct-to-Fabric digital textile printing solution available on the market, following its predecessors the Presto and the Allegro. We primarily sell the Presto MAX to innovative web-based businesses operating on-demand models that require a high degree of variety and limited quantity orders, as well as to fabric converters, which source large quantities of fabric and convert the untreated fabrics into finished materials to be sold to garment and home décor manufacturers. We believe that with the Presto MAX we are well positioned to take advantage of the growing trend towards customized fashion, home décor and on-demand fabric printing, where there is an increased focus on sustainable production. We began selling the Presto MAX commercially in 2021, two years after having introduced our Direct-to-Fabric digital textile printing solution, the Presto, in 2019.</w:t>
      </w:r>
    </w:p>
    <w:p>
      <w:pPr>
        <w:spacing w:after="0" w:line="192"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Our go-to-market strategy consists of a hybrid model of indirect and direct sales, with a trend towards adopting a direct sales model in certain key markets. We have historically generated a significant portion of our sales through a global network of independent distributors and value-added resellers that we refer to as our channel partners. Our channel partners, in turn, sell the solutions they purchase from us to customers for whom we provide installation services, or sell and install our solutions on their own. Our channel partners work closely with our sales force and assist us by identifying potential sales targets, closing new business, and maintaining relationships with, and, in certain jurisdictions, providing support directly to our customers.</w:t>
      </w:r>
    </w:p>
    <w:p>
      <w:pPr>
        <w:spacing w:after="0" w:line="183"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Our business model is characterized by an installed base of systems that drive recurring sales of ink and other consumables. Our ink and consumables are formulated to enable our systems to operate at high throughput levels while maintaining print quality. We continue to evaluate additional business models designed to address evolving customer needs.</w:t>
      </w:r>
    </w:p>
    <w:p>
      <w:pPr>
        <w:spacing w:after="0" w:line="176" w:lineRule="exact"/>
        <w:rPr>
          <w:sz w:val="20"/>
          <w:szCs w:val="20"/>
          <w:color w:val="auto"/>
        </w:rPr>
      </w:pPr>
    </w:p>
    <w:p>
      <w:pPr>
        <w:ind w:right="280" w:firstLine="648"/>
        <w:spacing w:after="0" w:line="256" w:lineRule="auto"/>
        <w:rPr>
          <w:sz w:val="20"/>
          <w:szCs w:val="20"/>
          <w:color w:val="auto"/>
        </w:rPr>
      </w:pPr>
      <w:r>
        <w:rPr>
          <w:rFonts w:ascii="Times New Roman" w:cs="Times New Roman" w:eastAsia="Times New Roman" w:hAnsi="Times New Roman"/>
          <w:sz w:val="18"/>
          <w:szCs w:val="18"/>
          <w:color w:val="auto"/>
        </w:rPr>
        <w:t>We seek to expand our global customer base, including web-to-print businesses and high-volume production environments. We also focus on increasing sales to existing customers, particularly sales of ink and other consumables. In addition, we pursue opportunities in the screen replacement market through our Apollo platform, which is designed to address high-volume production environments and expand our recurring consumables opportunity. We also evaluate opportunities to extend our serviceable addressable market by introducing new features and functionality that enhance the capabilities of our systems and inks and enable printing on additional media types. These initiatives are supported by continued investment in our sales organization, application development, product innovation and channel relationships.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We introduced the AIC™ model in 2024 as an alternative business model designed to expand access to our solutions and increase recurring revenue. In an AIC™ transaction, we provide a full solution to the customer, including the printing system, ink and other consumables, service, software and training, and the customer pays a fixed price per impression. Customers are ordinarily subject to minimum annual commitments, which are intended to provide a baseline level of recurring revenue, subject to customer performance and contractual terms, including termination fees in case of early termination.</w:t>
      </w:r>
    </w:p>
    <w:p>
      <w:pPr>
        <w:spacing w:after="0" w:line="1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auto"/>
        </w:rPr>
        <w:t>Conflict Mineral Rule Overview, Scope, and Covered Products:</w:t>
      </w:r>
    </w:p>
    <w:p>
      <w:pPr>
        <w:spacing w:after="0" w:line="225" w:lineRule="exact"/>
        <w:rPr>
          <w:sz w:val="20"/>
          <w:szCs w:val="20"/>
          <w:color w:val="auto"/>
        </w:rPr>
      </w:pPr>
    </w:p>
    <w:p>
      <w:pPr>
        <w:ind w:left="20" w:firstLine="632"/>
        <w:spacing w:after="0" w:line="262" w:lineRule="auto"/>
        <w:rPr>
          <w:sz w:val="20"/>
          <w:szCs w:val="20"/>
          <w:color w:val="auto"/>
        </w:rPr>
      </w:pPr>
      <w:r>
        <w:rPr>
          <w:rFonts w:ascii="Times New Roman" w:cs="Times New Roman" w:eastAsia="Times New Roman" w:hAnsi="Times New Roman"/>
          <w:sz w:val="18"/>
          <w:szCs w:val="18"/>
          <w:color w:val="auto"/>
        </w:rPr>
        <w:t xml:space="preserve">In accordance with our Conflict Minerals Policy, which can be viewed at: </w:t>
      </w:r>
      <w:r>
        <w:rPr>
          <w:rFonts w:ascii="Times New Roman" w:cs="Times New Roman" w:eastAsia="Times New Roman" w:hAnsi="Times New Roman"/>
          <w:sz w:val="18"/>
          <w:szCs w:val="18"/>
          <w:b w:val="1"/>
          <w:bCs w:val="1"/>
          <w:color w:val="auto"/>
        </w:rPr>
        <w:t>http://www.kornit.com/conflict-minerals-policy/</w:t>
      </w:r>
      <w:r>
        <w:rPr>
          <w:rFonts w:ascii="Times New Roman" w:cs="Times New Roman" w:eastAsia="Times New Roman" w:hAnsi="Times New Roman"/>
          <w:sz w:val="18"/>
          <w:szCs w:val="18"/>
          <w:color w:val="auto"/>
        </w:rPr>
        <w:t>, which is not incorporated by reference herein, we have concluded in good faith that during the 2025 calendar year, we have manufactured and contracted to manufacture products containing all four Conflict Minerals and have determined that the use of these minerals is necessary to the functionality or production of our products.</w:t>
      </w:r>
    </w:p>
    <w:p>
      <w:pPr>
        <w:spacing w:after="0" w:line="180"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Accordingly, we have conducted due diligence on our minerals supply chain according to the Organization for Economic Co-operation and Development (“</w:t>
      </w:r>
      <w:r>
        <w:rPr>
          <w:rFonts w:ascii="Times New Roman" w:cs="Times New Roman" w:eastAsia="Times New Roman" w:hAnsi="Times New Roman"/>
          <w:sz w:val="18"/>
          <w:szCs w:val="18"/>
          <w:b w:val="1"/>
          <w:bCs w:val="1"/>
          <w:color w:val="auto"/>
        </w:rPr>
        <w:t>OECD</w:t>
      </w:r>
      <w:r>
        <w:rPr>
          <w:rFonts w:ascii="Times New Roman" w:cs="Times New Roman" w:eastAsia="Times New Roman" w:hAnsi="Times New Roman"/>
          <w:sz w:val="18"/>
          <w:szCs w:val="18"/>
          <w:color w:val="auto"/>
        </w:rPr>
        <w:t>”) Due Diligence Guidance for Responsible Supply Chains of Minerals from Conflict-Affected and High-Risk Areas (2016) and related Supplements (the “</w:t>
      </w:r>
      <w:r>
        <w:rPr>
          <w:rFonts w:ascii="Times New Roman" w:cs="Times New Roman" w:eastAsia="Times New Roman" w:hAnsi="Times New Roman"/>
          <w:sz w:val="18"/>
          <w:szCs w:val="18"/>
          <w:b w:val="1"/>
          <w:bCs w:val="1"/>
          <w:color w:val="auto"/>
        </w:rPr>
        <w:t>OECD Due Diligence Guidance</w:t>
      </w:r>
      <w:r>
        <w:rPr>
          <w:rFonts w:ascii="Times New Roman" w:cs="Times New Roman" w:eastAsia="Times New Roman" w:hAnsi="Times New Roman"/>
          <w:sz w:val="18"/>
          <w:szCs w:val="18"/>
          <w:color w:val="auto"/>
        </w:rPr>
        <w:t>”). It should be noted that our company does not directly purchase or procure raw materials from the mine sites, as we are a downstream company. Instead, we (or our suppliers) purchase cassiterite, columbite-tantalite (coltan), wolframite, gold, or their derivatives, which presently are limited to tin, tantalum, tungsten, and gold (collectively “</w:t>
      </w:r>
      <w:r>
        <w:rPr>
          <w:rFonts w:ascii="Times New Roman" w:cs="Times New Roman" w:eastAsia="Times New Roman" w:hAnsi="Times New Roman"/>
          <w:sz w:val="18"/>
          <w:szCs w:val="18"/>
          <w:b w:val="1"/>
          <w:bCs w:val="1"/>
          <w:color w:val="auto"/>
        </w:rPr>
        <w:t>3TG</w:t>
      </w:r>
      <w:r>
        <w:rPr>
          <w:rFonts w:ascii="Times New Roman" w:cs="Times New Roman" w:eastAsia="Times New Roman" w:hAnsi="Times New Roman"/>
          <w:sz w:val="18"/>
          <w:szCs w:val="18"/>
          <w:color w:val="auto"/>
        </w:rPr>
        <w:t>”) - related materials, after processing by smelters or refiners.</w:t>
      </w:r>
    </w:p>
    <w:p>
      <w:pPr>
        <w:spacing w:after="0" w:line="187"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We are committed to ethical practices and compliance with all applicable laws and regulations, including responsible sourcing practices and ensuring that we do not benefit, directly or indirectly, from the propagation of armed conflict or human rights abuses in areas of conflict, such as the CAHRAs. The goal of our due diligence process is not to eliminate sourcing from the CAHRAs, but rather to ascertain, to our best possible knowledge and per the requirements of the Rule, the most reasonable country of origin of the Conflict Minerals that were necessary to the functionality or production of our products manufactured or contracted to manufacture in 2025, as detailed in the “</w:t>
      </w:r>
      <w:r>
        <w:rPr>
          <w:rFonts w:ascii="Times New Roman" w:cs="Times New Roman" w:eastAsia="Times New Roman" w:hAnsi="Times New Roman"/>
          <w:sz w:val="18"/>
          <w:szCs w:val="18"/>
          <w:i w:val="1"/>
          <w:iCs w:val="1"/>
          <w:color w:val="auto"/>
        </w:rPr>
        <w:t>Reasonable Country of Origin Inquiry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RCOI</w:t>
      </w:r>
      <w:r>
        <w:rPr>
          <w:rFonts w:ascii="Times New Roman" w:cs="Times New Roman" w:eastAsia="Times New Roman" w:hAnsi="Times New Roman"/>
          <w:sz w:val="18"/>
          <w:szCs w:val="18"/>
          <w:color w:val="auto"/>
        </w:rPr>
        <w:t>”)” section below, and (as described in the “</w:t>
      </w:r>
      <w:r>
        <w:rPr>
          <w:rFonts w:ascii="Times New Roman" w:cs="Times New Roman" w:eastAsia="Times New Roman" w:hAnsi="Times New Roman"/>
          <w:sz w:val="18"/>
          <w:szCs w:val="18"/>
          <w:i w:val="1"/>
          <w:iCs w:val="1"/>
          <w:color w:val="auto"/>
        </w:rPr>
        <w:t>Due Diligence Performed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section below) to reduce the risk that if the Conflict Minerals used in our products originated in the CAHRAs, they directly or indirectly financed armed groups in the CAHRAs.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Reasonable Country of Origin Inquiry (RCOI)</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In furtherance of our RCOI, we have contacted our suppliers for information regarding Conflict Minerals that may have been sourced from CAHRAs. We performed an RCOI simultaneously with the due diligence phase through which we sought to determine whether the Conflict Minerals necessary for the functionality or production of our products did or did not receive a compliant or active designation from the Responsible Minerals Initiative’s (“</w:t>
      </w:r>
      <w:r>
        <w:rPr>
          <w:rFonts w:ascii="Times New Roman" w:cs="Times New Roman" w:eastAsia="Times New Roman" w:hAnsi="Times New Roman"/>
          <w:sz w:val="18"/>
          <w:szCs w:val="18"/>
          <w:b w:val="1"/>
          <w:bCs w:val="1"/>
          <w:color w:val="auto"/>
        </w:rPr>
        <w:t>RMI</w:t>
      </w:r>
      <w:r>
        <w:rPr>
          <w:rFonts w:ascii="Times New Roman" w:cs="Times New Roman" w:eastAsia="Times New Roman" w:hAnsi="Times New Roman"/>
          <w:sz w:val="18"/>
          <w:szCs w:val="18"/>
          <w:color w:val="auto"/>
        </w:rPr>
        <w:t xml:space="preserve">”) independent smelter and refiner validation program,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Responsible Minerals Assurance Process (“</w:t>
      </w:r>
      <w:r>
        <w:rPr>
          <w:rFonts w:ascii="Times New Roman" w:cs="Times New Roman" w:eastAsia="Times New Roman" w:hAnsi="Times New Roman"/>
          <w:sz w:val="18"/>
          <w:szCs w:val="18"/>
          <w:b w:val="1"/>
          <w:bCs w:val="1"/>
          <w:color w:val="auto"/>
        </w:rPr>
        <w:t>RMAP</w:t>
      </w:r>
      <w:r>
        <w:rPr>
          <w:rFonts w:ascii="Times New Roman" w:cs="Times New Roman" w:eastAsia="Times New Roman" w:hAnsi="Times New Roman"/>
          <w:sz w:val="18"/>
          <w:szCs w:val="18"/>
          <w:color w:val="auto"/>
        </w:rPr>
        <w:t>”). This was conducted simultaneously due to the large number of applicable suppliers from which we source materials that we surveyed and the timeframe in which we needed to complete both the RCOI and due diligence efforts. Our RCOI employed several methods to assess whether the necessary Conflict Minerals in our products originated, or likely originated, from CAHRAs.</w:t>
      </w:r>
    </w:p>
    <w:p>
      <w:pPr>
        <w:spacing w:after="0" w:line="18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Based on our RCOI, we concluded that we have reason to believe that a portion of the Conflict Minerals that are necessary for the functionality of our products originated, or likely originated, in the CAHRAs, and have reason to believe that those necessary Conflict Minerals may not be from entirely recycled or scrap sources. As part of our commitment to responsible sourcing, we do not seek to eliminate the sourcing of Conflict Minerals from the CAHRAs, but rather to source the necessary minerals from sources that do not directly or indirectly finance or benefit armed groups in those locations. The results of our RCOI are set forth in </w:t>
      </w:r>
      <w:r>
        <w:rPr>
          <w:rFonts w:ascii="Times New Roman" w:cs="Times New Roman" w:eastAsia="Times New Roman" w:hAnsi="Times New Roman"/>
          <w:sz w:val="18"/>
          <w:szCs w:val="18"/>
          <w:u w:val="single" w:color="auto"/>
          <w:color w:val="auto"/>
        </w:rPr>
        <w:t>Annex 2</w:t>
      </w:r>
      <w:r>
        <w:rPr>
          <w:rFonts w:ascii="Times New Roman" w:cs="Times New Roman" w:eastAsia="Times New Roman" w:hAnsi="Times New Roman"/>
          <w:sz w:val="18"/>
          <w:szCs w:val="18"/>
          <w:color w:val="auto"/>
        </w:rPr>
        <w:t xml:space="preserve"> to this Conflict Minerals Report.</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Based on the conclusion of our RCOI, we conducted further due diligence activities and have detailed those efforts below in this Conflict Minerals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Report.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Due Diligence Design</w:t>
      </w:r>
    </w:p>
    <w:p>
      <w:pPr>
        <w:spacing w:after="0" w:line="22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In accordance with the Rule and Form SD, we undertook due diligence to determine whether the Conflict Minerals necessary for the functionality or production of our products, which were manufactured, or contracted to manufacture in 2025, originated from smelters or refiners (“</w:t>
      </w:r>
      <w:r>
        <w:rPr>
          <w:rFonts w:ascii="Times New Roman" w:cs="Times New Roman" w:eastAsia="Times New Roman" w:hAnsi="Times New Roman"/>
          <w:sz w:val="18"/>
          <w:szCs w:val="18"/>
          <w:b w:val="1"/>
          <w:bCs w:val="1"/>
          <w:color w:val="auto"/>
        </w:rPr>
        <w:t>SoRs</w:t>
      </w:r>
      <w:r>
        <w:rPr>
          <w:rFonts w:ascii="Times New Roman" w:cs="Times New Roman" w:eastAsia="Times New Roman" w:hAnsi="Times New Roman"/>
          <w:sz w:val="18"/>
          <w:szCs w:val="18"/>
          <w:color w:val="auto"/>
        </w:rPr>
        <w:t>”) that have received a compliant or active designation from the RMI’s RMAP third-party audit program for smelters or refiners. We designed our due diligence measures to be in conformity, in all material respects, with the internationally recognized due diligence framework as set forth in the OECD Due Diligence Guidance and related supplements for Conflict Minerals.</w:t>
      </w:r>
    </w:p>
    <w:p>
      <w:pPr>
        <w:spacing w:after="0" w:line="183"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five steps described in the OECD Due Diligence Guidance are: (1) establishment of strong internal company management systems; (2) identification and assessment of risks in the supply chain; (3) design and implementation of a strategy to respond to risks as they are identified; (4) carrying out independent third-party audits of smelters’ and refiners’ due diligence practices; and (5) reporting annually on supply chain due diligence.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Due Diligence Performed</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due diligence measures we undertook consisted primarily of:</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Establishing strong internal company management systems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reviewed and maintained our management systems that had been previously established through the following actions:</w:t>
      </w:r>
    </w:p>
    <w:p>
      <w:pPr>
        <w:spacing w:after="0" w:line="225" w:lineRule="exact"/>
        <w:rPr>
          <w:sz w:val="20"/>
          <w:szCs w:val="20"/>
          <w:color w:val="auto"/>
        </w:rPr>
      </w:pPr>
    </w:p>
    <w:p>
      <w:pPr>
        <w:jc w:val="both"/>
        <w:ind w:left="980" w:hanging="324"/>
        <w:spacing w:after="0" w:line="258"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Reinforced expectations to suppliers concerning smelters and refiners: As part of our policy, Kornit strives to only use 3TG minerals from smelters or refiners that have been audited and verified as conflict-free compliant or active by the RMAP and requires its suppliers to only source 3TG minerals from verified smelters or refiners. More information on our sourcing expectations of suppliers can be found in our Conflict Minerals Policy, which is available at the following link: http://www.kornit.com/conflict-minerals-policy/, which is not incorporated by reference herein.</w:t>
      </w:r>
    </w:p>
    <w:p>
      <w:pPr>
        <w:spacing w:after="0" w:line="210" w:lineRule="exact"/>
        <w:rPr>
          <w:rFonts w:ascii="Times New Roman" w:cs="Times New Roman" w:eastAsia="Times New Roman" w:hAnsi="Times New Roman"/>
          <w:sz w:val="18"/>
          <w:szCs w:val="18"/>
          <w:color w:val="auto"/>
        </w:rPr>
      </w:pPr>
    </w:p>
    <w:p>
      <w:pPr>
        <w:ind w:left="980" w:right="380" w:hanging="324"/>
        <w:spacing w:after="0" w:line="266"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Updated the Conflict Minerals Governance Charter to set the Conflict Minerals annual work plan including: our steps for compliance, objectives, timelines, internal management and cross functional team (such as supplier management, engineering, finance and legal) with identified roles and responsibilities, all to support supply chain due diligence.</w:t>
      </w:r>
    </w:p>
    <w:p>
      <w:pPr>
        <w:spacing w:after="0" w:line="202" w:lineRule="exact"/>
        <w:rPr>
          <w:rFonts w:ascii="Times New Roman" w:cs="Times New Roman" w:eastAsia="Times New Roman" w:hAnsi="Times New Roman"/>
          <w:sz w:val="18"/>
          <w:szCs w:val="18"/>
          <w:color w:val="auto"/>
        </w:rPr>
      </w:pPr>
    </w:p>
    <w:p>
      <w:pPr>
        <w:jc w:val="both"/>
        <w:ind w:left="980" w:right="80" w:hanging="324"/>
        <w:spacing w:after="0" w:line="266"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a process whereby we engage with suppliers and refer them to training materials online, materials that include an overview of the relevant Conflict Minerals regulations and provide instructions on how to respond to the due diligence survey (that was based on the Conflict Minerals Reporting Template of at least version 6.31 or above).</w:t>
      </w:r>
    </w:p>
    <w:p>
      <w:pPr>
        <w:spacing w:after="0" w:line="175" w:lineRule="exact"/>
        <w:rPr>
          <w:rFonts w:ascii="Times New Roman" w:cs="Times New Roman" w:eastAsia="Times New Roman" w:hAnsi="Times New Roman"/>
          <w:sz w:val="18"/>
          <w:szCs w:val="18"/>
          <w:color w:val="auto"/>
        </w:rPr>
      </w:pPr>
    </w:p>
    <w:p>
      <w:pPr>
        <w:ind w:left="980" w:right="40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Maintained a Conflict Minerals provision in our standard Terms and Conditions of Purchase to require suppliers to fully support Kornit’s efforts to keep its supply chain free from Conflict Minerals and comply with applicable governmental laws.</w:t>
      </w:r>
    </w:p>
    <w:p>
      <w:pPr>
        <w:spacing w:after="0" w:line="188"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Maintained a process whereby we communicate the due diligence efforts to customers, suppliers and other relevant functions in our organization, as applicable.</w:t>
      </w:r>
    </w:p>
    <w:p>
      <w:pPr>
        <w:spacing w:after="0" w:line="188" w:lineRule="exact"/>
        <w:rPr>
          <w:rFonts w:ascii="Times New Roman" w:cs="Times New Roman" w:eastAsia="Times New Roman" w:hAnsi="Times New Roman"/>
          <w:sz w:val="18"/>
          <w:szCs w:val="18"/>
          <w:color w:val="auto"/>
        </w:rPr>
      </w:pPr>
    </w:p>
    <w:p>
      <w:pPr>
        <w:ind w:left="980" w:right="36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Maintained a grievance mechanism whereby concerns and violations of the Conflict Minerals Policy should be reported to Kornit’s Chief Financial Officer and/or Global Product Regulation and Sustainability Manager (at Nir.Gonen@kornit.com).</w:t>
      </w:r>
    </w:p>
    <w:p>
      <w:pPr>
        <w:spacing w:after="0" w:line="18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relevant records for a minimum of five years.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2. Identifying and assessing risks in the supply chain</w:t>
      </w:r>
    </w:p>
    <w:p>
      <w:pPr>
        <w:spacing w:after="0" w:line="229" w:lineRule="exact"/>
        <w:rPr>
          <w:sz w:val="20"/>
          <w:szCs w:val="20"/>
          <w:color w:val="auto"/>
        </w:rPr>
      </w:pPr>
    </w:p>
    <w:p>
      <w:pPr>
        <w:jc w:val="both"/>
        <w:ind w:right="220" w:firstLine="641"/>
        <w:spacing w:after="0" w:line="266" w:lineRule="auto"/>
        <w:rPr>
          <w:sz w:val="20"/>
          <w:szCs w:val="20"/>
          <w:color w:val="auto"/>
        </w:rPr>
      </w:pPr>
      <w:r>
        <w:rPr>
          <w:rFonts w:ascii="Times New Roman" w:cs="Times New Roman" w:eastAsia="Times New Roman" w:hAnsi="Times New Roman"/>
          <w:sz w:val="18"/>
          <w:szCs w:val="18"/>
          <w:color w:val="auto"/>
        </w:rPr>
        <w:t>As part of our risk-based approach, we have decided to focus on electronics suppliers and manufacturers. We assessed two primary risks in our supply chain: (1) the risk of not receiving timely and accurate information from the supplier; and (2) the risk of not being able to replace a supplier while trying to move towards the goal of responsibly sourcing all of the minerals and/or materials used in our products.</w:t>
      </w:r>
    </w:p>
    <w:p>
      <w:pPr>
        <w:spacing w:after="0" w:line="176" w:lineRule="exact"/>
        <w:rPr>
          <w:sz w:val="20"/>
          <w:szCs w:val="20"/>
          <w:color w:val="auto"/>
        </w:rPr>
      </w:pPr>
    </w:p>
    <w:p>
      <w:pPr>
        <w:ind w:right="40" w:firstLine="641"/>
        <w:spacing w:after="0" w:line="261" w:lineRule="auto"/>
        <w:rPr>
          <w:sz w:val="20"/>
          <w:szCs w:val="20"/>
          <w:color w:val="auto"/>
        </w:rPr>
      </w:pPr>
      <w:r>
        <w:rPr>
          <w:rFonts w:ascii="Times New Roman" w:cs="Times New Roman" w:eastAsia="Times New Roman" w:hAnsi="Times New Roman"/>
          <w:sz w:val="18"/>
          <w:szCs w:val="18"/>
          <w:color w:val="auto"/>
        </w:rPr>
        <w:t>Based on this assessment method, we segmented our suppliers into three risk levels (high, medium and low). In order to allow us to invest our risk management efforts according to the supplier level of risk, we referred to Conflict Minerals-related risks based on a supplier’s characteristics, such as: the volume of our spending with that supplier during 2025 and the extent to which we are dependent upon any particular supplier or, conversely, the availability of alternative suppliers.</w:t>
      </w:r>
    </w:p>
    <w:p>
      <w:pPr>
        <w:spacing w:after="0" w:line="180" w:lineRule="exact"/>
        <w:rPr>
          <w:sz w:val="20"/>
          <w:szCs w:val="20"/>
          <w:color w:val="auto"/>
        </w:rPr>
      </w:pPr>
    </w:p>
    <w:p>
      <w:pPr>
        <w:ind w:firstLine="641"/>
        <w:spacing w:after="0" w:line="256" w:lineRule="auto"/>
        <w:rPr>
          <w:sz w:val="20"/>
          <w:szCs w:val="20"/>
          <w:color w:val="auto"/>
        </w:rPr>
      </w:pPr>
      <w:r>
        <w:rPr>
          <w:rFonts w:ascii="Times New Roman" w:cs="Times New Roman" w:eastAsia="Times New Roman" w:hAnsi="Times New Roman"/>
          <w:sz w:val="18"/>
          <w:szCs w:val="18"/>
          <w:color w:val="auto"/>
        </w:rPr>
        <w:t xml:space="preserve">We sent periodic reminders to any non-responsive suppliers to provide surveys or updated responses. We have identified, to the best of our efforts, the smelters/refiners in the supply chain by conducting a supply chain survey using the CMRT version 6.31 and above, which requests suppliers and manufactures to identify smelters or refiners and the country of origin, or likely country of origin, of the conflict minerals in the products that they supply to us. In addition, we compared smelters or refiners identified in the supply chain survey against the list of facilities that have received a compliant or active designation from RMAP, or other independent third-party audit programs. We documented the country of origin, or likely country of origin, information for the smelters or refiners identified in the supply chain survey as provided from the different sources, as reported in </w:t>
      </w:r>
      <w:r>
        <w:rPr>
          <w:rFonts w:ascii="Times New Roman" w:cs="Times New Roman" w:eastAsia="Times New Roman" w:hAnsi="Times New Roman"/>
          <w:sz w:val="18"/>
          <w:szCs w:val="18"/>
          <w:u w:val="single" w:color="auto"/>
          <w:color w:val="auto"/>
        </w:rPr>
        <w:t>Annex 2</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Designing and implementing a strategy to respond to identified risks</w:t>
      </w:r>
    </w:p>
    <w:p>
      <w:pPr>
        <w:spacing w:after="0" w:line="229" w:lineRule="exact"/>
        <w:rPr>
          <w:sz w:val="20"/>
          <w:szCs w:val="20"/>
          <w:color w:val="auto"/>
        </w:rPr>
      </w:pPr>
    </w:p>
    <w:p>
      <w:pPr>
        <w:ind w:right="40" w:firstLine="641"/>
        <w:spacing w:after="0" w:line="261" w:lineRule="auto"/>
        <w:rPr>
          <w:sz w:val="20"/>
          <w:szCs w:val="20"/>
          <w:color w:val="auto"/>
        </w:rPr>
      </w:pPr>
      <w:r>
        <w:rPr>
          <w:rFonts w:ascii="Times New Roman" w:cs="Times New Roman" w:eastAsia="Times New Roman" w:hAnsi="Times New Roman"/>
          <w:sz w:val="18"/>
          <w:szCs w:val="18"/>
          <w:color w:val="auto"/>
        </w:rPr>
        <w:t>The findings of the supply chain risk assessment and due diligence process are reported to designated members of our senior management team — our CEO, CFO, EVP Operations, General Counsel and ESG Director, and Supply Chain Director, who are updated regarding major findings and/or red flags, as they arise. As part of our risk management strategy, we continue to conduct business with any flagged supplier while we investigate such supplier’s’ sourcing practices.</w:t>
      </w:r>
    </w:p>
    <w:p>
      <w:pPr>
        <w:spacing w:after="0" w:line="180" w:lineRule="exact"/>
        <w:rPr>
          <w:sz w:val="20"/>
          <w:szCs w:val="20"/>
          <w:color w:val="auto"/>
        </w:rPr>
      </w:pPr>
    </w:p>
    <w:p>
      <w:pPr>
        <w:jc w:val="both"/>
        <w:ind w:right="80" w:firstLine="641"/>
        <w:spacing w:after="0" w:line="266" w:lineRule="auto"/>
        <w:rPr>
          <w:sz w:val="20"/>
          <w:szCs w:val="20"/>
          <w:color w:val="auto"/>
        </w:rPr>
      </w:pPr>
      <w:r>
        <w:rPr>
          <w:rFonts w:ascii="Times New Roman" w:cs="Times New Roman" w:eastAsia="Times New Roman" w:hAnsi="Times New Roman"/>
          <w:sz w:val="18"/>
          <w:szCs w:val="18"/>
          <w:color w:val="auto"/>
        </w:rPr>
        <w:t>We contact suppliers whose responses are identified as incomplete, inconsistent or inaccurate. We also review supplier responses to track smelters or refiners in our supply chain that supply us with Conflict Minerals and have not received a compliant or active designation based on the RMI’s RMAP or other independent third-party validation programs.</w:t>
      </w:r>
    </w:p>
    <w:p>
      <w:pPr>
        <w:spacing w:after="0" w:line="176" w:lineRule="exact"/>
        <w:rPr>
          <w:sz w:val="20"/>
          <w:szCs w:val="20"/>
          <w:color w:val="auto"/>
        </w:rPr>
      </w:pPr>
    </w:p>
    <w:p>
      <w:pPr>
        <w:ind w:right="60" w:firstLine="641"/>
        <w:spacing w:after="0" w:line="261" w:lineRule="auto"/>
        <w:rPr>
          <w:sz w:val="20"/>
          <w:szCs w:val="20"/>
          <w:color w:val="auto"/>
        </w:rPr>
      </w:pPr>
      <w:r>
        <w:rPr>
          <w:rFonts w:ascii="Times New Roman" w:cs="Times New Roman" w:eastAsia="Times New Roman" w:hAnsi="Times New Roman"/>
          <w:sz w:val="18"/>
          <w:szCs w:val="18"/>
          <w:color w:val="auto"/>
        </w:rPr>
        <w:t>We referred suppliers to training materials online that included an overview of the Rule and instructions on how to complete the Conflict Minerals Reporting Template. We also sent follow up letters to unresponsive suppliers as well as those suppliers that declared the existence of Conflict Minerals in their supply chain from the CAHRAs from uncertified smelters or refiners, according to the RMI’s Standard Smelter List that provides an indication of all of the smelters or refiners that are conformant or active according to the RMAP audit. These are suppliers that we classify as high risk.</w:t>
      </w:r>
    </w:p>
    <w:p>
      <w:pPr>
        <w:spacing w:after="0" w:line="180" w:lineRule="exact"/>
        <w:rPr>
          <w:sz w:val="20"/>
          <w:szCs w:val="20"/>
          <w:color w:val="auto"/>
        </w:rPr>
      </w:pPr>
    </w:p>
    <w:p>
      <w:pPr>
        <w:ind w:right="200" w:firstLine="641"/>
        <w:spacing w:after="0" w:line="266" w:lineRule="auto"/>
        <w:rPr>
          <w:sz w:val="20"/>
          <w:szCs w:val="20"/>
          <w:color w:val="auto"/>
        </w:rPr>
      </w:pPr>
      <w:r>
        <w:rPr>
          <w:rFonts w:ascii="Times New Roman" w:cs="Times New Roman" w:eastAsia="Times New Roman" w:hAnsi="Times New Roman"/>
          <w:sz w:val="18"/>
          <w:szCs w:val="18"/>
          <w:color w:val="auto"/>
        </w:rPr>
        <w:t>Our supply chain due diligence is a dynamic process and requires on-going risk monitoring. Therefore, after implementing our risk mitigation strategy, we repeat Step 2 of the OECD guidelines to ensure effective management of risks. We have established procedures for employees, stakeholders, direct suppliers, and customers to communicate concerns about our responsible sourcing policies.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4. Carrying out/reviewing independent third-party audits of smelter/refiner due diligence practices</w:t>
      </w:r>
    </w:p>
    <w:p>
      <w:pPr>
        <w:spacing w:after="0" w:line="229" w:lineRule="exact"/>
        <w:rPr>
          <w:sz w:val="20"/>
          <w:szCs w:val="20"/>
          <w:color w:val="auto"/>
        </w:rPr>
      </w:pPr>
    </w:p>
    <w:p>
      <w:pPr>
        <w:ind w:right="60" w:firstLine="641"/>
        <w:spacing w:after="0" w:line="258" w:lineRule="auto"/>
        <w:rPr>
          <w:sz w:val="20"/>
          <w:szCs w:val="20"/>
          <w:color w:val="auto"/>
        </w:rPr>
      </w:pPr>
      <w:r>
        <w:rPr>
          <w:rFonts w:ascii="Times New Roman" w:cs="Times New Roman" w:eastAsia="Times New Roman" w:hAnsi="Times New Roman"/>
          <w:sz w:val="18"/>
          <w:szCs w:val="18"/>
          <w:color w:val="auto"/>
        </w:rPr>
        <w:t xml:space="preserve">We are a downstream company and are multiple layers removed from the smelters or refiners that directly process the minerals and mineral ores that are essential to the production or functionality of our products,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the necessary Conflict Minerals. Our constitution as a downstream company means that we do not directly perform audits of the smelters or refiners in its mineral supply chain. As a result, our due diligence efforts relied on reviewing information on the status of smelters or refiners participating in third-party audit programs and cross-industry initiatives, such as those led by the RMI’s RMAP.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Preparing an annual report on supply chain due diligence</w:t>
      </w:r>
    </w:p>
    <w:p>
      <w:pPr>
        <w:spacing w:after="0" w:line="229" w:lineRule="exact"/>
        <w:rPr>
          <w:sz w:val="20"/>
          <w:szCs w:val="20"/>
          <w:color w:val="auto"/>
        </w:rPr>
      </w:pPr>
    </w:p>
    <w:p>
      <w:pPr>
        <w:ind w:right="240" w:firstLine="649"/>
        <w:spacing w:after="0" w:line="263" w:lineRule="auto"/>
        <w:rPr>
          <w:sz w:val="20"/>
          <w:szCs w:val="20"/>
          <w:color w:val="auto"/>
        </w:rPr>
      </w:pPr>
      <w:r>
        <w:rPr>
          <w:rFonts w:ascii="Times New Roman" w:cs="Times New Roman" w:eastAsia="Times New Roman" w:hAnsi="Times New Roman"/>
          <w:sz w:val="18"/>
          <w:szCs w:val="18"/>
          <w:color w:val="auto"/>
        </w:rPr>
        <w:t xml:space="preserve">Kornit’s Conflict Mineral Policy states that we will comply with Section 1502 of the Dodd Frank Act, which includes filing a Form SD and this Conflict Minerals Report with the SEC annually and posting such report publicly on our website at: </w:t>
      </w:r>
      <w:r>
        <w:rPr>
          <w:rFonts w:ascii="Times New Roman" w:cs="Times New Roman" w:eastAsia="Times New Roman" w:hAnsi="Times New Roman"/>
          <w:sz w:val="18"/>
          <w:szCs w:val="18"/>
          <w:b w:val="1"/>
          <w:bCs w:val="1"/>
          <w:color w:val="auto"/>
        </w:rPr>
        <w:t xml:space="preserve">https://ir.kornit.com/financial-information/sec-filings?items_per_page=10&amp;page=2 </w:t>
      </w:r>
      <w:r>
        <w:rPr>
          <w:rFonts w:ascii="Times New Roman" w:cs="Times New Roman" w:eastAsia="Times New Roman" w:hAnsi="Times New Roman"/>
          <w:sz w:val="18"/>
          <w:szCs w:val="18"/>
          <w:color w:val="auto"/>
        </w:rPr>
        <w:t>. We have included such report on our website for the calendar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 of 2025.</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Assessment</w:t>
      </w:r>
    </w:p>
    <w:p>
      <w:pPr>
        <w:spacing w:after="0" w:line="225" w:lineRule="exact"/>
        <w:rPr>
          <w:sz w:val="20"/>
          <w:szCs w:val="20"/>
          <w:color w:val="auto"/>
        </w:rPr>
      </w:pPr>
    </w:p>
    <w:p>
      <w:pPr>
        <w:ind w:right="60" w:firstLine="648"/>
        <w:spacing w:after="0" w:line="274" w:lineRule="auto"/>
        <w:rPr>
          <w:sz w:val="20"/>
          <w:szCs w:val="20"/>
          <w:color w:val="auto"/>
        </w:rPr>
      </w:pPr>
      <w:r>
        <w:rPr>
          <w:rFonts w:ascii="Times New Roman" w:cs="Times New Roman" w:eastAsia="Times New Roman" w:hAnsi="Times New Roman"/>
          <w:sz w:val="17"/>
          <w:szCs w:val="17"/>
          <w:color w:val="auto"/>
        </w:rPr>
        <w:t xml:space="preserve">We conducted a supply-chain survey of the </w:t>
      </w:r>
      <w:r>
        <w:rPr>
          <w:rFonts w:ascii="Times New Roman" w:cs="Times New Roman" w:eastAsia="Times New Roman" w:hAnsi="Times New Roman"/>
          <w:sz w:val="17"/>
          <w:szCs w:val="17"/>
          <w:b w:val="1"/>
          <w:bCs w:val="1"/>
          <w:color w:val="auto"/>
        </w:rPr>
        <w:t>375</w:t>
      </w:r>
      <w:r>
        <w:rPr>
          <w:rFonts w:ascii="Times New Roman" w:cs="Times New Roman" w:eastAsia="Times New Roman" w:hAnsi="Times New Roman"/>
          <w:sz w:val="17"/>
          <w:szCs w:val="17"/>
          <w:color w:val="auto"/>
        </w:rPr>
        <w:t xml:space="preserve"> direct suppliers and manufacturers that we identified as contributing the necessary Conflict Minerals to our products. Based on the survey, we are unable to determine with any level of certainty as to whether or not the Conflict Minerals used in our products may or may not have directly or indirectly financed armed groups in the CAHRAs. The overall response rate to our survey was approximately</w:t>
      </w:r>
    </w:p>
    <w:p>
      <w:pPr>
        <w:spacing w:after="0" w:line="1" w:lineRule="exact"/>
        <w:rPr>
          <w:sz w:val="20"/>
          <w:szCs w:val="20"/>
          <w:color w:val="auto"/>
        </w:rPr>
      </w:pPr>
    </w:p>
    <w:p>
      <w:pPr>
        <w:ind w:right="180"/>
        <w:spacing w:after="0" w:line="209" w:lineRule="auto"/>
        <w:rPr>
          <w:sz w:val="20"/>
          <w:szCs w:val="20"/>
          <w:color w:val="auto"/>
        </w:rPr>
      </w:pPr>
      <w:r>
        <w:rPr>
          <w:rFonts w:ascii="Times New Roman" w:cs="Times New Roman" w:eastAsia="Times New Roman" w:hAnsi="Times New Roman"/>
          <w:sz w:val="18"/>
          <w:szCs w:val="18"/>
          <w:color w:val="auto"/>
        </w:rPr>
        <w:t>79.94%</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which responses contained the names and locations of smelters or refiners (see Annex 1) and the reported countries of origin (see Annex 2) that process Conflict Minerals used in our products.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Of the relevant suppliers that responded to the supply chain inquiry in 2025:</w:t>
            </w: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72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   1.38% of suppliers were classified as “DRC conflict free”</w:t>
            </w: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59"/>
        </w:trPr>
        <w:tc>
          <w:tcPr>
            <w:tcW w:w="72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   3.67% of suppliers were classified as “Free no 3TG”</w:t>
            </w: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59"/>
        </w:trPr>
        <w:tc>
          <w:tcPr>
            <w:tcW w:w="72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   37.61% of suppliers were classified as “Undefined from DRC”</w:t>
            </w: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59"/>
        </w:trPr>
        <w:tc>
          <w:tcPr>
            <w:tcW w:w="72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   5.96% of suppliers were classified as “Undetermined not from DRC”</w:t>
            </w: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59"/>
        </w:trPr>
        <w:tc>
          <w:tcPr>
            <w:tcW w:w="72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   16.51% of suppliers were classified as “Undetermined from DRC”</w:t>
            </w: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59"/>
        </w:trPr>
        <w:tc>
          <w:tcPr>
            <w:tcW w:w="72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   34.86% of suppliers were classified as “Not from DRC”</w:t>
            </w: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52"/>
        </w:trPr>
        <w:tc>
          <w:tcPr>
            <w:tcW w:w="7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Status</w:t>
            </w:r>
          </w:p>
        </w:tc>
        <w:tc>
          <w:tcPr>
            <w:tcW w:w="12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bottom w:val="single" w:sz="8" w:color="CCEEFF"/>
            </w:tcBorders>
          </w:tcPr>
          <w:p>
            <w:pPr>
              <w:spacing w:after="0"/>
              <w:rPr>
                <w:sz w:val="24"/>
                <w:szCs w:val="24"/>
                <w:color w:val="auto"/>
              </w:rPr>
            </w:pPr>
          </w:p>
        </w:tc>
      </w:tr>
      <w:tr>
        <w:trPr>
          <w:trHeight w:val="21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Completed CMRT</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62.14%</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73.97%</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79.94%</w:t>
            </w:r>
          </w:p>
        </w:tc>
      </w:tr>
      <w:tr>
        <w:trPr>
          <w:trHeight w:val="216"/>
        </w:trPr>
        <w:tc>
          <w:tcPr>
            <w:tcW w:w="99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Out of the suppliers that completed the CMRT in the respective years, the following percentages of suppliers can be classified as follows:</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DRC conflict free</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0.89%</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1.07%</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1.38%</w:t>
            </w:r>
          </w:p>
        </w:tc>
      </w:tr>
      <w:tr>
        <w:trPr>
          <w:trHeight w:val="216"/>
        </w:trPr>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Free no 3TG</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10.71%</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8.18%</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3.67%</w:t>
            </w:r>
          </w:p>
        </w:tc>
      </w:tr>
      <w:tr>
        <w:trPr>
          <w:trHeight w:val="216"/>
        </w:trPr>
        <w:tc>
          <w:tcPr>
            <w:tcW w:w="7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Undefined from DRC</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12.5%</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20.64%</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37.61%</w:t>
            </w:r>
          </w:p>
        </w:tc>
      </w:tr>
      <w:tr>
        <w:trPr>
          <w:trHeight w:val="216"/>
        </w:trPr>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Undetermined not from DRC</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12.05%</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7.12%</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5.96%</w:t>
            </w:r>
          </w:p>
        </w:tc>
      </w:tr>
      <w:tr>
        <w:trPr>
          <w:trHeight w:val="216"/>
        </w:trPr>
        <w:tc>
          <w:tcPr>
            <w:tcW w:w="7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Undetermined from DRC</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32.59%</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19.93%</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16.51%</w:t>
            </w:r>
          </w:p>
        </w:tc>
      </w:tr>
      <w:tr>
        <w:trPr>
          <w:trHeight w:val="234"/>
        </w:trPr>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 from DRC</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31.25%</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43.06%</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34.86%</w:t>
            </w:r>
          </w:p>
        </w:tc>
      </w:tr>
    </w:tbl>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terms above have the following meaning as part of our due diligence efforts:</w:t>
      </w:r>
    </w:p>
    <w:p>
      <w:pPr>
        <w:spacing w:after="0" w:line="221" w:lineRule="exact"/>
        <w:rPr>
          <w:sz w:val="20"/>
          <w:szCs w:val="20"/>
          <w:color w:val="auto"/>
        </w:rPr>
      </w:pPr>
    </w:p>
    <w:p>
      <w:pPr>
        <w:ind w:left="980" w:right="260" w:hanging="319"/>
        <w:spacing w:after="0" w:line="286" w:lineRule="auto"/>
        <w:tabs>
          <w:tab w:leader="none" w:pos="960" w:val="left"/>
        </w:tabs>
        <w:rPr>
          <w:sz w:val="20"/>
          <w:szCs w:val="20"/>
          <w:color w:val="auto"/>
        </w:rPr>
      </w:pPr>
      <w:r>
        <w:rPr>
          <w:rFonts w:ascii="Times New Roman" w:cs="Times New Roman" w:eastAsia="Times New Roman" w:hAnsi="Times New Roman"/>
          <w:sz w:val="18"/>
          <w:szCs w:val="18"/>
          <w:color w:val="auto"/>
        </w:rPr>
        <w:t>●</w:t>
        <w:tab/>
        <w:t>“</w:t>
      </w:r>
      <w:r>
        <w:rPr>
          <w:rFonts w:ascii="Times New Roman" w:cs="Times New Roman" w:eastAsia="Times New Roman" w:hAnsi="Times New Roman"/>
          <w:sz w:val="18"/>
          <w:szCs w:val="18"/>
          <w:b w:val="1"/>
          <w:bCs w:val="1"/>
          <w:color w:val="auto"/>
        </w:rPr>
        <w:t>DRC conflict free</w:t>
      </w:r>
      <w:r>
        <w:rPr>
          <w:rFonts w:ascii="Times New Roman" w:cs="Times New Roman" w:eastAsia="Times New Roman" w:hAnsi="Times New Roman"/>
          <w:sz w:val="18"/>
          <w:szCs w:val="18"/>
          <w:color w:val="auto"/>
        </w:rPr>
        <w:t>” indicates the suppliers that reported that the Conflict Minerals being used in the products provided to Kornit originate from the DRC or the Covered Countries, but the smelters or refiners are approved by the RMI’s RMAP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178308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69"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30"/>
          <w:szCs w:val="30"/>
          <w:color w:val="auto"/>
          <w:vertAlign w:val="superscript"/>
        </w:rPr>
        <w:t>1</w:t>
      </w:r>
      <w:r>
        <w:rPr>
          <w:sz w:val="20"/>
          <w:szCs w:val="20"/>
          <w:color w:val="auto"/>
        </w:rPr>
        <w:tab/>
      </w:r>
      <w:r>
        <w:rPr>
          <w:rFonts w:ascii="Times New Roman" w:cs="Times New Roman" w:eastAsia="Times New Roman" w:hAnsi="Times New Roman"/>
          <w:sz w:val="18"/>
          <w:szCs w:val="18"/>
          <w:color w:val="auto"/>
        </w:rPr>
        <w:t>The response rate includes those who reported with the new version and without it.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ind w:left="980" w:right="40" w:hanging="324"/>
        <w:spacing w:after="0" w:line="286"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Free no 3TG</w:t>
      </w:r>
      <w:r>
        <w:rPr>
          <w:rFonts w:ascii="Times New Roman" w:cs="Times New Roman" w:eastAsia="Times New Roman" w:hAnsi="Times New Roman"/>
          <w:sz w:val="18"/>
          <w:szCs w:val="18"/>
          <w:color w:val="auto"/>
        </w:rPr>
        <w:t>” indicates the suppliers that reported that Conflict Minerals are not contained in, nor are they necessary for the functionality or included in the production of, the products provided to Kornit.</w:t>
      </w:r>
    </w:p>
    <w:p>
      <w:pPr>
        <w:spacing w:after="0" w:line="154" w:lineRule="exact"/>
        <w:rPr>
          <w:rFonts w:ascii="Times New Roman" w:cs="Times New Roman" w:eastAsia="Times New Roman" w:hAnsi="Times New Roman"/>
          <w:sz w:val="18"/>
          <w:szCs w:val="18"/>
          <w:color w:val="auto"/>
        </w:rPr>
      </w:pPr>
    </w:p>
    <w:p>
      <w:pPr>
        <w:ind w:left="980" w:hanging="324"/>
        <w:spacing w:after="0" w:line="286"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Undefined from DRC”</w:t>
      </w:r>
      <w:r>
        <w:rPr>
          <w:rFonts w:ascii="Times New Roman" w:cs="Times New Roman" w:eastAsia="Times New Roman" w:hAnsi="Times New Roman"/>
          <w:sz w:val="18"/>
          <w:szCs w:val="18"/>
          <w:color w:val="auto"/>
        </w:rPr>
        <w:t xml:space="preserve"> indicates the suppliers that reported the Conflict Minerals being used in the products provided to Kornit originate, or likely originate, from the DRC or the Covered Countries. The smelters or refiners are not approved by the RMI’s RMAP.</w:t>
      </w:r>
    </w:p>
    <w:p>
      <w:pPr>
        <w:spacing w:after="0" w:line="154" w:lineRule="exact"/>
        <w:rPr>
          <w:rFonts w:ascii="Times New Roman" w:cs="Times New Roman" w:eastAsia="Times New Roman" w:hAnsi="Times New Roman"/>
          <w:sz w:val="18"/>
          <w:szCs w:val="18"/>
          <w:color w:val="auto"/>
        </w:rPr>
      </w:pPr>
    </w:p>
    <w:p>
      <w:pPr>
        <w:ind w:left="980" w:right="140" w:hanging="324"/>
        <w:spacing w:after="0" w:line="268"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Undetermined not from DRC</w:t>
      </w:r>
      <w:r>
        <w:rPr>
          <w:rFonts w:ascii="Times New Roman" w:cs="Times New Roman" w:eastAsia="Times New Roman" w:hAnsi="Times New Roman"/>
          <w:sz w:val="18"/>
          <w:szCs w:val="18"/>
          <w:color w:val="auto"/>
        </w:rPr>
        <w:t>” indicates the suppliers that reported the Conflict Minerals being used in the products do not originate from the DRC or the Covered Countries, but that they have not yet concluded their due diligence process so this determination could potentially change. Due diligence for these in-scope suppliers will continue until the status changes or is confirmed.</w:t>
      </w:r>
    </w:p>
    <w:p>
      <w:pPr>
        <w:spacing w:after="0" w:line="170" w:lineRule="exact"/>
        <w:rPr>
          <w:rFonts w:ascii="Times New Roman" w:cs="Times New Roman" w:eastAsia="Times New Roman" w:hAnsi="Times New Roman"/>
          <w:sz w:val="18"/>
          <w:szCs w:val="18"/>
          <w:color w:val="auto"/>
        </w:rPr>
      </w:pPr>
    </w:p>
    <w:p>
      <w:pPr>
        <w:ind w:left="980" w:right="80" w:hanging="324"/>
        <w:spacing w:after="0" w:line="26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Undetermined from DRC</w:t>
      </w:r>
      <w:r>
        <w:rPr>
          <w:rFonts w:ascii="Times New Roman" w:cs="Times New Roman" w:eastAsia="Times New Roman" w:hAnsi="Times New Roman"/>
          <w:sz w:val="18"/>
          <w:szCs w:val="18"/>
          <w:color w:val="auto"/>
        </w:rPr>
        <w:t>” indicates the suppliers that reported that the Conflict Minerals being used in the products provided to Kornit originate, or likely originate, in the DRC or the Covered Countries and the smelters or refiners are approved by the RMI RMAP program, but they have not yet concluded their due diligence process, so this determination can potentially change. Due diligence for these in-scope suppliers will continue until the status changes or is confirmed.</w:t>
      </w:r>
    </w:p>
    <w:p>
      <w:pPr>
        <w:spacing w:after="0" w:line="176" w:lineRule="exact"/>
        <w:rPr>
          <w:rFonts w:ascii="Times New Roman" w:cs="Times New Roman" w:eastAsia="Times New Roman" w:hAnsi="Times New Roman"/>
          <w:sz w:val="18"/>
          <w:szCs w:val="18"/>
          <w:color w:val="auto"/>
        </w:rPr>
      </w:pPr>
    </w:p>
    <w:p>
      <w:pPr>
        <w:ind w:left="980" w:right="400" w:hanging="324"/>
        <w:spacing w:after="0" w:line="286"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 from DRC</w:t>
      </w:r>
      <w:r>
        <w:rPr>
          <w:rFonts w:ascii="Times New Roman" w:cs="Times New Roman" w:eastAsia="Times New Roman" w:hAnsi="Times New Roman"/>
          <w:sz w:val="18"/>
          <w:szCs w:val="18"/>
          <w:color w:val="auto"/>
        </w:rPr>
        <w:t>” indicates the suppliers that reported sourcing Conflict Minerals, but from countries other than the DRC or the Covered Countries.</w:t>
      </w:r>
    </w:p>
    <w:p>
      <w:pPr>
        <w:spacing w:after="0" w:line="159"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We cannot assert with any level of certainty that our conclusions regarding the source, or likely source, and chain of custody of the necessary Conflict Minerals is accurate because we rely exclusively on information provided by our direct suppliers. In this regard, we have made reasonable inquiries in an effort to verify and assess the information provided based on the conclusions of an independent third-party audit program,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RMI’s RMAP program, or other relevant third-party audit bodies.</w:t>
      </w:r>
    </w:p>
    <w:p>
      <w:pPr>
        <w:spacing w:after="0" w:line="180"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Despite the fact that some suppliers indicated that they source from the CAHRAs, these suppliers were unable to accurately report the specific smelters and/or refiners that were part of the supply chain for the components that were sold and which are necessary to the production and/or functionality of our products in 2025. Based on the lack of complete information from our suppliers, we are unable to determine with any level of certainty as to the complete list of facilities used to process those necessary Conflict Minerals, or their country of origin, and to conclude whether or not the Conflict Minerals used in our products may or may not have directly or indirectly financed armed groups in the CAHRAs. Our efforts to determine the mine(s) or location of origin included the use of the due diligence measures described above.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Status of smelters or refiners sourcing minerals to Kornit’s suppliers over the last three years:</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52"/>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Status</w:t>
            </w:r>
          </w:p>
        </w:tc>
        <w:tc>
          <w:tcPr>
            <w:tcW w:w="12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4"/>
                <w:szCs w:val="24"/>
                <w:color w:val="auto"/>
              </w:rPr>
            </w:pPr>
          </w:p>
        </w:tc>
        <w:tc>
          <w:tcPr>
            <w:tcW w:w="12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4"/>
                <w:szCs w:val="24"/>
                <w:color w:val="auto"/>
              </w:rPr>
            </w:pPr>
          </w:p>
        </w:tc>
        <w:tc>
          <w:tcPr>
            <w:tcW w:w="12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6"/>
        </w:trPr>
        <w:tc>
          <w:tcPr>
            <w:tcW w:w="72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Verified Conflict Free</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 (59.88%)</w:t>
            </w: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 (63.76%)</w:t>
            </w: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 (63.32%)</w:t>
            </w:r>
          </w:p>
        </w:tc>
      </w:tr>
      <w:tr>
        <w:trPr>
          <w:trHeight w:val="216"/>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Actively participating in an audit process</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 (1.43%)</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 (1.09%)</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(1.15%)</w:t>
            </w:r>
          </w:p>
        </w:tc>
      </w:tr>
      <w:tr>
        <w:trPr>
          <w:trHeight w:val="216"/>
        </w:trPr>
        <w:tc>
          <w:tcPr>
            <w:tcW w:w="7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Not Participating</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135 (38.68%)</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129 (35.15%)</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 (35.53%)</w:t>
            </w:r>
          </w:p>
        </w:tc>
      </w:tr>
      <w:tr>
        <w:trPr>
          <w:trHeight w:val="176"/>
        </w:trPr>
        <w:tc>
          <w:tcPr>
            <w:tcW w:w="73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Total</w:t>
            </w:r>
          </w:p>
        </w:tc>
        <w:tc>
          <w:tcPr>
            <w:tcW w:w="1360" w:type="dxa"/>
            <w:vAlign w:val="bottom"/>
            <w:gridSpan w:val="2"/>
          </w:tcPr>
          <w:p>
            <w:pPr>
              <w:jc w:val="right"/>
              <w:ind w:right="120"/>
              <w:spacing w:after="0" w:line="176" w:lineRule="exact"/>
              <w:rPr>
                <w:sz w:val="20"/>
                <w:szCs w:val="20"/>
                <w:color w:val="auto"/>
              </w:rPr>
            </w:pPr>
            <w:r>
              <w:rPr>
                <w:rFonts w:ascii="Times New Roman" w:cs="Times New Roman" w:eastAsia="Times New Roman" w:hAnsi="Times New Roman"/>
                <w:sz w:val="18"/>
                <w:szCs w:val="18"/>
                <w:color w:val="auto"/>
              </w:rPr>
              <w:t>349 (100%)</w:t>
            </w:r>
          </w:p>
        </w:tc>
        <w:tc>
          <w:tcPr>
            <w:tcW w:w="1340" w:type="dxa"/>
            <w:vAlign w:val="bottom"/>
            <w:gridSpan w:val="2"/>
          </w:tcPr>
          <w:p>
            <w:pPr>
              <w:jc w:val="right"/>
              <w:ind w:right="120"/>
              <w:spacing w:after="0" w:line="176" w:lineRule="exact"/>
              <w:rPr>
                <w:sz w:val="20"/>
                <w:szCs w:val="20"/>
                <w:color w:val="auto"/>
              </w:rPr>
            </w:pPr>
            <w:r>
              <w:rPr>
                <w:rFonts w:ascii="Times New Roman" w:cs="Times New Roman" w:eastAsia="Times New Roman" w:hAnsi="Times New Roman"/>
                <w:sz w:val="18"/>
                <w:szCs w:val="18"/>
                <w:color w:val="auto"/>
              </w:rPr>
              <w:t>367 (100%)</w:t>
            </w:r>
          </w:p>
        </w:tc>
        <w:tc>
          <w:tcPr>
            <w:tcW w:w="12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349 (100%)</w:t>
            </w:r>
          </w:p>
        </w:tc>
      </w:tr>
      <w:tr>
        <w:trPr>
          <w:trHeight w:val="20"/>
        </w:trPr>
        <w:tc>
          <w:tcPr>
            <w:tcW w:w="400" w:type="dxa"/>
            <w:vAlign w:val="bottom"/>
            <w:shd w:val="clear" w:color="auto" w:fill="000000"/>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221" w:lineRule="exact"/>
        <w:rPr>
          <w:sz w:val="20"/>
          <w:szCs w:val="20"/>
          <w:color w:val="auto"/>
        </w:rPr>
      </w:pPr>
    </w:p>
    <w:p>
      <w:pPr>
        <w:ind w:right="80" w:hanging="8"/>
        <w:spacing w:after="0" w:line="286" w:lineRule="auto"/>
        <w:rPr>
          <w:sz w:val="20"/>
          <w:szCs w:val="20"/>
          <w:color w:val="auto"/>
        </w:rPr>
      </w:pPr>
      <w:r>
        <w:rPr>
          <w:rFonts w:ascii="Times New Roman" w:cs="Times New Roman" w:eastAsia="Times New Roman" w:hAnsi="Times New Roman"/>
          <w:sz w:val="18"/>
          <w:szCs w:val="18"/>
          <w:b w:val="1"/>
          <w:bCs w:val="1"/>
          <w:color w:val="auto"/>
        </w:rPr>
        <w:t>Smelters or refiners (sourcing minerals to Kornit’s suppliers) verified as compliant (i.e., conflict free) or actively participating in an audit process, by mineral type, in 2025:</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Tin</w:t>
            </w:r>
          </w:p>
        </w:tc>
        <w:tc>
          <w:tcPr>
            <w:tcW w:w="101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51 of 73 (69.86%) - (51 compliant and 2 actively audited smelters or refiners)</w:t>
            </w:r>
          </w:p>
        </w:tc>
      </w:tr>
      <w:tr>
        <w:trPr>
          <w:trHeight w:val="216"/>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101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32 of 35 (91.42%) - (32 compliant and 1 actively audited smelters or refiners)</w:t>
            </w:r>
          </w:p>
        </w:tc>
      </w:tr>
      <w:tr>
        <w:trPr>
          <w:trHeight w:val="216"/>
        </w:trPr>
        <w:tc>
          <w:tcPr>
            <w:tcW w:w="1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Tungsten</w:t>
            </w:r>
          </w:p>
        </w:tc>
        <w:tc>
          <w:tcPr>
            <w:tcW w:w="101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35 of 59 (59.32%) - (35 compliant and 0 actively audited smelters or refiners)</w:t>
            </w:r>
          </w:p>
        </w:tc>
      </w:tr>
      <w:tr>
        <w:trPr>
          <w:trHeight w:val="216"/>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1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91 of 182 (50.00%) - (91 compliant and 2 actively audited smelters or refiners)</w:t>
            </w:r>
          </w:p>
        </w:tc>
      </w:tr>
      <w:tr>
        <w:trPr>
          <w:trHeight w:val="196"/>
        </w:trPr>
        <w:tc>
          <w:tcPr>
            <w:tcW w:w="10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Total</w:t>
            </w:r>
          </w:p>
        </w:tc>
        <w:tc>
          <w:tcPr>
            <w:tcW w:w="10160" w:type="dxa"/>
            <w:vAlign w:val="bottom"/>
            <w:shd w:val="clear" w:color="auto" w:fill="CCEEFF"/>
          </w:tcPr>
          <w:p>
            <w:pPr>
              <w:ind w:left="400"/>
              <w:spacing w:after="0" w:line="176" w:lineRule="exact"/>
              <w:rPr>
                <w:sz w:val="20"/>
                <w:szCs w:val="20"/>
                <w:color w:val="auto"/>
              </w:rPr>
            </w:pPr>
            <w:r>
              <w:rPr>
                <w:rFonts w:ascii="Times New Roman" w:cs="Times New Roman" w:eastAsia="Times New Roman" w:hAnsi="Times New Roman"/>
                <w:sz w:val="18"/>
                <w:szCs w:val="18"/>
                <w:color w:val="auto"/>
              </w:rPr>
              <w:t>209 of 367 (56.94%) - (209 compliant and 5 active smelters or refiners)</w:t>
            </w:r>
          </w:p>
        </w:tc>
      </w:tr>
      <w:tr>
        <w:trPr>
          <w:trHeight w:val="655"/>
        </w:trPr>
        <w:tc>
          <w:tcPr>
            <w:tcW w:w="40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CCEEFF"/>
              <w:bottom w:val="single" w:sz="8" w:color="auto"/>
            </w:tcBorders>
          </w:tcPr>
          <w:p>
            <w:pPr>
              <w:spacing w:after="0"/>
              <w:rPr>
                <w:sz w:val="24"/>
                <w:szCs w:val="24"/>
                <w:color w:val="auto"/>
              </w:rPr>
            </w:pPr>
          </w:p>
        </w:tc>
        <w:tc>
          <w:tcPr>
            <w:tcW w:w="10160" w:type="dxa"/>
            <w:vAlign w:val="bottom"/>
            <w:tcBorders>
              <w:top w:val="single" w:sz="8" w:color="CCEEFF"/>
              <w:bottom w:val="single" w:sz="8" w:color="auto"/>
            </w:tcBorders>
          </w:tcPr>
          <w:p>
            <w:pPr>
              <w:ind w:left="4500"/>
              <w:spacing w:after="0"/>
              <w:rPr>
                <w:sz w:val="20"/>
                <w:szCs w:val="20"/>
                <w:color w:val="auto"/>
              </w:rPr>
            </w:pPr>
            <w:r>
              <w:rPr>
                <w:rFonts w:ascii="Times New Roman" w:cs="Times New Roman" w:eastAsia="Times New Roman" w:hAnsi="Times New Roman"/>
                <w:sz w:val="18"/>
                <w:szCs w:val="18"/>
                <w:color w:val="auto"/>
              </w:rPr>
              <w:t>7</w:t>
            </w:r>
          </w:p>
        </w:tc>
      </w:tr>
    </w:tbl>
    <w:p>
      <w:pPr>
        <w:sectPr>
          <w:pgSz w:w="11900" w:h="16838" w:orient="portrait"/>
          <w:cols w:equalWidth="0" w:num="1">
            <w:col w:w="11240"/>
          </w:cols>
          <w:pgMar w:left="320" w:top="90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Additional Risk Factors</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statements above are based on the RCOI process and supply due diligence that we conducted in good faith for 2025. These statements are based on the information available at the time of the preparation and publication of this report. A number of factors could introduce errors or otherwise may affect our conclusions.</w:t>
      </w:r>
    </w:p>
    <w:p>
      <w:pPr>
        <w:spacing w:after="0" w:line="17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These factors include, but are not limited to, gaps in product or product content information, gaps in supplier data, errors and/or omissions by suppliers, confusion over requirements of the Rule, gaps in supplier education and knowledge, lack of timeliness of data, public information not discovered through a reasonable search, errors in public data, language barriers and translation, supplier unfamiliarity with the Rule, conflict-area sourced materials declared secondary materials, companies that went out of business in 2025, and smuggling of Conflict Minerals to countries beyond the CAHRAs.</w:t>
      </w:r>
    </w:p>
    <w:p>
      <w:pPr>
        <w:spacing w:after="0" w:line="180"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We do not collect information from our suppliers on a continuous and real-time basis. Instead, we only collect such information in the context of the CMRTs provided by the suppliers up to the time of the publication of this report. We cannot be certain about our conclusions regarding the source and chain of custody of the necessary Conflict Minerals, as such information comes from direct suppliers, though we do verify their declarations against the conclusions of independent third-party audit programs, such as the RMI’s RMAP program.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Continuous improvement efforts to mitigate risk</w:t>
      </w:r>
    </w:p>
    <w:p>
      <w:pPr>
        <w:spacing w:after="0" w:line="22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We will continue working with our global supply chain in an effort to achieve responsible sourcing and compliance with international regulations, including through the following actions:</w:t>
      </w:r>
    </w:p>
    <w:p>
      <w:pPr>
        <w:spacing w:after="0" w:line="162" w:lineRule="exact"/>
        <w:rPr>
          <w:sz w:val="20"/>
          <w:szCs w:val="20"/>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conduct and report annually on supply chain due diligence for the applicable Conflict Minerals, as required by the Rule.</w:t>
      </w:r>
    </w:p>
    <w:p>
      <w:pPr>
        <w:spacing w:after="0" w:line="252" w:lineRule="exact"/>
        <w:rPr>
          <w:rFonts w:ascii="Times New Roman" w:cs="Times New Roman" w:eastAsia="Times New Roman" w:hAnsi="Times New Roman"/>
          <w:sz w:val="18"/>
          <w:szCs w:val="18"/>
          <w:color w:val="auto"/>
        </w:rPr>
      </w:pPr>
    </w:p>
    <w:p>
      <w:pPr>
        <w:ind w:left="980" w:right="66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with suppliers that did not respond to our 2025 survey to help them understand the importance of this initiative to Kornit and to encourage their participation in the 2026 survey.</w:t>
      </w:r>
    </w:p>
    <w:p>
      <w:pPr>
        <w:spacing w:after="0" w:line="188" w:lineRule="exact"/>
        <w:rPr>
          <w:rFonts w:ascii="Times New Roman" w:cs="Times New Roman" w:eastAsia="Times New Roman" w:hAnsi="Times New Roman"/>
          <w:sz w:val="18"/>
          <w:szCs w:val="18"/>
          <w:color w:val="auto"/>
        </w:rPr>
      </w:pPr>
    </w:p>
    <w:p>
      <w:pPr>
        <w:ind w:left="980" w:right="42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Attempt to validate supplier responses using information collected via independent, conflict-free smelter validation programs such as the RMI’s RMAP smelter or refiner validation program.</w:t>
      </w:r>
    </w:p>
    <w:p>
      <w:pPr>
        <w:spacing w:after="0" w:line="188" w:lineRule="exact"/>
        <w:rPr>
          <w:rFonts w:ascii="Times New Roman" w:cs="Times New Roman" w:eastAsia="Times New Roman" w:hAnsi="Times New Roman"/>
          <w:sz w:val="18"/>
          <w:szCs w:val="18"/>
          <w:color w:val="auto"/>
        </w:rPr>
      </w:pPr>
    </w:p>
    <w:p>
      <w:pPr>
        <w:ind w:left="980" w:right="40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Send follow-up letters to high-risk unresponsive suppliers, and to suppliers with Conflict Minerals from the DRC and the CAHRAs from uncertified smelters.</w:t>
      </w:r>
    </w:p>
    <w:p>
      <w:pPr>
        <w:spacing w:after="0" w:line="18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implement our Conflict Minerals Policy.</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use of tools for improved supplier responses.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include or attempt to include a Conflict Minerals flow-down clause in new or renewed supplier contracts.</w:t>
      </w:r>
    </w:p>
    <w:p>
      <w:pPr>
        <w:spacing w:after="0" w:line="252" w:lineRule="exact"/>
        <w:rPr>
          <w:rFonts w:ascii="Times New Roman" w:cs="Times New Roman" w:eastAsia="Times New Roman" w:hAnsi="Times New Roman"/>
          <w:sz w:val="18"/>
          <w:szCs w:val="18"/>
          <w:color w:val="auto"/>
        </w:rPr>
      </w:pPr>
    </w:p>
    <w:p>
      <w:pPr>
        <w:ind w:left="980" w:right="34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 suppliers to procure materials through validated smelters or refiners pursuant to the RMI or other approved resources and request suppliers to take mitigating actions in case they do not.</w:t>
      </w:r>
    </w:p>
    <w:p>
      <w:pPr>
        <w:spacing w:after="0" w:line="18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Update our Conflict Minerals company procedure.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8"/>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60" w:type="dxa"/>
            <w:vAlign w:val="bottom"/>
            <w:gridSpan w:val="2"/>
          </w:tcPr>
          <w:p>
            <w:pPr>
              <w:jc w:val="center"/>
              <w:ind w:left="2130"/>
              <w:spacing w:after="0"/>
              <w:rPr>
                <w:sz w:val="20"/>
                <w:szCs w:val="20"/>
                <w:color w:val="auto"/>
              </w:rPr>
            </w:pPr>
            <w:r>
              <w:rPr>
                <w:rFonts w:ascii="Times New Roman" w:cs="Times New Roman" w:eastAsia="Times New Roman" w:hAnsi="Times New Roman"/>
                <w:sz w:val="18"/>
                <w:szCs w:val="18"/>
                <w:b w:val="1"/>
                <w:bCs w:val="1"/>
                <w:color w:val="auto"/>
              </w:rPr>
              <w:t>Annex 1</w:t>
            </w:r>
          </w:p>
        </w:tc>
        <w:tc>
          <w:tcPr>
            <w:tcW w:w="3700" w:type="dxa"/>
            <w:vAlign w:val="bottom"/>
          </w:tcPr>
          <w:p>
            <w:pPr>
              <w:spacing w:after="0"/>
              <w:rPr>
                <w:sz w:val="20"/>
                <w:szCs w:val="20"/>
                <w:color w:val="auto"/>
              </w:rPr>
            </w:pPr>
          </w:p>
        </w:tc>
      </w:tr>
      <w:tr>
        <w:trPr>
          <w:trHeight w:val="432"/>
        </w:trPr>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760" w:type="dxa"/>
            <w:vAlign w:val="bottom"/>
            <w:gridSpan w:val="3"/>
          </w:tcPr>
          <w:p>
            <w:pPr>
              <w:jc w:val="center"/>
              <w:ind w:right="1370"/>
              <w:spacing w:after="0"/>
              <w:rPr>
                <w:sz w:val="20"/>
                <w:szCs w:val="20"/>
                <w:color w:val="auto"/>
              </w:rPr>
            </w:pPr>
            <w:r>
              <w:rPr>
                <w:rFonts w:ascii="Times New Roman" w:cs="Times New Roman" w:eastAsia="Times New Roman" w:hAnsi="Times New Roman"/>
                <w:sz w:val="18"/>
                <w:szCs w:val="18"/>
                <w:color w:val="auto"/>
                <w:w w:val="99"/>
              </w:rPr>
              <w:t>Reported Names and Locations of Smelters or Refiners</w:t>
            </w:r>
          </w:p>
        </w:tc>
      </w:tr>
      <w:tr>
        <w:trPr>
          <w:trHeight w:val="439"/>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Smelter Metal</w:t>
            </w:r>
          </w:p>
        </w:tc>
        <w:tc>
          <w:tcPr>
            <w:tcW w:w="120" w:type="dxa"/>
            <w:vAlign w:val="bottom"/>
          </w:tcPr>
          <w:p>
            <w:pPr>
              <w:spacing w:after="0"/>
              <w:rPr>
                <w:sz w:val="24"/>
                <w:szCs w:val="24"/>
                <w:color w:val="auto"/>
              </w:rPr>
            </w:pPr>
          </w:p>
        </w:tc>
        <w:tc>
          <w:tcPr>
            <w:tcW w:w="6060" w:type="dxa"/>
            <w:vAlign w:val="bottom"/>
            <w:gridSpan w:val="2"/>
          </w:tcPr>
          <w:p>
            <w:pPr>
              <w:ind w:left="2420"/>
              <w:spacing w:after="0"/>
              <w:rPr>
                <w:sz w:val="20"/>
                <w:szCs w:val="20"/>
                <w:color w:val="auto"/>
              </w:rPr>
            </w:pPr>
            <w:r>
              <w:rPr>
                <w:rFonts w:ascii="Times New Roman" w:cs="Times New Roman" w:eastAsia="Times New Roman" w:hAnsi="Times New Roman"/>
                <w:sz w:val="18"/>
                <w:szCs w:val="18"/>
                <w:b w:val="1"/>
                <w:bCs w:val="1"/>
                <w:color w:val="auto"/>
              </w:rPr>
              <w:t>Smelter Name</w:t>
            </w:r>
          </w:p>
        </w:tc>
        <w:tc>
          <w:tcPr>
            <w:tcW w:w="3700" w:type="dxa"/>
            <w:vAlign w:val="bottom"/>
          </w:tcPr>
          <w:p>
            <w:pPr>
              <w:ind w:left="1200"/>
              <w:spacing w:after="0"/>
              <w:rPr>
                <w:sz w:val="20"/>
                <w:szCs w:val="20"/>
                <w:color w:val="auto"/>
              </w:rPr>
            </w:pPr>
            <w:r>
              <w:rPr>
                <w:rFonts w:ascii="Times New Roman" w:cs="Times New Roman" w:eastAsia="Times New Roman" w:hAnsi="Times New Roman"/>
                <w:sz w:val="18"/>
                <w:szCs w:val="18"/>
                <w:b w:val="1"/>
                <w:bCs w:val="1"/>
                <w:color w:val="auto"/>
              </w:rPr>
              <w:t>Smelter Country</w:t>
            </w:r>
          </w:p>
        </w:tc>
      </w:tr>
      <w:tr>
        <w:trPr>
          <w:trHeight w:val="216"/>
        </w:trPr>
        <w:tc>
          <w:tcPr>
            <w:tcW w:w="1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120" w:type="dxa"/>
            <w:vAlign w:val="bottom"/>
            <w:tcBorders>
              <w:top w:val="single" w:sz="8" w:color="CCEEFF"/>
            </w:tcBorders>
            <w:shd w:val="clear" w:color="auto" w:fill="CCEEFF"/>
          </w:tcPr>
          <w:p>
            <w:pPr>
              <w:spacing w:after="0"/>
              <w:rPr>
                <w:sz w:val="18"/>
                <w:szCs w:val="18"/>
                <w:color w:val="auto"/>
              </w:rPr>
            </w:pPr>
          </w:p>
        </w:tc>
        <w:tc>
          <w:tcPr>
            <w:tcW w:w="5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Advanced Chemical Company</w:t>
            </w:r>
          </w:p>
        </w:tc>
        <w:tc>
          <w:tcPr>
            <w:tcW w:w="100" w:type="dxa"/>
            <w:vAlign w:val="bottom"/>
            <w:tcBorders>
              <w:top w:val="single" w:sz="8" w:color="CCEEFF"/>
            </w:tcBorders>
            <w:shd w:val="clear" w:color="auto" w:fill="CCEEFF"/>
          </w:tcPr>
          <w:p>
            <w:pPr>
              <w:spacing w:after="0"/>
              <w:rPr>
                <w:sz w:val="18"/>
                <w:szCs w:val="18"/>
                <w:color w:val="auto"/>
              </w:rPr>
            </w:pPr>
          </w:p>
        </w:tc>
        <w:tc>
          <w:tcPr>
            <w:tcW w:w="3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Aida Chemical Industries Co., Ltd.</w:t>
            </w: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Agosi AG</w:t>
            </w: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Almalyk Mining and Metallurgical Complex (AMMC)</w:t>
            </w: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UZBEKISTAN</w:t>
            </w: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AngloGold Ashanti Corrego do Sitio Mineracao</w:t>
            </w: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Argor-Heraeus S.A.</w:t>
            </w: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SWITZERLAND</w:t>
            </w: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ASAHI METALFINE, Inc.</w:t>
            </w: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Asaka Riken Co., Ltd.</w:t>
            </w: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Atasay Kuyumculuk Sanayi Ve Ticaret A.S.</w:t>
            </w: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TURKEY</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Aurubis AG</w:t>
            </w: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Bangko Sentral ng Pilipinas (Central Bank of the Philippines)</w:t>
            </w: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PHILIPPINES</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Boliden Ronnskar</w:t>
            </w: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SWEDEN</w:t>
            </w: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 Hafner GmbH + Co. KG</w:t>
            </w: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Caridad</w:t>
            </w: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MEXICO</w:t>
            </w: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CCR Refinery - Glencore Canada Corporation</w:t>
            </w: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Cendres + Metaux S.A.</w:t>
            </w: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SWITZERLAND</w:t>
            </w: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Yunnan Copper Industry Co., Ltd.</w:t>
            </w: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Chimet S.p.A.</w:t>
            </w: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ITALY</w:t>
            </w: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Chugai Mining</w:t>
            </w: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Daye Non-Ferrous Metals Mining Ltd.</w:t>
            </w: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DSC (Do Sung Corporation)</w:t>
            </w: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Dowa</w:t>
            </w: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Eco-System Recycling Co., Ltd. East Plant</w:t>
            </w: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JSC Novosibirsk Refinery</w:t>
            </w: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Refinery of Seemine Gold Co., Ltd.</w:t>
            </w: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Guoda Safina High-Tech Environmental Refinery Co., Ltd.</w:t>
            </w: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Hangzhou Fuchunjiang Smelting Co., Ltd.</w:t>
            </w: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LT Metal Ltd.</w:t>
            </w: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Heimerle + Meule GmbH</w:t>
            </w: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Heraeus Metals Hong Kong Ltd.</w:t>
            </w: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Heraeus Germany GmbH Co. KG</w:t>
            </w: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Hunan Chenzhou Mining Co., Ltd.</w:t>
            </w: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Hunan Guiyang yinxing Nonferrous Smelting Co., Ltd.</w:t>
            </w: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HwaSeong CJ CO., LTD.</w:t>
            </w: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Inner Mongolia Qiankun Gold and Silver Refinery Share Co., Ltd.</w:t>
            </w: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655"/>
        </w:trPr>
        <w:tc>
          <w:tcPr>
            <w:tcW w:w="1360" w:type="dxa"/>
            <w:vAlign w:val="bottom"/>
            <w:tcBorders>
              <w:bottom w:val="single" w:sz="8" w:color="auto"/>
            </w:tcBorders>
          </w:tcPr>
          <w:p>
            <w:pPr>
              <w:spacing w:after="0"/>
              <w:rPr>
                <w:sz w:val="24"/>
                <w:szCs w:val="24"/>
                <w:color w:val="auto"/>
              </w:rPr>
            </w:pPr>
          </w:p>
        </w:tc>
        <w:tc>
          <w:tcPr>
            <w:tcW w:w="6080" w:type="dxa"/>
            <w:vAlign w:val="bottom"/>
            <w:tcBorders>
              <w:bottom w:val="single" w:sz="8" w:color="auto"/>
            </w:tcBorders>
            <w:gridSpan w:val="2"/>
          </w:tcPr>
          <w:p>
            <w:pPr>
              <w:jc w:val="center"/>
              <w:ind w:left="2350"/>
              <w:spacing w:after="0"/>
              <w:rPr>
                <w:sz w:val="20"/>
                <w:szCs w:val="20"/>
                <w:color w:val="auto"/>
              </w:rPr>
            </w:pPr>
            <w:r>
              <w:rPr>
                <w:rFonts w:ascii="Times New Roman" w:cs="Times New Roman" w:eastAsia="Times New Roman" w:hAnsi="Times New Roman"/>
                <w:sz w:val="18"/>
                <w:szCs w:val="18"/>
                <w:color w:val="auto"/>
                <w:w w:val="88"/>
              </w:rPr>
              <w:t>9</w:t>
            </w:r>
          </w:p>
        </w:tc>
        <w:tc>
          <w:tcPr>
            <w:tcW w:w="1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0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Ishifuku Metal Industry Co., Ltd.</w:t>
            </w:r>
          </w:p>
        </w:tc>
        <w:tc>
          <w:tcPr>
            <w:tcW w:w="4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0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Istanbul Gold Refinery</w:t>
            </w:r>
          </w:p>
        </w:tc>
        <w:tc>
          <w:tcPr>
            <w:tcW w:w="42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TURKEY</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0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Japan Mint</w:t>
            </w:r>
          </w:p>
        </w:tc>
        <w:tc>
          <w:tcPr>
            <w:tcW w:w="4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0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Jiangxi Copper Co., Ltd.</w:t>
            </w:r>
          </w:p>
        </w:tc>
        <w:tc>
          <w:tcPr>
            <w:tcW w:w="42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0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Asahi Refining USA Inc.</w:t>
            </w:r>
          </w:p>
        </w:tc>
        <w:tc>
          <w:tcPr>
            <w:tcW w:w="4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0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Asahi Refining Canada Ltd.</w:t>
            </w:r>
          </w:p>
        </w:tc>
        <w:tc>
          <w:tcPr>
            <w:tcW w:w="42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CANADA</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0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JSC Ekaterinburg Non-Ferrous Metal Processing Plant</w:t>
            </w:r>
          </w:p>
        </w:tc>
        <w:tc>
          <w:tcPr>
            <w:tcW w:w="4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0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JSC Uralelectromed</w:t>
            </w:r>
          </w:p>
        </w:tc>
        <w:tc>
          <w:tcPr>
            <w:tcW w:w="42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0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JX Nippon Mining &amp; Metals Co., Ltd.</w:t>
            </w:r>
          </w:p>
        </w:tc>
        <w:tc>
          <w:tcPr>
            <w:tcW w:w="4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0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Kazakhmys Smelting LLC</w:t>
            </w:r>
          </w:p>
        </w:tc>
        <w:tc>
          <w:tcPr>
            <w:tcW w:w="42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KAZAKHSTAN</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0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Kazzinc</w:t>
            </w:r>
          </w:p>
        </w:tc>
        <w:tc>
          <w:tcPr>
            <w:tcW w:w="4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KAZAKHSTAN</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0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Kennecott Utah Copper LLC</w:t>
            </w:r>
          </w:p>
        </w:tc>
        <w:tc>
          <w:tcPr>
            <w:tcW w:w="42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0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Kojima Chemicals Co., Ltd.</w:t>
            </w:r>
          </w:p>
        </w:tc>
        <w:tc>
          <w:tcPr>
            <w:tcW w:w="4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0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Kyrgyzaltyn JSC</w:t>
            </w:r>
          </w:p>
        </w:tc>
        <w:tc>
          <w:tcPr>
            <w:tcW w:w="42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KYRGYZSTAN</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0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L’azurde Company For Jewelry</w:t>
            </w:r>
          </w:p>
        </w:tc>
        <w:tc>
          <w:tcPr>
            <w:tcW w:w="4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SAUDI ARABIA</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0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Lingbao Gold Co., Ltd.</w:t>
            </w:r>
          </w:p>
        </w:tc>
        <w:tc>
          <w:tcPr>
            <w:tcW w:w="42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0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Lingbao Jinyuan Tonghui Refinery Co., Ltd.</w:t>
            </w:r>
          </w:p>
        </w:tc>
        <w:tc>
          <w:tcPr>
            <w:tcW w:w="4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0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LS MnM Inc.</w:t>
            </w:r>
          </w:p>
        </w:tc>
        <w:tc>
          <w:tcPr>
            <w:tcW w:w="42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0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Luoyang Zijin Yinhui Gold Refinery Co., Ltd.</w:t>
            </w:r>
          </w:p>
        </w:tc>
        <w:tc>
          <w:tcPr>
            <w:tcW w:w="4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0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Materion</w:t>
            </w:r>
          </w:p>
        </w:tc>
        <w:tc>
          <w:tcPr>
            <w:tcW w:w="42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0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Matsuda Sangyo Co., Ltd.</w:t>
            </w:r>
          </w:p>
        </w:tc>
        <w:tc>
          <w:tcPr>
            <w:tcW w:w="4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0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Metalor Technologies (Suzhou) Ltd.</w:t>
            </w:r>
          </w:p>
        </w:tc>
        <w:tc>
          <w:tcPr>
            <w:tcW w:w="42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0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Metalor Technologies (Hong Kong) Ltd.</w:t>
            </w:r>
          </w:p>
        </w:tc>
        <w:tc>
          <w:tcPr>
            <w:tcW w:w="4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0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Metalor Technologies (Singapore) Pte., Ltd.</w:t>
            </w:r>
          </w:p>
        </w:tc>
        <w:tc>
          <w:tcPr>
            <w:tcW w:w="42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SINGAPORE</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0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Metalor Technologies S.A.</w:t>
            </w:r>
          </w:p>
        </w:tc>
        <w:tc>
          <w:tcPr>
            <w:tcW w:w="4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SWITZERLAND</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0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Metalor USA Refining Corporation</w:t>
            </w:r>
          </w:p>
        </w:tc>
        <w:tc>
          <w:tcPr>
            <w:tcW w:w="42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0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Metalurgica Met-Mex Penoles S.A. De C.V.</w:t>
            </w:r>
          </w:p>
        </w:tc>
        <w:tc>
          <w:tcPr>
            <w:tcW w:w="4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MEXICO</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0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Mitsubishi Materials Corporation</w:t>
            </w:r>
          </w:p>
        </w:tc>
        <w:tc>
          <w:tcPr>
            <w:tcW w:w="42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0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Mitsui Mining and Smelting Co., Ltd.</w:t>
            </w:r>
          </w:p>
        </w:tc>
        <w:tc>
          <w:tcPr>
            <w:tcW w:w="4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0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Moscow Special Alloys Processing Plant</w:t>
            </w:r>
          </w:p>
        </w:tc>
        <w:tc>
          <w:tcPr>
            <w:tcW w:w="42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0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Nadir Metal Rafineri San. Ve Tic. A.S.</w:t>
            </w:r>
          </w:p>
        </w:tc>
        <w:tc>
          <w:tcPr>
            <w:tcW w:w="4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TURKEY</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0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Navoi Mining and Metallurgical Combinat</w:t>
            </w:r>
          </w:p>
        </w:tc>
        <w:tc>
          <w:tcPr>
            <w:tcW w:w="42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UZBEKISTAN</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0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Nihon Material Co., Ltd.</w:t>
            </w:r>
          </w:p>
        </w:tc>
        <w:tc>
          <w:tcPr>
            <w:tcW w:w="4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0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Ohura Precious Metal Industry Co., Ltd.</w:t>
            </w:r>
          </w:p>
        </w:tc>
        <w:tc>
          <w:tcPr>
            <w:tcW w:w="42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JAPAN</w:t>
            </w:r>
          </w:p>
        </w:tc>
      </w:tr>
      <w:tr>
        <w:trPr>
          <w:trHeight w:val="198"/>
        </w:trPr>
        <w:tc>
          <w:tcPr>
            <w:tcW w:w="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Gold</w:t>
            </w:r>
          </w:p>
        </w:tc>
        <w:tc>
          <w:tcPr>
            <w:tcW w:w="6040" w:type="dxa"/>
            <w:vAlign w:val="bottom"/>
            <w:shd w:val="clear" w:color="auto" w:fill="CCEEFF"/>
          </w:tcPr>
          <w:p>
            <w:pPr>
              <w:ind w:left="540"/>
              <w:spacing w:after="0" w:line="198" w:lineRule="exact"/>
              <w:rPr>
                <w:sz w:val="20"/>
                <w:szCs w:val="20"/>
                <w:color w:val="auto"/>
              </w:rPr>
            </w:pPr>
            <w:r>
              <w:rPr>
                <w:rFonts w:ascii="Times New Roman" w:cs="Times New Roman" w:eastAsia="Times New Roman" w:hAnsi="Times New Roman"/>
                <w:sz w:val="18"/>
                <w:szCs w:val="18"/>
                <w:color w:val="auto"/>
              </w:rPr>
              <w:t>OJSC “The Gulidov Krasnoyarsk Non-Ferrous Metals Plant” (OJSC</w:t>
            </w:r>
          </w:p>
        </w:tc>
        <w:tc>
          <w:tcPr>
            <w:tcW w:w="4260" w:type="dxa"/>
            <w:vAlign w:val="bottom"/>
            <w:shd w:val="clear" w:color="auto" w:fill="CCEEFF"/>
          </w:tcPr>
          <w:p>
            <w:pPr>
              <w:ind w:left="560"/>
              <w:spacing w:after="0" w:line="198" w:lineRule="exact"/>
              <w:rPr>
                <w:sz w:val="20"/>
                <w:szCs w:val="20"/>
                <w:color w:val="auto"/>
              </w:rPr>
            </w:pPr>
            <w:r>
              <w:rPr>
                <w:rFonts w:ascii="Times New Roman" w:cs="Times New Roman" w:eastAsia="Times New Roman" w:hAnsi="Times New Roman"/>
                <w:sz w:val="18"/>
                <w:szCs w:val="18"/>
                <w:color w:val="auto"/>
              </w:rPr>
              <w:t>RUSSIAN FEDERATION</w:t>
            </w:r>
          </w:p>
        </w:tc>
      </w:tr>
      <w:tr>
        <w:trPr>
          <w:trHeight w:val="234"/>
        </w:trPr>
        <w:tc>
          <w:tcPr>
            <w:tcW w:w="940" w:type="dxa"/>
            <w:vAlign w:val="bottom"/>
            <w:shd w:val="clear" w:color="auto" w:fill="CCEEFF"/>
          </w:tcPr>
          <w:p>
            <w:pPr>
              <w:spacing w:after="0"/>
              <w:rPr>
                <w:sz w:val="20"/>
                <w:szCs w:val="20"/>
                <w:color w:val="auto"/>
              </w:rPr>
            </w:pPr>
          </w:p>
        </w:tc>
        <w:tc>
          <w:tcPr>
            <w:tcW w:w="60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Krastsvetmet)</w:t>
            </w:r>
          </w:p>
        </w:tc>
        <w:tc>
          <w:tcPr>
            <w:tcW w:w="4260" w:type="dxa"/>
            <w:vAlign w:val="bottom"/>
            <w:shd w:val="clear" w:color="auto" w:fill="CCEEFF"/>
          </w:tcPr>
          <w:p>
            <w:pPr>
              <w:spacing w:after="0"/>
              <w:rPr>
                <w:sz w:val="20"/>
                <w:szCs w:val="20"/>
                <w:color w:val="auto"/>
              </w:rPr>
            </w:pP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0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MKS PAMP SA</w:t>
            </w:r>
          </w:p>
        </w:tc>
        <w:tc>
          <w:tcPr>
            <w:tcW w:w="42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SWITZERLAND</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0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Penglai Penggang Gold Industry Co., Ltd.</w:t>
            </w:r>
          </w:p>
        </w:tc>
        <w:tc>
          <w:tcPr>
            <w:tcW w:w="4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0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Prioksky Plant of Non-Ferrous Metals</w:t>
            </w:r>
          </w:p>
        </w:tc>
        <w:tc>
          <w:tcPr>
            <w:tcW w:w="42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0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PT Aneka Tambang (Persero) Tbk</w:t>
            </w:r>
          </w:p>
        </w:tc>
        <w:tc>
          <w:tcPr>
            <w:tcW w:w="4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INDONESIA</w:t>
            </w:r>
          </w:p>
        </w:tc>
      </w:tr>
      <w:tr>
        <w:trPr>
          <w:trHeight w:val="238"/>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0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PX Precinox S.A.</w:t>
            </w:r>
          </w:p>
        </w:tc>
        <w:tc>
          <w:tcPr>
            <w:tcW w:w="42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SWITZERLAND</w:t>
            </w:r>
          </w:p>
        </w:tc>
      </w:tr>
      <w:tr>
        <w:trPr>
          <w:trHeight w:val="633"/>
        </w:trPr>
        <w:tc>
          <w:tcPr>
            <w:tcW w:w="94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ind w:left="4600"/>
              <w:spacing w:after="0"/>
              <w:rPr>
                <w:sz w:val="20"/>
                <w:szCs w:val="20"/>
                <w:color w:val="auto"/>
              </w:rPr>
            </w:pPr>
            <w:r>
              <w:rPr>
                <w:rFonts w:ascii="Times New Roman" w:cs="Times New Roman" w:eastAsia="Times New Roman" w:hAnsi="Times New Roman"/>
                <w:sz w:val="18"/>
                <w:szCs w:val="18"/>
                <w:color w:val="auto"/>
              </w:rPr>
              <w:t>10</w:t>
            </w:r>
          </w:p>
        </w:tc>
        <w:tc>
          <w:tcPr>
            <w:tcW w:w="4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23" w:right="3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6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Rand Refinery (Pty) Ltd.</w:t>
            </w:r>
          </w:p>
        </w:tc>
        <w:tc>
          <w:tcPr>
            <w:tcW w:w="46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SOUTH AFRICA</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6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Royal Canadian Mint</w:t>
            </w:r>
          </w:p>
        </w:tc>
        <w:tc>
          <w:tcPr>
            <w:tcW w:w="46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CANADA</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6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Sabin Metal Corp.</w:t>
            </w:r>
          </w:p>
        </w:tc>
        <w:tc>
          <w:tcPr>
            <w:tcW w:w="46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6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Samduck Precious Metals</w:t>
            </w:r>
          </w:p>
        </w:tc>
        <w:tc>
          <w:tcPr>
            <w:tcW w:w="46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6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Samwon Metals Corp.</w:t>
            </w:r>
          </w:p>
        </w:tc>
        <w:tc>
          <w:tcPr>
            <w:tcW w:w="46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6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SEMPSA Joyeria Plateria S.A.</w:t>
            </w:r>
          </w:p>
        </w:tc>
        <w:tc>
          <w:tcPr>
            <w:tcW w:w="46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SPAIN</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6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Shandong Tiancheng Biological Gold Industrial Co., Ltd.</w:t>
            </w:r>
          </w:p>
        </w:tc>
        <w:tc>
          <w:tcPr>
            <w:tcW w:w="46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6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Shandong Zhaojin Gold &amp; Silver Refinery Co., Ltd.</w:t>
            </w:r>
          </w:p>
        </w:tc>
        <w:tc>
          <w:tcPr>
            <w:tcW w:w="46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6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Sichuan Tianze Precious Metals Co., Ltd.</w:t>
            </w:r>
          </w:p>
        </w:tc>
        <w:tc>
          <w:tcPr>
            <w:tcW w:w="46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6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SOE Shyolkovsky Factory of Secondary Precious Metals</w:t>
            </w:r>
          </w:p>
        </w:tc>
        <w:tc>
          <w:tcPr>
            <w:tcW w:w="46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6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Solar Applied Materials Technology Corp.</w:t>
            </w:r>
          </w:p>
        </w:tc>
        <w:tc>
          <w:tcPr>
            <w:tcW w:w="46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TAIWAN, PROVINCE OF CHINA</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6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Sumitomo Metal Mining Co., Ltd.</w:t>
            </w:r>
          </w:p>
        </w:tc>
        <w:tc>
          <w:tcPr>
            <w:tcW w:w="46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6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Super Dragon Technology Co., Ltd.</w:t>
            </w:r>
          </w:p>
        </w:tc>
        <w:tc>
          <w:tcPr>
            <w:tcW w:w="46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TAIWAN, PROVINCE OF CHINA</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6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Tanaka Kikinzoku Kogyo K.K.</w:t>
            </w:r>
          </w:p>
        </w:tc>
        <w:tc>
          <w:tcPr>
            <w:tcW w:w="46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6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Great Wall Precious Metals Co., Ltd. of CBPM</w:t>
            </w:r>
          </w:p>
        </w:tc>
        <w:tc>
          <w:tcPr>
            <w:tcW w:w="46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6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Shandong Gold Smelting Co., Ltd.</w:t>
            </w:r>
          </w:p>
        </w:tc>
        <w:tc>
          <w:tcPr>
            <w:tcW w:w="46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6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Tokuriki Honten Co., Ltd.</w:t>
            </w:r>
          </w:p>
        </w:tc>
        <w:tc>
          <w:tcPr>
            <w:tcW w:w="46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6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Tongling Nonferrous Metals Group Co., Ltd.</w:t>
            </w:r>
          </w:p>
        </w:tc>
        <w:tc>
          <w:tcPr>
            <w:tcW w:w="46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6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Torecom</w:t>
            </w:r>
          </w:p>
        </w:tc>
        <w:tc>
          <w:tcPr>
            <w:tcW w:w="46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6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Umicore S.A. Business Unit Precious Metals Refining</w:t>
            </w:r>
          </w:p>
        </w:tc>
        <w:tc>
          <w:tcPr>
            <w:tcW w:w="46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BELGIUM</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6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United Precious Metal Refining, Inc.</w:t>
            </w:r>
          </w:p>
        </w:tc>
        <w:tc>
          <w:tcPr>
            <w:tcW w:w="46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6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Valcambi S.A.</w:t>
            </w:r>
          </w:p>
        </w:tc>
        <w:tc>
          <w:tcPr>
            <w:tcW w:w="46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SWITZERLAND</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6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Western Australian Mint (T/a The Perth Mint)</w:t>
            </w:r>
          </w:p>
        </w:tc>
        <w:tc>
          <w:tcPr>
            <w:tcW w:w="46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AUSTRALIA</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6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Yamakin Co., Ltd.</w:t>
            </w:r>
          </w:p>
        </w:tc>
        <w:tc>
          <w:tcPr>
            <w:tcW w:w="46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6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Yokohama Metal Co., Ltd.</w:t>
            </w:r>
          </w:p>
        </w:tc>
        <w:tc>
          <w:tcPr>
            <w:tcW w:w="46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6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Zhongyuan Gold Smelter of Zhongjin Gold Corporation</w:t>
            </w:r>
          </w:p>
        </w:tc>
        <w:tc>
          <w:tcPr>
            <w:tcW w:w="46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6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Gold Refinery of Zijin Mining Group Co., Ltd.</w:t>
            </w:r>
          </w:p>
        </w:tc>
        <w:tc>
          <w:tcPr>
            <w:tcW w:w="46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6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Morris and Watson</w:t>
            </w:r>
          </w:p>
        </w:tc>
        <w:tc>
          <w:tcPr>
            <w:tcW w:w="46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NEW ZEALAND</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6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SAFINA A.S.</w:t>
            </w:r>
          </w:p>
        </w:tc>
        <w:tc>
          <w:tcPr>
            <w:tcW w:w="46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CZECHIA</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6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Guangdong Jinding Gold Limited</w:t>
            </w:r>
          </w:p>
        </w:tc>
        <w:tc>
          <w:tcPr>
            <w:tcW w:w="46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6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Umicore Precious Metals Thailand</w:t>
            </w:r>
          </w:p>
        </w:tc>
        <w:tc>
          <w:tcPr>
            <w:tcW w:w="46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THAILAND</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6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MMTC-PAMP India Pvt., Ltd.</w:t>
            </w:r>
          </w:p>
        </w:tc>
        <w:tc>
          <w:tcPr>
            <w:tcW w:w="46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6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KGHM Polska Miedz Spolka Akcyjna</w:t>
            </w:r>
          </w:p>
        </w:tc>
        <w:tc>
          <w:tcPr>
            <w:tcW w:w="46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POLAND</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6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Fidelity Printers and Refiners Ltd.</w:t>
            </w:r>
          </w:p>
        </w:tc>
        <w:tc>
          <w:tcPr>
            <w:tcW w:w="46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ZIMBABWE</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6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Singway Technology Co., Ltd.</w:t>
            </w:r>
          </w:p>
        </w:tc>
        <w:tc>
          <w:tcPr>
            <w:tcW w:w="46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TAIWAN, PROVINCE OF CHINA</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6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Shandong Humon Smelting Co., Ltd.</w:t>
            </w:r>
          </w:p>
        </w:tc>
        <w:tc>
          <w:tcPr>
            <w:tcW w:w="46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6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Shenzhen Zhonghenglong Real Industry Co., Ltd.</w:t>
            </w:r>
          </w:p>
        </w:tc>
        <w:tc>
          <w:tcPr>
            <w:tcW w:w="46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CHINA</w:t>
            </w:r>
          </w:p>
        </w:tc>
      </w:tr>
      <w:tr>
        <w:trPr>
          <w:trHeight w:val="238"/>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6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Al Etihad Gold Refinery DMCC</w:t>
            </w:r>
          </w:p>
        </w:tc>
        <w:tc>
          <w:tcPr>
            <w:tcW w:w="46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UNITED ARAB EMIRATES</w:t>
            </w:r>
          </w:p>
        </w:tc>
      </w:tr>
      <w:tr>
        <w:trPr>
          <w:trHeight w:val="633"/>
        </w:trPr>
        <w:tc>
          <w:tcPr>
            <w:tcW w:w="940" w:type="dxa"/>
            <w:vAlign w:val="bottom"/>
            <w:tcBorders>
              <w:bottom w:val="single" w:sz="8" w:color="auto"/>
            </w:tcBorders>
          </w:tcPr>
          <w:p>
            <w:pPr>
              <w:spacing w:after="0"/>
              <w:rPr>
                <w:sz w:val="24"/>
                <w:szCs w:val="24"/>
                <w:color w:val="auto"/>
              </w:rPr>
            </w:pPr>
          </w:p>
        </w:tc>
        <w:tc>
          <w:tcPr>
            <w:tcW w:w="5680" w:type="dxa"/>
            <w:vAlign w:val="bottom"/>
            <w:tcBorders>
              <w:bottom w:val="single" w:sz="8" w:color="auto"/>
            </w:tcBorders>
          </w:tcPr>
          <w:p>
            <w:pPr>
              <w:ind w:left="4600"/>
              <w:spacing w:after="0"/>
              <w:rPr>
                <w:sz w:val="20"/>
                <w:szCs w:val="20"/>
                <w:color w:val="auto"/>
              </w:rPr>
            </w:pPr>
            <w:r>
              <w:rPr>
                <w:rFonts w:ascii="Times New Roman" w:cs="Times New Roman" w:eastAsia="Times New Roman" w:hAnsi="Times New Roman"/>
                <w:sz w:val="18"/>
                <w:szCs w:val="18"/>
                <w:color w:val="auto"/>
              </w:rPr>
              <w:t>11</w:t>
            </w:r>
          </w:p>
        </w:tc>
        <w:tc>
          <w:tcPr>
            <w:tcW w:w="4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23" w:right="3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0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Emirates Gold DMCC</w:t>
            </w:r>
          </w:p>
        </w:tc>
        <w:tc>
          <w:tcPr>
            <w:tcW w:w="42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UNITED ARAB EMIRATES</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International Precious Metal Refiners</w:t>
            </w:r>
          </w:p>
        </w:tc>
        <w:tc>
          <w:tcPr>
            <w:tcW w:w="42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UNITED ARAB EMIRATES</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0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Kaloti Precious Metals</w:t>
            </w:r>
          </w:p>
        </w:tc>
        <w:tc>
          <w:tcPr>
            <w:tcW w:w="42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UNITED ARAB EMIRATES</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Sudan Gold Refinery</w:t>
            </w:r>
          </w:p>
        </w:tc>
        <w:tc>
          <w:tcPr>
            <w:tcW w:w="42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SUDAN</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0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T.C.A S.p.A</w:t>
            </w:r>
          </w:p>
        </w:tc>
        <w:tc>
          <w:tcPr>
            <w:tcW w:w="42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ITALY</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REMONDIS PMR B.V.</w:t>
            </w:r>
          </w:p>
        </w:tc>
        <w:tc>
          <w:tcPr>
            <w:tcW w:w="42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NETHERLANDS</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0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Fujairah Gold FZC</w:t>
            </w:r>
          </w:p>
        </w:tc>
        <w:tc>
          <w:tcPr>
            <w:tcW w:w="42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UNITED ARAB EMIRATES</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Industrial Refining Company</w:t>
            </w:r>
          </w:p>
        </w:tc>
        <w:tc>
          <w:tcPr>
            <w:tcW w:w="42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BELGIUM</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0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Shirpur Gold Refinery Ltd.</w:t>
            </w:r>
          </w:p>
        </w:tc>
        <w:tc>
          <w:tcPr>
            <w:tcW w:w="42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Korea Zinc Co., Ltd.</w:t>
            </w:r>
          </w:p>
        </w:tc>
        <w:tc>
          <w:tcPr>
            <w:tcW w:w="42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0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Marsam Metals</w:t>
            </w:r>
          </w:p>
        </w:tc>
        <w:tc>
          <w:tcPr>
            <w:tcW w:w="42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TOO Tau-Ken-Altyn</w:t>
            </w:r>
          </w:p>
        </w:tc>
        <w:tc>
          <w:tcPr>
            <w:tcW w:w="42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KAZAKHSTAN</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0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Abington Reldan Metals, LLC</w:t>
            </w:r>
          </w:p>
        </w:tc>
        <w:tc>
          <w:tcPr>
            <w:tcW w:w="42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Shenzhen CuiLu Gold Co., Ltd.</w:t>
            </w:r>
          </w:p>
        </w:tc>
        <w:tc>
          <w:tcPr>
            <w:tcW w:w="42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0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Albino Mountinho Lda.</w:t>
            </w:r>
          </w:p>
        </w:tc>
        <w:tc>
          <w:tcPr>
            <w:tcW w:w="42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PORTUGAL</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SAAMP</w:t>
            </w:r>
          </w:p>
        </w:tc>
        <w:tc>
          <w:tcPr>
            <w:tcW w:w="42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FRANCE</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0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L’Orfebre S.A.</w:t>
            </w:r>
          </w:p>
        </w:tc>
        <w:tc>
          <w:tcPr>
            <w:tcW w:w="42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ANDORRA</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8853 S.p.A.</w:t>
            </w:r>
          </w:p>
        </w:tc>
        <w:tc>
          <w:tcPr>
            <w:tcW w:w="42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ITALY</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0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Italpreziosi</w:t>
            </w:r>
          </w:p>
        </w:tc>
        <w:tc>
          <w:tcPr>
            <w:tcW w:w="42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ITALY</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WIELAND Edelmetalle GmbH</w:t>
            </w:r>
          </w:p>
        </w:tc>
        <w:tc>
          <w:tcPr>
            <w:tcW w:w="42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0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Ogussa Osterreichische Gold- und Silber-Scheideanstalt GmbH</w:t>
            </w:r>
          </w:p>
        </w:tc>
        <w:tc>
          <w:tcPr>
            <w:tcW w:w="42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AUSTRIA</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AU Traders and Refiners</w:t>
            </w:r>
          </w:p>
        </w:tc>
        <w:tc>
          <w:tcPr>
            <w:tcW w:w="42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SOUTH AFRICA</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0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GGC Gujrat Gold Centre Pvt. Ltd.</w:t>
            </w:r>
          </w:p>
        </w:tc>
        <w:tc>
          <w:tcPr>
            <w:tcW w:w="42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Sai Refinery</w:t>
            </w:r>
          </w:p>
        </w:tc>
        <w:tc>
          <w:tcPr>
            <w:tcW w:w="42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0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Modeltech Sdn Bhd</w:t>
            </w:r>
          </w:p>
        </w:tc>
        <w:tc>
          <w:tcPr>
            <w:tcW w:w="42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MALAYSIA</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Bangalore Refinery</w:t>
            </w:r>
          </w:p>
        </w:tc>
        <w:tc>
          <w:tcPr>
            <w:tcW w:w="42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0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Kyshtym Copper-Electrolytic Plant ZAO</w:t>
            </w:r>
          </w:p>
        </w:tc>
        <w:tc>
          <w:tcPr>
            <w:tcW w:w="42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Degussa Sonne / Mond Goldhandel GmbH</w:t>
            </w:r>
          </w:p>
        </w:tc>
        <w:tc>
          <w:tcPr>
            <w:tcW w:w="42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0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Pease &amp; Curren</w:t>
            </w:r>
          </w:p>
        </w:tc>
        <w:tc>
          <w:tcPr>
            <w:tcW w:w="42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JALAN &amp; Company</w:t>
            </w:r>
          </w:p>
        </w:tc>
        <w:tc>
          <w:tcPr>
            <w:tcW w:w="42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0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SungEel HiMetal Co., Ltd.</w:t>
            </w:r>
          </w:p>
        </w:tc>
        <w:tc>
          <w:tcPr>
            <w:tcW w:w="42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Planta Recuperadora de Metales SpA</w:t>
            </w:r>
          </w:p>
        </w:tc>
        <w:tc>
          <w:tcPr>
            <w:tcW w:w="42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CHILE</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0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ABC Refinery Pty Ltd.</w:t>
            </w:r>
          </w:p>
        </w:tc>
        <w:tc>
          <w:tcPr>
            <w:tcW w:w="42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AUSTRALIA</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Safimet S.p.A</w:t>
            </w:r>
          </w:p>
        </w:tc>
        <w:tc>
          <w:tcPr>
            <w:tcW w:w="42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ITALY</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0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State Research Institute Center for Physical Sciences and Technology</w:t>
            </w:r>
          </w:p>
        </w:tc>
        <w:tc>
          <w:tcPr>
            <w:tcW w:w="42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LITHUANIA</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African Gold Refinery</w:t>
            </w:r>
          </w:p>
        </w:tc>
        <w:tc>
          <w:tcPr>
            <w:tcW w:w="42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UGANDA</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0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Gold Coast Refinery</w:t>
            </w:r>
          </w:p>
        </w:tc>
        <w:tc>
          <w:tcPr>
            <w:tcW w:w="42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GHANA</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NH Recytech Company</w:t>
            </w:r>
          </w:p>
        </w:tc>
        <w:tc>
          <w:tcPr>
            <w:tcW w:w="42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0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QG Refining, LLC</w:t>
            </w:r>
          </w:p>
        </w:tc>
        <w:tc>
          <w:tcPr>
            <w:tcW w:w="42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Dijllah Gold Refinery FZC</w:t>
            </w:r>
          </w:p>
        </w:tc>
        <w:tc>
          <w:tcPr>
            <w:tcW w:w="42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UNITED ARAB EMIRATES</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0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CGR Metalloys Pvt Ltd.</w:t>
            </w:r>
          </w:p>
        </w:tc>
        <w:tc>
          <w:tcPr>
            <w:tcW w:w="42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INDIA</w:t>
            </w:r>
          </w:p>
        </w:tc>
      </w:tr>
      <w:tr>
        <w:trPr>
          <w:trHeight w:val="655"/>
        </w:trPr>
        <w:tc>
          <w:tcPr>
            <w:tcW w:w="940" w:type="dxa"/>
            <w:vAlign w:val="bottom"/>
            <w:tcBorders>
              <w:bottom w:val="single" w:sz="8" w:color="auto"/>
            </w:tcBorders>
          </w:tcPr>
          <w:p>
            <w:pPr>
              <w:spacing w:after="0"/>
              <w:rPr>
                <w:sz w:val="24"/>
                <w:szCs w:val="24"/>
                <w:color w:val="auto"/>
              </w:rPr>
            </w:pPr>
          </w:p>
        </w:tc>
        <w:tc>
          <w:tcPr>
            <w:tcW w:w="6080" w:type="dxa"/>
            <w:vAlign w:val="bottom"/>
            <w:tcBorders>
              <w:bottom w:val="single" w:sz="8" w:color="auto"/>
            </w:tcBorders>
          </w:tcPr>
          <w:p>
            <w:pPr>
              <w:ind w:left="4600"/>
              <w:spacing w:after="0"/>
              <w:rPr>
                <w:sz w:val="20"/>
                <w:szCs w:val="20"/>
                <w:color w:val="auto"/>
              </w:rPr>
            </w:pPr>
            <w:r>
              <w:rPr>
                <w:rFonts w:ascii="Times New Roman" w:cs="Times New Roman" w:eastAsia="Times New Roman" w:hAnsi="Times New Roman"/>
                <w:sz w:val="18"/>
                <w:szCs w:val="18"/>
                <w:color w:val="auto"/>
              </w:rPr>
              <w:t>12</w:t>
            </w:r>
          </w:p>
        </w:tc>
        <w:tc>
          <w:tcPr>
            <w:tcW w:w="4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23" w:right="3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Sovereign Metals</w:t>
            </w:r>
          </w:p>
        </w:tc>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Eco-System Recycling Co., Ltd. North Plant</w:t>
            </w:r>
          </w:p>
        </w:tc>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Eco-System Recycling Co., Ltd. West Plant</w:t>
            </w:r>
          </w:p>
        </w:tc>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Augmont Enterprises Private Limited</w:t>
            </w:r>
          </w:p>
        </w:tc>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Kundan Care Products Ltd.</w:t>
            </w:r>
          </w:p>
        </w:tc>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Emerald Jewel Industry India Limited (Unit 1)</w:t>
            </w:r>
          </w:p>
        </w:tc>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Emerald Jewel Industry India Limited (Unit 2)</w:t>
            </w:r>
          </w:p>
        </w:tc>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Emerald Jewel Industry India Limited (Unit 3)</w:t>
            </w:r>
          </w:p>
        </w:tc>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Emerald Jewel Industry India Limited (Unit 4)</w:t>
            </w:r>
          </w:p>
        </w:tc>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K.A. Rasmussen</w:t>
            </w:r>
          </w:p>
        </w:tc>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NORWAY</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Alexy Metals</w:t>
            </w:r>
          </w:p>
        </w:tc>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MD Overseas</w:t>
            </w:r>
          </w:p>
        </w:tc>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Metallix Refining Inc.</w:t>
            </w:r>
          </w:p>
        </w:tc>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Metal Concentrators SA (Pty) Ltd.</w:t>
            </w:r>
          </w:p>
        </w:tc>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SOUTH AFRICA</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WEEEREFINING</w:t>
            </w:r>
          </w:p>
        </w:tc>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FRANCE</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Gold by Gold Colombia</w:t>
            </w:r>
          </w:p>
        </w:tc>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COLOMBIA</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Dongwu Gold Group</w:t>
            </w:r>
          </w:p>
        </w:tc>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SAM Precious Metals FZ-LLC</w:t>
            </w:r>
          </w:p>
        </w:tc>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UNITED ARAB EMIRATES</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NOBLE METAL SERVICES</w:t>
            </w:r>
          </w:p>
        </w:tc>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Coimpa Industrial LTDA</w:t>
            </w:r>
          </w:p>
        </w:tc>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BRAZIL</w:t>
            </w:r>
          </w:p>
        </w:tc>
      </w:tr>
      <w:tr>
        <w:trPr>
          <w:trHeight w:val="198"/>
        </w:trPr>
        <w:tc>
          <w:tcPr>
            <w:tcW w:w="1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Gold</w:t>
            </w:r>
          </w:p>
        </w:tc>
        <w:tc>
          <w:tcPr>
            <w:tcW w:w="63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SHENZHEN JINJUNWEI RESOURCE COMPREHENSIVE DEVELOPMENT</w:t>
            </w:r>
          </w:p>
        </w:tc>
        <w:tc>
          <w:tcPr>
            <w:tcW w:w="382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CHINA</w:t>
            </w:r>
          </w:p>
        </w:tc>
      </w:tr>
      <w:tr>
        <w:trPr>
          <w:trHeight w:val="234"/>
        </w:trPr>
        <w:tc>
          <w:tcPr>
            <w:tcW w:w="1120" w:type="dxa"/>
            <w:vAlign w:val="bottom"/>
            <w:shd w:val="clear" w:color="auto" w:fill="CCEEFF"/>
          </w:tcPr>
          <w:p>
            <w:pPr>
              <w:spacing w:after="0"/>
              <w:rPr>
                <w:sz w:val="20"/>
                <w:szCs w:val="20"/>
                <w:color w:val="auto"/>
              </w:rPr>
            </w:pPr>
          </w:p>
        </w:tc>
        <w:tc>
          <w:tcPr>
            <w:tcW w:w="6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 LTD.</w:t>
            </w:r>
          </w:p>
        </w:tc>
        <w:tc>
          <w:tcPr>
            <w:tcW w:w="3820" w:type="dxa"/>
            <w:vAlign w:val="bottom"/>
            <w:shd w:val="clear" w:color="auto" w:fill="CCEEFF"/>
          </w:tcPr>
          <w:p>
            <w:pPr>
              <w:spacing w:after="0"/>
              <w:rPr>
                <w:sz w:val="20"/>
                <w:szCs w:val="20"/>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TITAN COMPANY LIMITED, JEWELLERY DIVISION</w:t>
            </w:r>
          </w:p>
        </w:tc>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GG Refinery Ltd.</w:t>
            </w:r>
          </w:p>
        </w:tc>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TANZANIA, UNITED REPUBLIC OF</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Attero Recycling Pvt Ltd</w:t>
            </w:r>
          </w:p>
        </w:tc>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Impala Platinum - Platinum Metals Refinery (PMR)</w:t>
            </w:r>
          </w:p>
        </w:tc>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SOUTH AFRICA</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Elite Industech Co., Ltd.</w:t>
            </w:r>
          </w:p>
        </w:tc>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TAIWAN, PROVINCE OF CHINA</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Gasabo Gold Refinery Ltd</w:t>
            </w:r>
          </w:p>
        </w:tc>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RWANDA</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Minera Titan del Peru SRL (MTP) - Belen Plant</w:t>
            </w:r>
          </w:p>
        </w:tc>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PERU</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6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Guangdong Rising Rare Metals-EO Materials Ltd.</w:t>
            </w:r>
          </w:p>
        </w:tc>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6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F&amp;X Electro-Materials Ltd.</w:t>
            </w:r>
          </w:p>
        </w:tc>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6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XIMEI RESOURCES (GUANGDONG) LIMITED</w:t>
            </w:r>
          </w:p>
        </w:tc>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6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JiuJiang JinXin Nonferrous Metals Co., Ltd.</w:t>
            </w:r>
          </w:p>
        </w:tc>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6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Jiujiang Tanbre Co., Ltd.</w:t>
            </w:r>
          </w:p>
        </w:tc>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6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AMG Brasil</w:t>
            </w:r>
          </w:p>
        </w:tc>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6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Metallurgical Products India Pvt., Ltd.</w:t>
            </w:r>
          </w:p>
        </w:tc>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6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Mineracao Taboca S.A.</w:t>
            </w:r>
          </w:p>
        </w:tc>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6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Mitsui Mining and Smelting Co., Ltd.</w:t>
            </w:r>
          </w:p>
        </w:tc>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6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NPM Silmet AS</w:t>
            </w:r>
          </w:p>
        </w:tc>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ESTONIA</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6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Ningxia Orient Tantalum Industry Co., Ltd.</w:t>
            </w:r>
          </w:p>
        </w:tc>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CHINA</w:t>
            </w:r>
          </w:p>
        </w:tc>
      </w:tr>
      <w:tr>
        <w:trPr>
          <w:trHeight w:val="238"/>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6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Yanling Jincheng Tantalum &amp; Niobium Co., Ltd.</w:t>
            </w:r>
          </w:p>
        </w:tc>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CHINA</w:t>
            </w:r>
          </w:p>
        </w:tc>
      </w:tr>
      <w:tr>
        <w:trPr>
          <w:trHeight w:val="633"/>
        </w:trPr>
        <w:tc>
          <w:tcPr>
            <w:tcW w:w="1120" w:type="dxa"/>
            <w:vAlign w:val="bottom"/>
            <w:tcBorders>
              <w:bottom w:val="single" w:sz="8" w:color="auto"/>
            </w:tcBorders>
          </w:tcPr>
          <w:p>
            <w:pPr>
              <w:spacing w:after="0"/>
              <w:rPr>
                <w:sz w:val="24"/>
                <w:szCs w:val="24"/>
                <w:color w:val="auto"/>
              </w:rPr>
            </w:pPr>
          </w:p>
        </w:tc>
        <w:tc>
          <w:tcPr>
            <w:tcW w:w="6300" w:type="dxa"/>
            <w:vAlign w:val="bottom"/>
            <w:tcBorders>
              <w:bottom w:val="single" w:sz="8" w:color="auto"/>
            </w:tcBorders>
          </w:tcPr>
          <w:p>
            <w:pPr>
              <w:ind w:left="4420"/>
              <w:spacing w:after="0"/>
              <w:rPr>
                <w:sz w:val="20"/>
                <w:szCs w:val="20"/>
                <w:color w:val="auto"/>
              </w:rPr>
            </w:pPr>
            <w:r>
              <w:rPr>
                <w:rFonts w:ascii="Times New Roman" w:cs="Times New Roman" w:eastAsia="Times New Roman" w:hAnsi="Times New Roman"/>
                <w:sz w:val="18"/>
                <w:szCs w:val="18"/>
                <w:color w:val="auto"/>
              </w:rPr>
              <w:t>13</w:t>
            </w:r>
          </w:p>
        </w:tc>
        <w:tc>
          <w:tcPr>
            <w:tcW w:w="38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23" w:right="3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5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Solikamsk Magnesium Works OAO</w:t>
            </w:r>
          </w:p>
        </w:tc>
        <w:tc>
          <w:tcPr>
            <w:tcW w:w="46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Taki Chemical Co., Ltd.</w:t>
            </w:r>
          </w:p>
        </w:tc>
        <w:tc>
          <w:tcPr>
            <w:tcW w:w="46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5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Telex Metals</w:t>
            </w:r>
          </w:p>
        </w:tc>
        <w:tc>
          <w:tcPr>
            <w:tcW w:w="46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Ulba Metallurgical Plant JSC</w:t>
            </w:r>
          </w:p>
        </w:tc>
        <w:tc>
          <w:tcPr>
            <w:tcW w:w="46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KAZAKHSTAN</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5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Hengyang King Xing Lifeng New Materials Co., Ltd.</w:t>
            </w:r>
          </w:p>
        </w:tc>
        <w:tc>
          <w:tcPr>
            <w:tcW w:w="46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 Block Metals, LLC</w:t>
            </w:r>
          </w:p>
        </w:tc>
        <w:tc>
          <w:tcPr>
            <w:tcW w:w="46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5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FIR Metals &amp; Resource Ltd.</w:t>
            </w:r>
          </w:p>
        </w:tc>
        <w:tc>
          <w:tcPr>
            <w:tcW w:w="46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Jiujiang Zhongao Tantalum &amp; Niobium Co., Ltd.</w:t>
            </w:r>
          </w:p>
        </w:tc>
        <w:tc>
          <w:tcPr>
            <w:tcW w:w="46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5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Jiangxi Dinghai Tantalum &amp; Niobium Co., Ltd.</w:t>
            </w:r>
          </w:p>
        </w:tc>
        <w:tc>
          <w:tcPr>
            <w:tcW w:w="46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KEMET de Mexico</w:t>
            </w:r>
          </w:p>
        </w:tc>
        <w:tc>
          <w:tcPr>
            <w:tcW w:w="46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MEXICO</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5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TANIOBIS Co., Ltd.</w:t>
            </w:r>
          </w:p>
        </w:tc>
        <w:tc>
          <w:tcPr>
            <w:tcW w:w="46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THAILAND</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TANIOBIS GmbH</w:t>
            </w:r>
          </w:p>
        </w:tc>
        <w:tc>
          <w:tcPr>
            <w:tcW w:w="46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5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Materion Newton Inc.</w:t>
            </w:r>
          </w:p>
        </w:tc>
        <w:tc>
          <w:tcPr>
            <w:tcW w:w="46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TANIOBIS Japan Co., Ltd.</w:t>
            </w:r>
          </w:p>
        </w:tc>
        <w:tc>
          <w:tcPr>
            <w:tcW w:w="46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5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TANIOBIS Smelting GmbH &amp; Co. KG</w:t>
            </w:r>
          </w:p>
        </w:tc>
        <w:tc>
          <w:tcPr>
            <w:tcW w:w="46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Global Advanced Metals Boyertown</w:t>
            </w:r>
          </w:p>
        </w:tc>
        <w:tc>
          <w:tcPr>
            <w:tcW w:w="46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5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Global Advanced Metals Aizu</w:t>
            </w:r>
          </w:p>
        </w:tc>
        <w:tc>
          <w:tcPr>
            <w:tcW w:w="46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Resind Industria e Comercio Ltda.</w:t>
            </w:r>
          </w:p>
        </w:tc>
        <w:tc>
          <w:tcPr>
            <w:tcW w:w="46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5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Jiangxi Tuohong New Raw Material</w:t>
            </w:r>
          </w:p>
        </w:tc>
        <w:tc>
          <w:tcPr>
            <w:tcW w:w="46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RFH Yancheng Jinye New Material Technology Co., Ltd.</w:t>
            </w:r>
          </w:p>
        </w:tc>
        <w:tc>
          <w:tcPr>
            <w:tcW w:w="46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5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5D Production OU</w:t>
            </w:r>
          </w:p>
        </w:tc>
        <w:tc>
          <w:tcPr>
            <w:tcW w:w="46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ESTONIA</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PowerX Ltd.</w:t>
            </w:r>
          </w:p>
        </w:tc>
        <w:tc>
          <w:tcPr>
            <w:tcW w:w="46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RWANDA</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5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Jiangxi Suns Nonferrous Materials Co. Ltd.</w:t>
            </w:r>
          </w:p>
        </w:tc>
        <w:tc>
          <w:tcPr>
            <w:tcW w:w="46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Chenzhou Yunxiang Mining and Metallurgy Co., Ltd.</w:t>
            </w:r>
          </w:p>
        </w:tc>
        <w:tc>
          <w:tcPr>
            <w:tcW w:w="46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Alpha Assembly Solutions Inc</w:t>
            </w:r>
          </w:p>
        </w:tc>
        <w:tc>
          <w:tcPr>
            <w:tcW w:w="46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PT Premium Tin Indonesia</w:t>
            </w:r>
          </w:p>
        </w:tc>
        <w:tc>
          <w:tcPr>
            <w:tcW w:w="46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Dongguan Best Alloys Co., Ltd.</w:t>
            </w:r>
          </w:p>
        </w:tc>
        <w:tc>
          <w:tcPr>
            <w:tcW w:w="46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Dowa</w:t>
            </w:r>
          </w:p>
        </w:tc>
        <w:tc>
          <w:tcPr>
            <w:tcW w:w="46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EM Vinto</w:t>
            </w:r>
          </w:p>
        </w:tc>
        <w:tc>
          <w:tcPr>
            <w:tcW w:w="46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BOLIVIA (PLURINATIONAL STATE OF)</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Estanho de Rondonia S.A.</w:t>
            </w:r>
          </w:p>
        </w:tc>
        <w:tc>
          <w:tcPr>
            <w:tcW w:w="46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Fenix Metals</w:t>
            </w:r>
          </w:p>
        </w:tc>
        <w:tc>
          <w:tcPr>
            <w:tcW w:w="46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POLAND</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Gejiu Non-Ferrous Metal Processing Co., Ltd.</w:t>
            </w:r>
          </w:p>
        </w:tc>
        <w:tc>
          <w:tcPr>
            <w:tcW w:w="46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Gejiu Zili Mining And Metallurgy Co., Ltd.</w:t>
            </w:r>
          </w:p>
        </w:tc>
        <w:tc>
          <w:tcPr>
            <w:tcW w:w="46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Gejiu Kai Meng Industry and Trade LLC</w:t>
            </w:r>
          </w:p>
        </w:tc>
        <w:tc>
          <w:tcPr>
            <w:tcW w:w="46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China Tin Group Co., Ltd.</w:t>
            </w:r>
          </w:p>
        </w:tc>
        <w:tc>
          <w:tcPr>
            <w:tcW w:w="46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Malaysia Smelting Corporation (MSC)</w:t>
            </w:r>
          </w:p>
        </w:tc>
        <w:tc>
          <w:tcPr>
            <w:tcW w:w="46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MALAYSIA</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Metallic Resources, Inc.</w:t>
            </w:r>
          </w:p>
        </w:tc>
        <w:tc>
          <w:tcPr>
            <w:tcW w:w="46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655"/>
        </w:trPr>
        <w:tc>
          <w:tcPr>
            <w:tcW w:w="112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ind w:left="4420"/>
              <w:spacing w:after="0"/>
              <w:rPr>
                <w:sz w:val="20"/>
                <w:szCs w:val="20"/>
                <w:color w:val="auto"/>
              </w:rPr>
            </w:pPr>
            <w:r>
              <w:rPr>
                <w:rFonts w:ascii="Times New Roman" w:cs="Times New Roman" w:eastAsia="Times New Roman" w:hAnsi="Times New Roman"/>
                <w:sz w:val="18"/>
                <w:szCs w:val="18"/>
                <w:color w:val="auto"/>
              </w:rPr>
              <w:t>14</w:t>
            </w:r>
          </w:p>
        </w:tc>
        <w:tc>
          <w:tcPr>
            <w:tcW w:w="4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23" w:right="3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5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Mineracao Taboca S.A.</w:t>
            </w:r>
          </w:p>
        </w:tc>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5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Minsur</w:t>
            </w:r>
          </w:p>
        </w:tc>
        <w:tc>
          <w:tcPr>
            <w:tcW w:w="3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PERU</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5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Mitsubishi Materials Corporation</w:t>
            </w:r>
          </w:p>
        </w:tc>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5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Jiangxi New Nanshan Technology Ltd.</w:t>
            </w:r>
          </w:p>
        </w:tc>
        <w:tc>
          <w:tcPr>
            <w:tcW w:w="3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5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Novosibirsk Tin Combine</w:t>
            </w:r>
          </w:p>
        </w:tc>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5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O.M. Manufacturing (Thailand) Co., Ltd.</w:t>
            </w:r>
          </w:p>
        </w:tc>
        <w:tc>
          <w:tcPr>
            <w:tcW w:w="3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THAILAND</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5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Operaciones Metalurgicas S.A.</w:t>
            </w:r>
          </w:p>
        </w:tc>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BOLIVIA (PLURINATIONAL STATE OF)</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5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PT Mitra Stania Prima</w:t>
            </w:r>
          </w:p>
        </w:tc>
        <w:tc>
          <w:tcPr>
            <w:tcW w:w="3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5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PT Prima Timah Utama</w:t>
            </w:r>
          </w:p>
        </w:tc>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5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PT Timah Tbk Kundur</w:t>
            </w:r>
          </w:p>
        </w:tc>
        <w:tc>
          <w:tcPr>
            <w:tcW w:w="3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5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PT Timah Tbk Mentok</w:t>
            </w:r>
          </w:p>
        </w:tc>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5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Rui Da Hung</w:t>
            </w:r>
          </w:p>
        </w:tc>
        <w:tc>
          <w:tcPr>
            <w:tcW w:w="3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TAIWAN, PROVINCE OF CHINA</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5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Thaisarco</w:t>
            </w:r>
          </w:p>
        </w:tc>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THAILAND</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5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Gejiu Yunxin Nonferrous Electrolysis Co., Ltd.</w:t>
            </w:r>
          </w:p>
        </w:tc>
        <w:tc>
          <w:tcPr>
            <w:tcW w:w="3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5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VQB Mineral and Trading Group JSC</w:t>
            </w:r>
          </w:p>
        </w:tc>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VIET NAM</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5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White Solder Metalurgia e Mineracao Ltda.</w:t>
            </w:r>
          </w:p>
        </w:tc>
        <w:tc>
          <w:tcPr>
            <w:tcW w:w="3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5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Yunnan Chengfeng Non-ferrous Metals Co., Ltd.</w:t>
            </w:r>
          </w:p>
        </w:tc>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5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Tin Smelting Branch of Yunnan Tin Co., Ltd.</w:t>
            </w:r>
          </w:p>
        </w:tc>
        <w:tc>
          <w:tcPr>
            <w:tcW w:w="3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5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Magnu’s Minerais Metais e Ligas Ltda.</w:t>
            </w:r>
          </w:p>
        </w:tc>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5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Melt Metais e Ligas S.A.</w:t>
            </w:r>
          </w:p>
        </w:tc>
        <w:tc>
          <w:tcPr>
            <w:tcW w:w="3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5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PT ATD Makmur Mandiri Jaya</w:t>
            </w:r>
          </w:p>
        </w:tc>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5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O.M. Manufacturing Philippines, Inc.</w:t>
            </w:r>
          </w:p>
        </w:tc>
        <w:tc>
          <w:tcPr>
            <w:tcW w:w="3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PHILIPPINES</w:t>
            </w:r>
          </w:p>
        </w:tc>
      </w:tr>
      <w:tr>
        <w:trPr>
          <w:trHeight w:val="198"/>
        </w:trPr>
        <w:tc>
          <w:tcPr>
            <w:tcW w:w="8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Tin</w:t>
            </w:r>
          </w:p>
        </w:tc>
        <w:tc>
          <w:tcPr>
            <w:tcW w:w="6520" w:type="dxa"/>
            <w:vAlign w:val="bottom"/>
            <w:shd w:val="clear" w:color="auto" w:fill="CCEEFF"/>
          </w:tcPr>
          <w:p>
            <w:pPr>
              <w:ind w:left="600"/>
              <w:spacing w:after="0" w:line="198" w:lineRule="exact"/>
              <w:rPr>
                <w:sz w:val="20"/>
                <w:szCs w:val="20"/>
                <w:color w:val="auto"/>
              </w:rPr>
            </w:pPr>
            <w:r>
              <w:rPr>
                <w:rFonts w:ascii="Times New Roman" w:cs="Times New Roman" w:eastAsia="Times New Roman" w:hAnsi="Times New Roman"/>
                <w:sz w:val="18"/>
                <w:szCs w:val="18"/>
                <w:color w:val="auto"/>
              </w:rPr>
              <w:t>Electro-Mechanical Facility of the Cao Bang Minerals &amp; Metallurgy Joint Stock</w:t>
            </w:r>
          </w:p>
        </w:tc>
        <w:tc>
          <w:tcPr>
            <w:tcW w:w="3840" w:type="dxa"/>
            <w:vAlign w:val="bottom"/>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VIET NAM</w:t>
            </w:r>
          </w:p>
        </w:tc>
      </w:tr>
      <w:tr>
        <w:trPr>
          <w:trHeight w:val="234"/>
        </w:trPr>
        <w:tc>
          <w:tcPr>
            <w:tcW w:w="880" w:type="dxa"/>
            <w:vAlign w:val="bottom"/>
            <w:shd w:val="clear" w:color="auto" w:fill="CCEEFF"/>
          </w:tcPr>
          <w:p>
            <w:pPr>
              <w:spacing w:after="0"/>
              <w:rPr>
                <w:sz w:val="20"/>
                <w:szCs w:val="20"/>
                <w:color w:val="auto"/>
              </w:rPr>
            </w:pPr>
          </w:p>
        </w:tc>
        <w:tc>
          <w:tcPr>
            <w:tcW w:w="65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Company</w:t>
            </w:r>
          </w:p>
        </w:tc>
        <w:tc>
          <w:tcPr>
            <w:tcW w:w="3840" w:type="dxa"/>
            <w:vAlign w:val="bottom"/>
            <w:shd w:val="clear" w:color="auto" w:fill="CCEEFF"/>
          </w:tcPr>
          <w:p>
            <w:pPr>
              <w:spacing w:after="0"/>
              <w:rPr>
                <w:sz w:val="20"/>
                <w:szCs w:val="20"/>
                <w:color w:val="auto"/>
              </w:rPr>
            </w:pP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5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Nghe Tinh Non-Ferrous Metals Joint Stock Company</w:t>
            </w:r>
          </w:p>
        </w:tc>
        <w:tc>
          <w:tcPr>
            <w:tcW w:w="3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VIET NAM</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5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Tuyen Quang Non-Ferrous Metals Joint Stock Company</w:t>
            </w:r>
          </w:p>
        </w:tc>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VIET NAM</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5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PT Rajehan Ariq</w:t>
            </w:r>
          </w:p>
        </w:tc>
        <w:tc>
          <w:tcPr>
            <w:tcW w:w="3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5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PT Cipta Persada Mulia</w:t>
            </w:r>
          </w:p>
        </w:tc>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5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An Vinh Joint Stock Mineral Processing Company</w:t>
            </w:r>
          </w:p>
        </w:tc>
        <w:tc>
          <w:tcPr>
            <w:tcW w:w="3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VIET NAM</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5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Resind Industria e Comercio Ltda.</w:t>
            </w:r>
          </w:p>
        </w:tc>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5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Super Ligas</w:t>
            </w:r>
          </w:p>
        </w:tc>
        <w:tc>
          <w:tcPr>
            <w:tcW w:w="3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5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Aurubis Beerse</w:t>
            </w:r>
          </w:p>
        </w:tc>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BELGIUM</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5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Aurubis Berango</w:t>
            </w:r>
          </w:p>
        </w:tc>
        <w:tc>
          <w:tcPr>
            <w:tcW w:w="3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SPAIN</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5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PT Bangka Prima Tin</w:t>
            </w:r>
          </w:p>
        </w:tc>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5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HuiChang Hill Tin Industry Co., Ltd.</w:t>
            </w:r>
          </w:p>
        </w:tc>
        <w:tc>
          <w:tcPr>
            <w:tcW w:w="3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5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Modeltech Sdn Bhd</w:t>
            </w:r>
          </w:p>
        </w:tc>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MALAYSIA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5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Guangdong Hanhe Non-Ferrous Metal Co., Ltd.</w:t>
            </w:r>
          </w:p>
        </w:tc>
        <w:tc>
          <w:tcPr>
            <w:tcW w:w="3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5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Chifeng Dajingzi Tin Industry Co., Ltd.</w:t>
            </w:r>
          </w:p>
        </w:tc>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5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Pongpipat Company Limited</w:t>
            </w:r>
          </w:p>
        </w:tc>
        <w:tc>
          <w:tcPr>
            <w:tcW w:w="3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MYANMAR</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5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Tin Technology &amp; Refining</w:t>
            </w:r>
          </w:p>
        </w:tc>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655"/>
        </w:trPr>
        <w:tc>
          <w:tcPr>
            <w:tcW w:w="880" w:type="dxa"/>
            <w:vAlign w:val="bottom"/>
            <w:tcBorders>
              <w:bottom w:val="single" w:sz="8" w:color="auto"/>
            </w:tcBorders>
          </w:tcPr>
          <w:p>
            <w:pPr>
              <w:spacing w:after="0"/>
              <w:rPr>
                <w:sz w:val="24"/>
                <w:szCs w:val="24"/>
                <w:color w:val="auto"/>
              </w:rPr>
            </w:pPr>
          </w:p>
        </w:tc>
        <w:tc>
          <w:tcPr>
            <w:tcW w:w="6520" w:type="dxa"/>
            <w:vAlign w:val="bottom"/>
            <w:tcBorders>
              <w:bottom w:val="single" w:sz="8" w:color="auto"/>
            </w:tcBorders>
          </w:tcPr>
          <w:p>
            <w:pPr>
              <w:ind w:left="4660"/>
              <w:spacing w:after="0"/>
              <w:rPr>
                <w:sz w:val="20"/>
                <w:szCs w:val="20"/>
                <w:color w:val="auto"/>
              </w:rPr>
            </w:pPr>
            <w:r>
              <w:rPr>
                <w:rFonts w:ascii="Times New Roman" w:cs="Times New Roman" w:eastAsia="Times New Roman" w:hAnsi="Times New Roman"/>
                <w:sz w:val="18"/>
                <w:szCs w:val="18"/>
                <w:color w:val="auto"/>
              </w:rPr>
              <w:t>15</w:t>
            </w:r>
          </w:p>
        </w:tc>
        <w:tc>
          <w:tcPr>
            <w:tcW w:w="38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23" w:right="3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3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Dongguan CiEXPO Environmental Engineering Co., Ltd.</w:t>
            </w:r>
          </w:p>
        </w:tc>
        <w:tc>
          <w:tcPr>
            <w:tcW w:w="37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Ma’anshan Weitai Tin Co., Ltd.</w:t>
            </w:r>
          </w:p>
        </w:tc>
        <w:tc>
          <w:tcPr>
            <w:tcW w:w="3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3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Luna Smelter, Ltd.</w:t>
            </w:r>
          </w:p>
        </w:tc>
        <w:tc>
          <w:tcPr>
            <w:tcW w:w="37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RWANDA</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Yunnan Yunfan Non-ferrous Metals Co., Ltd.</w:t>
            </w:r>
          </w:p>
        </w:tc>
        <w:tc>
          <w:tcPr>
            <w:tcW w:w="3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3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Precious Minerals and Smelting Limited</w:t>
            </w:r>
          </w:p>
        </w:tc>
        <w:tc>
          <w:tcPr>
            <w:tcW w:w="37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Gejiu City Fuxiang Industry and Trade Co., Ltd.</w:t>
            </w:r>
          </w:p>
        </w:tc>
        <w:tc>
          <w:tcPr>
            <w:tcW w:w="3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3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PT Mitra Sukses Globalindo</w:t>
            </w:r>
          </w:p>
        </w:tc>
        <w:tc>
          <w:tcPr>
            <w:tcW w:w="37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INDONESIA</w:t>
            </w:r>
          </w:p>
        </w:tc>
      </w:tr>
      <w:tr>
        <w:trPr>
          <w:trHeight w:val="198"/>
        </w:trPr>
        <w:tc>
          <w:tcPr>
            <w:tcW w:w="110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Tin</w:t>
            </w:r>
          </w:p>
        </w:tc>
        <w:tc>
          <w:tcPr>
            <w:tcW w:w="6380" w:type="dxa"/>
            <w:vAlign w:val="bottom"/>
          </w:tcPr>
          <w:p>
            <w:pPr>
              <w:ind w:left="380"/>
              <w:spacing w:after="0" w:line="198" w:lineRule="exact"/>
              <w:rPr>
                <w:sz w:val="20"/>
                <w:szCs w:val="20"/>
                <w:color w:val="auto"/>
              </w:rPr>
            </w:pPr>
            <w:r>
              <w:rPr>
                <w:rFonts w:ascii="Times New Roman" w:cs="Times New Roman" w:eastAsia="Times New Roman" w:hAnsi="Times New Roman"/>
                <w:sz w:val="18"/>
                <w:szCs w:val="18"/>
                <w:color w:val="auto"/>
              </w:rPr>
              <w:t>CRM Fundicao De Metais E Comercio De Equipamentos Eletronicos Do Brasil</w:t>
            </w:r>
          </w:p>
        </w:tc>
        <w:tc>
          <w:tcPr>
            <w:tcW w:w="376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BRAZIL</w:t>
            </w:r>
          </w:p>
        </w:tc>
      </w:tr>
      <w:tr>
        <w:trPr>
          <w:trHeight w:val="234"/>
        </w:trPr>
        <w:tc>
          <w:tcPr>
            <w:tcW w:w="1100" w:type="dxa"/>
            <w:vAlign w:val="bottom"/>
          </w:tcPr>
          <w:p>
            <w:pPr>
              <w:spacing w:after="0"/>
              <w:rPr>
                <w:sz w:val="20"/>
                <w:szCs w:val="20"/>
                <w:color w:val="auto"/>
              </w:rPr>
            </w:pPr>
          </w:p>
        </w:tc>
        <w:tc>
          <w:tcPr>
            <w:tcW w:w="6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Ltda</w:t>
            </w:r>
          </w:p>
        </w:tc>
        <w:tc>
          <w:tcPr>
            <w:tcW w:w="3760" w:type="dxa"/>
            <w:vAlign w:val="bottom"/>
          </w:tcPr>
          <w:p>
            <w:pPr>
              <w:spacing w:after="0"/>
              <w:rPr>
                <w:sz w:val="20"/>
                <w:szCs w:val="20"/>
                <w:color w:val="auto"/>
              </w:rPr>
            </w:pP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3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CRM Synergies</w:t>
            </w:r>
          </w:p>
        </w:tc>
        <w:tc>
          <w:tcPr>
            <w:tcW w:w="37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SPAIN</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Fabrica Auricchio Industria e Comercio Ltda.</w:t>
            </w:r>
          </w:p>
        </w:tc>
        <w:tc>
          <w:tcPr>
            <w:tcW w:w="3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3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PT Putera Sarana Shakti (PT PSS)</w:t>
            </w:r>
          </w:p>
        </w:tc>
        <w:tc>
          <w:tcPr>
            <w:tcW w:w="37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Mining Minerals Resources SARL</w:t>
            </w:r>
          </w:p>
        </w:tc>
        <w:tc>
          <w:tcPr>
            <w:tcW w:w="3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CONGO, DEMOCRATIC REPUBLIC OF THE</w:t>
            </w:r>
          </w:p>
        </w:tc>
      </w:tr>
      <w:tr>
        <w:trPr>
          <w:trHeight w:val="198"/>
        </w:trPr>
        <w:tc>
          <w:tcPr>
            <w:tcW w:w="1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Tin</w:t>
            </w:r>
          </w:p>
        </w:tc>
        <w:tc>
          <w:tcPr>
            <w:tcW w:w="6380" w:type="dxa"/>
            <w:vAlign w:val="bottom"/>
            <w:shd w:val="clear" w:color="auto" w:fill="CCEEFF"/>
          </w:tcPr>
          <w:p>
            <w:pPr>
              <w:ind w:left="380"/>
              <w:spacing w:after="0" w:line="198" w:lineRule="exact"/>
              <w:rPr>
                <w:sz w:val="20"/>
                <w:szCs w:val="20"/>
                <w:color w:val="auto"/>
              </w:rPr>
            </w:pPr>
            <w:r>
              <w:rPr>
                <w:rFonts w:ascii="Times New Roman" w:cs="Times New Roman" w:eastAsia="Times New Roman" w:hAnsi="Times New Roman"/>
                <w:sz w:val="18"/>
                <w:szCs w:val="18"/>
                <w:color w:val="auto"/>
              </w:rPr>
              <w:t>Takehara PVD Materials Plant / PVD Materials Division of MITSUI MINING &amp;</w:t>
            </w:r>
          </w:p>
        </w:tc>
        <w:tc>
          <w:tcPr>
            <w:tcW w:w="3760" w:type="dxa"/>
            <w:vAlign w:val="bottom"/>
            <w:shd w:val="clear" w:color="auto" w:fill="CCEEFF"/>
          </w:tcPr>
          <w:p>
            <w:pPr>
              <w:ind w:left="60"/>
              <w:spacing w:after="0" w:line="198" w:lineRule="exact"/>
              <w:rPr>
                <w:sz w:val="20"/>
                <w:szCs w:val="20"/>
                <w:color w:val="auto"/>
              </w:rPr>
            </w:pPr>
            <w:r>
              <w:rPr>
                <w:rFonts w:ascii="Times New Roman" w:cs="Times New Roman" w:eastAsia="Times New Roman" w:hAnsi="Times New Roman"/>
                <w:sz w:val="18"/>
                <w:szCs w:val="18"/>
                <w:color w:val="auto"/>
              </w:rPr>
              <w:t>JAPAN</w:t>
            </w:r>
          </w:p>
        </w:tc>
      </w:tr>
      <w:tr>
        <w:trPr>
          <w:trHeight w:val="234"/>
        </w:trPr>
        <w:tc>
          <w:tcPr>
            <w:tcW w:w="1100" w:type="dxa"/>
            <w:vAlign w:val="bottom"/>
            <w:shd w:val="clear" w:color="auto" w:fill="CCEEFF"/>
          </w:tcPr>
          <w:p>
            <w:pPr>
              <w:spacing w:after="0"/>
              <w:rPr>
                <w:sz w:val="20"/>
                <w:szCs w:val="20"/>
                <w:color w:val="auto"/>
              </w:rPr>
            </w:pPr>
          </w:p>
        </w:tc>
        <w:tc>
          <w:tcPr>
            <w:tcW w:w="63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SMELTING CO., LTD.</w:t>
            </w:r>
          </w:p>
        </w:tc>
        <w:tc>
          <w:tcPr>
            <w:tcW w:w="3760" w:type="dxa"/>
            <w:vAlign w:val="bottom"/>
            <w:shd w:val="clear" w:color="auto" w:fill="CCEEFF"/>
          </w:tcPr>
          <w:p>
            <w:pPr>
              <w:spacing w:after="0"/>
              <w:rPr>
                <w:sz w:val="20"/>
                <w:szCs w:val="20"/>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Malaysia Smelting Corporation Berhad (Port Klang)</w:t>
            </w:r>
          </w:p>
        </w:tc>
        <w:tc>
          <w:tcPr>
            <w:tcW w:w="3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MALAYSIA</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3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RIKAYAA GREENTECH PRIVATE LIMITED</w:t>
            </w:r>
          </w:p>
        </w:tc>
        <w:tc>
          <w:tcPr>
            <w:tcW w:w="37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Woodcross Smelting Company Limited</w:t>
            </w:r>
          </w:p>
        </w:tc>
        <w:tc>
          <w:tcPr>
            <w:tcW w:w="3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UGANDA</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3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Global Advanced Metals Greenbushes Pty Ltd.</w:t>
            </w:r>
          </w:p>
        </w:tc>
        <w:tc>
          <w:tcPr>
            <w:tcW w:w="37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AUSTRALIA</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Longnan Chuangyue Environmental Protection Technology Development Co., Ltd</w:t>
            </w:r>
          </w:p>
        </w:tc>
        <w:tc>
          <w:tcPr>
            <w:tcW w:w="3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3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PT Arsed Indonesia</w:t>
            </w:r>
          </w:p>
        </w:tc>
        <w:tc>
          <w:tcPr>
            <w:tcW w:w="37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 Kay Metal, Inc</w:t>
            </w:r>
          </w:p>
        </w:tc>
        <w:tc>
          <w:tcPr>
            <w:tcW w:w="3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63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A.L.M.T. Corp.</w:t>
            </w:r>
          </w:p>
        </w:tc>
        <w:tc>
          <w:tcPr>
            <w:tcW w:w="37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6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Kennametal Huntsville</w:t>
            </w:r>
          </w:p>
        </w:tc>
        <w:tc>
          <w:tcPr>
            <w:tcW w:w="3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63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Guangdong Xianglu Tungsten Co., Ltd.</w:t>
            </w:r>
          </w:p>
        </w:tc>
        <w:tc>
          <w:tcPr>
            <w:tcW w:w="37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6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Chongyi Zhangyuan Tungsten Co., Ltd.</w:t>
            </w:r>
          </w:p>
        </w:tc>
        <w:tc>
          <w:tcPr>
            <w:tcW w:w="3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63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CNMC (Guangxi) PGMA Co., Ltd.</w:t>
            </w:r>
          </w:p>
        </w:tc>
        <w:tc>
          <w:tcPr>
            <w:tcW w:w="37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6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Global Tungsten &amp; Powders LLC</w:t>
            </w:r>
          </w:p>
        </w:tc>
        <w:tc>
          <w:tcPr>
            <w:tcW w:w="3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63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Hunan Jintai New Material Co., Ltd.</w:t>
            </w:r>
          </w:p>
        </w:tc>
        <w:tc>
          <w:tcPr>
            <w:tcW w:w="37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6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Japan New Metals Co., Ltd.</w:t>
            </w:r>
          </w:p>
        </w:tc>
        <w:tc>
          <w:tcPr>
            <w:tcW w:w="3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63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Kennametal Fallon</w:t>
            </w:r>
          </w:p>
        </w:tc>
        <w:tc>
          <w:tcPr>
            <w:tcW w:w="37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6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Wolfram Bergbau und Hutten AG</w:t>
            </w:r>
          </w:p>
        </w:tc>
        <w:tc>
          <w:tcPr>
            <w:tcW w:w="3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AUSTRIA</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63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Xiamen Tungsten Co., Ltd.</w:t>
            </w:r>
          </w:p>
        </w:tc>
        <w:tc>
          <w:tcPr>
            <w:tcW w:w="37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6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Jiangxi Minmetals Gao’an Non-ferrous Metals Co., Ltd.</w:t>
            </w:r>
          </w:p>
        </w:tc>
        <w:tc>
          <w:tcPr>
            <w:tcW w:w="3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63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Ganzhou Jiangwu Ferrotungsten Co., Ltd.</w:t>
            </w:r>
          </w:p>
        </w:tc>
        <w:tc>
          <w:tcPr>
            <w:tcW w:w="37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6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Jiangxi Yaosheng Tungsten Co., Ltd.</w:t>
            </w:r>
          </w:p>
        </w:tc>
        <w:tc>
          <w:tcPr>
            <w:tcW w:w="3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63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Jiangxi Xinsheng Tungsten Industry Co., Ltd.</w:t>
            </w:r>
          </w:p>
        </w:tc>
        <w:tc>
          <w:tcPr>
            <w:tcW w:w="37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6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Jiangxi Tonggu Non-ferrous Metallurgical &amp; Chemical Co., Ltd.</w:t>
            </w:r>
          </w:p>
        </w:tc>
        <w:tc>
          <w:tcPr>
            <w:tcW w:w="3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63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Malipo Haiyu Tungsten Co., Ltd.</w:t>
            </w:r>
          </w:p>
        </w:tc>
        <w:tc>
          <w:tcPr>
            <w:tcW w:w="37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6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Xiamen Tungsten (H.C.) Co., Ltd.</w:t>
            </w:r>
          </w:p>
        </w:tc>
        <w:tc>
          <w:tcPr>
            <w:tcW w:w="3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63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Jiangxi Gan Bei Tungsten Co., Ltd.</w:t>
            </w:r>
          </w:p>
        </w:tc>
        <w:tc>
          <w:tcPr>
            <w:tcW w:w="37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CHINA</w:t>
            </w:r>
          </w:p>
        </w:tc>
      </w:tr>
      <w:tr>
        <w:trPr>
          <w:trHeight w:val="655"/>
        </w:trPr>
        <w:tc>
          <w:tcPr>
            <w:tcW w:w="1100" w:type="dxa"/>
            <w:vAlign w:val="bottom"/>
            <w:tcBorders>
              <w:bottom w:val="single" w:sz="8" w:color="auto"/>
            </w:tcBorders>
          </w:tcPr>
          <w:p>
            <w:pPr>
              <w:spacing w:after="0"/>
              <w:rPr>
                <w:sz w:val="24"/>
                <w:szCs w:val="24"/>
                <w:color w:val="auto"/>
              </w:rPr>
            </w:pPr>
          </w:p>
        </w:tc>
        <w:tc>
          <w:tcPr>
            <w:tcW w:w="6380" w:type="dxa"/>
            <w:vAlign w:val="bottom"/>
            <w:tcBorders>
              <w:bottom w:val="single" w:sz="8" w:color="auto"/>
            </w:tcBorders>
          </w:tcPr>
          <w:p>
            <w:pPr>
              <w:ind w:left="4440"/>
              <w:spacing w:after="0"/>
              <w:rPr>
                <w:sz w:val="20"/>
                <w:szCs w:val="20"/>
                <w:color w:val="auto"/>
              </w:rPr>
            </w:pPr>
            <w:r>
              <w:rPr>
                <w:rFonts w:ascii="Times New Roman" w:cs="Times New Roman" w:eastAsia="Times New Roman" w:hAnsi="Times New Roman"/>
                <w:sz w:val="18"/>
                <w:szCs w:val="18"/>
                <w:color w:val="auto"/>
              </w:rPr>
              <w:t>16</w:t>
            </w:r>
          </w:p>
        </w:tc>
        <w:tc>
          <w:tcPr>
            <w:tcW w:w="37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23" w:right="339"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62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Ganzhou Seadragon W &amp; Mo Co., Ltd.</w:t>
            </w:r>
          </w:p>
        </w:tc>
        <w:tc>
          <w:tcPr>
            <w:tcW w:w="3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6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Asia Tungsten Products Vietnam Ltd.</w:t>
            </w:r>
          </w:p>
        </w:tc>
        <w:tc>
          <w:tcPr>
            <w:tcW w:w="3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VIET NAM</w:t>
            </w:r>
          </w:p>
        </w:tc>
      </w:tr>
      <w:tr>
        <w:trPr>
          <w:trHeight w:val="198"/>
        </w:trPr>
        <w:tc>
          <w:tcPr>
            <w:tcW w:w="1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Tungsten</w:t>
            </w:r>
          </w:p>
        </w:tc>
        <w:tc>
          <w:tcPr>
            <w:tcW w:w="6220" w:type="dxa"/>
            <w:vAlign w:val="bottom"/>
            <w:shd w:val="clear" w:color="auto" w:fill="CCEEFF"/>
          </w:tcPr>
          <w:p>
            <w:pPr>
              <w:ind w:left="380"/>
              <w:spacing w:after="0" w:line="198" w:lineRule="exact"/>
              <w:rPr>
                <w:sz w:val="20"/>
                <w:szCs w:val="20"/>
                <w:color w:val="auto"/>
              </w:rPr>
            </w:pPr>
            <w:r>
              <w:rPr>
                <w:rFonts w:ascii="Times New Roman" w:cs="Times New Roman" w:eastAsia="Times New Roman" w:hAnsi="Times New Roman"/>
                <w:sz w:val="18"/>
                <w:szCs w:val="18"/>
                <w:color w:val="auto"/>
              </w:rPr>
              <w:t>Hunan Shizhuyuan Nonferrous Metals Co., Ltd. Chenzhou Tungsten Products</w:t>
            </w:r>
          </w:p>
        </w:tc>
        <w:tc>
          <w:tcPr>
            <w:tcW w:w="392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CHINA</w:t>
            </w:r>
          </w:p>
        </w:tc>
      </w:tr>
      <w:tr>
        <w:trPr>
          <w:trHeight w:val="234"/>
        </w:trPr>
        <w:tc>
          <w:tcPr>
            <w:tcW w:w="1100" w:type="dxa"/>
            <w:vAlign w:val="bottom"/>
            <w:shd w:val="clear" w:color="auto" w:fill="CCEEFF"/>
          </w:tcPr>
          <w:p>
            <w:pPr>
              <w:spacing w:after="0"/>
              <w:rPr>
                <w:sz w:val="20"/>
                <w:szCs w:val="20"/>
                <w:color w:val="auto"/>
              </w:rPr>
            </w:pPr>
          </w:p>
        </w:tc>
        <w:tc>
          <w:tcPr>
            <w:tcW w:w="62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Branch</w:t>
            </w:r>
          </w:p>
        </w:tc>
        <w:tc>
          <w:tcPr>
            <w:tcW w:w="3920" w:type="dxa"/>
            <w:vAlign w:val="bottom"/>
            <w:shd w:val="clear" w:color="auto" w:fill="CCEEFF"/>
          </w:tcPr>
          <w:p>
            <w:pPr>
              <w:spacing w:after="0"/>
              <w:rPr>
                <w:sz w:val="20"/>
                <w:szCs w:val="20"/>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6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H.C. Starck Tungsten GmbH</w:t>
            </w:r>
          </w:p>
        </w:tc>
        <w:tc>
          <w:tcPr>
            <w:tcW w:w="3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62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TANIOBIS Smelting GmbH &amp; Co. KG</w:t>
            </w:r>
          </w:p>
        </w:tc>
        <w:tc>
          <w:tcPr>
            <w:tcW w:w="3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6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Masan High-Tech Materials</w:t>
            </w:r>
          </w:p>
        </w:tc>
        <w:tc>
          <w:tcPr>
            <w:tcW w:w="3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VIET NAM</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62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Jiangwu H.C. Starck Tungsten Products Co., Ltd.</w:t>
            </w:r>
          </w:p>
        </w:tc>
        <w:tc>
          <w:tcPr>
            <w:tcW w:w="3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6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Niagara Refining LLC</w:t>
            </w:r>
          </w:p>
        </w:tc>
        <w:tc>
          <w:tcPr>
            <w:tcW w:w="3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62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China Molybdenum Tungsten Co., Ltd.</w:t>
            </w:r>
          </w:p>
        </w:tc>
        <w:tc>
          <w:tcPr>
            <w:tcW w:w="3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6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Hydrometallurg, JSC</w:t>
            </w:r>
          </w:p>
        </w:tc>
        <w:tc>
          <w:tcPr>
            <w:tcW w:w="3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62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Unecha Refractory metals plant</w:t>
            </w:r>
          </w:p>
        </w:tc>
        <w:tc>
          <w:tcPr>
            <w:tcW w:w="3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6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Philippine Chuangxin Industrial Co., Inc.</w:t>
            </w:r>
          </w:p>
        </w:tc>
        <w:tc>
          <w:tcPr>
            <w:tcW w:w="3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PHILIPPINES</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62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ACL Metais Eireli</w:t>
            </w:r>
          </w:p>
        </w:tc>
        <w:tc>
          <w:tcPr>
            <w:tcW w:w="3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6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Moliren Ltd.</w:t>
            </w:r>
          </w:p>
        </w:tc>
        <w:tc>
          <w:tcPr>
            <w:tcW w:w="3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62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Lianyou Metals Co., Ltd.</w:t>
            </w:r>
          </w:p>
        </w:tc>
        <w:tc>
          <w:tcPr>
            <w:tcW w:w="3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TAIWAN, PROVINCE OF CHINA</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6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JSC “Kirovgrad Hard Alloys Plant”</w:t>
            </w:r>
          </w:p>
        </w:tc>
        <w:tc>
          <w:tcPr>
            <w:tcW w:w="3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62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NPP Tyazhmetprom LLC</w:t>
            </w:r>
          </w:p>
        </w:tc>
        <w:tc>
          <w:tcPr>
            <w:tcW w:w="3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6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Hubei Green Tungsten Co., Ltd.</w:t>
            </w:r>
          </w:p>
        </w:tc>
        <w:tc>
          <w:tcPr>
            <w:tcW w:w="3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62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Albasteel Industria e Comercio de Ligas Para Fundicao Ltd.</w:t>
            </w:r>
          </w:p>
        </w:tc>
        <w:tc>
          <w:tcPr>
            <w:tcW w:w="3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6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Cronimet Brasil Ltda</w:t>
            </w:r>
          </w:p>
        </w:tc>
        <w:tc>
          <w:tcPr>
            <w:tcW w:w="3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62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Artek LLC</w:t>
            </w:r>
          </w:p>
        </w:tc>
        <w:tc>
          <w:tcPr>
            <w:tcW w:w="3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6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Fujian Xinlu Tungsten Co., Ltd.</w:t>
            </w:r>
          </w:p>
        </w:tc>
        <w:tc>
          <w:tcPr>
            <w:tcW w:w="3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62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OOO “Technolom” 2</w:t>
            </w:r>
          </w:p>
        </w:tc>
        <w:tc>
          <w:tcPr>
            <w:tcW w:w="3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6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OOO “Technolom” 1</w:t>
            </w:r>
          </w:p>
        </w:tc>
        <w:tc>
          <w:tcPr>
            <w:tcW w:w="3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62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LLC Vostok</w:t>
            </w:r>
          </w:p>
        </w:tc>
        <w:tc>
          <w:tcPr>
            <w:tcW w:w="3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6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YUDU ANSHENG TUNGSTEN CO., LTD.</w:t>
            </w:r>
          </w:p>
        </w:tc>
        <w:tc>
          <w:tcPr>
            <w:tcW w:w="3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62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HANNAE FOR T Co., Ltd.</w:t>
            </w:r>
          </w:p>
        </w:tc>
        <w:tc>
          <w:tcPr>
            <w:tcW w:w="3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6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Tungsten Vietnam Joint Stock Company</w:t>
            </w:r>
          </w:p>
        </w:tc>
        <w:tc>
          <w:tcPr>
            <w:tcW w:w="3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VIET NAM</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62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Nam Viet Cromit Joint Stock Company</w:t>
            </w:r>
          </w:p>
        </w:tc>
        <w:tc>
          <w:tcPr>
            <w:tcW w:w="3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VIET NAM</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6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MALAMET SMELTING SDN. BHD.</w:t>
            </w:r>
          </w:p>
        </w:tc>
        <w:tc>
          <w:tcPr>
            <w:tcW w:w="3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MALAYSIA</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62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DONGKUK INDUSTRIES CO., LTD.</w:t>
            </w:r>
          </w:p>
        </w:tc>
        <w:tc>
          <w:tcPr>
            <w:tcW w:w="3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6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Lianyou Resources Co., Ltd.</w:t>
            </w:r>
          </w:p>
        </w:tc>
        <w:tc>
          <w:tcPr>
            <w:tcW w:w="3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TAIWAN, PROVINCE OF CHINA</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62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Shinwon Tungsten (Fujian Shanghang) Co., Ltd.</w:t>
            </w:r>
          </w:p>
        </w:tc>
        <w:tc>
          <w:tcPr>
            <w:tcW w:w="3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6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Philippine Carreytech Metal Corp.</w:t>
            </w:r>
          </w:p>
        </w:tc>
        <w:tc>
          <w:tcPr>
            <w:tcW w:w="3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PHILIPPINES</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62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KENEE MINING VIETNAM COMPANY LIMITED</w:t>
            </w:r>
          </w:p>
        </w:tc>
        <w:tc>
          <w:tcPr>
            <w:tcW w:w="3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VIET NAM</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6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Philippine Bonway Manufacturing Industrial Corporation</w:t>
            </w:r>
          </w:p>
        </w:tc>
        <w:tc>
          <w:tcPr>
            <w:tcW w:w="3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PHILIPPINES</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62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Jing Yuan Tungsten Technology Co., Ltd.</w:t>
            </w:r>
          </w:p>
        </w:tc>
        <w:tc>
          <w:tcPr>
            <w:tcW w:w="3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TAIWAN, PROVINCE OF CHINA</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6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LAOS SOUTHERN MINING SMELTING SOLE CO.,LTD</w:t>
            </w:r>
          </w:p>
        </w:tc>
        <w:tc>
          <w:tcPr>
            <w:tcW w:w="3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LAO PEOPLE’S DEMOCRATIC REPUBLIC</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62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S.P.T. spol.s r.o.</w:t>
            </w:r>
          </w:p>
        </w:tc>
        <w:tc>
          <w:tcPr>
            <w:tcW w:w="3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CZECHIA</w:t>
            </w:r>
          </w:p>
        </w:tc>
      </w:tr>
      <w:tr>
        <w:trPr>
          <w:trHeight w:val="238"/>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6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Tungamoy Metals Inc.</w:t>
            </w:r>
          </w:p>
        </w:tc>
        <w:tc>
          <w:tcPr>
            <w:tcW w:w="3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633"/>
        </w:trPr>
        <w:tc>
          <w:tcPr>
            <w:tcW w:w="1100" w:type="dxa"/>
            <w:vAlign w:val="bottom"/>
            <w:tcBorders>
              <w:bottom w:val="single" w:sz="8" w:color="auto"/>
            </w:tcBorders>
          </w:tcPr>
          <w:p>
            <w:pPr>
              <w:spacing w:after="0"/>
              <w:rPr>
                <w:sz w:val="24"/>
                <w:szCs w:val="24"/>
                <w:color w:val="auto"/>
              </w:rPr>
            </w:pPr>
          </w:p>
        </w:tc>
        <w:tc>
          <w:tcPr>
            <w:tcW w:w="6220" w:type="dxa"/>
            <w:vAlign w:val="bottom"/>
            <w:tcBorders>
              <w:bottom w:val="single" w:sz="8" w:color="auto"/>
            </w:tcBorders>
          </w:tcPr>
          <w:p>
            <w:pPr>
              <w:ind w:left="4440"/>
              <w:spacing w:after="0"/>
              <w:rPr>
                <w:sz w:val="20"/>
                <w:szCs w:val="20"/>
                <w:color w:val="auto"/>
              </w:rPr>
            </w:pPr>
            <w:r>
              <w:rPr>
                <w:rFonts w:ascii="Times New Roman" w:cs="Times New Roman" w:eastAsia="Times New Roman" w:hAnsi="Times New Roman"/>
                <w:sz w:val="18"/>
                <w:szCs w:val="18"/>
                <w:color w:val="auto"/>
              </w:rPr>
              <w:t>17</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23" w:right="339" w:bottom="1440" w:gutter="0" w:footer="0" w:header="0"/>
        </w:sectPr>
      </w:pPr>
    </w:p>
    <w:bookmarkStart w:id="20" w:name="page21"/>
    <w:bookmarkEnd w:id="2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Annex 2</w:t>
      </w:r>
    </w:p>
    <w:p>
      <w:pPr>
        <w:spacing w:after="0" w:line="229" w:lineRule="exact"/>
        <w:rPr>
          <w:sz w:val="20"/>
          <w:szCs w:val="20"/>
          <w:color w:val="auto"/>
        </w:rPr>
      </w:pPr>
    </w:p>
    <w:p>
      <w:pPr>
        <w:jc w:val="right"/>
        <w:ind w:right="3519"/>
        <w:spacing w:after="0"/>
        <w:rPr>
          <w:sz w:val="20"/>
          <w:szCs w:val="20"/>
          <w:color w:val="auto"/>
        </w:rPr>
      </w:pPr>
      <w:r>
        <w:rPr>
          <w:rFonts w:ascii="Times New Roman" w:cs="Times New Roman" w:eastAsia="Times New Roman" w:hAnsi="Times New Roman"/>
          <w:sz w:val="18"/>
          <w:szCs w:val="18"/>
          <w:color w:val="auto"/>
        </w:rPr>
        <w:t>Reported Country of Origin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Smelter Country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ANDORRA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AUSTRALIA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AUSTRIA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BELGIUM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BOLIVIA (PLURINATIONAL STATE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BRAZIL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CANADA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COLOMBIA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CONGO, DEMOCRATIC REPUBLIC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CZECHIA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ESTONIA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GERMANY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GHANA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INDIA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INDONESIA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ITALY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JAPAN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KAZAKHSTAN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KOREA, REPUBLIC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KYRGYZSTAN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LAO PEOPLE’S DEMOCRATIC REPUBLIC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LITHUANIA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MALAYSIA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MEXICO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MYANMAR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NETHERLANDS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ZEALAND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NORWAY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PHILIPPINES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PORTUGAL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RWANDA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SAUDI ARABIA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SOUTH AFRICA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SUDAN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SWEDEN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SWITZERLAND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TAIWAN, PROVINCE OF 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TANZANIA, UNITED REPUBLIC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THAILAND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UGANDA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UNITED ARAB EMIRATES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UZBEKISTAN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VIET NAM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ZIMBABWE</w:t>
      </w:r>
    </w:p>
    <w:p>
      <w:pPr>
        <w:spacing w:after="0" w:line="200" w:lineRule="exact"/>
        <w:rPr>
          <w:sz w:val="20"/>
          <w:szCs w:val="20"/>
          <w:color w:val="auto"/>
        </w:rPr>
      </w:pPr>
    </w:p>
    <w:p>
      <w:pPr>
        <w:spacing w:after="0" w:line="2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9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2026-05-28T07:02:42Z</dcterms:created>
  <dcterms:modified xsi:type="dcterms:W3CDTF">2026-05-28T07:02:42Z</dcterms:modified>
</cp:coreProperties>
</file>