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January 2020</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Special Shareholder Meeting</w:t>
      </w:r>
    </w:p>
    <w:p>
      <w:pPr>
        <w:spacing w:after="0" w:line="22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hereby publishes notice of a special general meeting of shareholders (the “</w:t>
      </w:r>
      <w:r>
        <w:rPr>
          <w:rFonts w:ascii="Arial" w:cs="Arial" w:eastAsia="Arial" w:hAnsi="Arial"/>
          <w:sz w:val="16"/>
          <w:szCs w:val="16"/>
          <w:b w:val="1"/>
          <w:bCs w:val="1"/>
          <w:color w:val="auto"/>
        </w:rPr>
        <w:t>Meeting</w:t>
      </w:r>
      <w:r>
        <w:rPr>
          <w:rFonts w:ascii="Arial" w:cs="Arial" w:eastAsia="Arial" w:hAnsi="Arial"/>
          <w:sz w:val="16"/>
          <w:szCs w:val="16"/>
          <w:color w:val="auto"/>
        </w:rPr>
        <w:t>”), which is scheduled to take place at 12:00 p.m. (Israel time) on Thursday, February 27, 2020, at Kornit’s offices at 12 Ha’Amal Street, Park Afek, Rosh Ha’Ayin, Israel.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Friday, January 24, 2020 are entitled to vote at the Meeting.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agenda for the Meeting, background information concerning the proposal to be presented at the Meeting, the required majority for approval of the proposal at the Meeting, information concerning voting procedure, and additional general information concerning the Meeting, are all included in the Notice of Special General Meeting of Shareholders and Proxy Statement for the Meeting that are appended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form of proxy card to be sent by the Company to its record shareholders for use in submitting their votes on the proposal for the Meeting is appended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Form 6-K.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contents of Exhibit 99.1 to this Form 6-K are hereby incorporated by reference into the Company’s Registration Statements on Form F-3 (File No. 333-232070) and Form S-8 (File No.’s 333-203970, 333-214015, 333-217039, 333-223794 and 333-230567).</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January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2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Notice of Special General Meeting of Shareholders and Proxy Statement of Kornit Digital Ltd.</w:t>
        </w:r>
      </w:hyperlink>
    </w:p>
    <w:p>
      <w:pPr>
        <w:spacing w:after="0" w:line="23" w:lineRule="exact"/>
        <w:rPr>
          <w:sz w:val="20"/>
          <w:szCs w:val="20"/>
          <w:color w:val="auto"/>
        </w:rPr>
      </w:pPr>
    </w:p>
    <w:p>
      <w:pPr>
        <w:ind w:left="1120" w:hanging="838"/>
        <w:spacing w:after="0" w:line="261"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w:anchor="page13">
        <w:r>
          <w:rPr>
            <w:rFonts w:ascii="Arial" w:cs="Arial" w:eastAsia="Arial" w:hAnsi="Arial"/>
            <w:sz w:val="18"/>
            <w:szCs w:val="18"/>
            <w:u w:val="single" w:color="auto"/>
            <w:color w:val="0000EE"/>
          </w:rPr>
          <w:t>Form of Proxy Card to be sent to the shareholders of Kornit Digital Ltd. for submission of their votes on the proposal at the Special General</w:t>
        </w:r>
      </w:hyperlink>
      <w:r>
        <w:rPr>
          <w:rFonts w:ascii="Arial" w:cs="Arial" w:eastAsia="Arial" w:hAnsi="Arial"/>
          <w:sz w:val="18"/>
          <w:szCs w:val="18"/>
          <w:u w:val="single" w:color="auto"/>
          <w:color w:val="0000EE"/>
        </w:rPr>
        <w:t xml:space="preserve"> </w:t>
      </w:r>
      <w:hyperlink w:anchor="page13">
        <w:r>
          <w:rPr>
            <w:rFonts w:ascii="Arial" w:cs="Arial" w:eastAsia="Arial" w:hAnsi="Arial"/>
            <w:sz w:val="18"/>
            <w:szCs w:val="18"/>
            <w:u w:val="single" w:color="auto"/>
            <w:color w:val="0000EE"/>
          </w:rPr>
          <w:t>Meeting of Shareholders</w:t>
        </w:r>
      </w:hyperlink>
    </w:p>
    <w:p>
      <w:pPr>
        <w:spacing w:after="0" w:line="4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80" w:top="90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154940</wp:posOffset>
            </wp:positionV>
            <wp:extent cx="2435225" cy="960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3522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January 23, 2020</w:t>
      </w: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NOTICE OF SPECIAL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cordially invite you to attend a Special General Meeting of Shareholders, or the Meeting, of Kornit Digital Ltd., or the Company, to be held at 12:00 p.m. (Israel time) on Thursday, February 27, 2020, at our offices at 12 Ha’Amal Street, Park Afek, Rosh Ha’Ayin, Israel.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the renewal of, and the parameters for future coverage under, the Company’s directors’ and officers’ liability insurance policy.</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 which is described in the proxy statement that will be distributed to you together with this Notice of Special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Friday, January 24, 2020 are entitled to vote at the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the proposal.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Notice of Special General Meeting of Shareholders and the proxy statement for the Meeting, please mark, date, sign and mail the proxy card or voting instruction form to be sent to you as promptly as possible in the stamped envelope to be provided to you, or please follow the instructions for voting to be sent to you electronically. If mailing in your proxy to our transfer agent in the envelope to be enclosed or providing voting instructions via a physical voting instruction form, your vote must be received by noon, Eastern time, on February 26, 2020, to be validly included in the tally of ordinary shares voted at the Meeting. If you are a street holder (i.e., you hold your shares through a bank, broker or other nominee) and are voting online (at www.proxyvote.com) or via telephone, your vote must be received by 11:59 p.m. Eastern time on February 25, 2020.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 An electronic copy of the enclosed proxy materials will also be available for viewing at http://ir.kornit.com/. The full text of the proposed resolutions, together with the form of proxy card for the Meeting, may also be viewed beginning on February 2, 2020, at the registered office of the Company, 12 Ha’Amal Street, Park Afek, Rosh Ha’Ayin Israel, from Sunday to Thursday (excluding Israeli holidays), 10:00 a.m. to 5:00 p.m. (Israel time). Our telephone number at our registered office is +972-3-908-5800.</w:t>
      </w:r>
    </w:p>
    <w:p>
      <w:pPr>
        <w:spacing w:after="0" w:line="16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2567305</wp:posOffset>
            </wp:positionH>
            <wp:positionV relativeFrom="page">
              <wp:posOffset>586105</wp:posOffset>
            </wp:positionV>
            <wp:extent cx="2435225" cy="960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3522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GENERAL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27, 2020</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Company’s Special General Meeting of Shareholders, or the Meeting, and at any adjournment thereof, pursuant to the accompanying Notice of Special General Meeting of Shareholders. The Meeting will be held at 12:00 p.m. (Israel time) on Thursday, February 27, 2020, at our offices at 12 Ha’Amal Street, Park Afek, Rosh Ha’Ayin Israel.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Special General Meeting of Shareholders and the enclosed proxy card or voting instruction form are being made available on or about January 30, 2020 to holders of Kornit Digital ordinary shares.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close of business on Friday, January 24, 2020,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the renewal of, and the parameters for future coverage under, the Company’s directors’ and officers’ liability insurance policy.</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above proposal.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Friday, January 17, 2020, we had 40,722,459 ordinary shares issued and outstanding. Each ordinary share outstanding as of the close of business on the record date— Friday, January 24, 2020— is entitled to one vote upon the sole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March 5, 2020 (at the same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a proxy card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the sole proposal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Israeli Companies Law 5759-1999, or the Companies Law, the affirmative vote of the holders of a majority of the voting power represented at the Meeting in person or by proxy and voting thereon (which excludes abstentions and broker non-votes) is necessary for the approval of the proposal at the Meeting. Because an abstention, as well as a broker non-vote, is not treated as a vote “FOR” or a vote “AGAINST” the proposal, it does not impact whether the requisite majority has been achieved for approval of the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You can vote your shares by attending the Meeting or by completing and signing a proxy card or voting instruction form (which voting instruction form may be submitted electronically (online) or via telephone as well).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voting in person or by proxy at the Meeting. We will not be able to count a proxy card unless we receive it at our principal executive offices at 12 Ha’Amal Street, Park Afek, Rosh Ha’Ayin 4809246 Israel at least four hours prior to the Meeting on Thursday, February 27, 2020, or our registrar and transfer agent receives it in the enclosed envelope not later than noon, Eastern time, on Wednesday, February 26, 2020.</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provide specific instructions (by marking a box) with regard to the sole proposal, your shares will be voted as you instruct. If you sign and return your proxy card without giving specific instructions with respect to the proposal, your shares will be voted in favor of the proposal, in accordance with the recommendation of the Board.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 If mailing in your physical voting instruction form, your vote must be received by noon, Eastern time, on Wednesday, February 26, 2020 to be validly included in the tally of ordinary shares voted at the Meeting. If you provide your voting instructions online (at www.proxyvote.com) or via telephone, your vote must be received by 11:59 p.m. Eastern time on Tuesday, February 25, 2020.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(January 24,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59" w:lineRule="auto"/>
        <w:rPr>
          <w:sz w:val="20"/>
          <w:szCs w:val="20"/>
          <w:color w:val="auto"/>
        </w:rPr>
      </w:pPr>
      <w:r>
        <w:rPr>
          <w:rFonts w:ascii="Arial" w:cs="Arial" w:eastAsia="Arial" w:hAnsi="Arial"/>
          <w:sz w:val="18"/>
          <w:szCs w:val="18"/>
          <w:color w:val="auto"/>
        </w:rPr>
        <w:t>If you are a beneficial owner of shares and do not specify how you want to vote on the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will not be considered routine.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broker non-vote with respect to the sole proposal at the Meeting, those shares will be included in determining the presence of a quorum at the Meeting, but are not considered “present” for the purpose of voting on that proposal. Those shares have no impact on the outcome of the voting on that proposal. If your shares are held of record by a bank, broker, or other nominee, we urge you to give instructions to your bank, broker, or other nominee as to how your shares should be voted so that you thereby participate in the voting on the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entitled to vote at the Meeting if you are a shareholder of record at the close of business on Friday, January 24, 2020. You are also entitled to vote at the Meeting if you held ordinary shares through a bank, broker or other nominee that is one of our shareholders of record at the close of business on Friday, January 24, 2020.</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General Counsel of our Company (as described under “How You Can Vote” above). In the alternative, you may vote in person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 or Voting Instructions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January 30, 2020.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Percent</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American Capital Management Inc. </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2,981,627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Clal Insurance Enterprises Holdings Ltd. and affiliates</w:t>
            </w:r>
            <w:r>
              <w:rPr>
                <w:rFonts w:ascii="Arial" w:cs="Arial" w:eastAsia="Arial" w:hAnsi="Arial"/>
                <w:sz w:val="30"/>
                <w:szCs w:val="30"/>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2,610,128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40,722,459 ordinary shares outstanding as of January 17, 2020.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September 30, 2019, based on a Form 13F filed with the SEC on November 14, 2019.</w:t>
      </w:r>
    </w:p>
    <w:p>
      <w:pPr>
        <w:spacing w:after="0" w:line="225"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of December 31, 2018, based on an amendment to Schedule 13G, and an initial Schedule 13G, filed by Clal Insurance Enterprises Holdings Ltd., or Clal, and by IDB Development Corporation Ltd., or IDB, respectively, with the SEC, in each case on February 14, 2019. All of the ordinary shares reported as beneficially owned by Clal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Clal does not admit beneficial ownership of any of those shares. IDB is an affiliate of Clal and is deemed to beneficially own the ordinary shares held by Clal, along with an additional 140 ordinary shares held directly by Epsilon Investment House Ltd., an indirect subsidiary of Discount Investment Corporation Ltd., an Israeli public corporation, which is controlled by Eduardo Sergio Elsztain. Those additional shares are held by portfolio management and/or mutual funds, which are managed by Epsilon Investment House Ltd. and/or Epsilon Mutual Funds Management (1991) Ltd. for the accounts of third-party clients. Accordingly, Mr. Elsztain disclaims beneficial ownership of those additional ordinary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APPROVAL OF RENEWAL OF, AND PARAMETERS OF FUTURE COVERAGE UNDER, D&amp;O INSURANCE POLICY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Under our Articles of Association, each of our directors and officers may receive, and under our existing Compensation Policy, each of our directors and officers is entitled to receive, directors’ and officers’ liability (“</w:t>
      </w:r>
      <w:r>
        <w:rPr>
          <w:rFonts w:ascii="Arial" w:cs="Arial" w:eastAsia="Arial" w:hAnsi="Arial"/>
          <w:sz w:val="18"/>
          <w:szCs w:val="18"/>
          <w:b w:val="1"/>
          <w:bCs w:val="1"/>
          <w:color w:val="auto"/>
        </w:rPr>
        <w:t>D&amp;O</w:t>
      </w:r>
      <w:r>
        <w:rPr>
          <w:rFonts w:ascii="Arial" w:cs="Arial" w:eastAsia="Arial" w:hAnsi="Arial"/>
          <w:sz w:val="18"/>
          <w:szCs w:val="18"/>
          <w:color w:val="auto"/>
        </w:rPr>
        <w:t>”) insurance coverage. Under the Companies Law, the details of D&amp;O insurance coverage of a public company such as ours generally require approval by the compensation committee of the board of directors, the board and the shareholders, since such coverage is deemed a compensatory matter from which the directors benefit.</w:t>
      </w:r>
    </w:p>
    <w:p>
      <w:pPr>
        <w:spacing w:after="0" w:line="187" w:lineRule="exact"/>
        <w:rPr>
          <w:sz w:val="20"/>
          <w:szCs w:val="20"/>
          <w:color w:val="auto"/>
        </w:rPr>
      </w:pPr>
    </w:p>
    <w:p>
      <w:pPr>
        <w:jc w:val="both"/>
        <w:ind w:firstLine="638"/>
        <w:spacing w:after="0" w:line="302" w:lineRule="auto"/>
        <w:rPr>
          <w:sz w:val="20"/>
          <w:szCs w:val="20"/>
          <w:color w:val="auto"/>
        </w:rPr>
      </w:pPr>
      <w:r>
        <w:rPr>
          <w:rFonts w:ascii="Arial" w:cs="Arial" w:eastAsia="Arial" w:hAnsi="Arial"/>
          <w:sz w:val="16"/>
          <w:szCs w:val="16"/>
          <w:color w:val="auto"/>
        </w:rPr>
        <w:t>Our existing D&amp;O insurance coverage was approved by our shareholders at an extraordinary general meeting of shareholders held in March 2015, prior to our initial public offering and listing on the NASDAQ Global Select Market in April 2015. When our shareholders initially approved that coverage, the shareholders allowed us, without the need for further shareholder approval, to obtain and/or renew from time to time D&amp;O insurance with the same or different insurance carriers, provided that the total premiums would not exceed, by more than 30%, the premiums payable under the then-effective coverage.</w:t>
      </w:r>
    </w:p>
    <w:p>
      <w:pPr>
        <w:spacing w:after="0" w:line="154"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Our previous period of coverage under our D&amp;O insurance policy was to expire on August 31, 2019. We obtained, with the approval of our compensation committee and board of directors, a new D&amp;O insurance policy from the Harel Insurance Company Ltd., or Harel, and various other insurers, for a 12-month period, effective from August 31, 2019 to August 30, 2020.</w:t>
      </w:r>
    </w:p>
    <w:p>
      <w:pPr>
        <w:spacing w:after="0" w:line="181"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Recently, the terms of D&amp;O insurance policies for public companies whose shares are traded in the United States, including those listed on NASDAQ (like our company), have worsened, resulting in, among other things, a significant increase in premiums. Other factors that are particular to our company have also contributed towards an increase in the premiums for the D&amp;O insurance coverage that we have been offered, including the significant increase in our market capitalization over the course of this past year and our successful consummation of a follow-on offering for $137.3 million of gross proceeds in June 2019. As a result of the overall market and the foregoing specific factors, we could not locate, as of the required date for renewal of our D&amp;O insurance coverage, a policy under which the premiums would not have exceeded our existing premiums by more than 30%. Even after we decreased, significantly, the limit of liability under the renewed D&amp;O insurance policy, the premiums under the policy still far exceeded our previous premium levels. Consequently, we are required to seek shareholder approval for our renewed D&amp;O insurance policy, retroactive to the start date of the coverage under that policy— August 31, 2019. At the same time, we are seeking approval for new parameters for future D&amp;O insurance coverage and premiums that better reflect the current and prospective state of the D&amp;O insurance market for U.S.-traded public companies.</w:t>
      </w:r>
    </w:p>
    <w:p>
      <w:pPr>
        <w:spacing w:after="0" w:line="178"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renewed D&amp;O insurance coverage, and the parameters for any future such coverage (under one or more insurance policies), to which our directors and officers (present and future) will be entitled under this Proposal 1, consist of the following:</w:t>
      </w:r>
    </w:p>
    <w:p>
      <w:pPr>
        <w:spacing w:after="0" w:line="170" w:lineRule="exact"/>
        <w:rPr>
          <w:sz w:val="20"/>
          <w:szCs w:val="20"/>
          <w:color w:val="auto"/>
        </w:rPr>
      </w:pP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D&amp;O insurance coverage/limit of liability (both per claim and in the aggregate, for all directors and officers, including coverage for our company for securities claim) of US $25 million from Harel, and an additional US $25 million from various other insurers, for a total of $50 million of coverage, plus $5 million for “Side A DIC” coverage. Prospectively, our D&amp;O insurance coverage may be obtained from one or more of the same or other insurers. In addition, because we have reduced the limit of liability significantly under the renewed D&amp;O insurance policy (from $80 million + $10 million for Side A DIC, to $50 million + $5 million for Side A DIC), we are proposing that the limit of liability may be increased in any given year by up to the greater of $50 million or 20% of the Company’s shareholders equity based on the most recent financial statements of the Company at the time of approval by our Compensation Committee. That allowance will enable us to restore a fuller level of coverage if and when premium levels stabilize or decrease.</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D&amp;O insurance premiums to be paid by Kornit and its subsidiaries of $1,028,197. We are proposing that prospectively, the annual premiums may be increased in any given year by up to 35% of the annual premium under an existing/previous year’s policy.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renewal, extension or substitution of D&amp;O insurance coverage will be for the benefit of the Company’s and its subsidiaries’ officers and directors and will otherwise be on terms substantially similar to or better (from the perspective of the coverage afforded to directors and officers) than those of the then-effective insurance policy, as market conditions may then allow.</w:t>
      </w:r>
    </w:p>
    <w:p>
      <w:pPr>
        <w:spacing w:after="0" w:line="181" w:lineRule="exact"/>
        <w:rPr>
          <w:sz w:val="20"/>
          <w:szCs w:val="20"/>
          <w:color w:val="auto"/>
        </w:rPr>
      </w:pPr>
    </w:p>
    <w:p>
      <w:pPr>
        <w:jc w:val="both"/>
        <w:ind w:right="20" w:firstLine="638"/>
        <w:spacing w:after="0" w:line="308" w:lineRule="auto"/>
        <w:rPr>
          <w:sz w:val="20"/>
          <w:szCs w:val="20"/>
          <w:color w:val="auto"/>
        </w:rPr>
      </w:pPr>
      <w:r>
        <w:rPr>
          <w:rFonts w:ascii="Arial" w:cs="Arial" w:eastAsia="Arial" w:hAnsi="Arial"/>
          <w:sz w:val="17"/>
          <w:szCs w:val="17"/>
          <w:color w:val="auto"/>
        </w:rPr>
        <w:t>We have presented below a comparison of the level of coverage and aggregate premium under the renewed D&amp;O insurance policy, and the proposed parameters for future coverage, with the corresponding terms of our prior D&amp;O insurance policy and our previous parameters for coverage:</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60" w:type="dxa"/>
            <w:vAlign w:val="bottom"/>
            <w:tcBorders>
              <w:top w:val="single" w:sz="8" w:color="auto"/>
              <w:left w:val="single" w:sz="8" w:color="auto"/>
              <w:right w:val="single" w:sz="8" w:color="auto"/>
            </w:tcBorders>
          </w:tcPr>
          <w:p>
            <w:pPr>
              <w:spacing w:after="0"/>
              <w:rPr>
                <w:sz w:val="21"/>
                <w:szCs w:val="21"/>
                <w:color w:val="auto"/>
              </w:rPr>
            </w:pPr>
          </w:p>
        </w:tc>
        <w:tc>
          <w:tcPr>
            <w:tcW w:w="4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Previous D&amp;O Insurance</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D&amp;O Insurance</w:t>
            </w:r>
          </w:p>
        </w:tc>
      </w:tr>
      <w:tr>
        <w:trPr>
          <w:trHeight w:val="258"/>
        </w:trPr>
        <w:tc>
          <w:tcPr>
            <w:tcW w:w="3460" w:type="dxa"/>
            <w:vAlign w:val="bottom"/>
            <w:tcBorders>
              <w:left w:val="single" w:sz="8" w:color="auto"/>
              <w:bottom w:val="single" w:sz="8" w:color="auto"/>
              <w:right w:val="single" w:sz="8" w:color="auto"/>
            </w:tcBorders>
          </w:tcPr>
          <w:p>
            <w:pPr>
              <w:spacing w:after="0"/>
              <w:rPr>
                <w:sz w:val="22"/>
                <w:szCs w:val="22"/>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Policy Terms and Parameters</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Policy Terms and Parameters</w:t>
            </w:r>
          </w:p>
        </w:tc>
      </w:tr>
      <w:tr>
        <w:trPr>
          <w:trHeight w:val="185"/>
        </w:trPr>
        <w:tc>
          <w:tcPr>
            <w:tcW w:w="346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8"/>
                <w:szCs w:val="18"/>
                <w:b w:val="1"/>
                <w:bCs w:val="1"/>
                <w:color w:val="auto"/>
              </w:rPr>
              <w:t>Duration</w:t>
            </w:r>
          </w:p>
        </w:tc>
        <w:tc>
          <w:tcPr>
            <w:tcW w:w="41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(June 1, 2018- August 30, 2019)</w:t>
            </w:r>
          </w:p>
        </w:tc>
        <w:tc>
          <w:tcPr>
            <w:tcW w:w="38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(August 31, 2019- August 30, 2020)</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 month policy period, plus three month extension</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 month policy period)</w:t>
            </w:r>
          </w:p>
        </w:tc>
      </w:tr>
      <w:tr>
        <w:trPr>
          <w:trHeight w:val="237"/>
        </w:trPr>
        <w:tc>
          <w:tcPr>
            <w:tcW w:w="3460" w:type="dxa"/>
            <w:vAlign w:val="bottom"/>
            <w:tcBorders>
              <w:left w:val="single" w:sz="8" w:color="auto"/>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period)</w:t>
            </w:r>
          </w:p>
        </w:tc>
        <w:tc>
          <w:tcPr>
            <w:tcW w:w="3860" w:type="dxa"/>
            <w:vAlign w:val="bottom"/>
            <w:tcBorders>
              <w:bottom w:val="single" w:sz="8" w:color="auto"/>
              <w:right w:val="single" w:sz="8" w:color="auto"/>
            </w:tcBorders>
          </w:tcPr>
          <w:p>
            <w:pPr>
              <w:spacing w:after="0"/>
              <w:rPr>
                <w:sz w:val="20"/>
                <w:szCs w:val="20"/>
                <w:color w:val="auto"/>
              </w:rPr>
            </w:pPr>
          </w:p>
        </w:tc>
      </w:tr>
      <w:tr>
        <w:trPr>
          <w:trHeight w:val="225"/>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 Amount of Coverage/ Limit of</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$80 million + $10 million for Side A DIC</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 million + $5 million for Side A DIC</w:t>
            </w:r>
          </w:p>
        </w:tc>
      </w:tr>
      <w:tr>
        <w:trPr>
          <w:trHeight w:val="241"/>
        </w:trPr>
        <w:tc>
          <w:tcPr>
            <w:tcW w:w="34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Liability</w:t>
            </w:r>
          </w:p>
        </w:tc>
        <w:tc>
          <w:tcPr>
            <w:tcW w:w="412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spacing w:after="0"/>
              <w:rPr>
                <w:sz w:val="20"/>
                <w:szCs w:val="20"/>
                <w:color w:val="auto"/>
              </w:rPr>
            </w:pPr>
          </w:p>
        </w:tc>
      </w:tr>
      <w:tr>
        <w:trPr>
          <w:trHeight w:val="229"/>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Annual Premium</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$198,018 for the first 12 months + $94,750 for the</w:t>
            </w: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$1,028,197</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three month extensions period + $120,000 for the</w:t>
            </w:r>
          </w:p>
        </w:tc>
        <w:tc>
          <w:tcPr>
            <w:tcW w:w="3860" w:type="dxa"/>
            <w:vAlign w:val="bottom"/>
            <w:tcBorders>
              <w:right w:val="single" w:sz="8" w:color="auto"/>
            </w:tcBorders>
          </w:tcPr>
          <w:p>
            <w:pPr>
              <w:spacing w:after="0"/>
              <w:rPr>
                <w:sz w:val="18"/>
                <w:szCs w:val="18"/>
                <w:color w:val="auto"/>
              </w:rPr>
            </w:pPr>
          </w:p>
        </w:tc>
      </w:tr>
      <w:tr>
        <w:trPr>
          <w:trHeight w:val="237"/>
        </w:trPr>
        <w:tc>
          <w:tcPr>
            <w:tcW w:w="3460" w:type="dxa"/>
            <w:vAlign w:val="bottom"/>
            <w:tcBorders>
              <w:left w:val="single" w:sz="8" w:color="auto"/>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coverage for the follow-on offering</w:t>
            </w:r>
          </w:p>
        </w:tc>
        <w:tc>
          <w:tcPr>
            <w:tcW w:w="3860" w:type="dxa"/>
            <w:vAlign w:val="bottom"/>
            <w:tcBorders>
              <w:bottom w:val="single" w:sz="8" w:color="auto"/>
              <w:right w:val="single" w:sz="8" w:color="auto"/>
            </w:tcBorders>
          </w:tcPr>
          <w:p>
            <w:pPr>
              <w:spacing w:after="0"/>
              <w:rPr>
                <w:sz w:val="20"/>
                <w:szCs w:val="20"/>
                <w:color w:val="auto"/>
              </w:rPr>
            </w:pPr>
          </w:p>
        </w:tc>
      </w:tr>
      <w:tr>
        <w:trPr>
          <w:trHeight w:val="229"/>
        </w:trPr>
        <w:tc>
          <w:tcPr>
            <w:tcW w:w="3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Parameters for Future Coverage</w:t>
            </w: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Coverage may be obtained from one or more of the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Coverage may be obtained from one or more of</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same or other insurers, provided that the above limit</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same or other insurers. Allowance for an</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of liability is not exceeded. Allowance for an increase</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increase in the limit of liability of up to the greater</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of up to 30% of the premium in any year, as compared</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$50 million or 20% of the Company’s</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the previous year.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shareholders equity based on the most recent</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financial statements of the Company at the time of</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approval by our Compensation Committee and up</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to 35% of the premium in any year, as compared</w:t>
            </w:r>
          </w:p>
        </w:tc>
      </w:tr>
      <w:tr>
        <w:trPr>
          <w:trHeight w:val="237"/>
        </w:trPr>
        <w:tc>
          <w:tcPr>
            <w:tcW w:w="3460" w:type="dxa"/>
            <w:vAlign w:val="bottom"/>
            <w:tcBorders>
              <w:left w:val="single" w:sz="8" w:color="auto"/>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spacing w:after="0"/>
              <w:rPr>
                <w:sz w:val="20"/>
                <w:szCs w:val="20"/>
                <w:color w:val="auto"/>
              </w:rPr>
            </w:pP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 the previous year.</w:t>
            </w:r>
          </w:p>
        </w:tc>
      </w:tr>
    </w:tbl>
    <w:p>
      <w:pPr>
        <w:spacing w:after="0" w:line="20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proposed D&amp;O insurance coverage parameters are maximum amounts and do not reflect what we expect our coverage and premiums will be for future years, as we cannot predict those amounts currently.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 pursuant to Proposal 1 at the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renewal of the Company’s Director’s and Officer’s liability insurance policy, effective retroactively as of August 31,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parameters for future Director’s and Officer’s liability insurance coverage, in each case as described in Proposal 1 of the proxy statement for the Meeting, be, and hereby are,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Shareholders may vote for or against, or may abstain from voting, in connection with the renewal of, and approval of the parameters of, our prospective or future D&amp;O insurance policies. The affirmative vote of holders of a majority of the voting power represented at the Meeting in person or by proxy and voting thereon (excluding abstentions) is necessary for the approval of Proposal 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18"/>
          <w:szCs w:val="18"/>
          <w:color w:val="auto"/>
        </w:rPr>
        <w:t xml:space="preserve">The Board recommends that the shareholders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foregoing resolution approving the renewal of (effective retroactive as of August 30, 2019) our D&amp;O insurance policy, and the parameters for the terms of our future D&amp;O insurance coverage.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766"/>
        <w:spacing w:after="0" w:line="312" w:lineRule="auto"/>
        <w:rPr>
          <w:sz w:val="20"/>
          <w:szCs w:val="20"/>
          <w:color w:val="auto"/>
        </w:rPr>
      </w:pPr>
      <w:r>
        <w:rPr>
          <w:rFonts w:ascii="Arial" w:cs="Arial" w:eastAsia="Arial" w:hAnsi="Arial"/>
          <w:sz w:val="16"/>
          <w:szCs w:val="16"/>
          <w:color w:val="auto"/>
        </w:rPr>
        <w:t>Our Board does not intend to bring any matters before the Meeting other than those specifically set forth in the Notice of Special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2018 Form 20-F, filed with the SEC on March 26, 2019, is available for viewing and downloading at the SEC’s website at www.sec.gov, as well as at the Investor Relations section of our website at http://ir.kornit.com.</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may be inspected without charge at the SEC’s Public Reference Room at 100 F Street, N.E., Room 1580 Washington, D.C. 20549. Information on the operation of the Public Reference Room can be obtained by calling the SEC at 1-800-SEC-0330. Our SEC filings are also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7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23,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 SPECIAL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FERBUARY 27,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held of record in the name of the undersigned at the close of business on Friday, January 24, 2020, at a Special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to be held at the executive offices of the Company, 12 Ha’Amal Street, Park Afek, Rosh Ha’Ayin, Israel, on Thursday, February 27, 2020 at 12:00 p.m. (Israel time), and at any and all adjournments or postponements thereof, on the matters listed on the reverse side, which are more fully described in the Notice of Special General Meeting of Shareholders of the Company and accompanying Proxy Statement relating to the Meeting.</w:t>
      </w:r>
    </w:p>
    <w:p>
      <w:pPr>
        <w:spacing w:after="0" w:line="185" w:lineRule="exact"/>
        <w:rPr>
          <w:sz w:val="20"/>
          <w:szCs w:val="20"/>
          <w:color w:val="auto"/>
        </w:rPr>
      </w:pPr>
    </w:p>
    <w:p>
      <w:pPr>
        <w:jc w:val="both"/>
        <w:ind w:right="20" w:firstLine="383"/>
        <w:spacing w:after="0" w:line="282" w:lineRule="auto"/>
        <w:rPr>
          <w:sz w:val="20"/>
          <w:szCs w:val="20"/>
          <w:color w:val="auto"/>
        </w:rPr>
      </w:pPr>
      <w:r>
        <w:rPr>
          <w:rFonts w:ascii="Arial" w:cs="Arial" w:eastAsia="Arial" w:hAnsi="Arial"/>
          <w:sz w:val="18"/>
          <w:szCs w:val="18"/>
          <w:color w:val="auto"/>
        </w:rPr>
        <w:t>The undersigned acknowledges receipt of the Notice of Special General Meeting of Shareholders and Proxy Statement of the Company (the “</w:t>
      </w:r>
      <w:r>
        <w:rPr>
          <w:rFonts w:ascii="Arial" w:cs="Arial" w:eastAsia="Arial" w:hAnsi="Arial"/>
          <w:sz w:val="18"/>
          <w:szCs w:val="18"/>
          <w:b w:val="1"/>
          <w:b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relating to the Meeting.</w:t>
      </w:r>
    </w:p>
    <w:p>
      <w:pPr>
        <w:spacing w:after="0" w:line="166" w:lineRule="exact"/>
        <w:rPr>
          <w:sz w:val="20"/>
          <w:szCs w:val="20"/>
          <w:color w:val="auto"/>
        </w:rPr>
      </w:pPr>
    </w:p>
    <w:p>
      <w:pPr>
        <w:jc w:val="both"/>
        <w:ind w:firstLine="383"/>
        <w:spacing w:after="0" w:line="264"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the sole proposal, this proxy will be voted FOR that proposal and in such manner as the holder of the proxy may determine with respect to any other business as may properly come before the Meeting or all and any adjournments or postponements thereof.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80"/>
        <w:spacing w:after="0"/>
        <w:rPr>
          <w:sz w:val="20"/>
          <w:szCs w:val="20"/>
          <w:color w:val="auto"/>
        </w:rPr>
      </w:pPr>
      <w:r>
        <w:rPr>
          <w:rFonts w:ascii="Arial" w:cs="Arial" w:eastAsia="Arial" w:hAnsi="Arial"/>
          <w:sz w:val="18"/>
          <w:szCs w:val="18"/>
          <w:b w:val="1"/>
          <w:bCs w:val="1"/>
          <w:color w:val="auto"/>
        </w:rPr>
        <w:t>SPECIAL GENERAL MEETING OF SHAREHOLDERS OF</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February 27, 2020</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THE BOARD OF DIRECTORS RECOMMENDS A VOTE “FOR” THE PROPOSAL LISTED BELOW.</w:t>
      </w:r>
    </w:p>
    <w:p>
      <w:pPr>
        <w:spacing w:after="0" w:line="27" w:lineRule="exact"/>
        <w:rPr>
          <w:sz w:val="20"/>
          <w:szCs w:val="20"/>
          <w:color w:val="auto"/>
        </w:rPr>
      </w:pPr>
    </w:p>
    <w:p>
      <w:pPr>
        <w:jc w:val="center"/>
        <w:ind w:left="60" w:right="140"/>
        <w:spacing w:after="0" w:line="226"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55880</wp:posOffset>
            </wp:positionV>
            <wp:extent cx="7246620" cy="2238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38375"/>
                    </a:xfrm>
                    <a:prstGeom prst="rect">
                      <a:avLst/>
                    </a:prstGeom>
                    <a:noFill/>
                  </pic:spPr>
                </pic:pic>
              </a:graphicData>
            </a:graphic>
          </wp:anchor>
        </w:drawing>
      </w:r>
    </w:p>
    <w:p>
      <w:pPr>
        <w:sectPr>
          <w:pgSz w:w="11900" w:h="16838" w:orient="portrait"/>
          <w:cols w:equalWidth="0" w:num="1">
            <w:col w:w="11320"/>
          </w:cols>
          <w:pgMar w:left="3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1. Approval of the renewal, and the future parameters, of</w:t>
      </w:r>
    </w:p>
    <w:p>
      <w:pPr>
        <w:spacing w:after="0" w:line="4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coverage under the Company’s directors’ and officers’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liability insurance policy.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change the address on your account, please check the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box above and indicate your new address in the address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space above. Please note that changes to the registered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 on the account may not be submitted via this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method.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AGAINST ABSTAIN</w:t>
      </w:r>
    </w:p>
    <w:p>
      <w:pPr>
        <w:spacing w:after="0" w:line="98" w:lineRule="exact"/>
        <w:rPr>
          <w:sz w:val="20"/>
          <w:szCs w:val="20"/>
          <w:color w:val="auto"/>
        </w:rPr>
      </w:pPr>
    </w:p>
    <w:p>
      <w:pPr>
        <w:ind w:left="20"/>
        <w:spacing w:after="0"/>
        <w:tabs>
          <w:tab w:leader="none" w:pos="680" w:val="left"/>
          <w:tab w:leader="none" w:pos="1560" w:val="left"/>
        </w:tabs>
        <w:rPr>
          <w:sz w:val="20"/>
          <w:szCs w:val="20"/>
          <w:color w:val="auto"/>
        </w:rPr>
      </w:pPr>
      <w:r>
        <w:rPr>
          <w:rFonts w:ascii="Arial" w:cs="Arial" w:eastAsia="Arial" w:hAnsi="Arial"/>
          <w:sz w:val="32"/>
          <w:szCs w:val="32"/>
          <w:color w:val="auto"/>
        </w:rPr>
        <w:t>□</w:t>
        <w:tab/>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2008505</wp:posOffset>
            </wp:positionV>
            <wp:extent cx="5060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095" cy="171450"/>
                    </a:xfrm>
                    <a:prstGeom prst="rect">
                      <a:avLst/>
                    </a:prstGeom>
                    <a:noFill/>
                  </pic:spPr>
                </pic:pic>
              </a:graphicData>
            </a:graphic>
          </wp:anchor>
        </w:drawing>
      </w:r>
    </w:p>
    <w:p>
      <w:pPr>
        <w:spacing w:after="0" w:line="2921" w:lineRule="exact"/>
        <w:rPr>
          <w:sz w:val="20"/>
          <w:szCs w:val="20"/>
          <w:color w:val="auto"/>
        </w:rPr>
      </w:pPr>
    </w:p>
    <w:p>
      <w:pPr>
        <w:sectPr>
          <w:pgSz w:w="11900" w:h="16838" w:orient="portrait"/>
          <w:cols w:equalWidth="0" w:num="2">
            <w:col w:w="8480" w:space="720"/>
            <w:col w:w="2120"/>
          </w:cols>
          <w:pgMar w:left="340" w:top="904" w:right="239" w:bottom="1440" w:gutter="0" w:footer="0" w:header="0"/>
          <w:type w:val="continuous"/>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Signature of shareholder</w:t>
            </w:r>
          </w:p>
        </w:tc>
        <w:tc>
          <w:tcPr>
            <w:tcW w:w="1740" w:type="dxa"/>
            <w:vAlign w:val="bottom"/>
            <w:tcBorders>
              <w:top w:val="single" w:sz="8" w:color="auto"/>
              <w:bottom w:val="single" w:sz="8" w:color="auto"/>
              <w:right w:val="single" w:sz="8" w:color="auto"/>
            </w:tcBorders>
          </w:tcPr>
          <w:p>
            <w:pPr>
              <w:spacing w:after="0"/>
              <w:rPr>
                <w:sz w:val="21"/>
                <w:szCs w:val="21"/>
                <w:color w:val="auto"/>
              </w:rPr>
            </w:pPr>
          </w:p>
        </w:tc>
        <w:tc>
          <w:tcPr>
            <w:tcW w:w="5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780" w:type="dxa"/>
            <w:vAlign w:val="bottom"/>
            <w:tcBorders>
              <w:top w:val="single" w:sz="8" w:color="auto"/>
              <w:bottom w:val="single" w:sz="8" w:color="auto"/>
              <w:right w:val="single" w:sz="8" w:color="auto"/>
            </w:tcBorders>
          </w:tcPr>
          <w:p>
            <w:pPr>
              <w:spacing w:after="0"/>
              <w:rPr>
                <w:sz w:val="21"/>
                <w:szCs w:val="21"/>
                <w:color w:val="auto"/>
              </w:rPr>
            </w:pPr>
          </w:p>
        </w:tc>
        <w:tc>
          <w:tcPr>
            <w:tcW w:w="2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Signature of shareholder</w:t>
            </w:r>
          </w:p>
        </w:tc>
        <w:tc>
          <w:tcPr>
            <w:tcW w:w="2900" w:type="dxa"/>
            <w:vAlign w:val="bottom"/>
            <w:tcBorders>
              <w:top w:val="single" w:sz="8" w:color="auto"/>
              <w:bottom w:val="single" w:sz="8" w:color="auto"/>
              <w:right w:val="single" w:sz="8" w:color="auto"/>
            </w:tcBorders>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84"/>
              </w:rPr>
              <w:t>Date</w:t>
            </w:r>
          </w:p>
        </w:tc>
      </w:tr>
    </w:tbl>
    <w:p>
      <w:pPr>
        <w:spacing w:after="0" w:line="202" w:lineRule="exact"/>
        <w:rPr>
          <w:sz w:val="20"/>
          <w:szCs w:val="20"/>
          <w:color w:val="auto"/>
        </w:rPr>
      </w:pPr>
    </w:p>
    <w:p>
      <w:pPr>
        <w:jc w:val="both"/>
        <w:ind w:left="560" w:hanging="659"/>
        <w:spacing w:after="0" w:line="286" w:lineRule="auto"/>
        <w:tabs>
          <w:tab w:leader="none" w:pos="540" w:val="left"/>
        </w:tabs>
        <w:rPr>
          <w:sz w:val="20"/>
          <w:szCs w:val="20"/>
          <w:color w:val="auto"/>
        </w:rPr>
      </w:pPr>
      <w:r>
        <w:rPr>
          <w:rFonts w:ascii="Arial" w:cs="Arial" w:eastAsia="Arial" w:hAnsi="Arial"/>
          <w:sz w:val="17"/>
          <w:szCs w:val="17"/>
          <w:color w:val="auto"/>
        </w:rPr>
        <w:t>Note:</w:t>
        <w:tab/>
        <w:t>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285750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3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2020-01-23T14:30:31Z</dcterms:created>
  <dcterms:modified xsi:type="dcterms:W3CDTF">2020-01-23T14:30:31Z</dcterms:modified>
</cp:coreProperties>
</file>