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FORM 6-K</w:t>
      </w:r>
    </w:p>
    <w:p>
      <w:pPr>
        <w:spacing w:after="0" w:line="21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August 2018</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001-36903</w:t>
      </w:r>
    </w:p>
    <w:p>
      <w:pPr>
        <w:spacing w:after="0" w:line="22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580"/>
        <w:spacing w:after="0" w:line="207" w:lineRule="exact"/>
        <w:tabs>
          <w:tab w:leader="none" w:pos="58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04"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jc w:val="both"/>
        <w:ind w:firstLine="638"/>
        <w:spacing w:after="0" w:line="277" w:lineRule="auto"/>
        <w:rPr>
          <w:sz w:val="20"/>
          <w:szCs w:val="20"/>
          <w:color w:val="auto"/>
        </w:rPr>
      </w:pPr>
      <w:r>
        <w:rPr>
          <w:rFonts w:ascii="Arial" w:cs="Arial" w:eastAsia="Arial" w:hAnsi="Arial"/>
          <w:sz w:val="18"/>
          <w:szCs w:val="18"/>
          <w:color w:val="auto"/>
        </w:rPr>
        <w:t>On August 6, 2018, Kornit Digital Ltd. issued a press release entitled “Kornit Digital Reports 2018 Second Quarter Results.” A copy of that press release is furnished as Exhibit 99.1 hereto.</w:t>
      </w:r>
    </w:p>
    <w:p>
      <w:pPr>
        <w:spacing w:after="0" w:line="170"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The U.S. GAAP financial information contained in the (i) consolidated statements of operations, (ii) consolidated balance sheets and (iii) consolidated statements of cash flows included in the press release attached as Exhibit 99.1 to this Report of Foreign Private Issuer on Form 6-K is hereby incorporated by reference into the Registrant’s Registration Statements on Form F-3 (File No. 333-215404) and Form S-8 (File No.’s 333-203970, 333-214015, 333-217039 and 333-223794).</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August 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2"/>
          </w:tcPr>
          <w:p>
            <w:pPr>
              <w:jc w:val="center"/>
              <w:ind w:right="1160"/>
              <w:spacing w:after="0"/>
              <w:rPr>
                <w:sz w:val="20"/>
                <w:szCs w:val="20"/>
                <w:color w:val="auto"/>
              </w:rPr>
            </w:pPr>
            <w:r>
              <w:rPr>
                <w:rFonts w:ascii="Arial" w:cs="Arial" w:eastAsia="Arial" w:hAnsi="Arial"/>
                <w:sz w:val="18"/>
                <w:szCs w:val="18"/>
                <w:b w:val="1"/>
                <w:bCs w:val="1"/>
                <w:color w:val="auto"/>
                <w:w w:val="94"/>
              </w:rPr>
              <w:t>Exhibit Index</w:t>
            </w:r>
          </w:p>
        </w:tc>
      </w:tr>
      <w:tr>
        <w:trPr>
          <w:trHeight w:val="453"/>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260" w:type="dxa"/>
            <w:vAlign w:val="bottom"/>
            <w:gridSpan w:val="2"/>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0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260" w:type="dxa"/>
            <w:vAlign w:val="bottom"/>
            <w:tcBorders>
              <w:top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rPr>
              <w:t>Press release dated August 6, 2018 entitled “Kornit Digital Reports 2018 Second Quarter Results”</w:t>
            </w:r>
          </w:p>
        </w:tc>
      </w:tr>
      <w:tr>
        <w:trPr>
          <w:trHeight w:val="655"/>
        </w:trPr>
        <w:tc>
          <w:tcPr>
            <w:tcW w:w="10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7060" w:type="dxa"/>
            <w:vAlign w:val="bottom"/>
            <w:tcBorders>
              <w:top w:val="single" w:sz="8" w:color="0000EE"/>
              <w:bottom w:val="single" w:sz="8" w:color="auto"/>
            </w:tcBorders>
          </w:tcPr>
          <w:p>
            <w:pPr>
              <w:jc w:val="right"/>
              <w:ind w:right="2370"/>
              <w:spacing w:after="0"/>
              <w:rPr>
                <w:sz w:val="20"/>
                <w:szCs w:val="20"/>
                <w:color w:val="auto"/>
              </w:rPr>
            </w:pPr>
            <w:r>
              <w:rPr>
                <w:rFonts w:ascii="Arial" w:cs="Arial" w:eastAsia="Arial" w:hAnsi="Arial"/>
                <w:sz w:val="18"/>
                <w:szCs w:val="18"/>
                <w:color w:val="auto"/>
              </w:rPr>
              <w:t>3</w:t>
            </w:r>
          </w:p>
        </w:tc>
        <w:tc>
          <w:tcPr>
            <w:tcW w:w="32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312A25"/>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312A25"/>
        </w:rPr>
        <w:t>Michael Callahan, ICR</w:t>
      </w:r>
    </w:p>
    <w:p>
      <w:pPr>
        <w:spacing w:after="0" w:line="9" w:lineRule="exact"/>
        <w:rPr>
          <w:sz w:val="20"/>
          <w:szCs w:val="20"/>
          <w:color w:val="auto"/>
        </w:rPr>
      </w:pPr>
    </w:p>
    <w:p>
      <w:pPr>
        <w:ind w:right="9200" w:firstLine="8"/>
        <w:spacing w:after="0" w:line="323" w:lineRule="auto"/>
        <w:tabs>
          <w:tab w:leader="none" w:pos="435" w:val="left"/>
        </w:tabs>
        <w:numPr>
          <w:ilvl w:val="0"/>
          <w:numId w:val="1"/>
        </w:numPr>
        <w:rPr>
          <w:rFonts w:ascii="Arial" w:cs="Arial" w:eastAsia="Arial" w:hAnsi="Arial"/>
          <w:sz w:val="16"/>
          <w:szCs w:val="16"/>
          <w:color w:val="auto"/>
        </w:rPr>
      </w:pPr>
      <w:r>
        <w:rPr>
          <w:rFonts w:ascii="Arial" w:cs="Arial" w:eastAsia="Arial" w:hAnsi="Arial"/>
          <w:sz w:val="16"/>
          <w:szCs w:val="16"/>
          <w:color w:val="auto"/>
        </w:rPr>
        <w:t>682-8311 Michael.Callahan@icrinc.com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509395" cy="909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09395"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Reports 2018 Second Quarter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29" w:lineRule="exact"/>
        <w:rPr>
          <w:sz w:val="20"/>
          <w:szCs w:val="20"/>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Second quarter 2018 revenues increased 25.5% to $35.9 million, net of $1.5 million attributed to the non-cash impact of warrants, compared to $28.6 million net of $1.4 million attributed to the non-cash impact of warrants in the prior year period.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Second quarter 2018 GAAP operating income of $1.6 million, or 4.5% of revenues; non-GAAP operating income of $3.2 million, or 8.8% of revenue.</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Second quarter 2018 GAAP net income of $1.8 million, or $0.05 per diluted share; non-GAAP net income of $3.2 million, or $0.09 per diluted share.</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Second quarter warrants impact on Gross margin was 203BSP, Operating margin 364 BPS and 363 BPS on the Net margin.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Previously announced management transition completed as Ronen Samuel assumes role of Chief Executive Officer.</w:t>
      </w:r>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Rosh-Ha’Ayin, Israel – August 6, 2018 – </w:t>
      </w:r>
      <w:r>
        <w:rPr>
          <w:rFonts w:ascii="Arial" w:cs="Arial" w:eastAsia="Arial" w:hAnsi="Arial"/>
          <w:sz w:val="18"/>
          <w:szCs w:val="18"/>
          <w:color w:val="auto"/>
        </w:rPr>
        <w:t>Kornit Digital Ltd. (NASDAQ: KRNT), a leading provider of digital printing solutions for the global printed</w:t>
      </w:r>
      <w:r>
        <w:rPr>
          <w:rFonts w:ascii="Arial" w:cs="Arial" w:eastAsia="Arial" w:hAnsi="Arial"/>
          <w:sz w:val="18"/>
          <w:szCs w:val="18"/>
          <w:b w:val="1"/>
          <w:bCs w:val="1"/>
          <w:color w:val="auto"/>
        </w:rPr>
        <w:t xml:space="preserve"> </w:t>
      </w:r>
      <w:r>
        <w:rPr>
          <w:rFonts w:ascii="Arial" w:cs="Arial" w:eastAsia="Arial" w:hAnsi="Arial"/>
          <w:sz w:val="18"/>
          <w:szCs w:val="18"/>
          <w:color w:val="auto"/>
        </w:rPr>
        <w:t>textile industry, today reported results for the second quarter ended June 30, 2018.</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Non-GAAP figures in today’s press release are presented using a different methodology compared to previous periods as a result of comments from the US Securities and Exchange Commission. These changes also impact the Company’s guidance methodology. Details of which can be found at the end of today’s press release.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Kornit reported second quarter 2018 revenue increased 25.5% to $35.9 million, net of $1.5 million attributed to the non-cash impact of warrants, compared to the prior year period of $28.6 million, net of $1.4 million attributed to the non-cash impact of warrants. Higher revenue in the quarter was attributable to widespread growth across geographies and customers, and the delivery of systems on a large customer program.</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GAAP operating income increased to $1.6 million, compared to the prior year period operating loss of $62 thousand. Non-GAAP operating income increased 138.3% to $3.2 million, or 8.8% of revenues, compared to the prior year period of $1.3 million or 4.7% of sales. Increased operating income was the result of increased sales, gross margin expansion, and higher operating leverage as a result of higher sales.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Ronen Samuel, Kornit Digital’s Chief Executive Officer commented, “I am very pleased with our results for the quarter which included a robust top line growth rate of 25.5% with revenues and operating margins coming in at above the high end of our guidance. These achievements were driven by strong demand for our market leading technology. The recent introduction of the Avalanche HD 6 System with its significant reduction in cost per print, improved hand-feel and improved print quality combined with the continued shift towards print on demand have created excellent business momentum. The retail shift towards shorter run production and the benefits offered by the HD6 are driving migration of more screen printers to our digital solution. To that end, we are well positioned to capture increased growth opportunities as our addressable market expands. Having spent the last 7 weeks on the road meeting customers and employees in all our regions, I was pleased to see the strong business momentum enjoyed by existing and new customers as well as the level of trust and depth of relations our employees have built over the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Second Quarter Results of Operations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Kornit reported second quarter revenues, net of the non-cash impact of warrants, of $35.9 million, compared with the prior-year period level of $28.6 million. The total non-cash impact of the warrants deducted from revenues was $1.5 million in the second quarter of 2018 and $1.4 million in the second quarter of 2017.</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 GAAP basis, second quarter gross profit was $17.4 million, compared with $13.2 million, in the prior-year period. Non-GAAP gross profit in the second quarter was $17.6 million, or 49.2% gross margin compared with $13.3 million, or 46.6% gross margin in the second quarter of 2017. Higher gross margins primarily reflected a favorable product mix compared to the prior year period.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 GAAP basis, total operating expenses in the second quarter were $15.8 million, compared to $13.2 million in the prior year period. Non-GAAP operating expenses in the second quarter increased to $14.5 million, or 40.3% of revenues, compared to $12.0 million, or 42% of revenues in the prior year period.</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Second quarter GAAP research and development expenses were $5.3 million, compared to the prior-year period of $4.6 million. Second quarter non-GAAP research and development expenses were $5.1 million, or 14.2% of revenues, compared to $4.4 million, or 15.3% of revenues in the prior-year period.</w:t>
      </w:r>
    </w:p>
    <w:p>
      <w:pPr>
        <w:spacing w:after="0" w:line="1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Second quarter GAAP selling and marketing expenses were $6.4 million, compared to the prior-year period of $5.3 million. Second quarter non-GAAP selling and marketing expenses were $5.9 million, or 16.3% of revenues, compared to $4.8 million, or 16.8% of revenues in the prior-year period.</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Second quarter GAAP general and administrative expenses were $4.0 million, compared to the prior-year period of $3.3 million. Second quarter non-GAAP general and administrative expenses were $3.5 million, or 9.8% of revenues, compared to $2.8 million, or 9.9% of revenues in the prior-year period.</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 GAAP basis, second quarter operating income was $1.6 million, compared to the prior year period operating loss of $62 thousand. Non-GAAP operating income in the second quarter increased to $3.2 million, compared to $1.3 million in the prior year period. As a percent of revenues, Non-GAAP operating margin for the second quarter was 8.8% of revenues, compared with 4.7% of revenues in the second quarter of 2017.</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a GAAP basis, the Company reported net income of $1.8 thousand, or $0.05 per diluted share, compared to a net income of $0.2 million, in the second quarter of 2017. Non-GAAP net income for the second quarter of 2018 was $3.2 million, or $0.09 per diluted share, compared to net income of $1.5 million, or $0.04 per diluted share in the prior year period.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Balance Sheet and Cash Flow</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June 30, 2018, the Company had cash and marketable securities of $102.7 million, and no long-term debt. Cash flow used in operations for the second quarter of 2018 was $4.9 million, attributable to operation and reduction of inventory.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2018 Guidance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 will discuss the details of its guidance live during its earnings conference call, which will be available for replay via webcast at </w:t>
      </w:r>
      <w:r>
        <w:rPr>
          <w:rFonts w:ascii="Arial" w:cs="Arial" w:eastAsia="Arial" w:hAnsi="Arial"/>
          <w:sz w:val="16"/>
          <w:szCs w:val="16"/>
          <w:u w:val="single" w:color="auto"/>
          <w:color w:val="auto"/>
        </w:rPr>
        <w:t>ir.kornit.com</w:t>
      </w:r>
      <w:r>
        <w:rPr>
          <w:rFonts w:ascii="Arial" w:cs="Arial" w:eastAsia="Arial" w:hAnsi="Arial"/>
          <w:sz w:val="16"/>
          <w:szCs w:val="16"/>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will host a conference call on the today at 5:00 p.m. ET, or 0:00 a.m. Israel time, to discuss the results, followed by a question and answer session for the investment community. A live webcast of the call can be accessed at ir.kornit.com. To access the call, participants may dial toll-free at 1-866-548-4713 or +1-323-794-2093. The toll-free Israeli number is 1 80 921 2883. The confirmation code is 8206507.</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listen to a telephonic replay of the conference call, dial toll-free 1-844-512-2921 or +1-412-317-6671 (international) and enter confirmation code 8206507. The telephonic replay will be available beginning at 8:00 p.m. ET on Monday, August 6, 2018, and will last through 11:59 p.m. ET on Monday, August 20, 2018. The call will also be available for replay via the webcast link on Kornit’s Investor Relations website.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our success in developing, introducing and selling new or improved products and product enhancements, our ability to consummate sales to large accounts with multi-system delivery plans, our ability to fill orders for our systems, our ability to continue to increase sales of our systems and ink and consumables, our ability to leverage our global infrastructure build-out, the development of the market for digital textile printing, availability of alternative ink, competition, sales concentration, changes to our relationships with suppliers, our success in marketing, and those factors referred to under “Risk Factors” in the company’s Annual Report on Form 20-F filed with the U.S. Securities and Exchange Commission on March 30, 2018. Any forward-looking statements in this press release are made as of the date hereof, and the company undertakes no obligation to publicly update or revise any forward-looking statements, whether as a result of new information, future events or otherwise, except as required by law.</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Non-GAAP Discussion Disclosure</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Non-GAAP financial measures consist of GAAP financial measures adjusted to exclude the impact of share-based compensation expenses, amortization of acquired intangible assets and restructuring expenses and their tax effect. The purpose of such adjustments is to give an indication of our performance exclusive of non-cash charges and other items that are considered by management to be outside of our core operating results. These non-GAAP measures are among the primary factors management uses in planning for and forecasting future periods. Furthermore, the non-GAAP measures are regularly used internally to understand, manage and evaluate our business and make operating decisions, and we believe that they are useful to investors as a consistent and comparable measure of the ongoing performance of our business. However, our non-GAAP financial measures are not meant to be considered in isolation or as a substitute for comparable GAAP measures, and should be read only in conjunction with our consolidated financial statements prepared in accordance with GAAP. Additionally, these non-GAAP financial measures may differ materially from the non-GAAP financial measures used by other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Kornit Digital (NASDAQ:KRNT)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2003, Kornit Digital is a global company, headquartered in Israel with offices in the USA, Europe and Asia Pacific, and serves customers in more than 100 countries worldwide.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ind w:left="472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0"/>
              </w:rPr>
              <w:t>Six Months Ended</w:t>
            </w:r>
          </w:p>
        </w:tc>
        <w:tc>
          <w:tcPr>
            <w:tcW w:w="220" w:type="dxa"/>
            <w:vAlign w:val="bottom"/>
          </w:tcPr>
          <w:p>
            <w:pPr>
              <w:spacing w:after="0"/>
              <w:rPr>
                <w:sz w:val="19"/>
                <w:szCs w:val="19"/>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5"/>
          </w:tcPr>
          <w:p>
            <w:pPr>
              <w:jc w:val="center"/>
              <w:ind w:right="151"/>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5"/>
          </w:tcPr>
          <w:p>
            <w:pPr>
              <w:jc w:val="center"/>
              <w:ind w:right="13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0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Products</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58,850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50,406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32,092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jc w:val="right"/>
              <w:ind w:right="5070"/>
              <w:spacing w:after="0"/>
              <w:rPr>
                <w:sz w:val="20"/>
                <w:szCs w:val="20"/>
                <w:color w:val="auto"/>
              </w:rPr>
            </w:pPr>
            <w:r>
              <w:rPr>
                <w:rFonts w:ascii="Arial" w:cs="Arial" w:eastAsia="Arial" w:hAnsi="Arial"/>
                <w:sz w:val="18"/>
                <w:szCs w:val="18"/>
                <w:color w:val="auto"/>
              </w:rPr>
              <w:t>Services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8,146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5,285</w:t>
            </w: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3,784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66,996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55,691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35,876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60"/>
              <w:spacing w:after="0"/>
              <w:rPr>
                <w:sz w:val="20"/>
                <w:szCs w:val="20"/>
                <w:color w:val="auto"/>
              </w:rPr>
            </w:pPr>
            <w:r>
              <w:rPr>
                <w:rFonts w:ascii="Arial" w:cs="Arial" w:eastAsia="Arial" w:hAnsi="Arial"/>
                <w:sz w:val="18"/>
                <w:szCs w:val="18"/>
                <w:color w:val="auto"/>
              </w:rPr>
              <w:t>Products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25,232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24,075</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14,193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11,992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Services</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8,947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6,556</w:t>
            </w: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cost of revenues</w:t>
            </w: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34,179</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30,631</w:t>
            </w: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18,448</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15,424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32,817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25,060</w:t>
            </w: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17,428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13,165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10,589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9,342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Selling and marketing</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12,201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10,829</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8,054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6,138</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Restructuring expenses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(1,342)</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net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Income (loss) before taxes on income</w:t>
            </w: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2,535</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(1,249)</w:t>
            </w: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1,910</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327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Taxes on income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20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(loss) per share</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line="256" w:lineRule="exact"/>
              <w:rPr>
                <w:sz w:val="20"/>
                <w:szCs w:val="20"/>
                <w:color w:val="auto"/>
              </w:rPr>
            </w:pPr>
            <w:r>
              <w:rPr>
                <w:rFonts w:ascii="Arial" w:cs="Arial" w:eastAsia="Arial" w:hAnsi="Arial"/>
                <w:sz w:val="16"/>
                <w:szCs w:val="16"/>
                <w:color w:val="auto"/>
              </w:rPr>
              <w:t>(0.05</w:t>
            </w:r>
            <w:r>
              <w:rPr>
                <w:rFonts w:ascii="Arial" w:cs="Arial" w:eastAsia="Arial" w:hAnsi="Arial"/>
                <w:sz w:val="29"/>
                <w:szCs w:val="29"/>
                <w:color w:val="auto"/>
                <w:vertAlign w:val="superscript"/>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Weighted average number of shares used in computing basic net income (loss) per</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34,295,752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5"/>
              </w:rPr>
              <w:t>33,151,633</w:t>
            </w:r>
          </w:p>
        </w:tc>
        <w:tc>
          <w:tcPr>
            <w:tcW w:w="220" w:type="dxa"/>
            <w:vAlign w:val="bottom"/>
            <w:shd w:val="clear" w:color="auto" w:fill="CCEEFF"/>
          </w:tcPr>
          <w:p>
            <w:pPr>
              <w:spacing w:after="0"/>
              <w:rPr>
                <w:sz w:val="20"/>
                <w:szCs w:val="20"/>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34,321,995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5"/>
              </w:rPr>
              <w:t>33,658,867</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9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6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(loss) per share</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line="256" w:lineRule="exact"/>
              <w:rPr>
                <w:sz w:val="20"/>
                <w:szCs w:val="20"/>
                <w:color w:val="auto"/>
              </w:rPr>
            </w:pPr>
            <w:r>
              <w:rPr>
                <w:rFonts w:ascii="Arial" w:cs="Arial" w:eastAsia="Arial" w:hAnsi="Arial"/>
                <w:sz w:val="16"/>
                <w:szCs w:val="16"/>
                <w:color w:val="auto"/>
              </w:rPr>
              <w:t>(0.05</w:t>
            </w:r>
            <w:r>
              <w:rPr>
                <w:rFonts w:ascii="Arial" w:cs="Arial" w:eastAsia="Arial" w:hAnsi="Arial"/>
                <w:sz w:val="29"/>
                <w:szCs w:val="29"/>
                <w:color w:val="auto"/>
                <w:vertAlign w:val="superscript"/>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Weighted average number of shares used in computing diluted net income (loss)</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980" w:type="dxa"/>
            <w:vAlign w:val="bottom"/>
            <w:shd w:val="clear" w:color="auto" w:fill="CCEEFF"/>
          </w:tcPr>
          <w:p>
            <w:pPr>
              <w:jc w:val="right"/>
              <w:ind w:right="5070"/>
              <w:spacing w:after="0"/>
              <w:rPr>
                <w:sz w:val="20"/>
                <w:szCs w:val="20"/>
                <w:color w:val="auto"/>
              </w:rPr>
            </w:pPr>
            <w:r>
              <w:rPr>
                <w:rFonts w:ascii="Arial" w:cs="Arial" w:eastAsia="Arial" w:hAnsi="Arial"/>
                <w:sz w:val="18"/>
                <w:szCs w:val="18"/>
                <w:color w:val="auto"/>
              </w:rPr>
              <w:t>per share</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34,885,393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33,151,633</w:t>
            </w: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35,047,817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34,719,784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RECONCILATION OF GAAP TO NON-GAAP CONSOLIDATED STATEMENTS OF OPERATIONS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in thousands, except share and per share data)</w:t>
      </w:r>
    </w:p>
    <w:p>
      <w:pPr>
        <w:sectPr>
          <w:pgSz w:w="11900" w:h="16838" w:orient="portrait"/>
          <w:cols w:equalWidth="0" w:num="1">
            <w:col w:w="11420"/>
          </w:cols>
          <w:pgMar w:left="240" w:top="904" w:right="239" w:bottom="1440" w:gutter="0" w:footer="0" w:header="0"/>
        </w:sectPr>
      </w:pPr>
    </w:p>
    <w:p>
      <w:pPr>
        <w:spacing w:after="0" w:line="126"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6122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25" w:lineRule="exact"/>
        <w:rPr>
          <w:sz w:val="20"/>
          <w:szCs w:val="20"/>
          <w:color w:val="auto"/>
        </w:rPr>
      </w:pPr>
    </w:p>
    <w:p>
      <w:pPr>
        <w:ind w:left="6480"/>
        <w:spacing w:after="0"/>
        <w:tabs>
          <w:tab w:leader="none" w:pos="784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16122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39"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16122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Three Months Ended</w:t>
      </w:r>
    </w:p>
    <w:p>
      <w:pPr>
        <w:spacing w:after="0" w:line="39"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14605</wp:posOffset>
            </wp:positionV>
            <wp:extent cx="157797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25" w:lineRule="exact"/>
        <w:rPr>
          <w:sz w:val="20"/>
          <w:szCs w:val="20"/>
          <w:color w:val="auto"/>
        </w:rPr>
      </w:pPr>
    </w:p>
    <w:p>
      <w:pPr>
        <w:spacing w:after="0"/>
        <w:tabs>
          <w:tab w:leader="none" w:pos="132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31750</wp:posOffset>
            </wp:positionV>
            <wp:extent cx="157797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17145</wp:posOffset>
            </wp:positionV>
            <wp:extent cx="157797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720"/>
            <w:col w:w="2200"/>
          </w:cols>
          <w:pgMar w:left="240" w:top="904" w:right="239" w:bottom="1440"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GAAP cost of revenues</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34,179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30,631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18,448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Share-based compensation (1)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(287)</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amortization (2)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vMerge w:val="restart"/>
          </w:tcPr>
          <w:p>
            <w:pPr>
              <w:ind w:left="160"/>
              <w:spacing w:after="0"/>
              <w:rPr>
                <w:sz w:val="20"/>
                <w:szCs w:val="20"/>
                <w:color w:val="auto"/>
              </w:rPr>
            </w:pPr>
            <w:r>
              <w:rPr>
                <w:rFonts w:ascii="Arial" w:cs="Arial" w:eastAsia="Arial" w:hAnsi="Arial"/>
                <w:sz w:val="18"/>
                <w:szCs w:val="18"/>
                <w:color w:val="auto"/>
              </w:rPr>
              <w:t>Non-GAAP cost of revenues</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960" w:type="dxa"/>
            <w:vAlign w:val="bottom"/>
            <w:vMerge w:val="continue"/>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33,788</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30,294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18,230</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15,256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9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GAAP gross profit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32,817</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25,060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17,428</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13,165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Gross profit adjustments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vMerge w:val="restart"/>
          </w:tcPr>
          <w:p>
            <w:pPr>
              <w:ind w:left="160"/>
              <w:spacing w:after="0"/>
              <w:rPr>
                <w:sz w:val="20"/>
                <w:szCs w:val="20"/>
                <w:color w:val="auto"/>
              </w:rPr>
            </w:pPr>
            <w:r>
              <w:rPr>
                <w:rFonts w:ascii="Arial" w:cs="Arial" w:eastAsia="Arial" w:hAnsi="Arial"/>
                <w:sz w:val="18"/>
                <w:szCs w:val="18"/>
                <w:color w:val="auto"/>
              </w:rPr>
              <w:t>Non-GAAP gross profit</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960" w:type="dxa"/>
            <w:vAlign w:val="bottom"/>
            <w:vMerge w:val="continue"/>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33,208</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25,397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17,646</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13,333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9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GAAP operating expenses</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31,110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26,402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15,813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Intangible assets amortization (2)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(677)</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vMerge w:val="restart"/>
          </w:tcPr>
          <w:p>
            <w:pPr>
              <w:ind w:left="160"/>
              <w:spacing w:after="0"/>
              <w:rPr>
                <w:sz w:val="20"/>
                <w:szCs w:val="20"/>
                <w:color w:val="auto"/>
              </w:rPr>
            </w:pPr>
            <w:r>
              <w:rPr>
                <w:rFonts w:ascii="Arial" w:cs="Arial" w:eastAsia="Arial" w:hAnsi="Arial"/>
                <w:sz w:val="18"/>
                <w:szCs w:val="18"/>
                <w:color w:val="auto"/>
              </w:rPr>
              <w:t>Non-GAAP operating expenses</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960" w:type="dxa"/>
            <w:vAlign w:val="bottom"/>
            <w:vMerge w:val="continue"/>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28,323</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23,971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14,472</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12,001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9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GAAP Taxes on income</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196</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273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Tax effect on to the above non-GAAP adjustments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vMerge w:val="restart"/>
          </w:tcPr>
          <w:p>
            <w:pPr>
              <w:ind w:left="160"/>
              <w:spacing w:after="0"/>
              <w:rPr>
                <w:sz w:val="20"/>
                <w:szCs w:val="20"/>
                <w:color w:val="auto"/>
              </w:rPr>
            </w:pPr>
            <w:r>
              <w:rPr>
                <w:rFonts w:ascii="Arial" w:cs="Arial" w:eastAsia="Arial" w:hAnsi="Arial"/>
                <w:sz w:val="18"/>
                <w:szCs w:val="18"/>
                <w:color w:val="auto"/>
              </w:rPr>
              <w:t>Non-GAAP Taxes on income</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960" w:type="dxa"/>
            <w:vAlign w:val="bottom"/>
            <w:vMerge w:val="continue"/>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377</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579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229</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9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GAAP net income (loss)</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2,339</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(1,522)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1,774</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Intangible assets amortization (2)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727</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Tax effect on to the above non-GAAP adjustments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Non-GAAP net income (*)</w:t>
            </w: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960" w:type="dxa"/>
            <w:vAlign w:val="bottom"/>
            <w:vMerge w:val="continue"/>
            <w:shd w:val="clear" w:color="auto" w:fill="CCEEFF"/>
          </w:tcPr>
          <w:p>
            <w:pPr>
              <w:spacing w:after="0"/>
              <w:rPr>
                <w:sz w:val="21"/>
                <w:szCs w:val="21"/>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5,336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GAAP diluted earning (loss) per share</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line="256" w:lineRule="exact"/>
              <w:rPr>
                <w:sz w:val="20"/>
                <w:szCs w:val="20"/>
                <w:color w:val="auto"/>
              </w:rPr>
            </w:pPr>
            <w:r>
              <w:rPr>
                <w:rFonts w:ascii="Arial" w:cs="Arial" w:eastAsia="Arial" w:hAnsi="Arial"/>
                <w:sz w:val="16"/>
                <w:szCs w:val="16"/>
                <w:color w:val="auto"/>
              </w:rPr>
              <w:t>(0.05</w:t>
            </w:r>
            <w:r>
              <w:rPr>
                <w:rFonts w:ascii="Arial" w:cs="Arial" w:eastAsia="Arial" w:hAnsi="Arial"/>
                <w:sz w:val="29"/>
                <w:szCs w:val="29"/>
                <w:color w:val="auto"/>
                <w:vertAlign w:val="superscript"/>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Non-GAAP diluted earning per share</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Weighted average number of shares used in computing diluted GAAP net earning</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per share</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34,885,393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33,151,633</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35,047,817</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34,719,784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 average number of shares used in computing diluted non GAAP net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earning per share</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35,176,284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34,702,588</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35,346,599</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35,235,330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(1) Share-based compensation</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Cost of product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297</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marketing</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(2) Intangible assets amortization</w:t>
            </w: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product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Selling and marketing</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hanging="652"/>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net income has been updated from prior reports (a) to remove the adjustment for the non-cash impact of the warrants deducted from revenues, and (b) to reflect the tax efect of the non-GAAP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9"/>
                <w:szCs w:val="19"/>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3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17,223</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Short-term bank deposit</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Trade receivables, net</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33,162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34,855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 accounts receivable and prepaid expenses</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3,153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Marketable securities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67,341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long-term assets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Severance pay fund</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10,994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Goodwill</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assets</w:t>
            </w: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183,852</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CURRENT LIABILITIES: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10,014</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Employees and payroll accruals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 and advances from customers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 payables and accrued expenses</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Accrued severance pay</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Payment obligation related to acquisition</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157,802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150,699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183,852</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3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0"/>
              </w:rPr>
              <w:t>Six Months Ended</w:t>
            </w:r>
          </w:p>
        </w:tc>
        <w:tc>
          <w:tcPr>
            <w:tcW w:w="240" w:type="dxa"/>
            <w:vAlign w:val="bottom"/>
          </w:tcPr>
          <w:p>
            <w:pPr>
              <w:spacing w:after="0"/>
              <w:rPr>
                <w:sz w:val="19"/>
                <w:szCs w:val="19"/>
                <w:color w:val="auto"/>
              </w:rPr>
            </w:pPr>
          </w:p>
        </w:tc>
        <w:tc>
          <w:tcPr>
            <w:tcW w:w="23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91"/>
              </w:rPr>
              <w:t>(Unaudited)</w:t>
            </w:r>
          </w:p>
        </w:tc>
        <w:tc>
          <w:tcPr>
            <w:tcW w:w="7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93"/>
              </w:rPr>
              <w:t>(Unaudited)</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5600" w:type="dxa"/>
            <w:vAlign w:val="bottom"/>
            <w:gridSpan w:val="4"/>
          </w:tcPr>
          <w:p>
            <w:pPr>
              <w:spacing w:after="0"/>
              <w:rPr>
                <w:sz w:val="20"/>
                <w:szCs w:val="20"/>
                <w:color w:val="auto"/>
              </w:rPr>
            </w:pPr>
            <w:r>
              <w:rPr>
                <w:rFonts w:ascii="Arial" w:cs="Arial" w:eastAsia="Arial" w:hAnsi="Arial"/>
                <w:sz w:val="18"/>
                <w:szCs w:val="18"/>
                <w:color w:val="auto"/>
              </w:rPr>
              <w:t>Cash flows from operating activities:</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6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2,339</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1,774</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80" w:type="dxa"/>
            <w:vAlign w:val="bottom"/>
            <w:gridSpan w:val="3"/>
          </w:tcPr>
          <w:p>
            <w:pPr>
              <w:spacing w:after="0" w:line="201" w:lineRule="exact"/>
              <w:rPr>
                <w:sz w:val="20"/>
                <w:szCs w:val="20"/>
                <w:color w:val="auto"/>
              </w:rPr>
            </w:pPr>
            <w:r>
              <w:rPr>
                <w:rFonts w:ascii="Arial" w:cs="Arial" w:eastAsia="Arial" w:hAnsi="Arial"/>
                <w:sz w:val="18"/>
                <w:szCs w:val="18"/>
                <w:color w:val="auto"/>
                <w:w w:val="91"/>
              </w:rPr>
              <w:t>Adjustments to reconcile net income (loss) to net cash provided by operating</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gridSpan w:val="3"/>
          </w:tcPr>
          <w:p>
            <w:pPr>
              <w:ind w:left="160"/>
              <w:spacing w:after="0"/>
              <w:rPr>
                <w:sz w:val="20"/>
                <w:szCs w:val="20"/>
                <w:color w:val="auto"/>
              </w:rPr>
            </w:pPr>
            <w:r>
              <w:rPr>
                <w:rFonts w:ascii="Arial" w:cs="Arial" w:eastAsia="Arial" w:hAnsi="Arial"/>
                <w:sz w:val="18"/>
                <w:szCs w:val="18"/>
                <w:color w:val="auto"/>
              </w:rPr>
              <w:t>activities:</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Fair value of warrants deducted from revenues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2,353</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1,491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Amortization of premium on marketable securities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Realized gain on sale of marketable securities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Decrease (increase) in trade receivables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(10,141)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2,894</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(7,871)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(increase) in other receivables and prepaid expenses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Decrease (increase) in inventory</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9,044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(8,652)</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4,129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(increase) in deferred taxes, net</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Decrease (increase) in other long term assets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trade payables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Increase (decrease) in employees and payroll accruals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(833)</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417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Increase (decrease) in deferred revenues and advances from customers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Increase (decrease) in other payables and accrued expenses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(684)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accrued severance pay, net</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Increase in other long term liabilities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369</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sale of property and Equipment</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80" w:type="dxa"/>
            <w:vAlign w:val="bottom"/>
            <w:gridSpan w:val="3"/>
          </w:tcPr>
          <w:p>
            <w:pPr>
              <w:spacing w:after="0" w:line="201" w:lineRule="exact"/>
              <w:rPr>
                <w:sz w:val="20"/>
                <w:szCs w:val="20"/>
                <w:color w:val="auto"/>
              </w:rPr>
            </w:pPr>
            <w:r>
              <w:rPr>
                <w:rFonts w:ascii="Arial" w:cs="Arial" w:eastAsia="Arial" w:hAnsi="Arial"/>
                <w:sz w:val="18"/>
                <w:szCs w:val="18"/>
                <w:color w:val="auto"/>
                <w:w w:val="96"/>
              </w:rPr>
              <w:t>Foreign currency translation loss on inter company balances with foreign</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gridSpan w:val="3"/>
          </w:tcPr>
          <w:p>
            <w:pPr>
              <w:ind w:left="160"/>
              <w:spacing w:after="0"/>
              <w:rPr>
                <w:sz w:val="20"/>
                <w:szCs w:val="20"/>
                <w:color w:val="auto"/>
              </w:rPr>
            </w:pPr>
            <w:r>
              <w:rPr>
                <w:rFonts w:ascii="Arial" w:cs="Arial" w:eastAsia="Arial" w:hAnsi="Arial"/>
                <w:sz w:val="18"/>
                <w:szCs w:val="18"/>
                <w:color w:val="auto"/>
              </w:rPr>
              <w:t>subsidiaries</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(595)</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632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bottom w:val="single" w:sz="8" w:color="CCEEFF"/>
            </w:tcBorders>
            <w:gridSpan w:val="3"/>
          </w:tcPr>
          <w:p>
            <w:pPr>
              <w:spacing w:after="0" w:line="203" w:lineRule="exact"/>
              <w:rPr>
                <w:sz w:val="20"/>
                <w:szCs w:val="20"/>
                <w:color w:val="auto"/>
              </w:rPr>
            </w:pPr>
            <w:r>
              <w:rPr>
                <w:rFonts w:ascii="Arial" w:cs="Arial" w:eastAsia="Arial" w:hAnsi="Arial"/>
                <w:sz w:val="18"/>
                <w:szCs w:val="18"/>
                <w:color w:val="auto"/>
              </w:rPr>
              <w:t>Net cash provided by (used in) operating activities</w:t>
            </w:r>
          </w:p>
        </w:tc>
        <w:tc>
          <w:tcPr>
            <w:tcW w:w="4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6,684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(3,178</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4,878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(5,723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580" w:type="dxa"/>
            <w:vAlign w:val="bottom"/>
            <w:gridSpan w:val="3"/>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Purchase of property and equipment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(3,431)</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(762)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 bank deposits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Proceeds from sale of marketable securities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38,312</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38,312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maturity of marketable securities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6,740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Purchase of marketable securities</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(6,130)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(70,648)</w:t>
            </w:r>
          </w:p>
        </w:tc>
        <w:tc>
          <w:tcPr>
            <w:tcW w:w="2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(3,781)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(22,520)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(8,224</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(29,027</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5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follow on offering</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36,058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Exercise of employee stock options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1,347</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536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Payment of deferred issuance cost</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Payment of contingent consideration</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(1,400)</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Foreign currency translation adjustments on cash and cash equivalents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Increase (decrease) in cash and cash equivalents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2,819</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2,521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9,852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22,789</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14,782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18"/>
                <w:szCs w:val="18"/>
                <w:color w:val="auto"/>
              </w:rPr>
              <w:t>Cash and cash equivalents at the end of the period</w:t>
            </w:r>
          </w:p>
        </w:tc>
        <w:tc>
          <w:tcPr>
            <w:tcW w:w="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580" w:type="dxa"/>
            <w:vAlign w:val="bottom"/>
            <w:gridSpan w:val="3"/>
            <w:vMerge w:val="continue"/>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17,223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25,707</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17,223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25,707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Non-cash investing and financing activities: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Purchase of property and equipment on credit</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863</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5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Inventory transferred to be used as property and equipment</w:t>
            </w:r>
          </w:p>
        </w:tc>
        <w:tc>
          <w:tcPr>
            <w:tcW w:w="4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gridSpan w:val="3"/>
          </w:tcPr>
          <w:p>
            <w:pPr>
              <w:spacing w:after="0" w:line="203" w:lineRule="exact"/>
              <w:rPr>
                <w:sz w:val="20"/>
                <w:szCs w:val="20"/>
                <w:color w:val="auto"/>
              </w:rPr>
            </w:pPr>
            <w:r>
              <w:rPr>
                <w:rFonts w:ascii="Arial" w:cs="Arial" w:eastAsia="Arial" w:hAnsi="Arial"/>
                <w:sz w:val="18"/>
                <w:szCs w:val="18"/>
                <w:color w:val="auto"/>
              </w:rPr>
              <w:t>Receipt on account of shares</w:t>
            </w:r>
          </w:p>
        </w:tc>
        <w:tc>
          <w:tcPr>
            <w:tcW w:w="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04" w:right="239" w:bottom="27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03"/>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2019-12-08T12:00:50Z</dcterms:created>
  <dcterms:modified xsi:type="dcterms:W3CDTF">2019-12-08T12:00:50Z</dcterms:modified>
</cp:coreProperties>
</file>