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7, 2015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OF 1933</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7"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6300" w:type="dxa"/>
            <w:vAlign w:val="bottom"/>
          </w:tcPr>
          <w:p>
            <w:pPr>
              <w:jc w:val="center"/>
              <w:ind w:right="3350"/>
              <w:spacing w:after="0"/>
              <w:rPr>
                <w:sz w:val="20"/>
                <w:szCs w:val="20"/>
                <w:color w:val="auto"/>
              </w:rPr>
            </w:pPr>
            <w:r>
              <w:rPr>
                <w:rFonts w:ascii="Arial" w:cs="Arial" w:eastAsia="Arial" w:hAnsi="Arial"/>
                <w:sz w:val="18"/>
                <w:szCs w:val="18"/>
                <w:b w:val="1"/>
                <w:bCs w:val="1"/>
                <w:color w:val="auto"/>
                <w:w w:val="89"/>
              </w:rPr>
              <w:t>State of Israel</w:t>
            </w:r>
          </w:p>
        </w:tc>
        <w:tc>
          <w:tcPr>
            <w:tcW w:w="150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Not Applicable</w:t>
            </w:r>
          </w:p>
        </w:tc>
      </w:tr>
      <w:tr>
        <w:trPr>
          <w:trHeight w:val="216"/>
        </w:trPr>
        <w:tc>
          <w:tcPr>
            <w:tcW w:w="6300" w:type="dxa"/>
            <w:vAlign w:val="bottom"/>
          </w:tcPr>
          <w:p>
            <w:pPr>
              <w:jc w:val="center"/>
              <w:ind w:right="3350"/>
              <w:spacing w:after="0"/>
              <w:rPr>
                <w:sz w:val="20"/>
                <w:szCs w:val="20"/>
                <w:color w:val="auto"/>
              </w:rPr>
            </w:pPr>
            <w:r>
              <w:rPr>
                <w:rFonts w:ascii="Arial" w:cs="Arial" w:eastAsia="Arial" w:hAnsi="Arial"/>
                <w:sz w:val="18"/>
                <w:szCs w:val="18"/>
                <w:color w:val="auto"/>
                <w:w w:val="93"/>
              </w:rPr>
              <w:t>(State or other jurisdiction of</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2"/>
              </w:rPr>
              <w:t>(I.R.S. Employer</w:t>
            </w:r>
          </w:p>
        </w:tc>
      </w:tr>
      <w:tr>
        <w:trPr>
          <w:trHeight w:val="230"/>
        </w:trPr>
        <w:tc>
          <w:tcPr>
            <w:tcW w:w="6300" w:type="dxa"/>
            <w:vAlign w:val="bottom"/>
          </w:tcPr>
          <w:p>
            <w:pPr>
              <w:jc w:val="center"/>
              <w:ind w:right="3350"/>
              <w:spacing w:after="0"/>
              <w:rPr>
                <w:sz w:val="20"/>
                <w:szCs w:val="20"/>
                <w:color w:val="auto"/>
              </w:rPr>
            </w:pPr>
            <w:r>
              <w:rPr>
                <w:rFonts w:ascii="Arial" w:cs="Arial" w:eastAsia="Arial" w:hAnsi="Arial"/>
                <w:sz w:val="18"/>
                <w:szCs w:val="18"/>
                <w:color w:val="auto"/>
                <w:w w:val="93"/>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300" w:type="dxa"/>
            <w:vAlign w:val="bottom"/>
          </w:tcPr>
          <w:p>
            <w:pPr>
              <w:jc w:val="center"/>
              <w:ind w:right="3350"/>
              <w:spacing w:after="0"/>
              <w:rPr>
                <w:sz w:val="20"/>
                <w:szCs w:val="20"/>
                <w:color w:val="auto"/>
              </w:rPr>
            </w:pPr>
            <w:r>
              <w:rPr>
                <w:rFonts w:ascii="Arial" w:cs="Arial" w:eastAsia="Arial" w:hAnsi="Arial"/>
                <w:sz w:val="18"/>
                <w:szCs w:val="18"/>
                <w:b w:val="1"/>
                <w:bCs w:val="1"/>
                <w:color w:val="auto"/>
                <w:w w:val="94"/>
              </w:rPr>
              <w:t>12 Ha’ Amal Street, Afek Park,</w:t>
            </w:r>
          </w:p>
        </w:tc>
        <w:tc>
          <w:tcPr>
            <w:tcW w:w="1500" w:type="dxa"/>
            <w:vAlign w:val="bottom"/>
          </w:tcPr>
          <w:p>
            <w:pPr>
              <w:jc w:val="center"/>
              <w:ind w:left="70"/>
              <w:spacing w:after="0"/>
              <w:rPr>
                <w:sz w:val="20"/>
                <w:szCs w:val="20"/>
                <w:color w:val="auto"/>
              </w:rPr>
            </w:pPr>
            <w:r>
              <w:rPr>
                <w:rFonts w:ascii="Arial" w:cs="Arial" w:eastAsia="Arial" w:hAnsi="Arial"/>
                <w:sz w:val="18"/>
                <w:szCs w:val="18"/>
                <w:b w:val="1"/>
                <w:bCs w:val="1"/>
                <w:color w:val="auto"/>
                <w:w w:val="88"/>
              </w:rPr>
              <w:t>4809246</w:t>
            </w:r>
          </w:p>
        </w:tc>
      </w:tr>
      <w:tr>
        <w:trPr>
          <w:trHeight w:val="220"/>
        </w:trPr>
        <w:tc>
          <w:tcPr>
            <w:tcW w:w="6300" w:type="dxa"/>
            <w:vAlign w:val="bottom"/>
          </w:tcPr>
          <w:p>
            <w:pPr>
              <w:jc w:val="center"/>
              <w:ind w:right="3350"/>
              <w:spacing w:after="0"/>
              <w:rPr>
                <w:sz w:val="20"/>
                <w:szCs w:val="20"/>
                <w:color w:val="auto"/>
              </w:rPr>
            </w:pPr>
            <w:r>
              <w:rPr>
                <w:rFonts w:ascii="Arial" w:cs="Arial" w:eastAsia="Arial" w:hAnsi="Arial"/>
                <w:sz w:val="18"/>
                <w:szCs w:val="18"/>
                <w:b w:val="1"/>
                <w:bCs w:val="1"/>
                <w:color w:val="auto"/>
                <w:w w:val="92"/>
              </w:rPr>
              <w:t>Rosh-Ha’Ayin, Israel</w:t>
            </w:r>
          </w:p>
        </w:tc>
        <w:tc>
          <w:tcPr>
            <w:tcW w:w="150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230"/>
        </w:trPr>
        <w:tc>
          <w:tcPr>
            <w:tcW w:w="6300" w:type="dxa"/>
            <w:vAlign w:val="bottom"/>
          </w:tcPr>
          <w:p>
            <w:pPr>
              <w:jc w:val="center"/>
              <w:ind w:right="3350"/>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spacing w:after="0"/>
              <w:rPr>
                <w:sz w:val="20"/>
                <w:szCs w:val="20"/>
                <w:color w:val="auto"/>
              </w:rPr>
            </w:pPr>
          </w:p>
        </w:tc>
      </w:tr>
      <w:tr>
        <w:trPr>
          <w:trHeight w:val="414"/>
        </w:trPr>
        <w:tc>
          <w:tcPr>
            <w:tcW w:w="630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Kornit Digital Ltd. 2004 Share Option Plan</w:t>
            </w:r>
          </w:p>
        </w:tc>
        <w:tc>
          <w:tcPr>
            <w:tcW w:w="1500" w:type="dxa"/>
            <w:vAlign w:val="bottom"/>
          </w:tcPr>
          <w:p>
            <w:pPr>
              <w:spacing w:after="0"/>
              <w:rPr>
                <w:sz w:val="24"/>
                <w:szCs w:val="24"/>
                <w:color w:val="auto"/>
              </w:rPr>
            </w:pPr>
          </w:p>
        </w:tc>
      </w:tr>
      <w:tr>
        <w:trPr>
          <w:trHeight w:val="216"/>
        </w:trPr>
        <w:tc>
          <w:tcPr>
            <w:tcW w:w="630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Kornit Digital Ltd. 2012 Share Incentive Plan</w:t>
            </w:r>
          </w:p>
        </w:tc>
        <w:tc>
          <w:tcPr>
            <w:tcW w:w="1500" w:type="dxa"/>
            <w:vAlign w:val="bottom"/>
          </w:tcPr>
          <w:p>
            <w:pPr>
              <w:spacing w:after="0"/>
              <w:rPr>
                <w:sz w:val="18"/>
                <w:szCs w:val="18"/>
                <w:color w:val="auto"/>
              </w:rPr>
            </w:pPr>
          </w:p>
        </w:tc>
      </w:tr>
      <w:tr>
        <w:trPr>
          <w:trHeight w:val="216"/>
        </w:trPr>
        <w:tc>
          <w:tcPr>
            <w:tcW w:w="6300" w:type="dxa"/>
            <w:vAlign w:val="bottom"/>
          </w:tcPr>
          <w:p>
            <w:pPr>
              <w:jc w:val="center"/>
              <w:ind w:left="1610"/>
              <w:spacing w:after="0"/>
              <w:rPr>
                <w:sz w:val="20"/>
                <w:szCs w:val="20"/>
                <w:color w:val="auto"/>
              </w:rPr>
            </w:pPr>
            <w:r>
              <w:rPr>
                <w:rFonts w:ascii="Arial" w:cs="Arial" w:eastAsia="Arial" w:hAnsi="Arial"/>
                <w:sz w:val="18"/>
                <w:szCs w:val="18"/>
                <w:b w:val="1"/>
                <w:bCs w:val="1"/>
                <w:color w:val="auto"/>
                <w:w w:val="92"/>
              </w:rPr>
              <w:t>Kornit Digital Ltd. 2015 Incentive Compensation Plan</w:t>
            </w:r>
          </w:p>
        </w:tc>
        <w:tc>
          <w:tcPr>
            <w:tcW w:w="1500" w:type="dxa"/>
            <w:vAlign w:val="bottom"/>
          </w:tcPr>
          <w:p>
            <w:pPr>
              <w:spacing w:after="0"/>
              <w:rPr>
                <w:sz w:val="18"/>
                <w:szCs w:val="18"/>
                <w:color w:val="auto"/>
              </w:rPr>
            </w:pPr>
          </w:p>
        </w:tc>
      </w:tr>
      <w:tr>
        <w:trPr>
          <w:trHeight w:val="220"/>
        </w:trPr>
        <w:tc>
          <w:tcPr>
            <w:tcW w:w="6300" w:type="dxa"/>
            <w:vAlign w:val="bottom"/>
          </w:tcPr>
          <w:p>
            <w:pPr>
              <w:jc w:val="center"/>
              <w:ind w:left="1590"/>
              <w:spacing w:after="0"/>
              <w:rPr>
                <w:sz w:val="20"/>
                <w:szCs w:val="20"/>
                <w:color w:val="auto"/>
              </w:rPr>
            </w:pPr>
            <w:r>
              <w:rPr>
                <w:rFonts w:ascii="Arial" w:cs="Arial" w:eastAsia="Arial" w:hAnsi="Arial"/>
                <w:sz w:val="18"/>
                <w:szCs w:val="18"/>
                <w:b w:val="1"/>
                <w:bCs w:val="1"/>
                <w:color w:val="auto"/>
                <w:w w:val="91"/>
              </w:rPr>
              <w:t>Kornit Digital Ltd. 2015 Employee Share Purchase Plan</w:t>
            </w:r>
          </w:p>
        </w:tc>
        <w:tc>
          <w:tcPr>
            <w:tcW w:w="1500" w:type="dxa"/>
            <w:vAlign w:val="bottom"/>
          </w:tcPr>
          <w:p>
            <w:pPr>
              <w:spacing w:after="0"/>
              <w:rPr>
                <w:sz w:val="19"/>
                <w:szCs w:val="19"/>
                <w:color w:val="auto"/>
              </w:rPr>
            </w:pPr>
          </w:p>
        </w:tc>
      </w:tr>
      <w:tr>
        <w:trPr>
          <w:trHeight w:val="230"/>
        </w:trPr>
        <w:tc>
          <w:tcPr>
            <w:tcW w:w="6300" w:type="dxa"/>
            <w:vAlign w:val="bottom"/>
          </w:tcPr>
          <w:p>
            <w:pPr>
              <w:jc w:val="center"/>
              <w:ind w:left="1610"/>
              <w:spacing w:after="0"/>
              <w:rPr>
                <w:sz w:val="20"/>
                <w:szCs w:val="20"/>
                <w:color w:val="auto"/>
              </w:rPr>
            </w:pPr>
            <w:r>
              <w:rPr>
                <w:rFonts w:ascii="Arial" w:cs="Arial" w:eastAsia="Arial" w:hAnsi="Arial"/>
                <w:sz w:val="18"/>
                <w:szCs w:val="18"/>
                <w:color w:val="auto"/>
                <w:w w:val="93"/>
              </w:rPr>
              <w:t>(Full Title of the Plans)</w:t>
            </w:r>
          </w:p>
        </w:tc>
        <w:tc>
          <w:tcPr>
            <w:tcW w:w="15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North America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10541-10601 North Commerce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Mequon, WI 53092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(262) 518-0200</w:t>
      </w:r>
    </w:p>
    <w:p>
      <w:pPr>
        <w:spacing w:after="0" w:line="9"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Copies of communications to:</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1"/>
              </w:rPr>
              <w:t>Colin J. Diamond, Esq.</w:t>
            </w:r>
          </w:p>
        </w:tc>
        <w:tc>
          <w:tcPr>
            <w:tcW w:w="3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1"/>
              </w:rPr>
              <w:t>Itamar Rosen, Adv.</w:t>
            </w:r>
          </w:p>
        </w:tc>
        <w:tc>
          <w:tcPr>
            <w:tcW w:w="396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3"/>
              </w:rPr>
              <w:t>Clifford M. J. Felig, Adv.</w:t>
            </w:r>
          </w:p>
        </w:tc>
      </w:tr>
      <w:tr>
        <w:trPr>
          <w:trHeight w:val="216"/>
        </w:trPr>
        <w:tc>
          <w:tcPr>
            <w:tcW w:w="2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0"/>
              </w:rPr>
              <w:t>Joshua G. Kiernan, Esq.</w:t>
            </w:r>
          </w:p>
        </w:tc>
        <w:tc>
          <w:tcPr>
            <w:tcW w:w="354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General Counsel</w:t>
            </w:r>
          </w:p>
        </w:tc>
        <w:tc>
          <w:tcPr>
            <w:tcW w:w="396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0"/>
              </w:rPr>
              <w:t>Aviv Avidan-Shalit, Adv.</w:t>
            </w:r>
          </w:p>
        </w:tc>
      </w:tr>
      <w:tr>
        <w:trPr>
          <w:trHeight w:val="216"/>
        </w:trPr>
        <w:tc>
          <w:tcPr>
            <w:tcW w:w="2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6"/>
              </w:rPr>
              <w:t>White &amp; Case LLP</w:t>
            </w:r>
          </w:p>
        </w:tc>
        <w:tc>
          <w:tcPr>
            <w:tcW w:w="354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5"/>
              </w:rPr>
              <w:t>Kornit Digital Ltd.</w:t>
            </w:r>
          </w:p>
        </w:tc>
        <w:tc>
          <w:tcPr>
            <w:tcW w:w="396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5"/>
              </w:rPr>
              <w:t>Meitar Liquornik Geva</w:t>
            </w:r>
          </w:p>
        </w:tc>
      </w:tr>
      <w:tr>
        <w:trPr>
          <w:trHeight w:val="216"/>
        </w:trPr>
        <w:tc>
          <w:tcPr>
            <w:tcW w:w="2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8"/>
              </w:rPr>
              <w:t>1155 Avenue of the Americas</w:t>
            </w:r>
          </w:p>
        </w:tc>
        <w:tc>
          <w:tcPr>
            <w:tcW w:w="354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3"/>
              </w:rPr>
              <w:t>12 Ha’ Amal Street, Afek Park,</w:t>
            </w:r>
          </w:p>
        </w:tc>
        <w:tc>
          <w:tcPr>
            <w:tcW w:w="1620" w:type="dxa"/>
            <w:vAlign w:val="bottom"/>
          </w:tcPr>
          <w:p>
            <w:pPr>
              <w:spacing w:after="0"/>
              <w:rPr>
                <w:sz w:val="18"/>
                <w:szCs w:val="18"/>
                <w:color w:val="auto"/>
              </w:rPr>
            </w:pPr>
          </w:p>
        </w:tc>
        <w:tc>
          <w:tcPr>
            <w:tcW w:w="2340" w:type="dxa"/>
            <w:vAlign w:val="bottom"/>
            <w:gridSpan w:val="2"/>
          </w:tcPr>
          <w:p>
            <w:pPr>
              <w:jc w:val="center"/>
              <w:ind w:right="1330"/>
              <w:spacing w:after="0"/>
              <w:rPr>
                <w:sz w:val="20"/>
                <w:szCs w:val="20"/>
                <w:color w:val="auto"/>
              </w:rPr>
            </w:pPr>
            <w:r>
              <w:rPr>
                <w:rFonts w:ascii="Arial" w:cs="Arial" w:eastAsia="Arial" w:hAnsi="Arial"/>
                <w:sz w:val="18"/>
                <w:szCs w:val="18"/>
                <w:b w:val="1"/>
                <w:bCs w:val="1"/>
                <w:color w:val="auto"/>
                <w:w w:val="88"/>
              </w:rPr>
              <w:t>Leshem Tal</w:t>
            </w:r>
          </w:p>
        </w:tc>
      </w:tr>
      <w:tr>
        <w:trPr>
          <w:trHeight w:val="216"/>
        </w:trPr>
        <w:tc>
          <w:tcPr>
            <w:tcW w:w="2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4"/>
              </w:rPr>
              <w:t>New York, NY 10036</w:t>
            </w:r>
          </w:p>
        </w:tc>
        <w:tc>
          <w:tcPr>
            <w:tcW w:w="3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1"/>
              </w:rPr>
              <w:t>Rosh-Ha’Ayin 4809246, Israel</w:t>
            </w:r>
          </w:p>
        </w:tc>
        <w:tc>
          <w:tcPr>
            <w:tcW w:w="396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3"/>
              </w:rPr>
              <w:t>16 Abba Hillel Silver Rd.</w:t>
            </w:r>
          </w:p>
        </w:tc>
      </w:tr>
      <w:tr>
        <w:trPr>
          <w:trHeight w:val="216"/>
        </w:trPr>
        <w:tc>
          <w:tcPr>
            <w:tcW w:w="2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1"/>
              </w:rPr>
              <w:t>Tel: (212) 819-8200</w:t>
            </w:r>
          </w:p>
        </w:tc>
        <w:tc>
          <w:tcPr>
            <w:tcW w:w="354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1"/>
              </w:rPr>
              <w:t>Tel: +972-3-908-5800</w:t>
            </w:r>
          </w:p>
        </w:tc>
        <w:tc>
          <w:tcPr>
            <w:tcW w:w="396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2"/>
              </w:rPr>
              <w:t>Ramat Gan 5250608, Israel</w:t>
            </w:r>
          </w:p>
        </w:tc>
      </w:tr>
      <w:tr>
        <w:trPr>
          <w:trHeight w:val="216"/>
        </w:trPr>
        <w:tc>
          <w:tcPr>
            <w:tcW w:w="2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0"/>
              </w:rPr>
              <w:t>Fax: (212) 354-8113</w:t>
            </w:r>
          </w:p>
        </w:tc>
        <w:tc>
          <w:tcPr>
            <w:tcW w:w="354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2"/>
              </w:rPr>
              <w:t>Fax: +972-3-908-0280</w:t>
            </w:r>
          </w:p>
        </w:tc>
        <w:tc>
          <w:tcPr>
            <w:tcW w:w="396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1"/>
              </w:rPr>
              <w:t>Tel: +972-3-610-3100</w:t>
            </w: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96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0"/>
              </w:rPr>
              <w:t>Fax: +972-3-610-3111</w:t>
            </w:r>
          </w:p>
        </w:tc>
      </w:tr>
      <w:tr>
        <w:trPr>
          <w:trHeight w:val="432"/>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CALCULATION OF REGISTRATION FEE</w:t>
            </w:r>
          </w:p>
        </w:tc>
        <w:tc>
          <w:tcPr>
            <w:tcW w:w="1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39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Title of securities to be registered</w:t>
            </w:r>
          </w:p>
        </w:tc>
        <w:tc>
          <w:tcPr>
            <w:tcW w:w="1720" w:type="dxa"/>
            <w:vAlign w:val="bottom"/>
            <w:tcBorders>
              <w:right w:val="single" w:sz="8" w:color="auto"/>
            </w:tcBorders>
          </w:tcPr>
          <w:p>
            <w:pPr>
              <w:ind w:left="340"/>
              <w:spacing w:after="0" w:line="195" w:lineRule="exact"/>
              <w:rPr>
                <w:sz w:val="20"/>
                <w:szCs w:val="20"/>
                <w:color w:val="auto"/>
              </w:rPr>
            </w:pPr>
            <w:r>
              <w:rPr>
                <w:rFonts w:ascii="Arial" w:cs="Arial" w:eastAsia="Arial" w:hAnsi="Arial"/>
                <w:sz w:val="18"/>
                <w:szCs w:val="18"/>
                <w:color w:val="auto"/>
              </w:rPr>
              <w:t>Amount to be</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Proposed maximum</w:t>
            </w:r>
          </w:p>
        </w:tc>
        <w:tc>
          <w:tcPr>
            <w:tcW w:w="1620" w:type="dxa"/>
            <w:vAlign w:val="bottom"/>
          </w:tcPr>
          <w:p>
            <w:pPr>
              <w:jc w:val="center"/>
              <w:ind w:left="90"/>
              <w:spacing w:after="0" w:line="195" w:lineRule="exact"/>
              <w:rPr>
                <w:sz w:val="20"/>
                <w:szCs w:val="20"/>
                <w:color w:val="auto"/>
              </w:rPr>
            </w:pPr>
            <w:r>
              <w:rPr>
                <w:rFonts w:ascii="Arial" w:cs="Arial" w:eastAsia="Arial" w:hAnsi="Arial"/>
                <w:sz w:val="18"/>
                <w:szCs w:val="18"/>
                <w:color w:val="auto"/>
                <w:w w:val="89"/>
              </w:rPr>
              <w:t>Proposed maximum</w:t>
            </w:r>
          </w:p>
        </w:tc>
        <w:tc>
          <w:tcPr>
            <w:tcW w:w="200" w:type="dxa"/>
            <w:vAlign w:val="bottom"/>
            <w:tcBorders>
              <w:right w:val="single" w:sz="8" w:color="auto"/>
            </w:tcBorders>
          </w:tcPr>
          <w:p>
            <w:pPr>
              <w:spacing w:after="0"/>
              <w:rPr>
                <w:sz w:val="16"/>
                <w:szCs w:val="16"/>
                <w:color w:val="auto"/>
              </w:rPr>
            </w:pPr>
          </w:p>
        </w:tc>
        <w:tc>
          <w:tcPr>
            <w:tcW w:w="2140" w:type="dxa"/>
            <w:vAlign w:val="bottom"/>
          </w:tcPr>
          <w:p>
            <w:pPr>
              <w:ind w:left="100"/>
              <w:spacing w:after="0" w:line="195" w:lineRule="exact"/>
              <w:rPr>
                <w:sz w:val="20"/>
                <w:szCs w:val="20"/>
                <w:color w:val="auto"/>
              </w:rPr>
            </w:pPr>
            <w:r>
              <w:rPr>
                <w:rFonts w:ascii="Arial" w:cs="Arial" w:eastAsia="Arial" w:hAnsi="Arial"/>
                <w:sz w:val="18"/>
                <w:szCs w:val="18"/>
                <w:color w:val="auto"/>
                <w:w w:val="97"/>
              </w:rPr>
              <w:t>Amount of registration fee</w:t>
            </w:r>
          </w:p>
        </w:tc>
      </w:tr>
      <w:tr>
        <w:trPr>
          <w:trHeight w:val="230"/>
        </w:trPr>
        <w:tc>
          <w:tcPr>
            <w:tcW w:w="20" w:type="dxa"/>
            <w:vAlign w:val="bottom"/>
          </w:tcPr>
          <w:p>
            <w:pPr>
              <w:spacing w:after="0"/>
              <w:rPr>
                <w:sz w:val="20"/>
                <w:szCs w:val="20"/>
                <w:color w:val="auto"/>
              </w:rPr>
            </w:pPr>
          </w:p>
        </w:tc>
        <w:tc>
          <w:tcPr>
            <w:tcW w:w="39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registered (1)</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offering price per share</w:t>
            </w:r>
          </w:p>
        </w:tc>
        <w:tc>
          <w:tcPr>
            <w:tcW w:w="18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aggregate offering price</w:t>
            </w:r>
          </w:p>
        </w:tc>
        <w:tc>
          <w:tcPr>
            <w:tcW w:w="2140" w:type="dxa"/>
            <w:vAlign w:val="bottom"/>
            <w:tcBorders>
              <w:bottom w:val="single" w:sz="8" w:color="auto"/>
            </w:tcBorders>
          </w:tcPr>
          <w:p>
            <w:pPr>
              <w:spacing w:after="0"/>
              <w:rPr>
                <w:sz w:val="20"/>
                <w:szCs w:val="20"/>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Ordinary Shares, par value NIS 0.01</w:t>
            </w:r>
          </w:p>
        </w:tc>
        <w:tc>
          <w:tcPr>
            <w:tcW w:w="172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2,790,312</w:t>
            </w:r>
          </w:p>
        </w:tc>
        <w:tc>
          <w:tcPr>
            <w:tcW w:w="182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$2.13</w:t>
            </w:r>
          </w:p>
        </w:tc>
        <w:tc>
          <w:tcPr>
            <w:tcW w:w="1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$5,943,365 (2)</w:t>
            </w:r>
          </w:p>
        </w:tc>
        <w:tc>
          <w:tcPr>
            <w:tcW w:w="20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$690.62</w:t>
            </w:r>
          </w:p>
        </w:tc>
      </w:tr>
      <w:tr>
        <w:trPr>
          <w:trHeight w:val="210"/>
        </w:trPr>
        <w:tc>
          <w:tcPr>
            <w:tcW w:w="39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Ordinary Shares, par value NIS 0.01</w:t>
            </w:r>
          </w:p>
        </w:tc>
        <w:tc>
          <w:tcPr>
            <w:tcW w:w="172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908,394</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$13.93</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$12,653,928 (3)</w:t>
            </w:r>
          </w:p>
        </w:tc>
        <w:tc>
          <w:tcPr>
            <w:tcW w:w="200" w:type="dxa"/>
            <w:vAlign w:val="bottom"/>
            <w:tcBorders>
              <w:right w:val="single" w:sz="8" w:color="auto"/>
            </w:tcBorders>
          </w:tcPr>
          <w:p>
            <w:pPr>
              <w:spacing w:after="0"/>
              <w:rPr>
                <w:sz w:val="18"/>
                <w:szCs w:val="18"/>
                <w:color w:val="auto"/>
              </w:rPr>
            </w:pPr>
          </w:p>
        </w:tc>
        <w:tc>
          <w:tcPr>
            <w:tcW w:w="2140" w:type="dxa"/>
            <w:vAlign w:val="bottom"/>
          </w:tcPr>
          <w:p>
            <w:pPr>
              <w:jc w:val="right"/>
              <w:ind w:right="630"/>
              <w:spacing w:after="0"/>
              <w:rPr>
                <w:sz w:val="20"/>
                <w:szCs w:val="20"/>
                <w:color w:val="auto"/>
              </w:rPr>
            </w:pPr>
            <w:r>
              <w:rPr>
                <w:rFonts w:ascii="Arial" w:cs="Arial" w:eastAsia="Arial" w:hAnsi="Arial"/>
                <w:sz w:val="18"/>
                <w:szCs w:val="18"/>
                <w:color w:val="auto"/>
              </w:rPr>
              <w:t>$1,470.39</w:t>
            </w:r>
          </w:p>
        </w:tc>
      </w:tr>
      <w:tr>
        <w:trPr>
          <w:trHeight w:val="20"/>
        </w:trPr>
        <w:tc>
          <w:tcPr>
            <w:tcW w:w="20" w:type="dxa"/>
            <w:vAlign w:val="bottom"/>
          </w:tcPr>
          <w:p>
            <w:pPr>
              <w:spacing w:after="0" w:line="20" w:lineRule="exact"/>
              <w:rPr>
                <w:sz w:val="1"/>
                <w:szCs w:val="1"/>
                <w:color w:val="auto"/>
              </w:rPr>
            </w:pPr>
          </w:p>
        </w:tc>
        <w:tc>
          <w:tcPr>
            <w:tcW w:w="3900" w:type="dxa"/>
            <w:vAlign w:val="bottom"/>
            <w:tcBorders>
              <w:right w:val="single" w:sz="8" w:color="auto"/>
            </w:tcBorders>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182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r>
    </w:tbl>
    <w:p>
      <w:pPr>
        <w:ind w:left="340" w:right="20" w:hanging="332"/>
        <w:spacing w:after="0" w:line="265"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Registration Statement on Form S-8 covers the following Ordinary Shares of Kornit Digital Ltd. (the “Registrant”): (i) 1,096,668 ordinary shares issuable upon the exercise of options granted prior to the date hereof under the Registrant’s 2004 Share Option Plan (the “2004 Plan”), (ii) 1,693,644 ordinary shares issuable upon the exercise of options granted prior to the date hereof under the Registrant’s 2012 Share Incentive Plan (the “2012 Plan”), (iii) 665,969 ordinary shares that may be issued under the Registrant’s 2015 Incentive Compensation Plan (the “2015 Plan”), (iv) 242,425 ordinary shares that may be issued under the Registrant’s 2015 Employee Share Purchase Plan (“ESPP” and together with the 2004 Plan, the 2012 Plan and the 2015 Plan, the “Plans”) and (iv) pursuant to Rule 416(a) under the Securities Act of 1933, as amended (the “Securities Act”), an indeterminate number of additional shares that may become issuable under the terms of the Plans by reason of any share split, share dividend, recapitalization or other similar transaction effected without the Registrant’s receipt of consideration which results in an increase in the number of the outstanding shares of the Registrant’s ordinary shares.</w:t>
      </w:r>
    </w:p>
    <w:p>
      <w:pPr>
        <w:spacing w:after="0" w:line="2" w:lineRule="exact"/>
        <w:rPr>
          <w:rFonts w:ascii="Arial" w:cs="Arial" w:eastAsia="Arial" w:hAnsi="Arial"/>
          <w:sz w:val="17"/>
          <w:szCs w:val="17"/>
          <w:color w:val="auto"/>
        </w:rPr>
      </w:pPr>
    </w:p>
    <w:p>
      <w:pPr>
        <w:jc w:val="both"/>
        <w:ind w:left="340" w:right="120" w:hanging="332"/>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solely for the purpose of determining the registration fee pursuant to Rule 457(h) under the Securities Act on the basis of $1.76 per share, the weighted average exercise price of the 2,790,312 ordinary shares issuable upon exercise of outstanding options under the 2004 Plan and 2012 Plan as of the date of this Registration Statement.</w:t>
      </w:r>
    </w:p>
    <w:p>
      <w:pPr>
        <w:spacing w:after="0" w:line="19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Calculated solely for the purpose of determining the registration fee pursuant to Rule 457(h) under the Securities Act on the basis of the average of the high and low prices ($13.21-$14.65) of the Registrant’s ordinary shares as quoted on the Nasdaq Global Select Market on May 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9" w:right="239" w:bottom="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29" w:lineRule="exact"/>
        <w:rPr>
          <w:sz w:val="20"/>
          <w:szCs w:val="20"/>
          <w:color w:val="auto"/>
        </w:rPr>
      </w:pPr>
    </w:p>
    <w:p>
      <w:pPr>
        <w:ind w:firstLine="8"/>
        <w:spacing w:after="0" w:line="289" w:lineRule="auto"/>
        <w:tabs>
          <w:tab w:leader="none" w:pos="13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documents containing the information specified in this Part I of Form S-8 (plan information and registration information and employee plan annual information) will be sent or given to employees as specified by the Securities and Exchange Commission (the “Commission”) pursuant to Rule 428(b)(1) of the Securities Act of 1933, as amended (the “Securities Act”). Such documents are not required to be and are not filed with the Commission either as part of this registration statement (this “Registration Statement”) or as prospectuses or prospectus supplements pursuant to Rule 424.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and will include the address and telephone number to which the request is to be directed.</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Kornit Digital Ltd. (the “Company”) are incorporated herein by reference:</w:t>
      </w:r>
    </w:p>
    <w:p>
      <w:pPr>
        <w:spacing w:after="0" w:line="225" w:lineRule="exact"/>
        <w:rPr>
          <w:sz w:val="20"/>
          <w:szCs w:val="20"/>
          <w:color w:val="auto"/>
        </w:rPr>
      </w:pPr>
    </w:p>
    <w:p>
      <w:pPr>
        <w:ind w:left="1300" w:right="78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final prospectus filed on April 2, 2015 pursuant to Rule 424(b)(4) under the Securities Act in connection with the Company’s Registration Statement on Form F-1 (File No. 333-202291)</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unaudited condensed consolidated financial statements attached to the press release annexed as Exhibit 99.1 to our Report on Form 6-K furnished to the Commission on May 6, 2015;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Company’s Ordinary Shares contained in Item 1 of the Registration Statement on Form 8-A (File No. 001-36903) filed with the Commission on March 31, 2015.</w:t>
      </w:r>
    </w:p>
    <w:p>
      <w:pPr>
        <w:spacing w:after="0" w:line="170" w:lineRule="exact"/>
        <w:rPr>
          <w:sz w:val="20"/>
          <w:szCs w:val="20"/>
          <w:color w:val="auto"/>
        </w:rPr>
      </w:pPr>
    </w:p>
    <w:p>
      <w:pPr>
        <w:ind w:firstLine="1008"/>
        <w:spacing w:after="0" w:line="254" w:lineRule="auto"/>
        <w:rPr>
          <w:sz w:val="20"/>
          <w:szCs w:val="20"/>
          <w:color w:val="auto"/>
        </w:rPr>
      </w:pPr>
      <w:r>
        <w:rPr>
          <w:rFonts w:ascii="Arial" w:cs="Arial" w:eastAsia="Arial" w:hAnsi="Arial"/>
          <w:sz w:val="18"/>
          <w:szCs w:val="18"/>
          <w:color w:val="auto"/>
        </w:rPr>
        <w:t>In addition to the foregoing, all documents subsequently filed by the Company pursuant to Sections 13(a), 13(c), 14 or 15(d) of the Securities Exchange Act of 1934, as amended (the “Exchange Act”), prior to the filing of a post-effective amendment indicating that all securities offered hereby have been sold or deregistering all securities then remaining unsold, shall be deemed to be incorporated by reference in this Registration Statement and to be a part hereof from the date of filing of such documents.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out of a prohibited dividend or distribution to shareholders.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3" w:name="page4"/>
    <w:bookmarkEnd w:id="3"/>
    <w:p>
      <w:pPr>
        <w:ind w:right="220" w:firstLine="648"/>
        <w:spacing w:after="0" w:line="264" w:lineRule="auto"/>
        <w:rPr>
          <w:sz w:val="20"/>
          <w:szCs w:val="20"/>
          <w:color w:val="auto"/>
        </w:rPr>
      </w:pPr>
      <w:r>
        <w:rPr>
          <w:rFonts w:ascii="Arial" w:cs="Arial" w:eastAsia="Arial" w:hAnsi="Arial"/>
          <w:sz w:val="18"/>
          <w:szCs w:val="18"/>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81" w:lineRule="exact"/>
        <w:rPr>
          <w:sz w:val="20"/>
          <w:szCs w:val="20"/>
          <w:color w:val="auto"/>
        </w:rPr>
      </w:pPr>
    </w:p>
    <w:p>
      <w:pPr>
        <w:ind w:left="1300" w:right="280" w:hanging="320"/>
        <w:spacing w:after="0" w:line="297"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58" w:lineRule="exact"/>
        <w:rPr>
          <w:rFonts w:ascii="Arial" w:cs="Arial" w:eastAsia="Arial" w:hAnsi="Arial"/>
          <w:sz w:val="16"/>
          <w:szCs w:val="16"/>
          <w:color w:val="auto"/>
        </w:rPr>
      </w:pPr>
    </w:p>
    <w:p>
      <w:pPr>
        <w:ind w:left="1300" w:hanging="320"/>
        <w:spacing w:after="0" w:line="297"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158" w:lineRule="exact"/>
        <w:rPr>
          <w:rFonts w:ascii="Arial" w:cs="Arial" w:eastAsia="Arial" w:hAnsi="Arial"/>
          <w:sz w:val="16"/>
          <w:szCs w:val="16"/>
          <w:color w:val="auto"/>
        </w:rPr>
      </w:pPr>
    </w:p>
    <w:p>
      <w:pPr>
        <w:ind w:left="1300" w:right="140" w:hanging="320"/>
        <w:spacing w:after="0" w:line="286"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1300" w:right="8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1300" w:right="48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Israeli Companies Law, a company may not indemnify, exculpate or insure an office holder against any of the following:</w:t>
      </w:r>
    </w:p>
    <w:p>
      <w:pPr>
        <w:spacing w:after="0" w:line="225" w:lineRule="exact"/>
        <w:rPr>
          <w:sz w:val="20"/>
          <w:szCs w:val="20"/>
          <w:color w:val="auto"/>
        </w:rPr>
      </w:pPr>
    </w:p>
    <w:p>
      <w:pPr>
        <w:ind w:left="1300" w:hanging="320"/>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fine or forfeit levied against the office holder.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4" w:name="page5"/>
    <w:bookmarkEnd w:id="4"/>
    <w:p>
      <w:pPr>
        <w:ind w:right="260" w:firstLine="648"/>
        <w:spacing w:after="0" w:line="264" w:lineRule="auto"/>
        <w:rPr>
          <w:sz w:val="20"/>
          <w:szCs w:val="20"/>
          <w:color w:val="auto"/>
        </w:rPr>
      </w:pPr>
      <w:r>
        <w:rPr>
          <w:rFonts w:ascii="Arial" w:cs="Arial" w:eastAsia="Arial" w:hAnsi="Arial"/>
          <w:sz w:val="18"/>
          <w:szCs w:val="18"/>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“Management—Approval of Related Party Transactions under Israeli Law.”</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Company’s amended and restated articles of association permit it to exculpate, indemnify and insure its office holders to the fullest extent permitted or to be permitted by the Israeli Companies Law.</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has obtained directors’ and officers’ liability insurance for the benefit of its office holders and intends to continue to maintain such coverage and pay all premiums thereunder to the fullest extent permitted by the Israeli Companies Law. In addition, prior to the closing of our initial public offering, the Company entered into agreements with each of its directors and executive officers exculpating them from liability to the Company for damages caused to us as a result of a breach of duty of care and undertaking to indemnify them, in each case, to the fullest extent permitted by our amended and restated articles of association and the Israeli Companies Law, including with respect to liabilities resulting from our initial public offering to the extent that these liabilities are not covered by insurance. In the opinion of the Commission, indemnification of directors and office holders for liabilities arising under the Securities Act, however, is against public policy and therefore unenforceable.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at the end of this Registration Statement are included in this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Kornit Digital Ltd., hereby undertakes:</w:t>
      </w:r>
    </w:p>
    <w:p>
      <w:pPr>
        <w:spacing w:after="0" w:line="23" w:lineRule="exact"/>
        <w:rPr>
          <w:sz w:val="20"/>
          <w:szCs w:val="20"/>
          <w:color w:val="auto"/>
        </w:rPr>
      </w:pPr>
    </w:p>
    <w:p>
      <w:pPr>
        <w:ind w:left="760" w:hanging="576"/>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3"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 w:lineRule="exact"/>
        <w:rPr>
          <w:rFonts w:ascii="Arial" w:cs="Arial" w:eastAsia="Arial" w:hAnsi="Arial"/>
          <w:sz w:val="18"/>
          <w:szCs w:val="18"/>
          <w:color w:val="auto"/>
        </w:rPr>
      </w:pPr>
    </w:p>
    <w:p>
      <w:pPr>
        <w:ind w:left="1300" w:right="300" w:hanging="644"/>
        <w:spacing w:after="0" w:line="261"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84"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paragraphs (a) and (b)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181" w:lineRule="exact"/>
        <w:rPr>
          <w:sz w:val="20"/>
          <w:szCs w:val="20"/>
          <w:color w:val="auto"/>
        </w:rPr>
      </w:pPr>
    </w:p>
    <w:p>
      <w:pPr>
        <w:ind w:left="760" w:right="120" w:hanging="576"/>
        <w:spacing w:after="0" w:line="256"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ind w:left="760" w:right="160" w:hanging="576"/>
        <w:spacing w:after="0" w:line="261"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184" w:lineRule="exact"/>
        <w:rPr>
          <w:sz w:val="20"/>
          <w:szCs w:val="20"/>
          <w:color w:val="auto"/>
        </w:rPr>
      </w:pPr>
    </w:p>
    <w:p>
      <w:pPr>
        <w:ind w:right="180" w:firstLine="972"/>
        <w:spacing w:after="0" w:line="259" w:lineRule="auto"/>
        <w:rPr>
          <w:sz w:val="20"/>
          <w:szCs w:val="20"/>
          <w:color w:val="auto"/>
        </w:rPr>
      </w:pPr>
      <w:r>
        <w:rPr>
          <w:rFonts w:ascii="Arial" w:cs="Arial" w:eastAsia="Arial" w:hAnsi="Arial"/>
          <w:sz w:val="18"/>
          <w:szCs w:val="18"/>
          <w:color w:val="auto"/>
        </w:rPr>
        <w:t>The Registrant hereby undertakes that, for purposes of determining any liability under the Securities Act, each filing of the Registrant’s annual report pursuant to Sections 13(a) or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sz w:val="20"/>
          <w:szCs w:val="20"/>
          <w:color w:val="auto"/>
        </w:rPr>
      </w:pPr>
    </w:p>
    <w:p>
      <w:pPr>
        <w:ind w:firstLine="1008"/>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Rosh Ha-Ayin, Israel on this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2015.</w:t>
      </w:r>
    </w:p>
    <w:p>
      <w:pPr>
        <w:spacing w:after="0" w:line="50"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KORNIT DIGITAL LTD.</w:t>
      </w:r>
    </w:p>
    <w:p>
      <w:pPr>
        <w:spacing w:after="0" w:line="200" w:lineRule="exact"/>
        <w:rPr>
          <w:sz w:val="20"/>
          <w:szCs w:val="20"/>
          <w:color w:val="auto"/>
        </w:rPr>
      </w:pPr>
    </w:p>
    <w:p>
      <w:pPr>
        <w:spacing w:after="0" w:line="245"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Gabi Seligsohn</w:t>
      </w:r>
    </w:p>
    <w:p>
      <w:pPr>
        <w:spacing w:after="0" w:line="2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Name:  Gabi Seligsohn</w:t>
      </w:r>
    </w:p>
    <w:p>
      <w:pPr>
        <w:spacing w:after="0" w:line="9" w:lineRule="exact"/>
        <w:rPr>
          <w:sz w:val="20"/>
          <w:szCs w:val="20"/>
          <w:color w:val="auto"/>
        </w:rPr>
      </w:pPr>
    </w:p>
    <w:p>
      <w:pPr>
        <w:ind w:left="8320"/>
        <w:spacing w:after="0"/>
        <w:tabs>
          <w:tab w:leader="none" w:pos="8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Gabi Seligsohn and Guy Avidan, and each of them severally, acting alone and without the other,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and entity on May 7, 2015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center"/>
              <w:ind w:right="1390"/>
              <w:spacing w:after="0"/>
              <w:rPr>
                <w:sz w:val="20"/>
                <w:szCs w:val="20"/>
                <w:color w:val="auto"/>
              </w:rPr>
            </w:pPr>
            <w:r>
              <w:rPr>
                <w:rFonts w:ascii="Arial" w:cs="Arial" w:eastAsia="Arial" w:hAnsi="Arial"/>
                <w:sz w:val="18"/>
                <w:szCs w:val="18"/>
                <w:b w:val="1"/>
                <w:bCs w:val="1"/>
                <w:color w:val="auto"/>
                <w:w w:val="88"/>
              </w:rPr>
              <w:t>Signatures</w:t>
            </w:r>
          </w:p>
        </w:tc>
        <w:tc>
          <w:tcPr>
            <w:tcW w:w="200" w:type="dxa"/>
            <w:vAlign w:val="bottom"/>
          </w:tcPr>
          <w:p>
            <w:pPr>
              <w:spacing w:after="0"/>
              <w:rPr>
                <w:sz w:val="20"/>
                <w:szCs w:val="20"/>
                <w:color w:val="auto"/>
              </w:rPr>
            </w:pPr>
          </w:p>
        </w:tc>
        <w:tc>
          <w:tcPr>
            <w:tcW w:w="6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0"/>
              </w:rPr>
              <w:t>/s/ Gabi Seligsohn</w:t>
            </w:r>
          </w:p>
        </w:tc>
        <w:tc>
          <w:tcPr>
            <w:tcW w:w="200" w:type="dxa"/>
            <w:vAlign w:val="bottom"/>
          </w:tcPr>
          <w:p>
            <w:pPr>
              <w:spacing w:after="0"/>
              <w:rPr>
                <w:sz w:val="24"/>
                <w:szCs w:val="24"/>
                <w:color w:val="auto"/>
              </w:rPr>
            </w:pPr>
          </w:p>
        </w:tc>
        <w:tc>
          <w:tcPr>
            <w:tcW w:w="6860" w:type="dxa"/>
            <w:vAlign w:val="bottom"/>
            <w:vMerge w:val="restart"/>
          </w:tcPr>
          <w:p>
            <w:pPr>
              <w:jc w:val="center"/>
              <w:spacing w:after="0"/>
              <w:rPr>
                <w:sz w:val="20"/>
                <w:szCs w:val="20"/>
                <w:color w:val="auto"/>
              </w:rPr>
            </w:pPr>
            <w:r>
              <w:rPr>
                <w:rFonts w:ascii="Arial" w:cs="Arial" w:eastAsia="Arial" w:hAnsi="Arial"/>
                <w:sz w:val="18"/>
                <w:szCs w:val="18"/>
                <w:color w:val="auto"/>
                <w:w w:val="94"/>
              </w:rPr>
              <w:t>Chief Executive Officer (Principal Executive Officer)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tcPr>
          <w:p>
            <w:pPr>
              <w:jc w:val="center"/>
              <w:ind w:right="1390"/>
              <w:spacing w:after="0"/>
              <w:rPr>
                <w:sz w:val="20"/>
                <w:szCs w:val="20"/>
                <w:color w:val="auto"/>
              </w:rPr>
            </w:pPr>
            <w:r>
              <w:rPr>
                <w:rFonts w:ascii="Arial" w:cs="Arial" w:eastAsia="Arial" w:hAnsi="Arial"/>
                <w:sz w:val="18"/>
                <w:szCs w:val="18"/>
                <w:color w:val="auto"/>
                <w:w w:val="90"/>
              </w:rPr>
              <w:t>Gabi Seligsohn</w:t>
            </w:r>
          </w:p>
        </w:tc>
        <w:tc>
          <w:tcPr>
            <w:tcW w:w="200" w:type="dxa"/>
            <w:vAlign w:val="bottom"/>
          </w:tcPr>
          <w:p>
            <w:pPr>
              <w:spacing w:after="0"/>
              <w:rPr>
                <w:sz w:val="19"/>
                <w:szCs w:val="19"/>
                <w:color w:val="auto"/>
              </w:rPr>
            </w:pPr>
          </w:p>
        </w:tc>
        <w:tc>
          <w:tcPr>
            <w:tcW w:w="6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1410"/>
              <w:spacing w:after="0"/>
              <w:rPr>
                <w:sz w:val="20"/>
                <w:szCs w:val="20"/>
                <w:color w:val="auto"/>
              </w:rPr>
            </w:pPr>
            <w:r>
              <w:rPr>
                <w:rFonts w:ascii="Arial" w:cs="Arial" w:eastAsia="Arial" w:hAnsi="Arial"/>
                <w:sz w:val="18"/>
                <w:szCs w:val="18"/>
                <w:color w:val="auto"/>
                <w:w w:val="92"/>
              </w:rPr>
              <w:t>/s/ Guy Avidan</w:t>
            </w:r>
          </w:p>
        </w:tc>
        <w:tc>
          <w:tcPr>
            <w:tcW w:w="200" w:type="dxa"/>
            <w:vAlign w:val="bottom"/>
          </w:tcPr>
          <w:p>
            <w:pPr>
              <w:spacing w:after="0"/>
              <w:rPr>
                <w:sz w:val="24"/>
                <w:szCs w:val="24"/>
                <w:color w:val="auto"/>
              </w:rPr>
            </w:pPr>
          </w:p>
        </w:tc>
        <w:tc>
          <w:tcPr>
            <w:tcW w:w="6860" w:type="dxa"/>
            <w:vAlign w:val="bottom"/>
            <w:vMerge w:val="restart"/>
          </w:tcPr>
          <w:p>
            <w:pPr>
              <w:jc w:val="center"/>
              <w:spacing w:after="0"/>
              <w:rPr>
                <w:sz w:val="20"/>
                <w:szCs w:val="20"/>
                <w:color w:val="auto"/>
              </w:rPr>
            </w:pPr>
            <w:r>
              <w:rPr>
                <w:rFonts w:ascii="Arial" w:cs="Arial" w:eastAsia="Arial" w:hAnsi="Arial"/>
                <w:sz w:val="18"/>
                <w:szCs w:val="18"/>
                <w:color w:val="auto"/>
                <w:w w:val="94"/>
              </w:rPr>
              <w:t>Chief Financial Officer (Principal Financial Officer and Principal Accounting Officer)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tcPr>
          <w:p>
            <w:pPr>
              <w:jc w:val="center"/>
              <w:ind w:right="1410"/>
              <w:spacing w:after="0"/>
              <w:rPr>
                <w:sz w:val="20"/>
                <w:szCs w:val="20"/>
                <w:color w:val="auto"/>
              </w:rPr>
            </w:pPr>
            <w:r>
              <w:rPr>
                <w:rFonts w:ascii="Arial" w:cs="Arial" w:eastAsia="Arial" w:hAnsi="Arial"/>
                <w:sz w:val="18"/>
                <w:szCs w:val="18"/>
                <w:color w:val="auto"/>
                <w:w w:val="94"/>
              </w:rPr>
              <w:t>Guy Avidan</w:t>
            </w:r>
          </w:p>
        </w:tc>
        <w:tc>
          <w:tcPr>
            <w:tcW w:w="200" w:type="dxa"/>
            <w:vAlign w:val="bottom"/>
          </w:tcPr>
          <w:p>
            <w:pPr>
              <w:spacing w:after="0"/>
              <w:rPr>
                <w:sz w:val="19"/>
                <w:szCs w:val="19"/>
                <w:color w:val="auto"/>
              </w:rPr>
            </w:pPr>
          </w:p>
        </w:tc>
        <w:tc>
          <w:tcPr>
            <w:tcW w:w="6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1"/>
              </w:rPr>
              <w:t>/s/ Yuval Cohen</w:t>
            </w:r>
          </w:p>
        </w:tc>
        <w:tc>
          <w:tcPr>
            <w:tcW w:w="200" w:type="dxa"/>
            <w:vAlign w:val="bottom"/>
          </w:tcPr>
          <w:p>
            <w:pPr>
              <w:spacing w:after="0"/>
              <w:rPr>
                <w:sz w:val="24"/>
                <w:szCs w:val="24"/>
                <w:color w:val="auto"/>
              </w:rPr>
            </w:pPr>
          </w:p>
        </w:tc>
        <w:tc>
          <w:tcPr>
            <w:tcW w:w="6860" w:type="dxa"/>
            <w:vAlign w:val="bottom"/>
            <w:vMerge w:val="restart"/>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tcPr>
          <w:p>
            <w:pPr>
              <w:jc w:val="center"/>
              <w:ind w:right="1410"/>
              <w:spacing w:after="0"/>
              <w:rPr>
                <w:sz w:val="20"/>
                <w:szCs w:val="20"/>
                <w:color w:val="auto"/>
              </w:rPr>
            </w:pPr>
            <w:r>
              <w:rPr>
                <w:rFonts w:ascii="Arial" w:cs="Arial" w:eastAsia="Arial" w:hAnsi="Arial"/>
                <w:sz w:val="18"/>
                <w:szCs w:val="18"/>
                <w:color w:val="auto"/>
                <w:w w:val="89"/>
              </w:rPr>
              <w:t>Yuval Cohen</w:t>
            </w:r>
          </w:p>
        </w:tc>
        <w:tc>
          <w:tcPr>
            <w:tcW w:w="200" w:type="dxa"/>
            <w:vAlign w:val="bottom"/>
          </w:tcPr>
          <w:p>
            <w:pPr>
              <w:spacing w:after="0"/>
              <w:rPr>
                <w:sz w:val="19"/>
                <w:szCs w:val="19"/>
                <w:color w:val="auto"/>
              </w:rPr>
            </w:pPr>
          </w:p>
        </w:tc>
        <w:tc>
          <w:tcPr>
            <w:tcW w:w="6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2"/>
              </w:rPr>
              <w:t>/s/ Ofer Ben-Zur</w:t>
            </w:r>
          </w:p>
        </w:tc>
        <w:tc>
          <w:tcPr>
            <w:tcW w:w="200" w:type="dxa"/>
            <w:vAlign w:val="bottom"/>
          </w:tcPr>
          <w:p>
            <w:pPr>
              <w:spacing w:after="0"/>
              <w:rPr>
                <w:sz w:val="24"/>
                <w:szCs w:val="24"/>
                <w:color w:val="auto"/>
              </w:rPr>
            </w:pPr>
          </w:p>
        </w:tc>
        <w:tc>
          <w:tcPr>
            <w:tcW w:w="68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tcPr>
          <w:p>
            <w:pPr>
              <w:jc w:val="center"/>
              <w:ind w:right="1390"/>
              <w:spacing w:after="0"/>
              <w:rPr>
                <w:sz w:val="20"/>
                <w:szCs w:val="20"/>
                <w:color w:val="auto"/>
              </w:rPr>
            </w:pPr>
            <w:r>
              <w:rPr>
                <w:rFonts w:ascii="Arial" w:cs="Arial" w:eastAsia="Arial" w:hAnsi="Arial"/>
                <w:sz w:val="18"/>
                <w:szCs w:val="18"/>
                <w:color w:val="auto"/>
                <w:w w:val="93"/>
              </w:rPr>
              <w:t>Ofer Ben-Zur</w:t>
            </w:r>
          </w:p>
        </w:tc>
        <w:tc>
          <w:tcPr>
            <w:tcW w:w="200" w:type="dxa"/>
            <w:vAlign w:val="bottom"/>
          </w:tcPr>
          <w:p>
            <w:pPr>
              <w:spacing w:after="0"/>
              <w:rPr>
                <w:sz w:val="19"/>
                <w:szCs w:val="19"/>
                <w:color w:val="auto"/>
              </w:rPr>
            </w:pPr>
          </w:p>
        </w:tc>
        <w:tc>
          <w:tcPr>
            <w:tcW w:w="6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00" w:type="dxa"/>
            <w:vAlign w:val="bottom"/>
          </w:tcPr>
          <w:p>
            <w:pPr>
              <w:spacing w:after="0"/>
              <w:rPr>
                <w:sz w:val="24"/>
                <w:szCs w:val="24"/>
                <w:color w:val="auto"/>
              </w:rPr>
            </w:pPr>
          </w:p>
        </w:tc>
        <w:tc>
          <w:tcPr>
            <w:tcW w:w="4160" w:type="dxa"/>
            <w:vAlign w:val="bottom"/>
            <w:gridSpan w:val="3"/>
          </w:tcPr>
          <w:p>
            <w:pPr>
              <w:jc w:val="center"/>
              <w:spacing w:after="0"/>
              <w:rPr>
                <w:sz w:val="20"/>
                <w:szCs w:val="20"/>
                <w:color w:val="auto"/>
              </w:rPr>
            </w:pPr>
            <w:r>
              <w:rPr>
                <w:rFonts w:ascii="Arial" w:cs="Arial" w:eastAsia="Arial" w:hAnsi="Arial"/>
                <w:sz w:val="18"/>
                <w:szCs w:val="18"/>
                <w:color w:val="auto"/>
                <w:w w:val="89"/>
              </w:rPr>
              <w:t>__________________________</w:t>
            </w:r>
          </w:p>
        </w:tc>
        <w:tc>
          <w:tcPr>
            <w:tcW w:w="2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60" w:type="dxa"/>
            <w:vAlign w:val="bottom"/>
          </w:tcPr>
          <w:p>
            <w:pPr>
              <w:jc w:val="center"/>
              <w:ind w:right="1410"/>
              <w:spacing w:after="0"/>
              <w:rPr>
                <w:sz w:val="20"/>
                <w:szCs w:val="20"/>
                <w:color w:val="auto"/>
              </w:rPr>
            </w:pPr>
            <w:r>
              <w:rPr>
                <w:rFonts w:ascii="Arial" w:cs="Arial" w:eastAsia="Arial" w:hAnsi="Arial"/>
                <w:sz w:val="18"/>
                <w:szCs w:val="18"/>
                <w:color w:val="auto"/>
                <w:w w:val="98"/>
              </w:rPr>
              <w:t>Eli Blatt</w:t>
            </w:r>
          </w:p>
        </w:tc>
        <w:tc>
          <w:tcPr>
            <w:tcW w:w="200" w:type="dxa"/>
            <w:vAlign w:val="bottom"/>
          </w:tcPr>
          <w:p>
            <w:pPr>
              <w:spacing w:after="0"/>
              <w:rPr>
                <w:sz w:val="20"/>
                <w:szCs w:val="20"/>
                <w:color w:val="auto"/>
              </w:rPr>
            </w:pPr>
          </w:p>
        </w:tc>
        <w:tc>
          <w:tcPr>
            <w:tcW w:w="6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/s/ Lauri Hanover</w:t>
            </w:r>
          </w:p>
        </w:tc>
        <w:tc>
          <w:tcPr>
            <w:tcW w:w="200" w:type="dxa"/>
            <w:vAlign w:val="bottom"/>
          </w:tcPr>
          <w:p>
            <w:pPr>
              <w:spacing w:after="0"/>
              <w:rPr>
                <w:sz w:val="24"/>
                <w:szCs w:val="24"/>
                <w:color w:val="auto"/>
              </w:rPr>
            </w:pPr>
          </w:p>
        </w:tc>
        <w:tc>
          <w:tcPr>
            <w:tcW w:w="68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tcPr>
          <w:p>
            <w:pPr>
              <w:jc w:val="center"/>
              <w:ind w:right="1410"/>
              <w:spacing w:after="0"/>
              <w:rPr>
                <w:sz w:val="20"/>
                <w:szCs w:val="20"/>
                <w:color w:val="auto"/>
              </w:rPr>
            </w:pPr>
            <w:r>
              <w:rPr>
                <w:rFonts w:ascii="Arial" w:cs="Arial" w:eastAsia="Arial" w:hAnsi="Arial"/>
                <w:sz w:val="18"/>
                <w:szCs w:val="18"/>
                <w:color w:val="auto"/>
                <w:w w:val="91"/>
              </w:rPr>
              <w:t>Lauri Hanover</w:t>
            </w:r>
          </w:p>
        </w:tc>
        <w:tc>
          <w:tcPr>
            <w:tcW w:w="200" w:type="dxa"/>
            <w:vAlign w:val="bottom"/>
          </w:tcPr>
          <w:p>
            <w:pPr>
              <w:spacing w:after="0"/>
              <w:rPr>
                <w:sz w:val="19"/>
                <w:szCs w:val="19"/>
                <w:color w:val="auto"/>
              </w:rPr>
            </w:pPr>
          </w:p>
        </w:tc>
        <w:tc>
          <w:tcPr>
            <w:tcW w:w="6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00" w:type="dxa"/>
            <w:vAlign w:val="bottom"/>
          </w:tcPr>
          <w:p>
            <w:pPr>
              <w:spacing w:after="0"/>
              <w:rPr>
                <w:sz w:val="24"/>
                <w:szCs w:val="24"/>
                <w:color w:val="auto"/>
              </w:rPr>
            </w:pPr>
          </w:p>
        </w:tc>
        <w:tc>
          <w:tcPr>
            <w:tcW w:w="4160" w:type="dxa"/>
            <w:vAlign w:val="bottom"/>
            <w:gridSpan w:val="3"/>
          </w:tcPr>
          <w:p>
            <w:pPr>
              <w:jc w:val="center"/>
              <w:spacing w:after="0"/>
              <w:rPr>
                <w:sz w:val="20"/>
                <w:szCs w:val="20"/>
                <w:color w:val="auto"/>
              </w:rPr>
            </w:pPr>
            <w:r>
              <w:rPr>
                <w:rFonts w:ascii="Arial" w:cs="Arial" w:eastAsia="Arial" w:hAnsi="Arial"/>
                <w:sz w:val="18"/>
                <w:szCs w:val="18"/>
                <w:color w:val="auto"/>
                <w:w w:val="89"/>
              </w:rPr>
              <w:t>__________________________</w:t>
            </w:r>
          </w:p>
        </w:tc>
        <w:tc>
          <w:tcPr>
            <w:tcW w:w="2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60" w:type="dxa"/>
            <w:vAlign w:val="bottom"/>
          </w:tcPr>
          <w:p>
            <w:pPr>
              <w:jc w:val="center"/>
              <w:ind w:right="1410"/>
              <w:spacing w:after="0"/>
              <w:rPr>
                <w:sz w:val="20"/>
                <w:szCs w:val="20"/>
                <w:color w:val="auto"/>
              </w:rPr>
            </w:pPr>
            <w:r>
              <w:rPr>
                <w:rFonts w:ascii="Arial" w:cs="Arial" w:eastAsia="Arial" w:hAnsi="Arial"/>
                <w:sz w:val="18"/>
                <w:szCs w:val="18"/>
                <w:color w:val="auto"/>
                <w:w w:val="94"/>
              </w:rPr>
              <w:t>Marc Lesnick</w:t>
            </w:r>
          </w:p>
        </w:tc>
        <w:tc>
          <w:tcPr>
            <w:tcW w:w="200" w:type="dxa"/>
            <w:vAlign w:val="bottom"/>
          </w:tcPr>
          <w:p>
            <w:pPr>
              <w:spacing w:after="0"/>
              <w:rPr>
                <w:sz w:val="20"/>
                <w:szCs w:val="20"/>
                <w:color w:val="auto"/>
              </w:rPr>
            </w:pPr>
          </w:p>
        </w:tc>
        <w:tc>
          <w:tcPr>
            <w:tcW w:w="6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/s/ Alon Lumbroso</w:t>
            </w:r>
          </w:p>
        </w:tc>
        <w:tc>
          <w:tcPr>
            <w:tcW w:w="200" w:type="dxa"/>
            <w:vAlign w:val="bottom"/>
          </w:tcPr>
          <w:p>
            <w:pPr>
              <w:spacing w:after="0"/>
              <w:rPr>
                <w:sz w:val="24"/>
                <w:szCs w:val="24"/>
                <w:color w:val="auto"/>
              </w:rPr>
            </w:pPr>
          </w:p>
        </w:tc>
        <w:tc>
          <w:tcPr>
            <w:tcW w:w="68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tcPr>
          <w:p>
            <w:pPr>
              <w:jc w:val="center"/>
              <w:ind w:right="1410"/>
              <w:spacing w:after="0"/>
              <w:rPr>
                <w:sz w:val="20"/>
                <w:szCs w:val="20"/>
                <w:color w:val="auto"/>
              </w:rPr>
            </w:pPr>
            <w:r>
              <w:rPr>
                <w:rFonts w:ascii="Arial" w:cs="Arial" w:eastAsia="Arial" w:hAnsi="Arial"/>
                <w:sz w:val="18"/>
                <w:szCs w:val="18"/>
                <w:color w:val="auto"/>
                <w:w w:val="95"/>
              </w:rPr>
              <w:t>Alon Lumbroso</w:t>
            </w:r>
          </w:p>
        </w:tc>
        <w:tc>
          <w:tcPr>
            <w:tcW w:w="200" w:type="dxa"/>
            <w:vAlign w:val="bottom"/>
          </w:tcPr>
          <w:p>
            <w:pPr>
              <w:spacing w:after="0"/>
              <w:rPr>
                <w:sz w:val="19"/>
                <w:szCs w:val="19"/>
                <w:color w:val="auto"/>
              </w:rPr>
            </w:pPr>
          </w:p>
        </w:tc>
        <w:tc>
          <w:tcPr>
            <w:tcW w:w="6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0"/>
              </w:rPr>
              <w:t>/s/ Jerry Mandel</w:t>
            </w:r>
          </w:p>
        </w:tc>
        <w:tc>
          <w:tcPr>
            <w:tcW w:w="200" w:type="dxa"/>
            <w:vAlign w:val="bottom"/>
          </w:tcPr>
          <w:p>
            <w:pPr>
              <w:spacing w:after="0"/>
              <w:rPr>
                <w:sz w:val="24"/>
                <w:szCs w:val="24"/>
                <w:color w:val="auto"/>
              </w:rPr>
            </w:pPr>
          </w:p>
        </w:tc>
        <w:tc>
          <w:tcPr>
            <w:tcW w:w="68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tcPr>
          <w:p>
            <w:pPr>
              <w:jc w:val="center"/>
              <w:ind w:right="1410"/>
              <w:spacing w:after="0"/>
              <w:rPr>
                <w:sz w:val="20"/>
                <w:szCs w:val="20"/>
                <w:color w:val="auto"/>
              </w:rPr>
            </w:pPr>
            <w:r>
              <w:rPr>
                <w:rFonts w:ascii="Arial" w:cs="Arial" w:eastAsia="Arial" w:hAnsi="Arial"/>
                <w:sz w:val="18"/>
                <w:szCs w:val="18"/>
                <w:color w:val="auto"/>
                <w:w w:val="92"/>
              </w:rPr>
              <w:t>Jerry Mandel</w:t>
            </w:r>
          </w:p>
        </w:tc>
        <w:tc>
          <w:tcPr>
            <w:tcW w:w="200" w:type="dxa"/>
            <w:vAlign w:val="bottom"/>
          </w:tcPr>
          <w:p>
            <w:pPr>
              <w:spacing w:after="0"/>
              <w:rPr>
                <w:sz w:val="19"/>
                <w:szCs w:val="19"/>
                <w:color w:val="auto"/>
              </w:rPr>
            </w:pPr>
          </w:p>
        </w:tc>
        <w:tc>
          <w:tcPr>
            <w:tcW w:w="6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1390"/>
              <w:spacing w:after="0"/>
              <w:rPr>
                <w:sz w:val="20"/>
                <w:szCs w:val="20"/>
                <w:color w:val="auto"/>
              </w:rPr>
            </w:pPr>
            <w:r>
              <w:rPr>
                <w:rFonts w:ascii="Arial" w:cs="Arial" w:eastAsia="Arial" w:hAnsi="Arial"/>
                <w:sz w:val="18"/>
                <w:szCs w:val="18"/>
                <w:color w:val="auto"/>
                <w:w w:val="93"/>
              </w:rPr>
              <w:t>/s/ Dov Ofer</w:t>
            </w:r>
          </w:p>
        </w:tc>
        <w:tc>
          <w:tcPr>
            <w:tcW w:w="200" w:type="dxa"/>
            <w:vAlign w:val="bottom"/>
          </w:tcPr>
          <w:p>
            <w:pPr>
              <w:spacing w:after="0"/>
              <w:rPr>
                <w:sz w:val="24"/>
                <w:szCs w:val="24"/>
                <w:color w:val="auto"/>
              </w:rPr>
            </w:pPr>
          </w:p>
        </w:tc>
        <w:tc>
          <w:tcPr>
            <w:tcW w:w="68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tcPr>
          <w:p>
            <w:pPr>
              <w:jc w:val="center"/>
              <w:ind w:right="1410"/>
              <w:spacing w:after="0"/>
              <w:rPr>
                <w:sz w:val="20"/>
                <w:szCs w:val="20"/>
                <w:color w:val="auto"/>
              </w:rPr>
            </w:pPr>
            <w:r>
              <w:rPr>
                <w:rFonts w:ascii="Arial" w:cs="Arial" w:eastAsia="Arial" w:hAnsi="Arial"/>
                <w:sz w:val="18"/>
                <w:szCs w:val="18"/>
                <w:color w:val="auto"/>
                <w:w w:val="94"/>
              </w:rPr>
              <w:t>Dov Ofer</w:t>
            </w:r>
          </w:p>
        </w:tc>
        <w:tc>
          <w:tcPr>
            <w:tcW w:w="200" w:type="dxa"/>
            <w:vAlign w:val="bottom"/>
          </w:tcPr>
          <w:p>
            <w:pPr>
              <w:spacing w:after="0"/>
              <w:rPr>
                <w:sz w:val="19"/>
                <w:szCs w:val="19"/>
                <w:color w:val="auto"/>
              </w:rPr>
            </w:pPr>
          </w:p>
        </w:tc>
        <w:tc>
          <w:tcPr>
            <w:tcW w:w="6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0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KORNIT DIGITAL NORTH AMERICA INC.</w:t>
            </w:r>
          </w:p>
        </w:tc>
        <w:tc>
          <w:tcPr>
            <w:tcW w:w="200" w:type="dxa"/>
            <w:vAlign w:val="bottom"/>
          </w:tcPr>
          <w:p>
            <w:pPr>
              <w:spacing w:after="0"/>
              <w:rPr>
                <w:sz w:val="24"/>
                <w:szCs w:val="24"/>
                <w:color w:val="auto"/>
              </w:rPr>
            </w:pPr>
          </w:p>
        </w:tc>
        <w:tc>
          <w:tcPr>
            <w:tcW w:w="6860" w:type="dxa"/>
            <w:vAlign w:val="bottom"/>
          </w:tcPr>
          <w:p>
            <w:pPr>
              <w:jc w:val="center"/>
              <w:spacing w:after="0"/>
              <w:rPr>
                <w:sz w:val="20"/>
                <w:szCs w:val="20"/>
                <w:color w:val="auto"/>
              </w:rPr>
            </w:pPr>
            <w:r>
              <w:rPr>
                <w:rFonts w:ascii="Arial" w:cs="Arial" w:eastAsia="Arial" w:hAnsi="Arial"/>
                <w:sz w:val="18"/>
                <w:szCs w:val="18"/>
                <w:color w:val="auto"/>
                <w:w w:val="90"/>
              </w:rPr>
              <w:t>Authorized Representative in the United States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By: /s/ Ofer Ben-Zur</w:t>
            </w:r>
          </w:p>
        </w:tc>
        <w:tc>
          <w:tcPr>
            <w:tcW w:w="2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40" w:type="dxa"/>
            <w:vAlign w:val="bottom"/>
            <w:gridSpan w:val="2"/>
          </w:tcPr>
          <w:p>
            <w:pPr>
              <w:ind w:left="40"/>
              <w:spacing w:after="0"/>
              <w:rPr>
                <w:sz w:val="20"/>
                <w:szCs w:val="20"/>
                <w:color w:val="auto"/>
              </w:rPr>
            </w:pPr>
            <w:r>
              <w:rPr>
                <w:rFonts w:ascii="Arial" w:cs="Arial" w:eastAsia="Arial" w:hAnsi="Arial"/>
                <w:sz w:val="18"/>
                <w:szCs w:val="18"/>
                <w:color w:val="auto"/>
              </w:rPr>
              <w:t>Name: Ofer Ben-Zur</w:t>
            </w:r>
          </w:p>
        </w:tc>
        <w:tc>
          <w:tcPr>
            <w:tcW w:w="20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40" w:type="dxa"/>
            <w:vAlign w:val="bottom"/>
            <w:gridSpan w:val="2"/>
          </w:tcPr>
          <w:p>
            <w:pPr>
              <w:ind w:left="40"/>
              <w:spacing w:after="0"/>
              <w:rPr>
                <w:sz w:val="20"/>
                <w:szCs w:val="20"/>
                <w:color w:val="auto"/>
              </w:rPr>
            </w:pPr>
            <w:r>
              <w:rPr>
                <w:rFonts w:ascii="Arial" w:cs="Arial" w:eastAsia="Arial" w:hAnsi="Arial"/>
                <w:sz w:val="18"/>
                <w:szCs w:val="18"/>
                <w:color w:val="auto"/>
              </w:rPr>
              <w:t>Title: Director</w:t>
            </w:r>
          </w:p>
        </w:tc>
        <w:tc>
          <w:tcPr>
            <w:tcW w:w="20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5"/>
        </w:trPr>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gridSpan w:val="2"/>
          </w:tcPr>
          <w:p>
            <w:pPr>
              <w:jc w:val="right"/>
              <w:ind w:right="547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481"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20" w:type="dxa"/>
            <w:vAlign w:val="bottom"/>
          </w:tcPr>
          <w:p>
            <w:pPr>
              <w:jc w:val="center"/>
              <w:ind w:right="1510"/>
              <w:spacing w:after="0"/>
              <w:rPr>
                <w:sz w:val="20"/>
                <w:szCs w:val="20"/>
                <w:color w:val="auto"/>
              </w:rPr>
            </w:pPr>
            <w:r>
              <w:rPr>
                <w:rFonts w:ascii="Arial" w:cs="Arial" w:eastAsia="Arial" w:hAnsi="Arial"/>
                <w:sz w:val="18"/>
                <w:szCs w:val="18"/>
                <w:b w:val="1"/>
                <w:bCs w:val="1"/>
                <w:color w:val="auto"/>
              </w:rPr>
              <w:t>EXHIBITS</w:t>
            </w:r>
          </w:p>
        </w:tc>
        <w:tc>
          <w:tcPr>
            <w:tcW w:w="12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80" w:type="dxa"/>
            <w:vAlign w:val="bottom"/>
          </w:tcPr>
          <w:p>
            <w:pPr>
              <w:spacing w:after="0"/>
              <w:rPr>
                <w:sz w:val="24"/>
                <w:szCs w:val="24"/>
                <w:color w:val="auto"/>
              </w:rPr>
            </w:pPr>
          </w:p>
        </w:tc>
        <w:tc>
          <w:tcPr>
            <w:tcW w:w="9620" w:type="dxa"/>
            <w:vAlign w:val="bottom"/>
            <w:tcBorders>
              <w:bottom w:val="single" w:sz="8" w:color="auto"/>
            </w:tcBorders>
          </w:tcPr>
          <w:p>
            <w:pPr>
              <w:ind w:left="438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4"/>
                <w:szCs w:val="24"/>
                <w:color w:val="auto"/>
              </w:rPr>
            </w:pPr>
          </w:p>
        </w:tc>
      </w:tr>
      <w:tr>
        <w:trPr>
          <w:trHeight w:val="195"/>
        </w:trPr>
        <w:tc>
          <w:tcPr>
            <w:tcW w:w="100" w:type="dxa"/>
            <w:vAlign w:val="bottom"/>
          </w:tcPr>
          <w:p>
            <w:pPr>
              <w:spacing w:after="0"/>
              <w:rPr>
                <w:sz w:val="16"/>
                <w:szCs w:val="16"/>
                <w:color w:val="auto"/>
              </w:rPr>
            </w:pPr>
          </w:p>
        </w:tc>
        <w:tc>
          <w:tcPr>
            <w:tcW w:w="1420" w:type="dxa"/>
            <w:vAlign w:val="bottom"/>
          </w:tcPr>
          <w:p>
            <w:pPr>
              <w:spacing w:after="0" w:line="195" w:lineRule="exact"/>
              <w:rPr>
                <w:sz w:val="20"/>
                <w:szCs w:val="20"/>
                <w:color w:val="auto"/>
              </w:rPr>
            </w:pPr>
            <w:r>
              <w:rPr>
                <w:rFonts w:ascii="Arial" w:cs="Arial" w:eastAsia="Arial" w:hAnsi="Arial"/>
                <w:sz w:val="18"/>
                <w:szCs w:val="18"/>
                <w:color w:val="auto"/>
              </w:rPr>
              <w:t>5.1</w:t>
            </w:r>
          </w:p>
        </w:tc>
        <w:tc>
          <w:tcPr>
            <w:tcW w:w="180" w:type="dxa"/>
            <w:vAlign w:val="bottom"/>
          </w:tcPr>
          <w:p>
            <w:pPr>
              <w:spacing w:after="0"/>
              <w:rPr>
                <w:sz w:val="16"/>
                <w:szCs w:val="16"/>
                <w:color w:val="auto"/>
              </w:rPr>
            </w:pPr>
          </w:p>
        </w:tc>
        <w:tc>
          <w:tcPr>
            <w:tcW w:w="9620" w:type="dxa"/>
            <w:vAlign w:val="bottom"/>
          </w:tcPr>
          <w:p>
            <w:pPr>
              <w:ind w:left="20"/>
              <w:spacing w:after="0" w:line="195" w:lineRule="exact"/>
              <w:rPr>
                <w:sz w:val="20"/>
                <w:szCs w:val="20"/>
                <w:color w:val="auto"/>
              </w:rPr>
            </w:pPr>
            <w:r>
              <w:rPr>
                <w:rFonts w:ascii="Arial" w:cs="Arial" w:eastAsia="Arial" w:hAnsi="Arial"/>
                <w:sz w:val="18"/>
                <w:szCs w:val="18"/>
                <w:color w:val="auto"/>
                <w:w w:val="93"/>
              </w:rPr>
              <w:t>Opinion of Meitar Liquornik Geva Leshem Tal, Attorneys at Law, Israeli counsel to the Registrant, as to the validity of the ordinary</w:t>
            </w:r>
          </w:p>
        </w:tc>
        <w:tc>
          <w:tcPr>
            <w:tcW w:w="12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shares (including consent)</w:t>
            </w:r>
          </w:p>
        </w:tc>
        <w:tc>
          <w:tcPr>
            <w:tcW w:w="1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Consent of Kost, Forer, Gabbay and Kasierer, a member of Ernst &amp; Young Global</w:t>
            </w:r>
          </w:p>
        </w:tc>
        <w:tc>
          <w:tcPr>
            <w:tcW w:w="1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Consent of Meitar Liquornik Geva Leshem Tal, Attorneys at Law (included in Exhibit 5.1)</w:t>
            </w:r>
          </w:p>
        </w:tc>
        <w:tc>
          <w:tcPr>
            <w:tcW w:w="1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Power of Attorney (included in signature page to this Registration Statement)</w:t>
            </w:r>
          </w:p>
        </w:tc>
        <w:tc>
          <w:tcPr>
            <w:tcW w:w="1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w w:val="92"/>
              </w:rPr>
              <w:t>Kornit Digital Ltd. 2004 Share Option Plan (incorporated by reference to Exhibit 10.1 of the Registration Statement on Form F-1 of</w:t>
            </w:r>
          </w:p>
        </w:tc>
        <w:tc>
          <w:tcPr>
            <w:tcW w:w="1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the Registrant (File No. 333-202291))</w:t>
            </w:r>
          </w:p>
        </w:tc>
        <w:tc>
          <w:tcPr>
            <w:tcW w:w="1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w w:val="92"/>
              </w:rPr>
              <w:t>Kornit Digital Ltd. 2012 Share Incentive Plan (incorporated by reference to Exhibit 10.2 of the Registration Statement on Form F-1</w:t>
            </w:r>
          </w:p>
        </w:tc>
        <w:tc>
          <w:tcPr>
            <w:tcW w:w="1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of the Registrant (File No. 333-202291))</w:t>
            </w:r>
          </w:p>
        </w:tc>
        <w:tc>
          <w:tcPr>
            <w:tcW w:w="1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99.3</w:t>
            </w:r>
          </w:p>
        </w:tc>
        <w:tc>
          <w:tcPr>
            <w:tcW w:w="1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w w:val="93"/>
              </w:rPr>
              <w:t>Kornit Digital Ltd. 2015 Incentive Compensation Plan (incorporated by reference to Exhibit 10.21 of the Registration Statement on</w:t>
            </w:r>
          </w:p>
        </w:tc>
        <w:tc>
          <w:tcPr>
            <w:tcW w:w="1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Form F-1 of the Registrant (File No. 333-202291))</w:t>
            </w:r>
          </w:p>
        </w:tc>
        <w:tc>
          <w:tcPr>
            <w:tcW w:w="1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99.4</w:t>
            </w:r>
          </w:p>
        </w:tc>
        <w:tc>
          <w:tcPr>
            <w:tcW w:w="18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w w:val="91"/>
              </w:rPr>
              <w:t>Kornit Digital Ltd. 2015 Employee Share Purchase Plan (incorporated by reference to Exhibit 10.22 of the Registration Statement on</w:t>
            </w:r>
          </w:p>
        </w:tc>
        <w:tc>
          <w:tcPr>
            <w:tcW w:w="120" w:type="dxa"/>
            <w:vAlign w:val="bottom"/>
          </w:tcPr>
          <w:p>
            <w:pPr>
              <w:spacing w:after="0"/>
              <w:rPr>
                <w:sz w:val="18"/>
                <w:szCs w:val="18"/>
                <w:color w:val="auto"/>
              </w:rPr>
            </w:pPr>
          </w:p>
        </w:tc>
      </w:tr>
      <w:tr>
        <w:trPr>
          <w:trHeight w:val="230"/>
        </w:trPr>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Form F-1 of the Registrant (File No. 333-202291))</w:t>
            </w:r>
          </w:p>
        </w:tc>
        <w:tc>
          <w:tcPr>
            <w:tcW w:w="12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0" w:type="dxa"/>
            <w:vAlign w:val="bottom"/>
            <w:gridSpan w:val="2"/>
          </w:tcPr>
          <w:p>
            <w:pPr>
              <w:jc w:val="right"/>
              <w:ind w:right="547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r>
      <w:tr>
        <w:trPr>
          <w:trHeight w:val="64"/>
        </w:trPr>
        <w:tc>
          <w:tcPr>
            <w:tcW w:w="100" w:type="dxa"/>
            <w:vAlign w:val="bottom"/>
            <w:tcBorders>
              <w:bottom w:val="single" w:sz="8" w:color="808080"/>
            </w:tcBorders>
          </w:tcPr>
          <w:p>
            <w:pPr>
              <w:spacing w:after="0"/>
              <w:rPr>
                <w:sz w:val="5"/>
                <w:szCs w:val="5"/>
                <w:color w:val="auto"/>
              </w:rPr>
            </w:pPr>
          </w:p>
        </w:tc>
        <w:tc>
          <w:tcPr>
            <w:tcW w:w="14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96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094" w:right="2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157595" cy="1089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5759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Rosh-Ha`Ayin 4809246, Israel</w:t>
      </w:r>
    </w:p>
    <w:p>
      <w:pPr>
        <w:spacing w:after="0" w:line="211"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May 7,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627"/>
        <w:spacing w:after="0" w:line="272" w:lineRule="auto"/>
        <w:rPr>
          <w:sz w:val="20"/>
          <w:szCs w:val="20"/>
          <w:color w:val="auto"/>
        </w:rPr>
      </w:pPr>
      <w:r>
        <w:rPr>
          <w:rFonts w:ascii="Arial" w:cs="Arial" w:eastAsia="Arial" w:hAnsi="Arial"/>
          <w:sz w:val="17"/>
          <w:szCs w:val="17"/>
          <w:color w:val="auto"/>
        </w:rPr>
        <w:t>We have acted as Israeli counsel to Kornit Digital Ltd., a company organized under the laws of the State of Israel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its registration statement on Form S-8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to be filed with the Securities and Exchange Commission under the Securities Act of 1933 (the “</w:t>
      </w:r>
      <w:r>
        <w:rPr>
          <w:rFonts w:ascii="Arial" w:cs="Arial" w:eastAsia="Arial" w:hAnsi="Arial"/>
          <w:sz w:val="17"/>
          <w:szCs w:val="17"/>
          <w:b w:val="1"/>
          <w:bCs w:val="1"/>
          <w:color w:val="auto"/>
        </w:rPr>
        <w:t>Securities Act</w:t>
      </w:r>
      <w:r>
        <w:rPr>
          <w:rFonts w:ascii="Arial" w:cs="Arial" w:eastAsia="Arial" w:hAnsi="Arial"/>
          <w:sz w:val="17"/>
          <w:szCs w:val="17"/>
          <w:color w:val="auto"/>
        </w:rPr>
        <w:t>”) covering up to 3,698,706 ordinary shares of the Company, par value New Israeli Shekel 0.01 per share (“</w:t>
      </w:r>
      <w:r>
        <w:rPr>
          <w:rFonts w:ascii="Arial" w:cs="Arial" w:eastAsia="Arial" w:hAnsi="Arial"/>
          <w:sz w:val="17"/>
          <w:szCs w:val="17"/>
          <w:b w:val="1"/>
          <w:bCs w:val="1"/>
          <w:color w:val="auto"/>
        </w:rPr>
        <w:t>Ordinary Shares</w:t>
      </w:r>
      <w:r>
        <w:rPr>
          <w:rFonts w:ascii="Arial" w:cs="Arial" w:eastAsia="Arial" w:hAnsi="Arial"/>
          <w:sz w:val="17"/>
          <w:szCs w:val="17"/>
          <w:color w:val="auto"/>
        </w:rPr>
        <w:t>”), in the aggregate (collectively, the “</w:t>
      </w:r>
      <w:r>
        <w:rPr>
          <w:rFonts w:ascii="Arial" w:cs="Arial" w:eastAsia="Arial" w:hAnsi="Arial"/>
          <w:sz w:val="17"/>
          <w:szCs w:val="17"/>
          <w:b w:val="1"/>
          <w:bCs w:val="1"/>
          <w:color w:val="auto"/>
        </w:rPr>
        <w:t>Shares</w:t>
      </w:r>
      <w:r>
        <w:rPr>
          <w:rFonts w:ascii="Arial" w:cs="Arial" w:eastAsia="Arial" w:hAnsi="Arial"/>
          <w:sz w:val="17"/>
          <w:szCs w:val="17"/>
          <w:color w:val="auto"/>
        </w:rPr>
        <w:t>”), consisting of (i) 1,096,668 Ordinary Shares issuable upon the exercise of options granted prior to the date hereof under the Company’s 2004 Share Option Plan (the “</w:t>
      </w:r>
      <w:r>
        <w:rPr>
          <w:rFonts w:ascii="Arial" w:cs="Arial" w:eastAsia="Arial" w:hAnsi="Arial"/>
          <w:sz w:val="17"/>
          <w:szCs w:val="17"/>
          <w:b w:val="1"/>
          <w:bCs w:val="1"/>
          <w:color w:val="auto"/>
        </w:rPr>
        <w:t>2004 Plan</w:t>
      </w:r>
      <w:r>
        <w:rPr>
          <w:rFonts w:ascii="Arial" w:cs="Arial" w:eastAsia="Arial" w:hAnsi="Arial"/>
          <w:sz w:val="17"/>
          <w:szCs w:val="17"/>
          <w:color w:val="auto"/>
        </w:rPr>
        <w:t>”), (ii) 1,693,644 Ordinary Shares issuable upon the exercise of options granted prior to the date hereof under the Company’s 2012 Share Incentive Plan (the “</w:t>
      </w:r>
      <w:r>
        <w:rPr>
          <w:rFonts w:ascii="Arial" w:cs="Arial" w:eastAsia="Arial" w:hAnsi="Arial"/>
          <w:sz w:val="17"/>
          <w:szCs w:val="17"/>
          <w:b w:val="1"/>
          <w:bCs w:val="1"/>
          <w:color w:val="auto"/>
        </w:rPr>
        <w:t>2012 Plan</w:t>
      </w:r>
      <w:r>
        <w:rPr>
          <w:rFonts w:ascii="Arial" w:cs="Arial" w:eastAsia="Arial" w:hAnsi="Arial"/>
          <w:sz w:val="17"/>
          <w:szCs w:val="17"/>
          <w:color w:val="auto"/>
        </w:rPr>
        <w:t>”), (iii) 665,969 that are available for future grants under the Company’s 2015 Incentive Compensation Plan (the “</w:t>
      </w:r>
      <w:r>
        <w:rPr>
          <w:rFonts w:ascii="Arial" w:cs="Arial" w:eastAsia="Arial" w:hAnsi="Arial"/>
          <w:sz w:val="17"/>
          <w:szCs w:val="17"/>
          <w:b w:val="1"/>
          <w:bCs w:val="1"/>
          <w:color w:val="auto"/>
        </w:rPr>
        <w:t>2015 Plan</w:t>
      </w:r>
      <w:r>
        <w:rPr>
          <w:rFonts w:ascii="Arial" w:cs="Arial" w:eastAsia="Arial" w:hAnsi="Arial"/>
          <w:sz w:val="17"/>
          <w:szCs w:val="17"/>
          <w:color w:val="auto"/>
        </w:rPr>
        <w:t>”) and 242,425 Ordinary Shares that are available for purchase under the Company’s 2015 Employee Share Purchase Plan, and together with the 2004 Plan, the 2012 Plan and the 2015 Plan, the “</w:t>
      </w:r>
      <w:r>
        <w:rPr>
          <w:rFonts w:ascii="Arial" w:cs="Arial" w:eastAsia="Arial" w:hAnsi="Arial"/>
          <w:sz w:val="17"/>
          <w:szCs w:val="17"/>
          <w:b w:val="1"/>
          <w:bCs w:val="1"/>
          <w:color w:val="auto"/>
        </w:rPr>
        <w:t>Plans</w:t>
      </w:r>
      <w:r>
        <w:rPr>
          <w:rFonts w:ascii="Arial" w:cs="Arial" w:eastAsia="Arial" w:hAnsi="Arial"/>
          <w:sz w:val="17"/>
          <w:szCs w:val="17"/>
          <w:color w:val="auto"/>
        </w:rPr>
        <w:t>”).</w:t>
      </w:r>
    </w:p>
    <w:p>
      <w:pPr>
        <w:spacing w:after="0" w:line="176" w:lineRule="exact"/>
        <w:rPr>
          <w:sz w:val="20"/>
          <w:szCs w:val="20"/>
          <w:color w:val="auto"/>
        </w:rPr>
      </w:pPr>
    </w:p>
    <w:p>
      <w:pPr>
        <w:ind w:firstLine="627"/>
        <w:spacing w:after="0" w:line="259"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the Plans, the Registration Statement, the Company’s Articles of Association (as amended), and such other agreements, certificates, resolutions, minutes and other statements of corporate officers and other representatives of the Company and others and other documents provided to us by the Company as we have deemed necessary or appropriate as a basis for this opinion.</w:t>
      </w:r>
    </w:p>
    <w:p>
      <w:pPr>
        <w:spacing w:after="0" w:line="187" w:lineRule="exact"/>
        <w:rPr>
          <w:sz w:val="20"/>
          <w:szCs w:val="20"/>
          <w:color w:val="auto"/>
        </w:rPr>
      </w:pPr>
    </w:p>
    <w:p>
      <w:pPr>
        <w:ind w:right="180" w:firstLine="627"/>
        <w:spacing w:after="0" w:line="293" w:lineRule="auto"/>
        <w:rPr>
          <w:sz w:val="20"/>
          <w:szCs w:val="20"/>
          <w:color w:val="auto"/>
        </w:rPr>
      </w:pPr>
      <w:r>
        <w:rPr>
          <w:rFonts w:ascii="Arial" w:cs="Arial" w:eastAsia="Arial" w:hAnsi="Arial"/>
          <w:sz w:val="16"/>
          <w:szCs w:val="16"/>
          <w:color w:val="auto"/>
        </w:rPr>
        <w:t>In rendering an opinion on the matters hereinafter set forth, we have assumed the authenticity of all original documents submitted to us as certified, conformed or photographic copies thereof, the genuineness of all signatures and the due authenticity of all persons executing such documents. We have assumed the same to have been properly given and to be accurate. We have also assumed the truth of all facts communicated to us by the Company and that all consents, minutes and protocols of meetings of the Company’s board of directors which have been provided to us are true and accurate and have been properly prepared in accordance with the Company’s Articles of Association (as amended) and all applicable laws. In addition, we have assumed that the Company will receive the full consideration for the Shares (which may consist, in part or in full, of services performed for the Company).</w:t>
      </w:r>
    </w:p>
    <w:p>
      <w:pPr>
        <w:spacing w:after="0" w:line="165" w:lineRule="exact"/>
        <w:rPr>
          <w:sz w:val="20"/>
          <w:szCs w:val="20"/>
          <w:color w:val="auto"/>
        </w:rPr>
      </w:pPr>
    </w:p>
    <w:p>
      <w:pPr>
        <w:ind w:right="280" w:firstLine="627"/>
        <w:spacing w:after="0" w:line="308" w:lineRule="auto"/>
        <w:rPr>
          <w:sz w:val="20"/>
          <w:szCs w:val="20"/>
          <w:color w:val="auto"/>
        </w:rPr>
      </w:pPr>
      <w:r>
        <w:rPr>
          <w:rFonts w:ascii="Arial" w:cs="Arial" w:eastAsia="Arial" w:hAnsi="Arial"/>
          <w:sz w:val="17"/>
          <w:szCs w:val="17"/>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47" w:lineRule="exact"/>
        <w:rPr>
          <w:sz w:val="20"/>
          <w:szCs w:val="20"/>
          <w:color w:val="auto"/>
        </w:rPr>
      </w:pPr>
    </w:p>
    <w:p>
      <w:pPr>
        <w:ind w:right="80" w:firstLine="627"/>
        <w:spacing w:after="0" w:line="277" w:lineRule="auto"/>
        <w:rPr>
          <w:sz w:val="20"/>
          <w:szCs w:val="20"/>
          <w:color w:val="auto"/>
        </w:rPr>
      </w:pPr>
      <w:r>
        <w:rPr>
          <w:rFonts w:ascii="Arial" w:cs="Arial" w:eastAsia="Arial" w:hAnsi="Arial"/>
          <w:sz w:val="18"/>
          <w:szCs w:val="18"/>
          <w:color w:val="auto"/>
        </w:rPr>
        <w:t>Based upon and subject to the foregoing, we are of the opinion that the Shares have been duly authorized and reserved for issuance and, when issued and paid for, will be legally issued, fully paid and non-assessable.</w:t>
      </w:r>
    </w:p>
    <w:p>
      <w:pPr>
        <w:spacing w:after="0" w:line="170" w:lineRule="exact"/>
        <w:rPr>
          <w:sz w:val="20"/>
          <w:szCs w:val="20"/>
          <w:color w:val="auto"/>
        </w:rPr>
      </w:pPr>
    </w:p>
    <w:p>
      <w:pPr>
        <w:jc w:val="both"/>
        <w:ind w:right="220" w:firstLine="627"/>
        <w:spacing w:after="0" w:line="286" w:lineRule="auto"/>
        <w:rPr>
          <w:sz w:val="20"/>
          <w:szCs w:val="20"/>
          <w:color w:val="auto"/>
        </w:rPr>
      </w:pPr>
      <w:r>
        <w:rPr>
          <w:rFonts w:ascii="Arial" w:cs="Arial" w:eastAsia="Arial" w:hAnsi="Arial"/>
          <w:sz w:val="17"/>
          <w:szCs w:val="17"/>
          <w:color w:val="auto"/>
        </w:rPr>
        <w:t>We hereby consent to the filing of this opinion letter as an exhibit to the Registration Statement. In giving this opinion and such consent, we do not admit that we are within the category of persons whose consent is required under Section 7 of the Securities Act, the rules and regulations of the Securities and Exchange Commission promulgated thereunder or Item 509 of Regulation S-K promulgated under the Securities Act.</w:t>
      </w:r>
    </w:p>
    <w:p>
      <w:pPr>
        <w:spacing w:after="0" w:line="166" w:lineRule="exact"/>
        <w:rPr>
          <w:sz w:val="20"/>
          <w:szCs w:val="20"/>
          <w:color w:val="auto"/>
        </w:rPr>
      </w:pPr>
    </w:p>
    <w:p>
      <w:pPr>
        <w:ind w:right="20" w:firstLine="627"/>
        <w:spacing w:after="0" w:line="342"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u w:val="single" w:color="auto"/>
          <w:color w:val="auto"/>
        </w:rPr>
        <w:t>/s/ Meitar Liquornik Geva Leshem Tal</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Meitar Liquornik Geva Leshem Tal</w:t>
      </w:r>
    </w:p>
    <w:p>
      <w:pPr>
        <w:sectPr>
          <w:pgSz w:w="11900" w:h="16838" w:orient="portrait"/>
          <w:cols w:equalWidth="0" w:num="1">
            <w:col w:w="11420"/>
          </w:cols>
          <w:pgMar w:left="240" w:top="33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on Form S-8 pertaining to the Kornit Digital Ltd. 2004 Share Option Plan, 2012 Share Incentive Plan, 2015 Incentive Compensation Plan and 2015 Employee Share Purchase Plan,, of our report dated February 25, 2015, (except for Notes 2v, 9, 10, 11i, 15c and 15d, as to which the date is March 18, 2015), with respect to the consolidated financial statements of Kornit Digital Ltd. and its subsidiaries included in its Registration Statement on Form F-1 (File No. 333-202291), filed with the Securities and Exchange Commission on March 18,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KOST FORER GABBAY &amp; KASIERER</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Tel-Aviv, Israel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6, 2015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640"/>
        <w:spacing w:after="0"/>
        <w:rPr>
          <w:sz w:val="20"/>
          <w:szCs w:val="20"/>
          <w:color w:val="auto"/>
        </w:rPr>
      </w:pPr>
      <w:r>
        <w:rPr>
          <w:rFonts w:ascii="Arial" w:cs="Arial" w:eastAsia="Arial" w:hAnsi="Arial"/>
          <w:sz w:val="17"/>
          <w:szCs w:val="17"/>
          <w:color w:val="auto"/>
        </w:rPr>
        <w:t>KOST FORER GABBAY &amp; KASIERER</w:t>
      </w:r>
    </w:p>
    <w:p>
      <w:pPr>
        <w:spacing w:after="0" w:line="35"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A Member of Ernst &amp; Young Global</w:t>
      </w:r>
    </w:p>
    <w:sectPr>
      <w:pgSz w:w="11900" w:h="16838" w:orient="portrait"/>
      <w:cols w:equalWidth="0" w:num="2">
        <w:col w:w="6060" w:space="720"/>
        <w:col w:w="464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2019-12-09T05:22:56Z</dcterms:created>
  <dcterms:modified xsi:type="dcterms:W3CDTF">2019-12-09T05:22:56Z</dcterms:modified>
</cp:coreProperties>
</file>