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November 2021</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660"/>
        <w:spacing w:after="0" w:line="184" w:lineRule="exact"/>
        <w:tabs>
          <w:tab w:leader="none" w:pos="570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6"/>
          <w:szCs w:val="16"/>
          <w:b w:val="1"/>
          <w:bCs w:val="1"/>
          <w:color w:val="auto"/>
        </w:rPr>
        <w:t>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and Financial Condition- Third Quarter of 2021</w:t>
      </w:r>
    </w:p>
    <w:p>
      <w:pPr>
        <w:spacing w:after="0" w:line="194" w:lineRule="exact"/>
        <w:rPr>
          <w:sz w:val="20"/>
          <w:szCs w:val="20"/>
          <w:color w:val="auto"/>
        </w:rPr>
      </w:pPr>
    </w:p>
    <w:p>
      <w:pPr>
        <w:ind w:right="60" w:firstLine="565"/>
        <w:spacing w:after="0" w:line="280" w:lineRule="auto"/>
        <w:rPr>
          <w:sz w:val="20"/>
          <w:szCs w:val="20"/>
          <w:color w:val="auto"/>
        </w:rPr>
      </w:pPr>
      <w:r>
        <w:rPr>
          <w:rFonts w:ascii="Arial" w:cs="Arial" w:eastAsia="Arial" w:hAnsi="Arial"/>
          <w:sz w:val="16"/>
          <w:szCs w:val="16"/>
          <w:color w:val="auto"/>
        </w:rPr>
        <w:t>On November 10, 2021, 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issued a press release entitled “Kornit Digital Reports Third Quarter 2021 Results,” in which Kornit reported its results of operations for the quarter ended September 30, 2021. A copy of that press release is furnished as Exhibit 99.1 hereto.</w:t>
      </w:r>
    </w:p>
    <w:p>
      <w:pPr>
        <w:spacing w:after="0" w:line="148" w:lineRule="exact"/>
        <w:rPr>
          <w:sz w:val="20"/>
          <w:szCs w:val="20"/>
          <w:color w:val="auto"/>
        </w:rPr>
      </w:pPr>
    </w:p>
    <w:p>
      <w:pPr>
        <w:ind w:right="40" w:firstLine="565"/>
        <w:spacing w:after="0" w:line="262" w:lineRule="auto"/>
        <w:rPr>
          <w:sz w:val="20"/>
          <w:szCs w:val="20"/>
          <w:color w:val="auto"/>
        </w:rPr>
      </w:pPr>
      <w:r>
        <w:rPr>
          <w:rFonts w:ascii="Arial" w:cs="Arial" w:eastAsia="Arial" w:hAnsi="Arial"/>
          <w:sz w:val="16"/>
          <w:szCs w:val="16"/>
          <w:color w:val="auto"/>
        </w:rPr>
        <w:t xml:space="preserve">Kornit will hold a conference call on November 10, 2021 to discuss its quarterly results for the quarter ended September 30, 2021 and will make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ind w:firstLine="565"/>
        <w:spacing w:after="0" w:line="258" w:lineRule="auto"/>
        <w:rPr>
          <w:rFonts w:ascii="Arial" w:cs="Arial" w:eastAsia="Arial" w:hAnsi="Arial"/>
          <w:sz w:val="16"/>
          <w:szCs w:val="16"/>
          <w:color w:val="0000EE"/>
        </w:rPr>
      </w:pPr>
      <w:r>
        <w:rPr>
          <w:rFonts w:ascii="Arial" w:cs="Arial" w:eastAsia="Arial" w:hAnsi="Arial"/>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w:t>
      </w:r>
      <w:hyperlink r:id="rId13">
        <w:r>
          <w:rPr>
            <w:rFonts w:ascii="Arial" w:cs="Arial" w:eastAsia="Arial" w:hAnsi="Arial"/>
            <w:sz w:val="16"/>
            <w:szCs w:val="16"/>
            <w:color w:val="auto"/>
          </w:rPr>
          <w:t xml:space="preserve">Registration Statements on Form F-3 (File No. </w:t>
        </w:r>
        <w:r>
          <w:rPr>
            <w:rFonts w:ascii="Arial" w:cs="Arial" w:eastAsia="Arial" w:hAnsi="Arial"/>
            <w:sz w:val="16"/>
            <w:szCs w:val="16"/>
            <w:u w:val="single" w:color="auto"/>
            <w:color w:val="0000EE"/>
          </w:rPr>
          <w:t>333-248784</w:t>
        </w:r>
        <w:r>
          <w:rPr>
            <w:rFonts w:ascii="Arial" w:cs="Arial" w:eastAsia="Arial" w:hAnsi="Arial"/>
            <w:sz w:val="16"/>
            <w:szCs w:val="16"/>
            <w:color w:val="auto"/>
          </w:rPr>
          <w:t xml:space="preserve">) and Form S-8 (File No.’s </w:t>
        </w:r>
        <w:r>
          <w:rPr>
            <w:rFonts w:ascii="Arial" w:cs="Arial" w:eastAsia="Arial" w:hAnsi="Arial"/>
            <w:sz w:val="16"/>
            <w:szCs w:val="16"/>
            <w:u w:val="single" w:color="auto"/>
            <w:color w:val="0000EE"/>
          </w:rPr>
          <w:t>333-203970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333-214015</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333-217039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333-223794</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333-230567</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333-237346</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333-</w:t>
        </w:r>
      </w:hyperlink>
      <w:hyperlink r:id="rId13">
        <w:r>
          <w:rPr>
            <w:rFonts w:ascii="Arial" w:cs="Arial" w:eastAsia="Arial" w:hAnsi="Arial"/>
            <w:sz w:val="16"/>
            <w:szCs w:val="16"/>
            <w:u w:val="single" w:color="auto"/>
            <w:color w:val="0000EE"/>
          </w:rPr>
          <w:t>254749</w:t>
        </w:r>
        <w:r>
          <w:rPr>
            <w:rFonts w:ascii="Arial" w:cs="Arial" w:eastAsia="Arial" w:hAnsi="Arial"/>
            <w:sz w:val="16"/>
            <w:szCs w:val="16"/>
            <w:color w:val="000000"/>
          </w:rPr>
          <w:t>).</w:t>
        </w:r>
      </w:hyperlink>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0"/>
          </w:cols>
          <w:pgMar w:left="320" w:top="816"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10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0" w:type="dxa"/>
            <w:vAlign w:val="bottom"/>
          </w:tcPr>
          <w:p>
            <w:pPr>
              <w:spacing w:after="0"/>
              <w:rPr>
                <w:sz w:val="17"/>
                <w:szCs w:val="17"/>
                <w:color w:val="auto"/>
              </w:rPr>
            </w:pPr>
          </w:p>
        </w:tc>
        <w:tc>
          <w:tcPr>
            <w:tcW w:w="7060" w:type="dxa"/>
            <w:vAlign w:val="bottom"/>
            <w:gridSpan w:val="2"/>
          </w:tcPr>
          <w:p>
            <w:pPr>
              <w:ind w:left="2560"/>
              <w:spacing w:after="0"/>
              <w:rPr>
                <w:sz w:val="20"/>
                <w:szCs w:val="20"/>
                <w:color w:val="auto"/>
              </w:rPr>
            </w:pPr>
            <w:r>
              <w:rPr>
                <w:rFonts w:ascii="Arial" w:cs="Arial" w:eastAsia="Arial" w:hAnsi="Arial"/>
                <w:sz w:val="16"/>
                <w:szCs w:val="16"/>
                <w:color w:val="auto"/>
              </w:rPr>
              <w:t>KORNIT DIGITAL LTD.</w:t>
            </w:r>
          </w:p>
        </w:tc>
      </w:tr>
      <w:tr>
        <w:trPr>
          <w:trHeight w:val="398"/>
        </w:trPr>
        <w:tc>
          <w:tcPr>
            <w:tcW w:w="4200" w:type="dxa"/>
            <w:vAlign w:val="bottom"/>
          </w:tcPr>
          <w:p>
            <w:pPr>
              <w:spacing w:after="0"/>
              <w:rPr>
                <w:sz w:val="20"/>
                <w:szCs w:val="20"/>
                <w:color w:val="auto"/>
              </w:rPr>
            </w:pPr>
            <w:r>
              <w:rPr>
                <w:rFonts w:ascii="Arial" w:cs="Arial" w:eastAsia="Arial" w:hAnsi="Arial"/>
                <w:sz w:val="16"/>
                <w:szCs w:val="16"/>
                <w:color w:val="auto"/>
              </w:rPr>
              <w:t>Date: November 10, 2021</w:t>
            </w:r>
          </w:p>
        </w:tc>
        <w:tc>
          <w:tcPr>
            <w:tcW w:w="3120" w:type="dxa"/>
            <w:vAlign w:val="bottom"/>
          </w:tcPr>
          <w:p>
            <w:pPr>
              <w:ind w:left="256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Alon Rozner</w:t>
            </w:r>
          </w:p>
        </w:tc>
      </w:tr>
      <w:tr>
        <w:trPr>
          <w:trHeight w:val="179"/>
        </w:trPr>
        <w:tc>
          <w:tcPr>
            <w:tcW w:w="4200" w:type="dxa"/>
            <w:vAlign w:val="bottom"/>
          </w:tcPr>
          <w:p>
            <w:pPr>
              <w:spacing w:after="0"/>
              <w:rPr>
                <w:sz w:val="15"/>
                <w:szCs w:val="15"/>
                <w:color w:val="auto"/>
              </w:rPr>
            </w:pPr>
          </w:p>
        </w:tc>
        <w:tc>
          <w:tcPr>
            <w:tcW w:w="3120" w:type="dxa"/>
            <w:vAlign w:val="bottom"/>
          </w:tcPr>
          <w:p>
            <w:pPr>
              <w:ind w:left="256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Alon Rozner</w:t>
            </w:r>
          </w:p>
        </w:tc>
      </w:tr>
      <w:tr>
        <w:trPr>
          <w:trHeight w:val="204"/>
        </w:trPr>
        <w:tc>
          <w:tcPr>
            <w:tcW w:w="4200" w:type="dxa"/>
            <w:vAlign w:val="bottom"/>
          </w:tcPr>
          <w:p>
            <w:pPr>
              <w:spacing w:after="0"/>
              <w:rPr>
                <w:sz w:val="17"/>
                <w:szCs w:val="17"/>
                <w:color w:val="auto"/>
              </w:rPr>
            </w:pPr>
          </w:p>
        </w:tc>
        <w:tc>
          <w:tcPr>
            <w:tcW w:w="3120" w:type="dxa"/>
            <w:vAlign w:val="bottom"/>
          </w:tcPr>
          <w:p>
            <w:pPr>
              <w:ind w:left="256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94"/>
              </w:rPr>
              <w:t>Exhibit Index</w:t>
            </w:r>
          </w:p>
        </w:tc>
      </w:tr>
      <w:tr>
        <w:trPr>
          <w:trHeight w:val="398"/>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120" w:type="dxa"/>
            <w:vAlign w:val="bottom"/>
            <w:gridSpan w:val="3"/>
          </w:tcPr>
          <w:p>
            <w:pPr>
              <w:ind w:left="466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20" w:type="dxa"/>
            <w:vAlign w:val="bottom"/>
            <w:tcBorders>
              <w:top w:val="single" w:sz="8" w:color="auto"/>
            </w:tcBorders>
            <w:gridSpan w:val="3"/>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Press release, dated November 10, 2021, titled “Kornit Digital Reports Third Quarter 2021 Results”</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360" w:type="dxa"/>
            <w:vAlign w:val="bottom"/>
            <w:tcBorders>
              <w:top w:val="single" w:sz="8" w:color="0000EE"/>
            </w:tcBorders>
          </w:tcPr>
          <w:p>
            <w:pPr>
              <w:spacing w:after="0"/>
              <w:rPr>
                <w:sz w:val="16"/>
                <w:szCs w:val="16"/>
                <w:color w:val="auto"/>
              </w:rPr>
            </w:pPr>
          </w:p>
        </w:tc>
        <w:tc>
          <w:tcPr>
            <w:tcW w:w="266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rFonts w:ascii="Arial" w:cs="Arial" w:eastAsia="Arial" w:hAnsi="Arial"/>
                <w:sz w:val="16"/>
                <w:szCs w:val="16"/>
                <w:color w:val="0000EE"/>
              </w:rPr>
            </w:pPr>
            <w:hyperlink w:anchor="page14">
              <w:r>
                <w:rPr>
                  <w:rFonts w:ascii="Arial" w:cs="Arial" w:eastAsia="Arial" w:hAnsi="Arial"/>
                  <w:sz w:val="16"/>
                  <w:szCs w:val="16"/>
                  <w:color w:val="0000EE"/>
                </w:rPr>
                <w:t>Slide presentation for conference call of Kornit held on November 10, 2021 discussing quarterly financial results for the third quarter of 2021</w:t>
              </w:r>
            </w:hyperlink>
          </w:p>
        </w:tc>
      </w:tr>
      <w:tr>
        <w:trPr>
          <w:trHeight w:val="577"/>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360" w:type="dxa"/>
            <w:vAlign w:val="bottom"/>
            <w:tcBorders>
              <w:top w:val="single" w:sz="8" w:color="0000EE"/>
              <w:bottom w:val="single" w:sz="8" w:color="auto"/>
            </w:tcBorders>
          </w:tcPr>
          <w:p>
            <w:pPr>
              <w:jc w:val="right"/>
              <w:ind w:right="1760"/>
              <w:spacing w:after="0"/>
              <w:rPr>
                <w:sz w:val="20"/>
                <w:szCs w:val="20"/>
                <w:color w:val="auto"/>
              </w:rPr>
            </w:pPr>
            <w:r>
              <w:rPr>
                <w:rFonts w:ascii="Arial" w:cs="Arial" w:eastAsia="Arial" w:hAnsi="Arial"/>
                <w:sz w:val="16"/>
                <w:szCs w:val="16"/>
                <w:color w:val="auto"/>
              </w:rPr>
              <w:t>3</w:t>
            </w:r>
          </w:p>
        </w:tc>
        <w:tc>
          <w:tcPr>
            <w:tcW w:w="266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 G. Backman</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Global Head of Investor Relations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986155" cy="59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9861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Record Third Quarter 2021 Results</w:t>
      </w:r>
    </w:p>
    <w:p>
      <w:pPr>
        <w:spacing w:after="0" w:line="202" w:lineRule="exact"/>
        <w:rPr>
          <w:sz w:val="20"/>
          <w:szCs w:val="20"/>
          <w:color w:val="auto"/>
        </w:rPr>
      </w:pPr>
    </w:p>
    <w:p>
      <w:pPr>
        <w:ind w:left="284" w:right="100" w:hanging="284"/>
        <w:spacing w:after="0" w:line="275" w:lineRule="auto"/>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up 51% year-over-year to $86.7 million, net of $7.9 million attributed to the non-cash impact of warrants; Record revenues across all regions, strong profitability, and operating cash flows</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Third quarter GAAP operating profit of $3.9 million; Non-GAAP operating profit of $8.6 million, net of $7.9 million attributed to the non-cash impact of warrants</w:t>
      </w:r>
    </w:p>
    <w:p>
      <w:pPr>
        <w:spacing w:after="0" w:line="209" w:lineRule="exact"/>
        <w:rPr>
          <w:rFonts w:ascii="Arial" w:cs="Arial" w:eastAsia="Arial" w:hAnsi="Arial"/>
          <w:sz w:val="15"/>
          <w:szCs w:val="15"/>
          <w:color w:val="auto"/>
        </w:rPr>
      </w:pPr>
    </w:p>
    <w:p>
      <w:pPr>
        <w:ind w:left="284" w:right="320" w:hanging="284"/>
        <w:spacing w:after="0" w:line="275" w:lineRule="auto"/>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New industry transforming innovative platforms; Atlas MAX and Presto MAX extremely well received by market; Robust new product introductions planned for early 2022</w:t>
      </w:r>
    </w:p>
    <w:p>
      <w:pPr>
        <w:spacing w:after="0" w:line="151" w:lineRule="exact"/>
        <w:rPr>
          <w:rFonts w:ascii="Arial" w:cs="Arial" w:eastAsia="Arial" w:hAnsi="Arial"/>
          <w:sz w:val="16"/>
          <w:szCs w:val="16"/>
          <w:color w:val="auto"/>
        </w:rPr>
      </w:pPr>
    </w:p>
    <w:p>
      <w:pPr>
        <w:ind w:left="284" w:right="180" w:hanging="284"/>
        <w:spacing w:after="0" w:line="275" w:lineRule="auto"/>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Company’s inspirational global fashion tech platform in Los Angeles, New York, Italy, and Japan drives creativity, sustainability, and inclusiveness to the forefront of the fashion world, utilizing Kornit’s on-demand technologies</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Enters 2022 with extremely strong business fundamentals, momentum, and pipeline</w:t>
      </w:r>
    </w:p>
    <w:p>
      <w:pPr>
        <w:spacing w:after="0" w:line="194" w:lineRule="exact"/>
        <w:rPr>
          <w:sz w:val="20"/>
          <w:szCs w:val="20"/>
          <w:color w:val="auto"/>
        </w:rPr>
      </w:pPr>
    </w:p>
    <w:p>
      <w:pPr>
        <w:ind w:left="4" w:right="540"/>
        <w:spacing w:after="0" w:line="280" w:lineRule="auto"/>
        <w:rPr>
          <w:sz w:val="20"/>
          <w:szCs w:val="20"/>
          <w:color w:val="auto"/>
        </w:rPr>
      </w:pPr>
      <w:r>
        <w:rPr>
          <w:rFonts w:ascii="Arial" w:cs="Arial" w:eastAsia="Arial" w:hAnsi="Arial"/>
          <w:sz w:val="16"/>
          <w:szCs w:val="16"/>
          <w:b w:val="1"/>
          <w:bCs w:val="1"/>
          <w:color w:val="auto"/>
        </w:rPr>
        <w:t xml:space="preserve">Rosh-Ha’Ayin, Israel – November 10, 2021 – </w:t>
      </w:r>
      <w:r>
        <w:rPr>
          <w:rFonts w:ascii="Arial" w:cs="Arial" w:eastAsia="Arial" w:hAnsi="Arial"/>
          <w:sz w:val="16"/>
          <w:szCs w:val="16"/>
          <w:color w:val="auto"/>
        </w:rPr>
        <w:t>Kornit Digital Ltd. (NASDAQ: KRNT), a worldwide market leader in sustainable, on-demand, digital textile production</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reported today results for the third quarter ended September 30, 2021.</w:t>
      </w:r>
    </w:p>
    <w:p>
      <w:pPr>
        <w:spacing w:after="0" w:line="148" w:lineRule="exact"/>
        <w:rPr>
          <w:sz w:val="20"/>
          <w:szCs w:val="20"/>
          <w:color w:val="auto"/>
        </w:rPr>
      </w:pPr>
    </w:p>
    <w:p>
      <w:pPr>
        <w:ind w:left="4" w:right="20"/>
        <w:spacing w:after="0" w:line="280" w:lineRule="auto"/>
        <w:rPr>
          <w:sz w:val="20"/>
          <w:szCs w:val="20"/>
          <w:color w:val="auto"/>
        </w:rPr>
      </w:pPr>
      <w:r>
        <w:rPr>
          <w:rFonts w:ascii="Arial" w:cs="Arial" w:eastAsia="Arial" w:hAnsi="Arial"/>
          <w:sz w:val="15"/>
          <w:szCs w:val="15"/>
          <w:color w:val="auto"/>
        </w:rPr>
        <w:t>“I am extremely proud of our phenomenal third quarter performance, with record revenues across all regions, strong profitability and operating cash flows,” said Ronen Samuel, Kornit Digital’s Chief Executive Officer. “We are witnessing the change in the fashion industry with an acceleration to sustainable, on-demand production -- a revolutionary moment in how we all think and act about fashion, from the need for self-expression, to responsible production. Kornit is leading the digital transformation the fashion industry must make with innovative solutions that break the barriers between imagination and physical applications.”</w:t>
      </w:r>
    </w:p>
    <w:p>
      <w:pPr>
        <w:spacing w:after="0" w:line="151" w:lineRule="exact"/>
        <w:rPr>
          <w:sz w:val="20"/>
          <w:szCs w:val="20"/>
          <w:color w:val="auto"/>
        </w:rPr>
      </w:pPr>
    </w:p>
    <w:p>
      <w:pPr>
        <w:ind w:left="4" w:right="60"/>
        <w:spacing w:after="0" w:line="275" w:lineRule="auto"/>
        <w:rPr>
          <w:sz w:val="20"/>
          <w:szCs w:val="20"/>
          <w:color w:val="auto"/>
        </w:rPr>
      </w:pPr>
      <w:r>
        <w:rPr>
          <w:rFonts w:ascii="Arial" w:cs="Arial" w:eastAsia="Arial" w:hAnsi="Arial"/>
          <w:sz w:val="16"/>
          <w:szCs w:val="16"/>
          <w:color w:val="auto"/>
        </w:rPr>
        <w:t>Mr. Samuel concluded, “We enter 2022 with very strong business fundamentals supported by broad-based demand for our industry leading solutions. This growing demand and market acceptance puts us firmly on the path of becoming a $1 billion revenue company in 2026.”</w:t>
      </w:r>
    </w:p>
    <w:p>
      <w:pPr>
        <w:spacing w:after="0" w:line="152" w:lineRule="exact"/>
        <w:rPr>
          <w:sz w:val="20"/>
          <w:szCs w:val="20"/>
          <w:color w:val="auto"/>
        </w:rPr>
      </w:pPr>
    </w:p>
    <w:p>
      <w:pPr>
        <w:ind w:left="4" w:right="260"/>
        <w:spacing w:after="0" w:line="275" w:lineRule="auto"/>
        <w:rPr>
          <w:sz w:val="20"/>
          <w:szCs w:val="20"/>
          <w:color w:val="auto"/>
        </w:rPr>
      </w:pPr>
      <w:r>
        <w:rPr>
          <w:rFonts w:ascii="Arial" w:cs="Arial" w:eastAsia="Arial" w:hAnsi="Arial"/>
          <w:sz w:val="16"/>
          <w:szCs w:val="16"/>
          <w:color w:val="auto"/>
        </w:rPr>
        <w:t>The following table compares the adverse, non-cash impact that the Company’s outstanding warrants had on the Company’s results of operations during the third quarters of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4240" w:type="dxa"/>
            <w:vAlign w:val="bottom"/>
            <w:gridSpan w:val="2"/>
          </w:tcPr>
          <w:p>
            <w:pPr>
              <w:ind w:left="1000"/>
              <w:spacing w:after="0"/>
              <w:rPr>
                <w:sz w:val="20"/>
                <w:szCs w:val="20"/>
                <w:color w:val="auto"/>
              </w:rPr>
            </w:pPr>
            <w:r>
              <w:rPr>
                <w:rFonts w:ascii="Arial" w:cs="Arial" w:eastAsia="Arial" w:hAnsi="Arial"/>
                <w:sz w:val="16"/>
                <w:szCs w:val="16"/>
                <w:b w:val="1"/>
                <w:bCs w:val="1"/>
                <w:color w:val="auto"/>
              </w:rPr>
              <w:t>Third Quarter Warrants Impact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6"/>
        </w:trPr>
        <w:tc>
          <w:tcPr>
            <w:tcW w:w="35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7"/>
          </w:tcPr>
          <w:p>
            <w:pPr>
              <w:jc w:val="right"/>
              <w:ind w:right="260"/>
              <w:spacing w:after="0"/>
              <w:rPr>
                <w:sz w:val="20"/>
                <w:szCs w:val="20"/>
                <w:color w:val="auto"/>
              </w:rPr>
            </w:pPr>
            <w:r>
              <w:rPr>
                <w:rFonts w:ascii="Arial" w:cs="Arial" w:eastAsia="Arial" w:hAnsi="Arial"/>
                <w:sz w:val="16"/>
                <w:szCs w:val="16"/>
                <w:b w:val="1"/>
                <w:bCs w:val="1"/>
                <w:color w:val="auto"/>
                <w:w w:val="94"/>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3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3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5"/>
        </w:trPr>
        <w:tc>
          <w:tcPr>
            <w:tcW w:w="35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380"/>
              <w:spacing w:after="0" w:line="175" w:lineRule="exact"/>
              <w:rPr>
                <w:sz w:val="20"/>
                <w:szCs w:val="20"/>
                <w:color w:val="auto"/>
              </w:rPr>
            </w:pPr>
            <w:r>
              <w:rPr>
                <w:rFonts w:ascii="Arial" w:cs="Arial" w:eastAsia="Arial" w:hAnsi="Arial"/>
                <w:sz w:val="16"/>
                <w:szCs w:val="16"/>
                <w:b w:val="1"/>
                <w:bCs w:val="1"/>
                <w:color w:val="auto"/>
                <w:w w:val="96"/>
              </w:rPr>
              <w:t>Net of</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320"/>
              <w:spacing w:after="0" w:line="175" w:lineRule="exact"/>
              <w:rPr>
                <w:sz w:val="20"/>
                <w:szCs w:val="20"/>
                <w:color w:val="auto"/>
              </w:rPr>
            </w:pPr>
            <w:r>
              <w:rPr>
                <w:rFonts w:ascii="Arial" w:cs="Arial" w:eastAsia="Arial" w:hAnsi="Arial"/>
                <w:sz w:val="16"/>
                <w:szCs w:val="16"/>
                <w:b w:val="1"/>
                <w:bCs w:val="1"/>
                <w:color w:val="auto"/>
                <w:w w:val="96"/>
              </w:rPr>
              <w:t>Net of</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1"/>
        </w:trPr>
        <w:tc>
          <w:tcPr>
            <w:tcW w:w="3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Warrants</w:t>
            </w:r>
          </w:p>
        </w:tc>
        <w:tc>
          <w:tcPr>
            <w:tcW w:w="860" w:type="dxa"/>
            <w:vAlign w:val="bottom"/>
            <w:gridSpan w:val="3"/>
          </w:tcPr>
          <w:p>
            <w:pPr>
              <w:spacing w:after="0"/>
              <w:rPr>
                <w:sz w:val="20"/>
                <w:szCs w:val="20"/>
                <w:color w:val="auto"/>
              </w:rPr>
            </w:pPr>
            <w:r>
              <w:rPr>
                <w:rFonts w:ascii="Arial" w:cs="Arial" w:eastAsia="Arial" w:hAnsi="Arial"/>
                <w:sz w:val="16"/>
                <w:szCs w:val="16"/>
                <w:b w:val="1"/>
                <w:bCs w:val="1"/>
                <w:color w:val="auto"/>
              </w:rPr>
              <w:t>Warrants</w:t>
            </w:r>
          </w:p>
        </w:tc>
        <w:tc>
          <w:tcPr>
            <w:tcW w:w="6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6"/>
                <w:szCs w:val="16"/>
                <w:b w:val="1"/>
                <w:bCs w:val="1"/>
                <w:color w:val="auto"/>
              </w:rPr>
              <w:t>Warrants</w:t>
            </w:r>
          </w:p>
        </w:tc>
        <w:tc>
          <w:tcPr>
            <w:tcW w:w="6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Warrants</w:t>
            </w:r>
          </w:p>
        </w:tc>
      </w:tr>
      <w:tr>
        <w:trPr>
          <w:trHeight w:val="212"/>
        </w:trPr>
        <w:tc>
          <w:tcPr>
            <w:tcW w:w="3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Impact</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Impact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Impact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Impact</w:t>
            </w:r>
          </w:p>
        </w:tc>
      </w:tr>
      <w:tr>
        <w:trPr>
          <w:trHeight w:val="191"/>
        </w:trPr>
        <w:tc>
          <w:tcPr>
            <w:tcW w:w="3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240" w:type="dxa"/>
            <w:vAlign w:val="bottom"/>
            <w:gridSpan w:val="2"/>
            <w:shd w:val="clear" w:color="auto" w:fill="CCEEFF"/>
          </w:tcPr>
          <w:p>
            <w:pPr>
              <w:ind w:left="416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86.7M</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7.9M</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57.4M</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2.2M</w:t>
            </w:r>
          </w:p>
        </w:tc>
      </w:tr>
      <w:tr>
        <w:trPr>
          <w:trHeight w:val="191"/>
        </w:trPr>
        <w:tc>
          <w:tcPr>
            <w:tcW w:w="3520" w:type="dxa"/>
            <w:vAlign w:val="bottom"/>
          </w:tcPr>
          <w:p>
            <w:pPr>
              <w:spacing w:after="0"/>
              <w:rPr>
                <w:sz w:val="20"/>
                <w:szCs w:val="20"/>
                <w:color w:val="auto"/>
              </w:rPr>
            </w:pPr>
            <w:r>
              <w:rPr>
                <w:rFonts w:ascii="Arial" w:cs="Arial" w:eastAsia="Arial" w:hAnsi="Arial"/>
                <w:sz w:val="16"/>
                <w:szCs w:val="16"/>
                <w:color w:val="auto"/>
              </w:rPr>
              <w:t>Non-GAAP Gross Margin</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48.1%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191"/>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191"/>
        </w:trPr>
        <w:tc>
          <w:tcPr>
            <w:tcW w:w="3520" w:type="dxa"/>
            <w:vAlign w:val="bottom"/>
          </w:tcPr>
          <w:p>
            <w:pPr>
              <w:spacing w:after="0"/>
              <w:rPr>
                <w:sz w:val="20"/>
                <w:szCs w:val="20"/>
                <w:color w:val="auto"/>
              </w:rPr>
            </w:pPr>
            <w:r>
              <w:rPr>
                <w:rFonts w:ascii="Arial" w:cs="Arial" w:eastAsia="Arial" w:hAnsi="Arial"/>
                <w:sz w:val="16"/>
                <w:szCs w:val="16"/>
                <w:color w:val="auto"/>
              </w:rPr>
              <w:t>Non-GAAP Net Margin</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13.5%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r>
      <w:tr>
        <w:trPr>
          <w:trHeight w:val="191"/>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4240" w:type="dxa"/>
            <w:vAlign w:val="bottom"/>
            <w:gridSpan w:val="2"/>
            <w:shd w:val="clear" w:color="auto" w:fill="CCEEFF"/>
          </w:tcPr>
          <w:p>
            <w:pPr>
              <w:ind w:left="416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0.05</w:t>
            </w:r>
          </w:p>
        </w:tc>
      </w:tr>
    </w:tbl>
    <w:p>
      <w:pPr>
        <w:spacing w:after="0" w:line="179" w:lineRule="exact"/>
        <w:rPr>
          <w:sz w:val="20"/>
          <w:szCs w:val="20"/>
          <w:color w:val="auto"/>
        </w:rPr>
      </w:pPr>
    </w:p>
    <w:p>
      <w:pPr>
        <w:jc w:val="both"/>
        <w:ind w:left="4" w:right="440"/>
        <w:spacing w:after="0" w:line="262" w:lineRule="auto"/>
        <w:rPr>
          <w:sz w:val="20"/>
          <w:szCs w:val="20"/>
          <w:color w:val="auto"/>
        </w:rPr>
      </w:pPr>
      <w:r>
        <w:rPr>
          <w:rFonts w:ascii="Arial" w:cs="Arial" w:eastAsia="Arial" w:hAnsi="Arial"/>
          <w:sz w:val="16"/>
          <w:szCs w:val="16"/>
          <w:color w:val="auto"/>
        </w:rPr>
        <w:t>“We are very pleased with our strong third quarter performance, which continued our momentum from the first half of the year,” said Alon Rozner, Kornit Digital’s Chief Financial Officer. “We are focused on ending the year strong and supporting our customers to ensure they are ready for their peak season. We enter 2022 in a phenomenal position with outstanding business fundamentals, a robust backlog and strong pipeline.”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Third Quarter 2021 Results of Operations</w:t>
      </w:r>
    </w:p>
    <w:p>
      <w:pPr>
        <w:spacing w:after="0" w:line="202" w:lineRule="exact"/>
        <w:rPr>
          <w:sz w:val="20"/>
          <w:szCs w:val="20"/>
          <w:color w:val="auto"/>
        </w:rPr>
      </w:pPr>
    </w:p>
    <w:p>
      <w:pPr>
        <w:ind w:left="284" w:right="40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for the third quarter of 2021 was $86.7 million, net of $7.9 million attributed to the non-cash impact of warrants, compared to $57.4 million, net of $2.2 million attributed to the non-cash impact of warrants in the prior year period.</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GAAP net income for the third quarter of 2021 was $3.9 million, or $0.08 per diluted share, compared to $3.9 million, or $0.09 per share, for the third quarter of 2020.</w:t>
      </w:r>
    </w:p>
    <w:p>
      <w:pPr>
        <w:spacing w:after="0" w:line="209" w:lineRule="exact"/>
        <w:rPr>
          <w:rFonts w:ascii="Arial" w:cs="Arial" w:eastAsia="Arial" w:hAnsi="Arial"/>
          <w:sz w:val="15"/>
          <w:szCs w:val="15"/>
          <w:color w:val="auto"/>
        </w:rPr>
      </w:pPr>
    </w:p>
    <w:p>
      <w:pPr>
        <w:ind w:left="284" w:right="120" w:hanging="284"/>
        <w:spacing w:after="0" w:line="262"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Non-GAAP net income for the third quarter of 2021 was $11.5 million, or $0.24 per diluted share, net of $0.16 per diluted share attributed to the non-cash impact of warrants, compared to non-GAAP net profit of $7.7 million, or $0.18 per diluted share, net of $0.05 per diluted share attributed to the non-cash impact of warrants, for the third quarter of 2020.</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Fourth Quarter 2021 Guidance</w:t>
      </w:r>
    </w:p>
    <w:p>
      <w:pPr>
        <w:spacing w:after="0" w:line="202" w:lineRule="exact"/>
        <w:rPr>
          <w:sz w:val="20"/>
          <w:szCs w:val="20"/>
          <w:color w:val="auto"/>
        </w:rPr>
      </w:pPr>
    </w:p>
    <w:p>
      <w:pPr>
        <w:ind w:left="4" w:right="60"/>
        <w:spacing w:after="0" w:line="275" w:lineRule="auto"/>
        <w:rPr>
          <w:sz w:val="20"/>
          <w:szCs w:val="20"/>
          <w:color w:val="auto"/>
        </w:rPr>
      </w:pPr>
      <w:r>
        <w:rPr>
          <w:rFonts w:ascii="Arial" w:cs="Arial" w:eastAsia="Arial" w:hAnsi="Arial"/>
          <w:sz w:val="16"/>
          <w:szCs w:val="16"/>
          <w:color w:val="auto"/>
        </w:rPr>
        <w:t>For the fourth quarter of 2021, and assuming zero impact from the fair value of issued warrants in the quarter, the Company expects revenue to be in the range of $89 million to $93 million and non-GAAP operating income to be in the range of 13.0% to 15.0% of revenue.</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Third Quarter Earnings Conference Call Information</w:t>
      </w:r>
    </w:p>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Company will host a conference call today at 8:30 a.m. ET, or 3:30 p.m. Israel time, to discuss the results, followed by a question-and-answer session with the investment community.</w:t>
      </w:r>
    </w:p>
    <w:p>
      <w:pPr>
        <w:spacing w:after="0" w:line="148" w:lineRule="exact"/>
        <w:rPr>
          <w:sz w:val="20"/>
          <w:szCs w:val="20"/>
          <w:color w:val="auto"/>
        </w:rPr>
      </w:pPr>
    </w:p>
    <w:p>
      <w:pPr>
        <w:ind w:right="480"/>
        <w:spacing w:after="0" w:line="280" w:lineRule="auto"/>
        <w:rPr>
          <w:sz w:val="20"/>
          <w:szCs w:val="20"/>
          <w:color w:val="auto"/>
        </w:rPr>
      </w:pPr>
      <w:r>
        <w:rPr>
          <w:rFonts w:ascii="Arial" w:cs="Arial" w:eastAsia="Arial" w:hAnsi="Arial"/>
          <w:sz w:val="16"/>
          <w:szCs w:val="16"/>
          <w:b w:val="1"/>
          <w:bCs w:val="1"/>
          <w:color w:val="auto"/>
        </w:rPr>
        <w:t xml:space="preserve">A live webcast of the call </w:t>
      </w:r>
      <w:r>
        <w:rPr>
          <w:rFonts w:ascii="Arial" w:cs="Arial" w:eastAsia="Arial" w:hAnsi="Arial"/>
          <w:sz w:val="16"/>
          <w:szCs w:val="16"/>
          <w:color w:val="auto"/>
        </w:rPr>
        <w:t>can be accessed at ir.kornit.com. To access the call, participants may dial toll-free at 1-877-407-0792 or +1-201-689-8263. The toll-free Israeli</w:t>
      </w:r>
      <w:r>
        <w:rPr>
          <w:rFonts w:ascii="Arial" w:cs="Arial" w:eastAsia="Arial" w:hAnsi="Arial"/>
          <w:sz w:val="16"/>
          <w:szCs w:val="16"/>
          <w:b w:val="1"/>
          <w:bCs w:val="1"/>
          <w:color w:val="auto"/>
        </w:rPr>
        <w:t xml:space="preserve"> </w:t>
      </w:r>
      <w:r>
        <w:rPr>
          <w:rFonts w:ascii="Arial" w:cs="Arial" w:eastAsia="Arial" w:hAnsi="Arial"/>
          <w:sz w:val="16"/>
          <w:szCs w:val="16"/>
          <w:color w:val="auto"/>
        </w:rPr>
        <w:t>number is 1-809-406-247. The confirmation code is 13724287.</w:t>
      </w:r>
    </w:p>
    <w:p>
      <w:pPr>
        <w:spacing w:after="0" w:line="14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color w:val="auto"/>
        </w:rPr>
        <w:t xml:space="preserve">To listen to a replay </w:t>
      </w:r>
      <w:r>
        <w:rPr>
          <w:rFonts w:ascii="Arial" w:cs="Arial" w:eastAsia="Arial" w:hAnsi="Arial"/>
          <w:sz w:val="16"/>
          <w:szCs w:val="16"/>
          <w:color w:val="auto"/>
        </w:rPr>
        <w:t>of the conference call, dial toll-free 1-844-512-2921 or +1-412-317-6671 (international) and enter confirmation code 13724287. The telephonic replay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available beginning at 11:30 a.m. ET on Wednesday, November 10, 2021, until 11:59 p.m. ET on Wednesday, November 24, 2021. The call will also be available for replay via the webcast link on Kornit’s Investor Relations website.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continue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and the degree of recovery from, the global COVID-19 pandemic, which could potentially impact once again, in a material adverse manner, the Company’s operations, financial position and cash flows, and those of the Company’s customers and suppliers; and those additional factors referred to under “Risk Factors” in Item 3.D of the Company’s Annual Report on Form 20-F for the year ended December 31, 2020, filed with the U.S. Securities and Exchange Commission, or SEC, on March 25, 2021. Any forward-looking statements in this press release are made as of the date hereof, whether as a result of new information, future events or otherwise, except as required by law.</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 w:name="page8"/>
    <w:bookmarkEnd w:id="7"/>
    <w:p>
      <w:pPr>
        <w:ind w:right="120"/>
        <w:spacing w:after="0" w:line="274" w:lineRule="auto"/>
        <w:rPr>
          <w:sz w:val="20"/>
          <w:szCs w:val="20"/>
          <w:color w:val="auto"/>
        </w:rPr>
      </w:pPr>
      <w:r>
        <w:rPr>
          <w:rFonts w:ascii="Arial" w:cs="Arial" w:eastAsia="Arial" w:hAnsi="Arial"/>
          <w:sz w:val="15"/>
          <w:szCs w:val="15"/>
          <w:color w:val="auto"/>
        </w:rPr>
        <w:t>The presentation of non-GAAP financial information is not meant to be considered in isolation or as a substitute for the directly comparable financial measures prepared in accordance with GAAP. Kornit urges investors to review the reconciliation of non-GAAP financial measures to the comparable GAAP financial measures included below, and not to rely on any single financial measures to evaluate its business. A reconciliation for non-GAAP operating income guidance set forth above is not provided because, as forward-looking statements, such reconciliation is not available without unreasonable effort due to the high variability, complexity, and difficulty of estimating certain items such as charges to share-based compensation expense and currency fluctuations which could have an impact on its consolidated results. Kornit believes the information provided is useful to investors because it can be considered in the context of Kornit’s historical disclosures of this measure.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the one-time impact of COVID-19, and the tax effect of the foregoing.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ind w:right="320"/>
        <w:spacing w:after="0" w:line="280" w:lineRule="auto"/>
        <w:rPr>
          <w:sz w:val="20"/>
          <w:szCs w:val="20"/>
          <w:color w:val="auto"/>
        </w:rPr>
      </w:pPr>
      <w:r>
        <w:rPr>
          <w:rFonts w:ascii="Arial" w:cs="Arial" w:eastAsia="Arial" w:hAnsi="Arial"/>
          <w:sz w:val="15"/>
          <w:szCs w:val="15"/>
          <w:color w:val="auto"/>
        </w:rPr>
        <w:t>Kornit Digital (NASDAQ: KRNT) is a worldwide market leader in sustainable, on-demand, digital fashion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Short-term bank deposit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Inventory</w:t>
      </w:r>
    </w:p>
    <w:p>
      <w:pPr>
        <w:spacing w:after="0" w:line="7"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color w:val="auto"/>
        </w:rPr>
        <w:t>Other accounts receivable and prepaid expenses Total current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LONG-TERM ASSETS: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Deposits and prepaid expenses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Severance pay fund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Deferred taxes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Property,plant and equipment,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assets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Arial" w:cs="Arial" w:eastAsia="Arial" w:hAnsi="Arial"/>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September 30,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8"/>
              </w:rPr>
              <w:t>December 31,</w:t>
            </w:r>
          </w:p>
        </w:tc>
      </w:tr>
      <w:tr>
        <w:trPr>
          <w:trHeight w:val="212"/>
        </w:trPr>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r>
      <w:tr>
        <w:trPr>
          <w:trHeight w:val="208"/>
        </w:trPr>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56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96,668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125,777</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241,103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224,804</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25,920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13,718</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49,866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51,566</w:t>
            </w:r>
          </w:p>
        </w:tc>
      </w:tr>
      <w:tr>
        <w:trPr>
          <w:trHeight w:val="203"/>
        </w:trPr>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55,344</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52,487</w:t>
            </w:r>
          </w:p>
        </w:tc>
      </w:tr>
      <w:tr>
        <w:trPr>
          <w:trHeight w:val="208"/>
        </w:trPr>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11,148</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9,178</w:t>
            </w:r>
          </w:p>
        </w:tc>
      </w:tr>
      <w:tr>
        <w:trPr>
          <w:trHeight w:val="195"/>
        </w:trPr>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480,049</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477,530</w:t>
            </w:r>
          </w:p>
        </w:tc>
      </w:tr>
      <w:tr>
        <w:trPr>
          <w:trHeight w:val="561"/>
        </w:trPr>
        <w:tc>
          <w:tcPr>
            <w:tcW w:w="8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93,816</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71,636</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7,054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5,096</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38,401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29,255</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22,122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21,053</w:t>
            </w:r>
          </w:p>
        </w:tc>
      </w:tr>
      <w:tr>
        <w:trPr>
          <w:trHeight w:val="203"/>
        </w:trPr>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10,479</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7,221</w:t>
            </w:r>
          </w:p>
        </w:tc>
      </w:tr>
      <w:tr>
        <w:trPr>
          <w:trHeight w:val="208"/>
        </w:trPr>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25,447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16,466</w:t>
            </w:r>
          </w:p>
        </w:tc>
      </w:tr>
      <w:tr>
        <w:trPr>
          <w:trHeight w:val="195"/>
        </w:trPr>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198,132</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151,459</w:t>
            </w:r>
          </w:p>
        </w:tc>
      </w:tr>
      <w:tr>
        <w:trPr>
          <w:trHeight w:val="422"/>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678,181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628,989</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16"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60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Trade payables</w:t>
            </w:r>
          </w:p>
        </w:tc>
        <w:tc>
          <w:tcPr>
            <w:tcW w:w="2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30,630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32,016</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Employees and payroll accruals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22,238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15,022</w:t>
            </w: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Deferred revenues and advances from customers</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11,719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27,019</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4,461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3,957</w:t>
            </w:r>
          </w:p>
        </w:tc>
      </w:tr>
      <w:tr>
        <w:trPr>
          <w:trHeight w:val="207"/>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payables and accrued expenses</w:t>
            </w:r>
          </w:p>
        </w:tc>
        <w:tc>
          <w:tcPr>
            <w:tcW w:w="26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22,116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11,613</w:t>
            </w:r>
          </w:p>
        </w:tc>
        <w:tc>
          <w:tcPr>
            <w:tcW w:w="120" w:type="dxa"/>
            <w:vAlign w:val="bottom"/>
            <w:tcBorders>
              <w:bottom w:val="single" w:sz="8" w:color="CCEEFF"/>
            </w:tcBorders>
          </w:tcPr>
          <w:p>
            <w:pPr>
              <w:spacing w:after="0"/>
              <w:rPr>
                <w:sz w:val="18"/>
                <w:szCs w:val="18"/>
                <w:color w:val="auto"/>
              </w:rPr>
            </w:pPr>
          </w:p>
        </w:tc>
      </w:tr>
      <w:tr>
        <w:trPr>
          <w:trHeight w:val="195"/>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91,164</w:t>
            </w:r>
          </w:p>
        </w:tc>
        <w:tc>
          <w:tcPr>
            <w:tcW w:w="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89,627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Accrued severance pay</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1,327</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1,214</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18,856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18,688</w:t>
            </w: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1,699</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443</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565,135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519,017</w:t>
            </w:r>
          </w:p>
        </w:tc>
      </w:tr>
      <w:tr>
        <w:trPr>
          <w:trHeight w:val="191"/>
        </w:trPr>
        <w:tc>
          <w:tcPr>
            <w:tcW w:w="606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2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678,181</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628,989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type w:val="continuous"/>
        </w:sectPr>
      </w:pPr>
    </w:p>
    <w:bookmarkStart w:id="9" w:name="page10"/>
    <w:bookmarkEnd w:id="9"/>
    <w:p>
      <w:pPr>
        <w:ind w:left="474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Nine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89"/>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8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18"/>
                <w:szCs w:val="18"/>
                <w:color w:val="auto"/>
              </w:rPr>
            </w:pPr>
          </w:p>
        </w:tc>
        <w:tc>
          <w:tcPr>
            <w:tcW w:w="1520" w:type="dxa"/>
            <w:vAlign w:val="bottom"/>
            <w:gridSpan w:val="3"/>
          </w:tcPr>
          <w:p>
            <w:pPr>
              <w:jc w:val="center"/>
              <w:ind w:left="420"/>
              <w:spacing w:after="0"/>
              <w:rPr>
                <w:sz w:val="20"/>
                <w:szCs w:val="20"/>
                <w:color w:val="auto"/>
              </w:rPr>
            </w:pPr>
            <w:r>
              <w:rPr>
                <w:rFonts w:ascii="Arial" w:cs="Arial" w:eastAsia="Arial" w:hAnsi="Arial"/>
                <w:sz w:val="16"/>
                <w:szCs w:val="16"/>
                <w:b w:val="1"/>
                <w:bCs w:val="1"/>
                <w:color w:val="auto"/>
                <w:w w:val="92"/>
              </w:rPr>
              <w:t>(Unaudited)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20"/>
              <w:spacing w:after="0"/>
              <w:rPr>
                <w:sz w:val="20"/>
                <w:szCs w:val="20"/>
                <w:color w:val="auto"/>
              </w:rPr>
            </w:pPr>
            <w:r>
              <w:rPr>
                <w:rFonts w:ascii="Arial" w:cs="Arial" w:eastAsia="Arial" w:hAnsi="Arial"/>
                <w:sz w:val="16"/>
                <w:szCs w:val="16"/>
                <w:b w:val="1"/>
                <w:bCs w:val="1"/>
                <w:color w:val="auto"/>
                <w:w w:val="92"/>
              </w:rPr>
              <w:t>(Unaudited)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206,682</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103,536</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76,560</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49,290</w:t>
            </w: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27,776</w:t>
            </w:r>
          </w:p>
        </w:tc>
        <w:tc>
          <w:tcPr>
            <w:tcW w:w="4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17,504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10,109</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8,102</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234,458</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121,040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86,669</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57,392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98,457</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50,117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36,028</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23,031</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26,477</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10,109</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7,330</w:t>
            </w:r>
          </w:p>
        </w:tc>
        <w:tc>
          <w:tcPr>
            <w:tcW w:w="0" w:type="dxa"/>
            <w:vAlign w:val="bottom"/>
          </w:tcPr>
          <w:p>
            <w:pPr>
              <w:spacing w:after="0"/>
              <w:rPr>
                <w:sz w:val="1"/>
                <w:szCs w:val="1"/>
                <w:color w:val="auto"/>
              </w:rPr>
            </w:pP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cost of revenues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124,934</w:t>
            </w:r>
          </w:p>
        </w:tc>
        <w:tc>
          <w:tcPr>
            <w:tcW w:w="24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70,183</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46,137</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30,361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109,524</w:t>
            </w:r>
          </w:p>
        </w:tc>
        <w:tc>
          <w:tcPr>
            <w:tcW w:w="4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50,857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40,532</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27,031</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30,736</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22,213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11,493</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8,689</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40,716</w:t>
            </w: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25,375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15,837</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8,587</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24,972</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7,093</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Total operating</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96,424</w:t>
            </w:r>
          </w:p>
        </w:tc>
        <w:tc>
          <w:tcPr>
            <w:tcW w:w="24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66,545</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36,613</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24,369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13,100</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(15,688)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2,635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219</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(loss) before taxes on income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15,735</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(benefit)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1,162</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14,573</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(10,684</w:t>
            </w:r>
          </w:p>
        </w:tc>
        <w:tc>
          <w:tcPr>
            <w:tcW w:w="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3,872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3,942</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tcPr>
          <w:p>
            <w:pPr>
              <w:spacing w:after="0"/>
              <w:rPr>
                <w:sz w:val="20"/>
                <w:szCs w:val="20"/>
                <w:color w:val="auto"/>
              </w:rPr>
            </w:pPr>
            <w:r>
              <w:rPr>
                <w:rFonts w:ascii="Arial" w:cs="Arial" w:eastAsia="Arial" w:hAnsi="Arial"/>
                <w:sz w:val="16"/>
                <w:szCs w:val="16"/>
                <w:b w:val="1"/>
                <w:bCs w:val="1"/>
                <w:color w:val="auto"/>
              </w:rPr>
              <w:t>Basic net income (loss) per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0.32</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(0.26</w:t>
            </w:r>
            <w:r>
              <w:rPr>
                <w:rFonts w:ascii="Arial" w:cs="Arial" w:eastAsia="Arial" w:hAnsi="Arial"/>
                <w:sz w:val="26"/>
                <w:szCs w:val="26"/>
                <w:color w:val="auto"/>
                <w:vertAlign w:val="super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0.08</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tcPr>
          <w:p>
            <w:pPr>
              <w:spacing w:after="0"/>
              <w:rPr>
                <w:sz w:val="20"/>
                <w:szCs w:val="20"/>
                <w:color w:val="auto"/>
              </w:rPr>
            </w:pPr>
            <w:r>
              <w:rPr>
                <w:rFonts w:ascii="Arial" w:cs="Arial" w:eastAsia="Arial" w:hAnsi="Arial"/>
                <w:sz w:val="16"/>
                <w:szCs w:val="16"/>
                <w:color w:val="auto"/>
                <w:w w:val="94"/>
              </w:rPr>
              <w:t>Weighted average number of shares used in computing basic net income (loss) per share</w:t>
            </w:r>
          </w:p>
        </w:tc>
        <w:tc>
          <w:tcPr>
            <w:tcW w:w="2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46,200,884</w:t>
            </w:r>
          </w:p>
        </w:tc>
        <w:tc>
          <w:tcPr>
            <w:tcW w:w="4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41,059,090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46,361,164</w:t>
            </w:r>
          </w:p>
        </w:tc>
        <w:tc>
          <w:tcPr>
            <w:tcW w:w="3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41,536,835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(loss)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0.30</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(0.26</w:t>
            </w:r>
            <w:r>
              <w:rPr>
                <w:rFonts w:ascii="Arial" w:cs="Arial" w:eastAsia="Arial" w:hAnsi="Arial"/>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0.08</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w w:val="92"/>
              </w:rPr>
              <w:t>Weighted average number of shares used in computing diluted net income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47,846,077</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41,059,090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48,116,716</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42,692,989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RECONCILATION OF GAAP TO NON-GAAP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Nine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89"/>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420"/>
              <w:spacing w:after="0"/>
              <w:rPr>
                <w:sz w:val="20"/>
                <w:szCs w:val="20"/>
                <w:color w:val="auto"/>
              </w:rPr>
            </w:pPr>
            <w:r>
              <w:rPr>
                <w:rFonts w:ascii="Arial" w:cs="Arial" w:eastAsia="Arial" w:hAnsi="Arial"/>
                <w:sz w:val="16"/>
                <w:szCs w:val="16"/>
                <w:b w:val="1"/>
                <w:bCs w:val="1"/>
                <w:color w:val="auto"/>
                <w:w w:val="92"/>
              </w:rPr>
              <w:t>(Unaudited)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20"/>
              <w:spacing w:after="0"/>
              <w:rPr>
                <w:sz w:val="20"/>
                <w:szCs w:val="20"/>
                <w:color w:val="auto"/>
              </w:rPr>
            </w:pPr>
            <w:r>
              <w:rPr>
                <w:rFonts w:ascii="Arial" w:cs="Arial" w:eastAsia="Arial" w:hAnsi="Arial"/>
                <w:sz w:val="16"/>
                <w:szCs w:val="16"/>
                <w:b w:val="1"/>
                <w:bCs w:val="1"/>
                <w:color w:val="auto"/>
                <w:w w:val="92"/>
              </w:rPr>
              <w:t>(Unaudited)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234,458</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121,040</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86,669</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57,392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124,934</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70,183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46,137</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30,361</w:t>
            </w:r>
          </w:p>
        </w:tc>
        <w:tc>
          <w:tcPr>
            <w:tcW w:w="0" w:type="dxa"/>
            <w:vAlign w:val="bottom"/>
          </w:tcPr>
          <w:p>
            <w:pPr>
              <w:spacing w:after="0"/>
              <w:rPr>
                <w:sz w:val="1"/>
                <w:szCs w:val="1"/>
                <w:color w:val="auto"/>
              </w:rPr>
            </w:pPr>
          </w:p>
        </w:tc>
      </w:tr>
      <w:tr>
        <w:trPr>
          <w:trHeight w:val="227"/>
        </w:trPr>
        <w:tc>
          <w:tcPr>
            <w:tcW w:w="5980" w:type="dxa"/>
            <w:vAlign w:val="bottom"/>
          </w:tcPr>
          <w:p>
            <w:pPr>
              <w:spacing w:after="0" w:line="227" w:lineRule="exact"/>
              <w:rPr>
                <w:sz w:val="20"/>
                <w:szCs w:val="20"/>
                <w:color w:val="auto"/>
              </w:rPr>
            </w:pPr>
            <w:r>
              <w:rPr>
                <w:rFonts w:ascii="Arial" w:cs="Arial" w:eastAsia="Arial" w:hAnsi="Arial"/>
                <w:sz w:val="16"/>
                <w:szCs w:val="16"/>
                <w:color w:val="auto"/>
              </w:rPr>
              <w:t xml:space="preserve">Cost of product recorded for share-based compensation </w:t>
            </w:r>
            <w:r>
              <w:rPr>
                <w:rFonts w:ascii="Arial" w:cs="Arial" w:eastAsia="Arial" w:hAnsi="Arial"/>
                <w:sz w:val="26"/>
                <w:szCs w:val="26"/>
                <w:color w:val="auto"/>
                <w:vertAlign w:val="superscript"/>
              </w:rPr>
              <w:t>(1)</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(381)</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Cost of service recorded for share-based compensation </w:t>
            </w:r>
            <w:r>
              <w:rPr>
                <w:rFonts w:ascii="Arial" w:cs="Arial" w:eastAsia="Arial" w:hAnsi="Arial"/>
                <w:sz w:val="26"/>
                <w:szCs w:val="26"/>
                <w:color w:val="auto"/>
                <w:vertAlign w:val="superscript"/>
              </w:rPr>
              <w:t>(1)</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(750)</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27"/>
        </w:trPr>
        <w:tc>
          <w:tcPr>
            <w:tcW w:w="5980" w:type="dxa"/>
            <w:vAlign w:val="bottom"/>
          </w:tcPr>
          <w:p>
            <w:pPr>
              <w:spacing w:after="0" w:line="227" w:lineRule="exact"/>
              <w:rPr>
                <w:sz w:val="20"/>
                <w:szCs w:val="20"/>
                <w:color w:val="auto"/>
              </w:rPr>
            </w:pPr>
            <w:r>
              <w:rPr>
                <w:rFonts w:ascii="Arial" w:cs="Arial" w:eastAsia="Arial" w:hAnsi="Arial"/>
                <w:sz w:val="16"/>
                <w:szCs w:val="16"/>
                <w:color w:val="auto"/>
              </w:rPr>
              <w:t xml:space="preserve">Intangible assets amortization on cost of product </w:t>
            </w:r>
            <w:r>
              <w:rPr>
                <w:rFonts w:ascii="Arial" w:cs="Arial" w:eastAsia="Arial" w:hAnsi="Arial"/>
                <w:sz w:val="26"/>
                <w:szCs w:val="26"/>
                <w:color w:val="auto"/>
                <w:vertAlign w:val="superscript"/>
              </w:rPr>
              <w:t>(3)</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(161)</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(111)</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Intangible assets amortization on cost of service </w:t>
            </w:r>
            <w:r>
              <w:rPr>
                <w:rFonts w:ascii="Arial" w:cs="Arial" w:eastAsia="Arial" w:hAnsi="Arial"/>
                <w:sz w:val="26"/>
                <w:szCs w:val="26"/>
                <w:color w:val="auto"/>
                <w:vertAlign w:val="superscript"/>
              </w:rPr>
              <w:t>(3)</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(480)</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tcPr>
          <w:p>
            <w:pPr>
              <w:spacing w:after="0" w:line="238" w:lineRule="exact"/>
              <w:rPr>
                <w:sz w:val="20"/>
                <w:szCs w:val="20"/>
                <w:color w:val="auto"/>
              </w:rPr>
            </w:pPr>
            <w:r>
              <w:rPr>
                <w:rFonts w:ascii="Arial" w:cs="Arial" w:eastAsia="Arial" w:hAnsi="Arial"/>
                <w:sz w:val="16"/>
                <w:szCs w:val="16"/>
                <w:color w:val="auto"/>
              </w:rPr>
              <w:t xml:space="preserve">Coronavirus one time impact </w:t>
            </w:r>
            <w:r>
              <w:rPr>
                <w:rFonts w:ascii="Arial" w:cs="Arial" w:eastAsia="Arial" w:hAnsi="Arial"/>
                <w:sz w:val="26"/>
                <w:szCs w:val="26"/>
                <w:color w:val="auto"/>
                <w:vertAlign w:val="superscript"/>
              </w:rPr>
              <w:t>(4)</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cost of revenues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122,543</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68,248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45,234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29,773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gross profit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109,524</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50,857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40,532</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27,031</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Gross profit adjustments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2,391</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903</w:t>
            </w:r>
          </w:p>
        </w:tc>
        <w:tc>
          <w:tcPr>
            <w:tcW w:w="3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111,915</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52,792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41,435</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27,619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operating expenses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96,424</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66,545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36,613</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24,369</w:t>
            </w:r>
          </w:p>
        </w:tc>
        <w:tc>
          <w:tcPr>
            <w:tcW w:w="0" w:type="dxa"/>
            <w:vAlign w:val="bottom"/>
          </w:tcPr>
          <w:p>
            <w:pPr>
              <w:spacing w:after="0"/>
              <w:rPr>
                <w:sz w:val="1"/>
                <w:szCs w:val="1"/>
                <w:color w:val="auto"/>
              </w:rPr>
            </w:pPr>
          </w:p>
        </w:tc>
      </w:tr>
      <w:tr>
        <w:trPr>
          <w:trHeight w:val="227"/>
        </w:trPr>
        <w:tc>
          <w:tcPr>
            <w:tcW w:w="5980" w:type="dxa"/>
            <w:vAlign w:val="bottom"/>
          </w:tcPr>
          <w:p>
            <w:pPr>
              <w:spacing w:after="0" w:line="227" w:lineRule="exact"/>
              <w:rPr>
                <w:sz w:val="20"/>
                <w:szCs w:val="20"/>
                <w:color w:val="auto"/>
              </w:rPr>
            </w:pPr>
            <w:r>
              <w:rPr>
                <w:rFonts w:ascii="Arial" w:cs="Arial" w:eastAsia="Arial" w:hAnsi="Arial"/>
                <w:sz w:val="16"/>
                <w:szCs w:val="16"/>
                <w:color w:val="auto"/>
              </w:rPr>
              <w:t xml:space="preserve">Share-based compensation </w:t>
            </w:r>
            <w:r>
              <w:rPr>
                <w:rFonts w:ascii="Arial" w:cs="Arial" w:eastAsia="Arial" w:hAnsi="Arial"/>
                <w:sz w:val="26"/>
                <w:szCs w:val="26"/>
                <w:color w:val="auto"/>
                <w:vertAlign w:val="superscript"/>
              </w:rPr>
              <w:t>(1)</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(9,219)</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(3,438)</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(2,191)</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6"/>
                <w:szCs w:val="26"/>
                <w:color w:val="auto"/>
                <w:vertAlign w:val="superscript"/>
              </w:rPr>
              <w:t>(2)</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27"/>
        </w:trPr>
        <w:tc>
          <w:tcPr>
            <w:tcW w:w="5980" w:type="dxa"/>
            <w:vAlign w:val="bottom"/>
          </w:tcPr>
          <w:p>
            <w:pPr>
              <w:spacing w:after="0" w:line="227" w:lineRule="exact"/>
              <w:rPr>
                <w:sz w:val="20"/>
                <w:szCs w:val="20"/>
                <w:color w:val="auto"/>
              </w:rPr>
            </w:pPr>
            <w:r>
              <w:rPr>
                <w:rFonts w:ascii="Arial" w:cs="Arial" w:eastAsia="Arial" w:hAnsi="Arial"/>
                <w:sz w:val="16"/>
                <w:szCs w:val="16"/>
                <w:color w:val="auto"/>
              </w:rPr>
              <w:t xml:space="preserve">Intangible assets amortization </w:t>
            </w:r>
            <w:r>
              <w:rPr>
                <w:rFonts w:ascii="Arial" w:cs="Arial" w:eastAsia="Arial" w:hAnsi="Arial"/>
                <w:sz w:val="26"/>
                <w:szCs w:val="26"/>
                <w:color w:val="auto"/>
                <w:vertAlign w:val="superscript"/>
              </w:rPr>
              <w:t>(3)</w:t>
            </w: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(336)</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(98)</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39"/>
        </w:trPr>
        <w:tc>
          <w:tcPr>
            <w:tcW w:w="5980" w:type="dxa"/>
            <w:vAlign w:val="bottom"/>
            <w:shd w:val="clear" w:color="auto" w:fill="CCEEFF"/>
          </w:tcPr>
          <w:p>
            <w:pPr>
              <w:spacing w:after="0" w:line="238" w:lineRule="exact"/>
              <w:rPr>
                <w:sz w:val="20"/>
                <w:szCs w:val="20"/>
                <w:color w:val="auto"/>
              </w:rPr>
            </w:pPr>
            <w:r>
              <w:rPr>
                <w:rFonts w:ascii="Arial" w:cs="Arial" w:eastAsia="Arial" w:hAnsi="Arial"/>
                <w:sz w:val="16"/>
                <w:szCs w:val="16"/>
                <w:color w:val="auto"/>
              </w:rPr>
              <w:t xml:space="preserve">Coronavirus one time impact </w:t>
            </w:r>
            <w:r>
              <w:rPr>
                <w:rFonts w:ascii="Arial" w:cs="Arial" w:eastAsia="Arial" w:hAnsi="Arial"/>
                <w:sz w:val="26"/>
                <w:szCs w:val="26"/>
                <w:color w:val="auto"/>
                <w:vertAlign w:val="superscript"/>
              </w:rPr>
              <w:t>(4)</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operating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86,675</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59,374</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32,883</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21,159</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Financial income (expenses), net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2,635</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4,427</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219</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Financial income (expenses),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2,333</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4,455</w:t>
            </w:r>
          </w:p>
        </w:tc>
        <w:tc>
          <w:tcPr>
            <w:tcW w:w="14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332</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Taxes on income (benefit)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1,162</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(577)</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266</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(1,954)</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(2,119)</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39"/>
        </w:trPr>
        <w:tc>
          <w:tcPr>
            <w:tcW w:w="5980" w:type="dxa"/>
            <w:vAlign w:val="bottom"/>
          </w:tcPr>
          <w:p>
            <w:pPr>
              <w:spacing w:after="0" w:line="238" w:lineRule="exact"/>
              <w:rPr>
                <w:sz w:val="20"/>
                <w:szCs w:val="20"/>
                <w:color w:val="auto"/>
              </w:rPr>
            </w:pPr>
            <w:r>
              <w:rPr>
                <w:rFonts w:ascii="Arial" w:cs="Arial" w:eastAsia="Arial" w:hAnsi="Arial"/>
                <w:sz w:val="16"/>
                <w:szCs w:val="16"/>
                <w:color w:val="auto"/>
              </w:rPr>
              <w:t xml:space="preserve">Deferred tax benefit based on an Israeli statutory tax rate </w:t>
            </w:r>
            <w:r>
              <w:rPr>
                <w:rFonts w:ascii="Arial" w:cs="Arial" w:eastAsia="Arial" w:hAnsi="Arial"/>
                <w:sz w:val="26"/>
                <w:szCs w:val="26"/>
                <w:color w:val="auto"/>
                <w:vertAlign w:val="superscript"/>
              </w:rPr>
              <w:t>(a)</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(1,360)</w:t>
            </w:r>
          </w:p>
        </w:tc>
        <w:tc>
          <w:tcPr>
            <w:tcW w:w="4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(774)</w:t>
            </w:r>
          </w:p>
        </w:tc>
        <w:tc>
          <w:tcPr>
            <w:tcW w:w="3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Taxes on income (benefit)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24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2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net income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14,573</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(10,684)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3,942</w:t>
            </w:r>
          </w:p>
        </w:tc>
        <w:tc>
          <w:tcPr>
            <w:tcW w:w="0" w:type="dxa"/>
            <w:vAlign w:val="bottom"/>
          </w:tcPr>
          <w:p>
            <w:pPr>
              <w:spacing w:after="0"/>
              <w:rPr>
                <w:sz w:val="1"/>
                <w:szCs w:val="1"/>
                <w:color w:val="auto"/>
              </w:rPr>
            </w:pPr>
          </w:p>
        </w:tc>
      </w:tr>
      <w:tr>
        <w:trPr>
          <w:trHeight w:val="227"/>
        </w:trPr>
        <w:tc>
          <w:tcPr>
            <w:tcW w:w="5980" w:type="dxa"/>
            <w:vAlign w:val="bottom"/>
          </w:tcPr>
          <w:p>
            <w:pPr>
              <w:spacing w:after="0" w:line="227" w:lineRule="exact"/>
              <w:rPr>
                <w:sz w:val="20"/>
                <w:szCs w:val="20"/>
                <w:color w:val="auto"/>
              </w:rPr>
            </w:pPr>
            <w:r>
              <w:rPr>
                <w:rFonts w:ascii="Arial" w:cs="Arial" w:eastAsia="Arial" w:hAnsi="Arial"/>
                <w:sz w:val="16"/>
                <w:szCs w:val="16"/>
                <w:color w:val="auto"/>
              </w:rPr>
              <w:t xml:space="preserve">Share-based compensation </w:t>
            </w:r>
            <w:r>
              <w:rPr>
                <w:rFonts w:ascii="Arial" w:cs="Arial" w:eastAsia="Arial" w:hAnsi="Arial"/>
                <w:sz w:val="26"/>
                <w:szCs w:val="26"/>
                <w:color w:val="auto"/>
                <w:vertAlign w:val="superscript"/>
              </w:rPr>
              <w:t>(1)</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10,969</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6"/>
                <w:szCs w:val="26"/>
                <w:color w:val="auto"/>
                <w:vertAlign w:val="superscript"/>
              </w:rPr>
              <w:t>(2)</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194</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27"/>
        </w:trPr>
        <w:tc>
          <w:tcPr>
            <w:tcW w:w="5980" w:type="dxa"/>
            <w:vAlign w:val="bottom"/>
          </w:tcPr>
          <w:p>
            <w:pPr>
              <w:spacing w:after="0" w:line="227" w:lineRule="exact"/>
              <w:rPr>
                <w:sz w:val="20"/>
                <w:szCs w:val="20"/>
                <w:color w:val="auto"/>
              </w:rPr>
            </w:pPr>
            <w:r>
              <w:rPr>
                <w:rFonts w:ascii="Arial" w:cs="Arial" w:eastAsia="Arial" w:hAnsi="Arial"/>
                <w:sz w:val="16"/>
                <w:szCs w:val="16"/>
                <w:color w:val="auto"/>
              </w:rPr>
              <w:t xml:space="preserve">Intangible assets amortization </w:t>
            </w:r>
            <w:r>
              <w:rPr>
                <w:rFonts w:ascii="Arial" w:cs="Arial" w:eastAsia="Arial" w:hAnsi="Arial"/>
                <w:sz w:val="26"/>
                <w:szCs w:val="26"/>
                <w:color w:val="auto"/>
                <w:vertAlign w:val="superscript"/>
              </w:rPr>
              <w:t>(3)</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977</w:t>
            </w:r>
          </w:p>
        </w:tc>
        <w:tc>
          <w:tcPr>
            <w:tcW w:w="4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369</w:t>
            </w:r>
          </w:p>
        </w:tc>
        <w:tc>
          <w:tcPr>
            <w:tcW w:w="3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 xml:space="preserve">Coronavirus one time impact </w:t>
            </w:r>
            <w:r>
              <w:rPr>
                <w:rFonts w:ascii="Arial" w:cs="Arial" w:eastAsia="Arial" w:hAnsi="Arial"/>
                <w:sz w:val="26"/>
                <w:szCs w:val="26"/>
                <w:color w:val="auto"/>
                <w:vertAlign w:val="superscript"/>
              </w:rPr>
              <w:t>(4)</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(302)</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113</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1,954</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2,119</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39"/>
        </w:trPr>
        <w:tc>
          <w:tcPr>
            <w:tcW w:w="5980" w:type="dxa"/>
            <w:vAlign w:val="bottom"/>
          </w:tcPr>
          <w:p>
            <w:pPr>
              <w:spacing w:after="0" w:line="238" w:lineRule="exact"/>
              <w:rPr>
                <w:sz w:val="20"/>
                <w:szCs w:val="20"/>
                <w:color w:val="auto"/>
              </w:rPr>
            </w:pPr>
            <w:r>
              <w:rPr>
                <w:rFonts w:ascii="Arial" w:cs="Arial" w:eastAsia="Arial" w:hAnsi="Arial"/>
                <w:sz w:val="16"/>
                <w:szCs w:val="16"/>
                <w:color w:val="auto"/>
              </w:rPr>
              <w:t xml:space="preserve">Deferred tax benefit based on an Israeli statutory tax rate </w:t>
            </w:r>
            <w:r>
              <w:rPr>
                <w:rFonts w:ascii="Arial" w:cs="Arial" w:eastAsia="Arial" w:hAnsi="Arial"/>
                <w:sz w:val="26"/>
                <w:szCs w:val="26"/>
                <w:color w:val="auto"/>
                <w:vertAlign w:val="superscript"/>
              </w:rPr>
              <w:t>(a)</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1,360</w:t>
            </w:r>
          </w:p>
        </w:tc>
        <w:tc>
          <w:tcPr>
            <w:tcW w:w="4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774</w:t>
            </w:r>
          </w:p>
        </w:tc>
        <w:tc>
          <w:tcPr>
            <w:tcW w:w="3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29,725</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140" w:type="dxa"/>
            <w:vAlign w:val="bottom"/>
            <w:vMerge w:val="continue"/>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11,511</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 (loss)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0.30</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(0.26</w:t>
            </w:r>
            <w:r>
              <w:rPr>
                <w:rFonts w:ascii="Arial" w:cs="Arial" w:eastAsia="Arial" w:hAnsi="Arial"/>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0.08</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 (loss)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0.62</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(0.06</w:t>
            </w:r>
            <w:r>
              <w:rPr>
                <w:rFonts w:ascii="Arial" w:cs="Arial" w:eastAsia="Arial" w:hAnsi="Arial"/>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47,846,077</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41,059,090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48,116,716</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42,692,989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48,082,118</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41,059,090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48,361,472</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42,972,182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381</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750</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251</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1,810</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739</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3,651</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07"/>
        </w:trPr>
        <w:tc>
          <w:tcPr>
            <w:tcW w:w="59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3,758</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195"/>
        </w:trPr>
        <w:tc>
          <w:tcPr>
            <w:tcW w:w="59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(2) Acquisition related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194</w:t>
            </w:r>
          </w:p>
        </w:tc>
        <w:tc>
          <w:tcPr>
            <w:tcW w:w="4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194</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195"/>
        </w:trPr>
        <w:tc>
          <w:tcPr>
            <w:tcW w:w="59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(3) Intangible assets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ectPr>
          <w:pgSz w:w="11900" w:h="16838" w:orient="portrait"/>
          <w:cols w:equalWidth="0" w:num="1">
            <w:col w:w="11260"/>
          </w:cols>
          <w:pgMar w:left="320" w:top="816" w:right="31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59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161</w:t>
            </w: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315</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315</w:t>
            </w:r>
          </w:p>
        </w:tc>
      </w:tr>
      <w:tr>
        <w:trPr>
          <w:trHeight w:val="223"/>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r>
      <w:tr>
        <w:trPr>
          <w:trHeight w:val="179"/>
        </w:trPr>
        <w:tc>
          <w:tcPr>
            <w:tcW w:w="598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977</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697</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369</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396</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(4) Coronavirus one time impact</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service revenues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223"/>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59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451</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74</w:t>
            </w:r>
          </w:p>
        </w:tc>
        <w:tc>
          <w:tcPr>
            <w:tcW w:w="12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  Non cash impact related to the recognition of deferred taxes with respect to carryforward losses in Israel.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1"/>
              </w:rPr>
              <w:t>Nine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6"/>
                <w:szCs w:val="16"/>
                <w:b w:val="1"/>
                <w:bCs w:val="1"/>
                <w:color w:val="auto"/>
                <w:w w:val="89"/>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3"/>
          </w:tcPr>
          <w:p>
            <w:pPr>
              <w:jc w:val="center"/>
              <w:ind w:left="420"/>
              <w:spacing w:after="0"/>
              <w:rPr>
                <w:sz w:val="20"/>
                <w:szCs w:val="20"/>
                <w:color w:val="auto"/>
              </w:rPr>
            </w:pPr>
            <w:r>
              <w:rPr>
                <w:rFonts w:ascii="Arial" w:cs="Arial" w:eastAsia="Arial" w:hAnsi="Arial"/>
                <w:sz w:val="16"/>
                <w:szCs w:val="16"/>
                <w:b w:val="1"/>
                <w:bCs w:val="1"/>
                <w:color w:val="auto"/>
                <w:w w:val="92"/>
              </w:rPr>
              <w:t>(Unaudited)</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left="420"/>
              <w:spacing w:after="0"/>
              <w:rPr>
                <w:sz w:val="20"/>
                <w:szCs w:val="20"/>
                <w:color w:val="auto"/>
              </w:rPr>
            </w:pPr>
            <w:r>
              <w:rPr>
                <w:rFonts w:ascii="Arial" w:cs="Arial" w:eastAsia="Arial" w:hAnsi="Arial"/>
                <w:sz w:val="16"/>
                <w:szCs w:val="16"/>
                <w:b w:val="1"/>
                <w:bCs w:val="1"/>
                <w:color w:val="auto"/>
                <w:w w:val="92"/>
              </w:rPr>
              <w:t>(Unaudited)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540" w:type="dxa"/>
            <w:vAlign w:val="bottom"/>
            <w:gridSpan w:val="3"/>
          </w:tcPr>
          <w:p>
            <w:pPr>
              <w:spacing w:after="0" w:line="168" w:lineRule="exact"/>
              <w:rPr>
                <w:sz w:val="20"/>
                <w:szCs w:val="20"/>
                <w:color w:val="auto"/>
              </w:rPr>
            </w:pPr>
            <w:r>
              <w:rPr>
                <w:rFonts w:ascii="Arial" w:cs="Arial" w:eastAsia="Arial" w:hAnsi="Arial"/>
                <w:sz w:val="16"/>
                <w:szCs w:val="16"/>
                <w:color w:val="auto"/>
              </w:rPr>
              <w:t>Cash flows from operating activities: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14,573</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(10,684)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3,942</w:t>
            </w:r>
          </w:p>
        </w:tc>
        <w:tc>
          <w:tcPr>
            <w:tcW w:w="0" w:type="dxa"/>
            <w:vAlign w:val="bottom"/>
          </w:tcPr>
          <w:p>
            <w:pPr>
              <w:spacing w:after="0"/>
              <w:rPr>
                <w:sz w:val="1"/>
                <w:szCs w:val="1"/>
                <w:color w:val="auto"/>
              </w:rPr>
            </w:pPr>
          </w:p>
        </w:tc>
      </w:tr>
      <w:tr>
        <w:trPr>
          <w:trHeight w:val="179"/>
        </w:trPr>
        <w:tc>
          <w:tcPr>
            <w:tcW w:w="5540" w:type="dxa"/>
            <w:vAlign w:val="bottom"/>
            <w:gridSpan w:val="3"/>
          </w:tcPr>
          <w:p>
            <w:pPr>
              <w:spacing w:after="0" w:line="179" w:lineRule="exact"/>
              <w:rPr>
                <w:sz w:val="20"/>
                <w:szCs w:val="20"/>
                <w:color w:val="auto"/>
              </w:rPr>
            </w:pPr>
            <w:r>
              <w:rPr>
                <w:rFonts w:ascii="Arial" w:cs="Arial" w:eastAsia="Arial" w:hAnsi="Arial"/>
                <w:sz w:val="16"/>
                <w:szCs w:val="16"/>
                <w:color w:val="auto"/>
                <w:w w:val="90"/>
              </w:rPr>
              <w:t>Adjustments to reconcile net income (loss) to net cash provided by (used in) operating</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activities: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4,945</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3,411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191"/>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Fair value of warrants deducted from revenues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17,568</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7,857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10,969</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191"/>
        </w:trPr>
        <w:tc>
          <w:tcPr>
            <w:tcW w:w="5540" w:type="dxa"/>
            <w:vAlign w:val="bottom"/>
            <w:gridSpan w:val="3"/>
          </w:tcPr>
          <w:p>
            <w:pPr>
              <w:ind w:left="140"/>
              <w:spacing w:after="0"/>
              <w:rPr>
                <w:sz w:val="20"/>
                <w:szCs w:val="20"/>
                <w:color w:val="auto"/>
              </w:rPr>
            </w:pPr>
            <w:r>
              <w:rPr>
                <w:rFonts w:ascii="Arial" w:cs="Arial" w:eastAsia="Arial" w:hAnsi="Arial"/>
                <w:sz w:val="16"/>
                <w:szCs w:val="16"/>
                <w:color w:val="auto"/>
                <w:w w:val="95"/>
              </w:rPr>
              <w:t>Amortization of premium and accretion of discount on marketable securities, net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(1,652)</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(354)</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Realized loss (gain) on sale of marketable securities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Change in operating assets and liabilities: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Trade receivables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1,713</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(7,933)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12,798</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(8,549)</w:t>
            </w:r>
          </w:p>
        </w:tc>
        <w:tc>
          <w:tcPr>
            <w:tcW w:w="0" w:type="dxa"/>
            <w:vAlign w:val="bottom"/>
          </w:tcPr>
          <w:p>
            <w:pPr>
              <w:spacing w:after="0"/>
              <w:rPr>
                <w:sz w:val="1"/>
                <w:szCs w:val="1"/>
                <w:color w:val="auto"/>
              </w:rPr>
            </w:pPr>
          </w:p>
        </w:tc>
      </w:tr>
      <w:tr>
        <w:trPr>
          <w:trHeight w:val="191"/>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Other receivables and prepaid expenses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(1,853)</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(1,615)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(340)</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(3,765)</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(9,529)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(3,239)</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(4,324)</w:t>
            </w:r>
          </w:p>
        </w:tc>
        <w:tc>
          <w:tcPr>
            <w:tcW w:w="0" w:type="dxa"/>
            <w:vAlign w:val="bottom"/>
          </w:tcPr>
          <w:p>
            <w:pPr>
              <w:spacing w:after="0"/>
              <w:rPr>
                <w:sz w:val="1"/>
                <w:szCs w:val="1"/>
                <w:color w:val="auto"/>
              </w:rPr>
            </w:pPr>
          </w:p>
        </w:tc>
      </w:tr>
      <w:tr>
        <w:trPr>
          <w:trHeight w:val="191"/>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Operating lease right-of-use assets and liabilities, net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(397)</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122</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taxes, net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(1,866)</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(2,111)</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91"/>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Other long term assets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(76)</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Trade payables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(2,400)</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10,462</w:t>
            </w:r>
          </w:p>
        </w:tc>
        <w:tc>
          <w:tcPr>
            <w:tcW w:w="0" w:type="dxa"/>
            <w:vAlign w:val="bottom"/>
          </w:tcPr>
          <w:p>
            <w:pPr>
              <w:spacing w:after="0"/>
              <w:rPr>
                <w:sz w:val="1"/>
                <w:szCs w:val="1"/>
                <w:color w:val="auto"/>
              </w:rPr>
            </w:pPr>
          </w:p>
        </w:tc>
      </w:tr>
      <w:tr>
        <w:trPr>
          <w:trHeight w:val="191"/>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Employees and payroll accruals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8,878</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3,983</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revenues and advances from customers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(15,350)</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(3,949)</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7,770</w:t>
            </w:r>
          </w:p>
        </w:tc>
        <w:tc>
          <w:tcPr>
            <w:tcW w:w="0" w:type="dxa"/>
            <w:vAlign w:val="bottom"/>
          </w:tcPr>
          <w:p>
            <w:pPr>
              <w:spacing w:after="0"/>
              <w:rPr>
                <w:sz w:val="1"/>
                <w:szCs w:val="1"/>
                <w:color w:val="auto"/>
              </w:rPr>
            </w:pPr>
          </w:p>
        </w:tc>
      </w:tr>
      <w:tr>
        <w:trPr>
          <w:trHeight w:val="191"/>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Payables and accrued expenses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10,479</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4,803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Severance pay, net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Other long term liabilities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1,256</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456</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Sale of property and Equipment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gridSpan w:val="3"/>
          </w:tcPr>
          <w:p>
            <w:pPr>
              <w:spacing w:after="0" w:line="179" w:lineRule="exact"/>
              <w:rPr>
                <w:sz w:val="20"/>
                <w:szCs w:val="20"/>
                <w:color w:val="auto"/>
              </w:rPr>
            </w:pPr>
            <w:r>
              <w:rPr>
                <w:rFonts w:ascii="Arial" w:cs="Arial" w:eastAsia="Arial" w:hAnsi="Arial"/>
                <w:sz w:val="16"/>
                <w:szCs w:val="16"/>
                <w:color w:val="auto"/>
                <w:w w:val="95"/>
              </w:rPr>
              <w:t>Foreign currency translation income (loss) on inter company balances with foreign</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40" w:type="dxa"/>
            <w:vAlign w:val="bottom"/>
            <w:gridSpan w:val="3"/>
          </w:tcPr>
          <w:p>
            <w:pPr>
              <w:ind w:left="140"/>
              <w:spacing w:after="0"/>
              <w:rPr>
                <w:sz w:val="20"/>
                <w:szCs w:val="20"/>
                <w:color w:val="auto"/>
              </w:rPr>
            </w:pPr>
            <w:r>
              <w:rPr>
                <w:rFonts w:ascii="Arial" w:cs="Arial" w:eastAsia="Arial" w:hAnsi="Arial"/>
                <w:sz w:val="16"/>
                <w:szCs w:val="16"/>
                <w:color w:val="auto"/>
              </w:rPr>
              <w:t>subsidiaries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40" w:type="dxa"/>
            <w:vAlign w:val="bottom"/>
            <w:gridSpan w:val="3"/>
          </w:tcPr>
          <w:p>
            <w:pPr>
              <w:spacing w:after="0"/>
              <w:rPr>
                <w:sz w:val="20"/>
                <w:szCs w:val="20"/>
                <w:color w:val="auto"/>
              </w:rPr>
            </w:pPr>
            <w:r>
              <w:rPr>
                <w:rFonts w:ascii="Arial" w:cs="Arial" w:eastAsia="Arial" w:hAnsi="Arial"/>
                <w:sz w:val="16"/>
                <w:szCs w:val="16"/>
                <w:color w:val="auto"/>
              </w:rPr>
              <w:t>Net cash provided by (used in) operating activities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43,130</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(1,934)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32,800</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20,398</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540" w:type="dxa"/>
            <w:vAlign w:val="bottom"/>
            <w:gridSpan w:val="3"/>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Purchase of property and equipment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(9,422)</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(10,758)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(3,867)</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Capitalization of software development costs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Proceeds from sale of property and equipment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paid in connection with acquisition, net of cash acquired</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(14,991)</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(15,059)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(14,991)</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(15,059)</w:t>
            </w: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Investment in (proceeds from) bank deposits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(16,299)</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43,192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(6,167)</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27,996</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marketable securities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58,532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37,730</w:t>
            </w: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Proceeds from maturity of marketable securities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10,304</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20,006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8,254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 in marketable securities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(44,310)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(18,542)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(13,800)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(74,718)</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77,254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(30,571)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50,981</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54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1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4,141</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Payments related to shares withheld for taxes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(1,662)</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(516)</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public offering, net of issuance costs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162,720</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2,479</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164,840</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1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currency translation adjustments on cash and cash equivalents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Increase (decrease) in cash and cash equivalents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(29,109)</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242,937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236,232</w:t>
            </w:r>
          </w:p>
        </w:tc>
        <w:tc>
          <w:tcPr>
            <w:tcW w:w="0" w:type="dxa"/>
            <w:vAlign w:val="bottom"/>
          </w:tcPr>
          <w:p>
            <w:pPr>
              <w:spacing w:after="0"/>
              <w:rPr>
                <w:sz w:val="1"/>
                <w:szCs w:val="1"/>
                <w:color w:val="auto"/>
              </w:rPr>
            </w:pPr>
          </w:p>
        </w:tc>
      </w:tr>
      <w:tr>
        <w:trPr>
          <w:trHeight w:val="203"/>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125,777</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40,743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92,568</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47,448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6"/>
                <w:szCs w:val="16"/>
                <w:color w:val="auto"/>
              </w:rPr>
              <w:t>Cash and cash equivalents at the end of the period</w:t>
            </w: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gridSpan w:val="3"/>
            <w:vMerge w:val="continue"/>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96,668</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283,680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96,668</w:t>
            </w:r>
          </w:p>
        </w:tc>
        <w:tc>
          <w:tcPr>
            <w:tcW w:w="3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283,680</w:t>
            </w:r>
          </w:p>
        </w:tc>
        <w:tc>
          <w:tcPr>
            <w:tcW w:w="0" w:type="dxa"/>
            <w:vAlign w:val="bottom"/>
          </w:tcPr>
          <w:p>
            <w:pPr>
              <w:spacing w:after="0"/>
              <w:rPr>
                <w:sz w:val="1"/>
                <w:szCs w:val="1"/>
                <w:color w:val="auto"/>
              </w:rPr>
            </w:pPr>
          </w:p>
        </w:tc>
      </w:tr>
      <w:tr>
        <w:trPr>
          <w:trHeight w:val="187"/>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Non-cash investing and financing activities: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Purchase of property and equipment on credit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1,907</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931</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191"/>
        </w:trPr>
        <w:tc>
          <w:tcPr>
            <w:tcW w:w="5540" w:type="dxa"/>
            <w:vAlign w:val="bottom"/>
            <w:gridSpan w:val="3"/>
          </w:tcPr>
          <w:p>
            <w:pPr>
              <w:spacing w:after="0"/>
              <w:rPr>
                <w:sz w:val="20"/>
                <w:szCs w:val="20"/>
                <w:color w:val="auto"/>
              </w:rPr>
            </w:pPr>
            <w:r>
              <w:rPr>
                <w:rFonts w:ascii="Arial" w:cs="Arial" w:eastAsia="Arial" w:hAnsi="Arial"/>
                <w:sz w:val="16"/>
                <w:szCs w:val="16"/>
                <w:color w:val="auto"/>
              </w:rPr>
              <w:t>Issuance expenses on credit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191"/>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1,517</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577"/>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005" w:gutter="0" w:footer="0" w:header="0"/>
        </w:sectPr>
      </w:pPr>
    </w:p>
    <w:bookmarkStart w:id="13" w:name="page14"/>
    <w:bookmarkEnd w:id="13"/>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13"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2021-11-10T06:18:18Z</dcterms:created>
  <dcterms:modified xsi:type="dcterms:W3CDTF">2021-11-10T06:18:18Z</dcterms:modified>
</cp:coreProperties>
</file>