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Arial" w:cs="Arial" w:eastAsia="Arial" w:hAnsi="Arial"/>
          <w:sz w:val="15"/>
          <w:szCs w:val="15"/>
          <w:b w:val="1"/>
          <w:bCs w:val="1"/>
          <w:color w:val="auto"/>
        </w:rPr>
        <w:t>As filed with the Securities and Exchange Commission on March 18, 2015</w:t>
      </w:r>
    </w:p>
    <w:p>
      <w:pPr>
        <w:spacing w:after="0" w:line="21" w:lineRule="exact"/>
        <w:rPr>
          <w:sz w:val="24"/>
          <w:szCs w:val="24"/>
          <w:color w:val="auto"/>
        </w:rPr>
      </w:pPr>
    </w:p>
    <w:p>
      <w:pPr>
        <w:jc w:val="right"/>
        <w:ind w:right="559"/>
        <w:spacing w:after="0"/>
        <w:rPr>
          <w:sz w:val="20"/>
          <w:szCs w:val="20"/>
          <w:color w:val="auto"/>
        </w:rPr>
      </w:pPr>
      <w:r>
        <w:rPr>
          <w:rFonts w:ascii="Arial" w:cs="Arial" w:eastAsia="Arial" w:hAnsi="Arial"/>
          <w:sz w:val="15"/>
          <w:szCs w:val="15"/>
          <w:b w:val="1"/>
          <w:bCs w:val="1"/>
          <w:color w:val="auto"/>
        </w:rPr>
        <w:t>Registration No. 333-202291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128905</wp:posOffset>
            </wp:positionV>
            <wp:extent cx="499935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9355" cy="1524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160020</wp:posOffset>
            </wp:positionV>
            <wp:extent cx="499935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9355" cy="1524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7" w:lineRule="exact"/>
        <w:rPr>
          <w:sz w:val="24"/>
          <w:szCs w:val="24"/>
          <w:color w:val="auto"/>
        </w:rPr>
      </w:pPr>
    </w:p>
    <w:p>
      <w:pPr>
        <w:ind w:left="3440"/>
        <w:spacing w:after="0"/>
        <w:rPr>
          <w:sz w:val="20"/>
          <w:szCs w:val="20"/>
          <w:color w:val="auto"/>
        </w:rPr>
      </w:pPr>
      <w:r>
        <w:rPr>
          <w:rFonts w:ascii="Arial" w:cs="Arial" w:eastAsia="Arial" w:hAnsi="Arial"/>
          <w:sz w:val="19"/>
          <w:szCs w:val="19"/>
          <w:color w:val="auto"/>
        </w:rPr>
        <w:t>______________________</w:t>
      </w:r>
    </w:p>
    <w:p>
      <w:pPr>
        <w:sectPr>
          <w:pgSz w:w="11900" w:h="16838" w:orient="portrait"/>
          <w:cols w:equalWidth="0" w:num="1">
            <w:col w:w="9019"/>
          </w:cols>
          <w:pgMar w:left="1440" w:top="28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left="1240"/>
        <w:spacing w:after="0"/>
        <w:rPr>
          <w:sz w:val="20"/>
          <w:szCs w:val="20"/>
          <w:color w:val="auto"/>
        </w:rPr>
      </w:pPr>
      <w:r>
        <w:rPr>
          <w:rFonts w:ascii="Arial" w:cs="Arial" w:eastAsia="Arial" w:hAnsi="Arial"/>
          <w:sz w:val="13"/>
          <w:szCs w:val="13"/>
          <w:b w:val="1"/>
          <w:bCs w:val="1"/>
          <w:color w:val="auto"/>
        </w:rPr>
        <w:t>State of Israel</w:t>
      </w:r>
    </w:p>
    <w:p>
      <w:pPr>
        <w:spacing w:after="0" w:line="10" w:lineRule="exact"/>
        <w:rPr>
          <w:sz w:val="24"/>
          <w:szCs w:val="24"/>
          <w:color w:val="auto"/>
        </w:rPr>
      </w:pPr>
    </w:p>
    <w:p>
      <w:pPr>
        <w:jc w:val="both"/>
        <w:ind w:left="1240" w:firstLine="34"/>
        <w:spacing w:after="0" w:line="278" w:lineRule="auto"/>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099"/>
        <w:spacing w:after="0"/>
        <w:rPr>
          <w:sz w:val="20"/>
          <w:szCs w:val="20"/>
          <w:color w:val="auto"/>
        </w:rPr>
      </w:pPr>
      <w:r>
        <w:rPr>
          <w:rFonts w:ascii="Arial" w:cs="Arial" w:eastAsia="Arial" w:hAnsi="Arial"/>
          <w:sz w:val="16"/>
          <w:szCs w:val="16"/>
          <w:b w:val="1"/>
          <w:bCs w:val="1"/>
          <w:color w:val="auto"/>
        </w:rPr>
        <w:t>AMENDMENT NO. 3</w:t>
      </w:r>
    </w:p>
    <w:p>
      <w:pPr>
        <w:spacing w:after="0" w:line="26" w:lineRule="exact"/>
        <w:rPr>
          <w:sz w:val="24"/>
          <w:szCs w:val="24"/>
          <w:color w:val="auto"/>
        </w:rPr>
      </w:pPr>
    </w:p>
    <w:p>
      <w:pPr>
        <w:jc w:val="center"/>
        <w:ind w:right="3059"/>
        <w:spacing w:after="0"/>
        <w:rPr>
          <w:sz w:val="20"/>
          <w:szCs w:val="20"/>
          <w:color w:val="auto"/>
        </w:rPr>
      </w:pPr>
      <w:r>
        <w:rPr>
          <w:rFonts w:ascii="Arial" w:cs="Arial" w:eastAsia="Arial" w:hAnsi="Arial"/>
          <w:sz w:val="16"/>
          <w:szCs w:val="16"/>
          <w:b w:val="1"/>
          <w:bCs w:val="1"/>
          <w:color w:val="auto"/>
        </w:rPr>
        <w:t>TO</w:t>
      </w:r>
    </w:p>
    <w:p>
      <w:pPr>
        <w:spacing w:after="0" w:line="10" w:lineRule="exact"/>
        <w:rPr>
          <w:sz w:val="24"/>
          <w:szCs w:val="24"/>
          <w:color w:val="auto"/>
        </w:rPr>
      </w:pPr>
    </w:p>
    <w:p>
      <w:pPr>
        <w:jc w:val="center"/>
        <w:ind w:right="3059"/>
        <w:spacing w:after="0"/>
        <w:rPr>
          <w:sz w:val="20"/>
          <w:szCs w:val="20"/>
          <w:color w:val="auto"/>
        </w:rPr>
      </w:pPr>
      <w:r>
        <w:rPr>
          <w:rFonts w:ascii="Arial" w:cs="Arial" w:eastAsia="Arial" w:hAnsi="Arial"/>
          <w:sz w:val="16"/>
          <w:szCs w:val="16"/>
          <w:b w:val="1"/>
          <w:bCs w:val="1"/>
          <w:color w:val="auto"/>
        </w:rPr>
        <w:t>FORM F-1</w:t>
      </w:r>
    </w:p>
    <w:p>
      <w:pPr>
        <w:spacing w:after="0" w:line="10" w:lineRule="exact"/>
        <w:rPr>
          <w:sz w:val="24"/>
          <w:szCs w:val="24"/>
          <w:color w:val="auto"/>
        </w:rPr>
      </w:pPr>
    </w:p>
    <w:p>
      <w:pPr>
        <w:jc w:val="center"/>
        <w:ind w:right="3059"/>
        <w:spacing w:after="0"/>
        <w:rPr>
          <w:sz w:val="20"/>
          <w:szCs w:val="20"/>
          <w:color w:val="auto"/>
        </w:rPr>
      </w:pPr>
      <w:r>
        <w:rPr>
          <w:rFonts w:ascii="Arial" w:cs="Arial" w:eastAsia="Arial" w:hAnsi="Arial"/>
          <w:sz w:val="16"/>
          <w:szCs w:val="16"/>
          <w:b w:val="1"/>
          <w:bCs w:val="1"/>
          <w:color w:val="auto"/>
        </w:rPr>
        <w:t>REGISTRATION STATEMENT UNDER</w:t>
      </w:r>
    </w:p>
    <w:p>
      <w:pPr>
        <w:spacing w:after="0" w:line="10" w:lineRule="exact"/>
        <w:rPr>
          <w:sz w:val="24"/>
          <w:szCs w:val="24"/>
          <w:color w:val="auto"/>
        </w:rPr>
      </w:pPr>
    </w:p>
    <w:p>
      <w:pPr>
        <w:jc w:val="center"/>
        <w:ind w:right="3059"/>
        <w:spacing w:after="0"/>
        <w:rPr>
          <w:sz w:val="20"/>
          <w:szCs w:val="20"/>
          <w:color w:val="auto"/>
        </w:rPr>
      </w:pPr>
      <w:r>
        <w:rPr>
          <w:rFonts w:ascii="Arial" w:cs="Arial" w:eastAsia="Arial" w:hAnsi="Arial"/>
          <w:sz w:val="16"/>
          <w:szCs w:val="16"/>
          <w:b w:val="1"/>
          <w:bCs w:val="1"/>
          <w:color w:val="auto"/>
        </w:rPr>
        <w:t>THE SECURITIES ACT OF 1933</w:t>
      </w:r>
    </w:p>
    <w:p>
      <w:pPr>
        <w:spacing w:after="0" w:line="7" w:lineRule="exact"/>
        <w:rPr>
          <w:sz w:val="24"/>
          <w:szCs w:val="24"/>
          <w:color w:val="auto"/>
        </w:rPr>
      </w:pPr>
    </w:p>
    <w:p>
      <w:pPr>
        <w:ind w:left="380"/>
        <w:spacing w:after="0"/>
        <w:rPr>
          <w:sz w:val="20"/>
          <w:szCs w:val="20"/>
          <w:color w:val="auto"/>
        </w:rPr>
      </w:pPr>
      <w:r>
        <w:rPr>
          <w:rFonts w:ascii="Arial" w:cs="Arial" w:eastAsia="Arial" w:hAnsi="Arial"/>
          <w:sz w:val="19"/>
          <w:szCs w:val="19"/>
          <w:color w:val="auto"/>
        </w:rPr>
        <w:t>______________________</w:t>
      </w:r>
    </w:p>
    <w:p>
      <w:pPr>
        <w:spacing w:after="0" w:line="85" w:lineRule="exact"/>
        <w:rPr>
          <w:sz w:val="24"/>
          <w:szCs w:val="24"/>
          <w:color w:val="auto"/>
        </w:rPr>
      </w:pPr>
    </w:p>
    <w:p>
      <w:pPr>
        <w:ind w:left="20"/>
        <w:spacing w:after="0"/>
        <w:rPr>
          <w:sz w:val="20"/>
          <w:szCs w:val="20"/>
          <w:color w:val="auto"/>
        </w:rPr>
      </w:pPr>
      <w:r>
        <w:rPr>
          <w:rFonts w:ascii="Arial" w:cs="Arial" w:eastAsia="Arial" w:hAnsi="Arial"/>
          <w:sz w:val="26"/>
          <w:szCs w:val="26"/>
          <w:b w:val="1"/>
          <w:bCs w:val="1"/>
          <w:color w:val="auto"/>
        </w:rPr>
        <w:t>KORNIT DIGITAL LTD.</w:t>
      </w:r>
    </w:p>
    <w:p>
      <w:pPr>
        <w:jc w:val="center"/>
        <w:ind w:right="3059"/>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1"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_________________________</w:t>
      </w:r>
    </w:p>
    <w:p>
      <w:pPr>
        <w:spacing w:after="0" w:line="67" w:lineRule="exact"/>
        <w:rPr>
          <w:sz w:val="24"/>
          <w:szCs w:val="24"/>
          <w:color w:val="auto"/>
        </w:rPr>
      </w:pPr>
    </w:p>
    <w:tbl>
      <w:tblPr>
        <w:tblLayout w:type="fixed"/>
        <w:tblInd w:w="780" w:type="dxa"/>
        <w:tblCellMar>
          <w:top w:w="0" w:type="dxa"/>
          <w:left w:w="0" w:type="dxa"/>
          <w:bottom w:w="0" w:type="dxa"/>
          <w:right w:w="0" w:type="dxa"/>
        </w:tblCellMar>
      </w:tblPr>
      <w:tr>
        <w:trPr>
          <w:trHeight w:val="165"/>
        </w:trPr>
        <w:tc>
          <w:tcPr>
            <w:tcW w:w="2140" w:type="dxa"/>
            <w:vAlign w:val="bottom"/>
          </w:tcPr>
          <w:p>
            <w:pPr>
              <w:jc w:val="right"/>
              <w:ind w:right="1195"/>
              <w:spacing w:after="0"/>
              <w:rPr>
                <w:sz w:val="20"/>
                <w:szCs w:val="20"/>
                <w:color w:val="auto"/>
              </w:rPr>
            </w:pPr>
            <w:r>
              <w:rPr>
                <w:rFonts w:ascii="Arial" w:cs="Arial" w:eastAsia="Arial" w:hAnsi="Arial"/>
                <w:sz w:val="13"/>
                <w:szCs w:val="13"/>
                <w:b w:val="1"/>
                <w:bCs w:val="1"/>
                <w:color w:val="auto"/>
              </w:rPr>
              <w:t>3555</w:t>
            </w:r>
          </w:p>
        </w:tc>
        <w:tc>
          <w:tcPr>
            <w:tcW w:w="1560" w:type="dxa"/>
            <w:vAlign w:val="bottom"/>
          </w:tcPr>
          <w:p>
            <w:pPr>
              <w:jc w:val="center"/>
              <w:ind w:left="555"/>
              <w:spacing w:after="0"/>
              <w:rPr>
                <w:sz w:val="20"/>
                <w:szCs w:val="20"/>
                <w:color w:val="auto"/>
              </w:rPr>
            </w:pPr>
            <w:r>
              <w:rPr>
                <w:rFonts w:ascii="Arial" w:cs="Arial" w:eastAsia="Arial" w:hAnsi="Arial"/>
                <w:sz w:val="13"/>
                <w:szCs w:val="13"/>
                <w:b w:val="1"/>
                <w:bCs w:val="1"/>
                <w:color w:val="auto"/>
                <w:w w:val="90"/>
              </w:rPr>
              <w:t>Not Applicable</w:t>
            </w:r>
          </w:p>
        </w:tc>
        <w:tc>
          <w:tcPr>
            <w:tcW w:w="0" w:type="dxa"/>
            <w:vAlign w:val="bottom"/>
          </w:tcPr>
          <w:p>
            <w:pPr>
              <w:spacing w:after="0"/>
              <w:rPr>
                <w:sz w:val="1"/>
                <w:szCs w:val="1"/>
                <w:color w:val="auto"/>
              </w:rPr>
            </w:pPr>
          </w:p>
        </w:tc>
      </w:tr>
      <w:tr>
        <w:trPr>
          <w:trHeight w:val="129"/>
        </w:trPr>
        <w:tc>
          <w:tcPr>
            <w:tcW w:w="2140" w:type="dxa"/>
            <w:vAlign w:val="bottom"/>
            <w:vMerge w:val="restart"/>
          </w:tcPr>
          <w:p>
            <w:pPr>
              <w:spacing w:after="0"/>
              <w:rPr>
                <w:sz w:val="20"/>
                <w:szCs w:val="20"/>
                <w:color w:val="auto"/>
              </w:rPr>
            </w:pPr>
            <w:r>
              <w:rPr>
                <w:rFonts w:ascii="Arial" w:cs="Arial" w:eastAsia="Arial" w:hAnsi="Arial"/>
                <w:sz w:val="13"/>
                <w:szCs w:val="13"/>
                <w:i w:val="1"/>
                <w:iCs w:val="1"/>
                <w:color w:val="auto"/>
              </w:rPr>
              <w:t>(Primary Standard Industrial</w:t>
            </w:r>
          </w:p>
        </w:tc>
        <w:tc>
          <w:tcPr>
            <w:tcW w:w="1560" w:type="dxa"/>
            <w:vAlign w:val="bottom"/>
          </w:tcPr>
          <w:p>
            <w:pPr>
              <w:jc w:val="center"/>
              <w:ind w:left="555"/>
              <w:spacing w:after="0" w:line="129" w:lineRule="exact"/>
              <w:rPr>
                <w:sz w:val="20"/>
                <w:szCs w:val="20"/>
                <w:color w:val="auto"/>
              </w:rPr>
            </w:pPr>
            <w:r>
              <w:rPr>
                <w:rFonts w:ascii="Arial" w:cs="Arial" w:eastAsia="Arial" w:hAnsi="Arial"/>
                <w:sz w:val="13"/>
                <w:szCs w:val="13"/>
                <w:i w:val="1"/>
                <w:iCs w:val="1"/>
                <w:color w:val="auto"/>
                <w:w w:val="90"/>
              </w:rPr>
              <w:t>(I.R.S. Employer</w:t>
            </w:r>
          </w:p>
        </w:tc>
        <w:tc>
          <w:tcPr>
            <w:tcW w:w="0" w:type="dxa"/>
            <w:vAlign w:val="bottom"/>
          </w:tcPr>
          <w:p>
            <w:pPr>
              <w:spacing w:after="0"/>
              <w:rPr>
                <w:sz w:val="1"/>
                <w:szCs w:val="1"/>
                <w:color w:val="auto"/>
              </w:rPr>
            </w:pPr>
          </w:p>
        </w:tc>
      </w:tr>
      <w:tr>
        <w:trPr>
          <w:trHeight w:val="48"/>
        </w:trPr>
        <w:tc>
          <w:tcPr>
            <w:tcW w:w="2140" w:type="dxa"/>
            <w:vAlign w:val="bottom"/>
            <w:vMerge w:val="continue"/>
          </w:tcPr>
          <w:p>
            <w:pPr>
              <w:spacing w:after="0"/>
              <w:rPr>
                <w:sz w:val="4"/>
                <w:szCs w:val="4"/>
                <w:color w:val="auto"/>
              </w:rPr>
            </w:pPr>
          </w:p>
        </w:tc>
        <w:tc>
          <w:tcPr>
            <w:tcW w:w="1560" w:type="dxa"/>
            <w:vAlign w:val="bottom"/>
            <w:vMerge w:val="restart"/>
          </w:tcPr>
          <w:p>
            <w:pPr>
              <w:jc w:val="center"/>
              <w:ind w:left="555"/>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115"/>
        </w:trPr>
        <w:tc>
          <w:tcPr>
            <w:tcW w:w="2140" w:type="dxa"/>
            <w:vAlign w:val="bottom"/>
            <w:vMerge w:val="restart"/>
          </w:tcPr>
          <w:p>
            <w:pPr>
              <w:spacing w:after="0"/>
              <w:rPr>
                <w:sz w:val="20"/>
                <w:szCs w:val="20"/>
                <w:color w:val="auto"/>
              </w:rPr>
            </w:pPr>
            <w:r>
              <w:rPr>
                <w:rFonts w:ascii="Arial" w:cs="Arial" w:eastAsia="Arial" w:hAnsi="Arial"/>
                <w:sz w:val="13"/>
                <w:szCs w:val="13"/>
                <w:i w:val="1"/>
                <w:iCs w:val="1"/>
                <w:color w:val="auto"/>
              </w:rPr>
              <w:t>Classification Code Number)</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14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2860" w:space="200"/>
            <w:col w:w="5959"/>
          </w:cols>
          <w:pgMar w:left="1440" w:top="285" w:right="1440" w:bottom="1440" w:gutter="0" w:footer="0" w:header="0"/>
          <w:type w:val="continuous"/>
        </w:sectPr>
      </w:pP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Kornit Digital Ltd.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12 Ha`Amal Street, Afek Park,</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Rosh-Ha`Ayin 4809246, Israel</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Tel: +972-3-908-5800</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i w:val="1"/>
          <w:iCs w:val="1"/>
          <w:color w:val="auto"/>
        </w:rPr>
        <w:t>(Address, including zip code, and telephone number, including area code, of Registrant’s principal executive offices)</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Kornit Digital North America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10541-10601 North Commerce Street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Mequon, WI 53092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(262) 518-0200</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3"/>
          <w:szCs w:val="13"/>
          <w:i w:val="1"/>
          <w:iCs w:val="1"/>
          <w:color w:val="auto"/>
        </w:rPr>
        <w:t>(Name, address, including zip code, and telephone number, including area code, of agent for service)</w:t>
      </w:r>
    </w:p>
    <w:p>
      <w:pPr>
        <w:spacing w:after="0" w:line="17" w:lineRule="exact"/>
        <w:rPr>
          <w:sz w:val="24"/>
          <w:szCs w:val="24"/>
          <w:color w:val="auto"/>
        </w:rPr>
      </w:pPr>
    </w:p>
    <w:p>
      <w:pPr>
        <w:ind w:left="3440"/>
        <w:spacing w:after="0"/>
        <w:rPr>
          <w:sz w:val="20"/>
          <w:szCs w:val="20"/>
          <w:color w:val="auto"/>
        </w:rPr>
      </w:pPr>
      <w:r>
        <w:rPr>
          <w:rFonts w:ascii="Arial" w:cs="Arial" w:eastAsia="Arial" w:hAnsi="Arial"/>
          <w:sz w:val="19"/>
          <w:szCs w:val="19"/>
          <w:color w:val="auto"/>
        </w:rPr>
        <w:t>______________________</w:t>
      </w:r>
    </w:p>
    <w:p>
      <w:pPr>
        <w:spacing w:after="0" w:line="196" w:lineRule="exact"/>
        <w:rPr>
          <w:sz w:val="24"/>
          <w:szCs w:val="24"/>
          <w:color w:val="auto"/>
        </w:rPr>
      </w:pPr>
    </w:p>
    <w:tbl>
      <w:tblPr>
        <w:tblLayout w:type="fixed"/>
        <w:tblInd w:w="740" w:type="dxa"/>
        <w:tblCellMar>
          <w:top w:w="0" w:type="dxa"/>
          <w:left w:w="0" w:type="dxa"/>
          <w:bottom w:w="0" w:type="dxa"/>
          <w:right w:w="0" w:type="dxa"/>
        </w:tblCellMar>
      </w:tblPr>
      <w:tr>
        <w:trPr>
          <w:trHeight w:val="163"/>
        </w:trPr>
        <w:tc>
          <w:tcPr>
            <w:tcW w:w="1700" w:type="dxa"/>
            <w:vAlign w:val="bottom"/>
          </w:tcPr>
          <w:p>
            <w:pPr>
              <w:spacing w:after="0"/>
              <w:rPr>
                <w:sz w:val="14"/>
                <w:szCs w:val="14"/>
                <w:color w:val="auto"/>
              </w:rPr>
            </w:pPr>
          </w:p>
        </w:tc>
        <w:tc>
          <w:tcPr>
            <w:tcW w:w="4120" w:type="dxa"/>
            <w:vAlign w:val="bottom"/>
            <w:gridSpan w:val="2"/>
          </w:tcPr>
          <w:p>
            <w:pPr>
              <w:ind w:left="1240"/>
              <w:spacing w:after="0"/>
              <w:rPr>
                <w:sz w:val="20"/>
                <w:szCs w:val="20"/>
                <w:color w:val="auto"/>
              </w:rPr>
            </w:pPr>
            <w:r>
              <w:rPr>
                <w:rFonts w:ascii="Arial" w:cs="Arial" w:eastAsia="Arial" w:hAnsi="Arial"/>
                <w:sz w:val="13"/>
                <w:szCs w:val="13"/>
                <w:color w:val="auto"/>
              </w:rPr>
              <w:t>Copies of all correspondence to:</w:t>
            </w:r>
          </w:p>
        </w:tc>
        <w:tc>
          <w:tcPr>
            <w:tcW w:w="1720" w:type="dxa"/>
            <w:vAlign w:val="bottom"/>
          </w:tcPr>
          <w:p>
            <w:pPr>
              <w:spacing w:after="0"/>
              <w:rPr>
                <w:sz w:val="14"/>
                <w:szCs w:val="14"/>
                <w:color w:val="auto"/>
              </w:rPr>
            </w:pPr>
          </w:p>
        </w:tc>
      </w:tr>
      <w:tr>
        <w:trPr>
          <w:trHeight w:val="233"/>
        </w:trPr>
        <w:tc>
          <w:tcPr>
            <w:tcW w:w="1700" w:type="dxa"/>
            <w:vAlign w:val="bottom"/>
          </w:tcPr>
          <w:p>
            <w:pPr>
              <w:jc w:val="center"/>
              <w:ind w:right="55"/>
              <w:spacing w:after="0"/>
              <w:rPr>
                <w:sz w:val="20"/>
                <w:szCs w:val="20"/>
                <w:color w:val="auto"/>
              </w:rPr>
            </w:pPr>
            <w:r>
              <w:rPr>
                <w:rFonts w:ascii="Arial" w:cs="Arial" w:eastAsia="Arial" w:hAnsi="Arial"/>
                <w:sz w:val="13"/>
                <w:szCs w:val="13"/>
                <w:b w:val="1"/>
                <w:bCs w:val="1"/>
                <w:color w:val="auto"/>
                <w:w w:val="91"/>
              </w:rPr>
              <w:t>Colin J. Diamond, Esq</w:t>
            </w: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3"/>
              </w:rPr>
              <w:t>Clifford M. J. Felig, Adv.</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0"/>
              </w:rPr>
              <w:t>David Goldschmidt, Esq.</w:t>
            </w:r>
          </w:p>
        </w:tc>
        <w:tc>
          <w:tcPr>
            <w:tcW w:w="1720" w:type="dxa"/>
            <w:vAlign w:val="bottom"/>
          </w:tcPr>
          <w:p>
            <w:pPr>
              <w:jc w:val="center"/>
              <w:ind w:left="95"/>
              <w:spacing w:after="0"/>
              <w:rPr>
                <w:sz w:val="20"/>
                <w:szCs w:val="20"/>
                <w:color w:val="auto"/>
              </w:rPr>
            </w:pPr>
            <w:r>
              <w:rPr>
                <w:rFonts w:ascii="Arial" w:cs="Arial" w:eastAsia="Arial" w:hAnsi="Arial"/>
                <w:sz w:val="13"/>
                <w:szCs w:val="13"/>
                <w:b w:val="1"/>
                <w:bCs w:val="1"/>
                <w:color w:val="auto"/>
                <w:w w:val="91"/>
              </w:rPr>
              <w:t>Shachar Hadar, Adv.</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89"/>
              </w:rPr>
              <w:t>Joshua G. Kiernan, Esq.</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Aviv Avidan-Shalit, Adv.</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Phyllis G. Korff, Esq.</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89"/>
              </w:rPr>
              <w:t>Gross, Kleinhendler, Hodak,</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5"/>
              </w:rPr>
              <w:t>White &amp; Case LLP</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Meitar Liquornik Geva Leshem</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Skadden, Arps, Slate, Meagher &amp;</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91"/>
              </w:rPr>
              <w:t>Halevy, Greenberg &amp; Co.</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87"/>
              </w:rPr>
              <w:t>1155 Avenue of the Americas</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Tal</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Flom LLP</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92"/>
              </w:rPr>
              <w:t>One Azrieli Center</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1"/>
              </w:rPr>
              <w:t>New York, NY 10036</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16 Abba Hillel Silver Rd.</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4 Times Square</w:t>
            </w:r>
          </w:p>
        </w:tc>
        <w:tc>
          <w:tcPr>
            <w:tcW w:w="1720" w:type="dxa"/>
            <w:vAlign w:val="bottom"/>
          </w:tcPr>
          <w:p>
            <w:pPr>
              <w:jc w:val="center"/>
              <w:ind w:left="75"/>
              <w:spacing w:after="0" w:line="146" w:lineRule="exact"/>
              <w:rPr>
                <w:sz w:val="20"/>
                <w:szCs w:val="20"/>
                <w:color w:val="auto"/>
              </w:rPr>
            </w:pPr>
            <w:r>
              <w:rPr>
                <w:rFonts w:ascii="Arial" w:cs="Arial" w:eastAsia="Arial" w:hAnsi="Arial"/>
                <w:sz w:val="13"/>
                <w:szCs w:val="13"/>
                <w:b w:val="1"/>
                <w:bCs w:val="1"/>
                <w:color w:val="auto"/>
                <w:w w:val="90"/>
              </w:rPr>
              <w:t>Tel Aviv 67021, Israel</w:t>
            </w:r>
          </w:p>
        </w:tc>
      </w:tr>
      <w:tr>
        <w:trPr>
          <w:trHeight w:val="145"/>
        </w:trPr>
        <w:tc>
          <w:tcPr>
            <w:tcW w:w="1700" w:type="dxa"/>
            <w:vAlign w:val="bottom"/>
          </w:tcPr>
          <w:p>
            <w:pPr>
              <w:jc w:val="center"/>
              <w:ind w:right="55"/>
              <w:spacing w:after="0" w:line="146" w:lineRule="exact"/>
              <w:rPr>
                <w:sz w:val="20"/>
                <w:szCs w:val="20"/>
                <w:color w:val="auto"/>
              </w:rPr>
            </w:pPr>
            <w:r>
              <w:rPr>
                <w:rFonts w:ascii="Arial" w:cs="Arial" w:eastAsia="Arial" w:hAnsi="Arial"/>
                <w:sz w:val="13"/>
                <w:szCs w:val="13"/>
                <w:b w:val="1"/>
                <w:bCs w:val="1"/>
                <w:color w:val="auto"/>
                <w:w w:val="91"/>
              </w:rPr>
              <w:t>Tel: (212) 819-8200</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Ramat Gan 5250608, Israel</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New York, NY 10036</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91"/>
              </w:rPr>
              <w:t>Tel: +972-3-607-4444</w:t>
            </w:r>
          </w:p>
        </w:tc>
      </w:tr>
      <w:tr>
        <w:trPr>
          <w:trHeight w:val="145"/>
        </w:trPr>
        <w:tc>
          <w:tcPr>
            <w:tcW w:w="1700" w:type="dxa"/>
            <w:vAlign w:val="bottom"/>
          </w:tcPr>
          <w:p>
            <w:pPr>
              <w:jc w:val="center"/>
              <w:ind w:right="75"/>
              <w:spacing w:after="0" w:line="146" w:lineRule="exact"/>
              <w:rPr>
                <w:sz w:val="20"/>
                <w:szCs w:val="20"/>
                <w:color w:val="auto"/>
              </w:rPr>
            </w:pPr>
            <w:r>
              <w:rPr>
                <w:rFonts w:ascii="Arial" w:cs="Arial" w:eastAsia="Arial" w:hAnsi="Arial"/>
                <w:sz w:val="13"/>
                <w:szCs w:val="13"/>
                <w:b w:val="1"/>
                <w:bCs w:val="1"/>
                <w:color w:val="auto"/>
                <w:w w:val="90"/>
              </w:rPr>
              <w:t>Fax: (212) 354-8113</w:t>
            </w:r>
          </w:p>
        </w:tc>
        <w:tc>
          <w:tcPr>
            <w:tcW w:w="1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Tel: +972-3-610-3100</w:t>
            </w:r>
          </w:p>
        </w:tc>
        <w:tc>
          <w:tcPr>
            <w:tcW w:w="21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Tel: (212) 735-3000</w:t>
            </w:r>
          </w:p>
        </w:tc>
        <w:tc>
          <w:tcPr>
            <w:tcW w:w="1720" w:type="dxa"/>
            <w:vAlign w:val="bottom"/>
          </w:tcPr>
          <w:p>
            <w:pPr>
              <w:jc w:val="center"/>
              <w:ind w:left="95"/>
              <w:spacing w:after="0" w:line="146" w:lineRule="exact"/>
              <w:rPr>
                <w:sz w:val="20"/>
                <w:szCs w:val="20"/>
                <w:color w:val="auto"/>
              </w:rPr>
            </w:pPr>
            <w:r>
              <w:rPr>
                <w:rFonts w:ascii="Arial" w:cs="Arial" w:eastAsia="Arial" w:hAnsi="Arial"/>
                <w:sz w:val="13"/>
                <w:szCs w:val="13"/>
                <w:b w:val="1"/>
                <w:bCs w:val="1"/>
                <w:color w:val="auto"/>
                <w:w w:val="91"/>
              </w:rPr>
              <w:t>Fax: +972-3-607-4470</w:t>
            </w:r>
          </w:p>
        </w:tc>
      </w:tr>
      <w:tr>
        <w:trPr>
          <w:trHeight w:val="167"/>
        </w:trPr>
        <w:tc>
          <w:tcPr>
            <w:tcW w:w="17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0"/>
              </w:rPr>
              <w:t>Fax: +972-3-610-3111</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0"/>
              </w:rPr>
              <w:t>Fax: (212) 735-2000</w:t>
            </w:r>
          </w:p>
        </w:tc>
        <w:tc>
          <w:tcPr>
            <w:tcW w:w="1720" w:type="dxa"/>
            <w:vAlign w:val="bottom"/>
          </w:tcPr>
          <w:p>
            <w:pPr>
              <w:spacing w:after="0"/>
              <w:rPr>
                <w:sz w:val="14"/>
                <w:szCs w:val="14"/>
                <w:color w:val="auto"/>
              </w:rPr>
            </w:pPr>
          </w:p>
        </w:tc>
      </w:tr>
    </w:tbl>
    <w:p>
      <w:pPr>
        <w:spacing w:after="0" w:line="173" w:lineRule="exact"/>
        <w:rPr>
          <w:sz w:val="24"/>
          <w:szCs w:val="24"/>
          <w:color w:val="auto"/>
        </w:rPr>
      </w:pPr>
    </w:p>
    <w:p>
      <w:pPr>
        <w:ind w:left="3440"/>
        <w:spacing w:after="0"/>
        <w:rPr>
          <w:sz w:val="20"/>
          <w:szCs w:val="20"/>
          <w:color w:val="auto"/>
        </w:rPr>
      </w:pPr>
      <w:r>
        <w:rPr>
          <w:rFonts w:ascii="Arial" w:cs="Arial" w:eastAsia="Arial" w:hAnsi="Arial"/>
          <w:sz w:val="19"/>
          <w:szCs w:val="19"/>
          <w:color w:val="auto"/>
        </w:rPr>
        <w:t>______________________</w:t>
      </w:r>
    </w:p>
    <w:p>
      <w:pPr>
        <w:spacing w:after="0" w:line="192" w:lineRule="exact"/>
        <w:rPr>
          <w:sz w:val="24"/>
          <w:szCs w:val="24"/>
          <w:color w:val="auto"/>
        </w:rPr>
      </w:pPr>
    </w:p>
    <w:p>
      <w:pPr>
        <w:ind w:left="580" w:right="959"/>
        <w:spacing w:after="0" w:line="284" w:lineRule="auto"/>
        <w:rPr>
          <w:sz w:val="20"/>
          <w:szCs w:val="20"/>
          <w:color w:val="auto"/>
        </w:rPr>
      </w:pPr>
      <w:r>
        <w:rPr>
          <w:rFonts w:ascii="Arial" w:cs="Arial" w:eastAsia="Arial" w:hAnsi="Arial"/>
          <w:sz w:val="15"/>
          <w:szCs w:val="15"/>
          <w:color w:val="auto"/>
        </w:rPr>
        <w:t>Approximate date of commencement of proposed sale to the public: As soon as practicable after effectiveness of this registration statement.</w:t>
      </w:r>
    </w:p>
    <w:p>
      <w:pPr>
        <w:spacing w:after="0" w:line="28" w:lineRule="exact"/>
        <w:rPr>
          <w:sz w:val="24"/>
          <w:szCs w:val="24"/>
          <w:color w:val="auto"/>
        </w:rPr>
      </w:pPr>
    </w:p>
    <w:p>
      <w:pPr>
        <w:ind w:left="580" w:right="639"/>
        <w:spacing w:after="0" w:line="201"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5" w:lineRule="exact"/>
        <w:rPr>
          <w:sz w:val="24"/>
          <w:szCs w:val="24"/>
          <w:color w:val="auto"/>
        </w:rPr>
      </w:pPr>
    </w:p>
    <w:p>
      <w:pPr>
        <w:ind w:left="580" w:right="959"/>
        <w:spacing w:after="0" w:line="199"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5" w:lineRule="exact"/>
        <w:rPr>
          <w:sz w:val="24"/>
          <w:szCs w:val="24"/>
          <w:color w:val="auto"/>
        </w:rPr>
      </w:pPr>
    </w:p>
    <w:p>
      <w:pPr>
        <w:ind w:left="580" w:right="659"/>
        <w:spacing w:after="0" w:line="201"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6" w:lineRule="exact"/>
        <w:rPr>
          <w:sz w:val="24"/>
          <w:szCs w:val="24"/>
          <w:color w:val="auto"/>
        </w:rPr>
      </w:pPr>
    </w:p>
    <w:p>
      <w:pPr>
        <w:ind w:left="580" w:right="639"/>
        <w:spacing w:after="0" w:line="19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9"/>
          <w:szCs w:val="19"/>
          <w:color w:val="auto"/>
        </w:rPr>
        <w:t>______________________</w:t>
      </w:r>
    </w:p>
    <w:p>
      <w:pPr>
        <w:spacing w:after="0" w:line="140" w:lineRule="exact"/>
        <w:rPr>
          <w:sz w:val="24"/>
          <w:szCs w:val="24"/>
          <w:color w:val="auto"/>
        </w:rPr>
      </w:pPr>
    </w:p>
    <w:tbl>
      <w:tblPr>
        <w:tblLayout w:type="fixed"/>
        <w:tblInd w:w="58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4"/>
          </w:tcPr>
          <w:p>
            <w:pPr>
              <w:ind w:left="140"/>
              <w:spacing w:after="0"/>
              <w:rPr>
                <w:sz w:val="20"/>
                <w:szCs w:val="20"/>
                <w:color w:val="auto"/>
              </w:rPr>
            </w:pPr>
            <w:r>
              <w:rPr>
                <w:rFonts w:ascii="Arial" w:cs="Arial" w:eastAsia="Arial" w:hAnsi="Arial"/>
                <w:sz w:val="13"/>
                <w:szCs w:val="13"/>
                <w:b w:val="1"/>
                <w:bCs w:val="1"/>
                <w:color w:val="auto"/>
              </w:rPr>
              <w:t>CALCULATION OF REGISTRATION FEE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3"/>
              </w:rPr>
              <w:t>Proposed</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Proposed maximum</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maximum</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Title of each class of securities to be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Amount to be</w:t>
            </w:r>
          </w:p>
        </w:tc>
        <w:tc>
          <w:tcPr>
            <w:tcW w:w="2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offering price per</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aggregate offering</w:t>
            </w: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Amount of</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520" w:type="dxa"/>
            <w:vAlign w:val="bottom"/>
            <w:gridSpan w:val="2"/>
            <w:vMerge w:val="continue"/>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registered</w:t>
            </w:r>
            <w:r>
              <w:rPr>
                <w:rFonts w:ascii="Arial" w:cs="Arial" w:eastAsia="Arial" w:hAnsi="Arial"/>
                <w:sz w:val="21"/>
                <w:szCs w:val="21"/>
                <w:b w:val="1"/>
                <w:bCs w:val="1"/>
                <w:color w:val="auto"/>
                <w:w w:val="82"/>
                <w:vertAlign w:val="superscript"/>
              </w:rPr>
              <w:t>(1)</w:t>
            </w:r>
          </w:p>
        </w:tc>
        <w:tc>
          <w:tcPr>
            <w:tcW w:w="200" w:type="dxa"/>
            <w:vAlign w:val="bottom"/>
          </w:tcPr>
          <w:p>
            <w:pPr>
              <w:spacing w:after="0"/>
              <w:rPr>
                <w:sz w:val="4"/>
                <w:szCs w:val="4"/>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0"/>
              </w:rPr>
              <w:t>share</w:t>
            </w:r>
            <w:r>
              <w:rPr>
                <w:rFonts w:ascii="Arial" w:cs="Arial" w:eastAsia="Arial" w:hAnsi="Arial"/>
                <w:sz w:val="21"/>
                <w:szCs w:val="21"/>
                <w:b w:val="1"/>
                <w:bCs w:val="1"/>
                <w:color w:val="auto"/>
                <w:w w:val="80"/>
                <w:vertAlign w:val="superscript"/>
              </w:rPr>
              <w:t>(2)</w:t>
            </w:r>
          </w:p>
        </w:tc>
        <w:tc>
          <w:tcPr>
            <w:tcW w:w="200" w:type="dxa"/>
            <w:vAlign w:val="bottom"/>
            <w:vMerge w:val="restart"/>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Arial" w:cs="Arial" w:eastAsia="Arial" w:hAnsi="Arial"/>
                <w:sz w:val="25"/>
                <w:szCs w:val="25"/>
                <w:b w:val="1"/>
                <w:bCs w:val="1"/>
                <w:color w:val="auto"/>
                <w:w w:val="80"/>
                <w:vertAlign w:val="subscript"/>
              </w:rPr>
              <w:t>price</w:t>
            </w:r>
            <w:r>
              <w:rPr>
                <w:rFonts w:ascii="Arial" w:cs="Arial" w:eastAsia="Arial" w:hAnsi="Arial"/>
                <w:sz w:val="11"/>
                <w:szCs w:val="11"/>
                <w:b w:val="1"/>
                <w:bCs w:val="1"/>
                <w:color w:val="auto"/>
                <w:w w:val="80"/>
              </w:rPr>
              <w:t>(1)(2)</w:t>
            </w:r>
          </w:p>
        </w:tc>
        <w:tc>
          <w:tcPr>
            <w:tcW w:w="200" w:type="dxa"/>
            <w:vAlign w:val="bottom"/>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registration fee</w:t>
            </w:r>
            <w:r>
              <w:rPr>
                <w:rFonts w:ascii="Arial" w:cs="Arial" w:eastAsia="Arial" w:hAnsi="Arial"/>
                <w:sz w:val="21"/>
                <w:szCs w:val="21"/>
                <w:b w:val="1"/>
                <w:bCs w:val="1"/>
                <w:color w:val="auto"/>
                <w:w w:val="86"/>
                <w:vertAlign w:val="superscript"/>
              </w:rPr>
              <w:t>(3)</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registered</w:t>
            </w:r>
          </w:p>
        </w:tc>
        <w:tc>
          <w:tcPr>
            <w:tcW w:w="200" w:type="dxa"/>
            <w:vAlign w:val="bottom"/>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3"/>
                <w:szCs w:val="13"/>
                <w:color w:val="auto"/>
                <w:w w:val="94"/>
              </w:rPr>
              <w:t>Ordinary shares, par value NIS 0.01 per share</w:t>
            </w: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8,165,000</w:t>
            </w:r>
          </w:p>
        </w:tc>
        <w:tc>
          <w:tcPr>
            <w:tcW w:w="152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$15.00</w:t>
            </w: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87"/>
              </w:rPr>
              <w:t>$122,475,000</w:t>
            </w:r>
          </w:p>
        </w:tc>
        <w:tc>
          <w:tcPr>
            <w:tcW w:w="130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$14,232</w:t>
            </w:r>
          </w:p>
        </w:tc>
        <w:tc>
          <w:tcPr>
            <w:tcW w:w="0" w:type="dxa"/>
            <w:vAlign w:val="bottom"/>
          </w:tcPr>
          <w:p>
            <w:pPr>
              <w:spacing w:after="0"/>
              <w:rPr>
                <w:sz w:val="1"/>
                <w:szCs w:val="1"/>
                <w:color w:val="auto"/>
              </w:rPr>
            </w:pPr>
          </w:p>
        </w:tc>
      </w:tr>
      <w:tr>
        <w:trPr>
          <w:trHeight w:val="250"/>
        </w:trPr>
        <w:tc>
          <w:tcPr>
            <w:tcW w:w="2360" w:type="dxa"/>
            <w:vAlign w:val="bottom"/>
            <w:gridSpan w:val="2"/>
          </w:tcPr>
          <w:p>
            <w:pPr>
              <w:jc w:val="right"/>
              <w:ind w:right="935"/>
              <w:spacing w:after="0"/>
              <w:rPr>
                <w:sz w:val="20"/>
                <w:szCs w:val="20"/>
                <w:color w:val="auto"/>
              </w:rPr>
            </w:pPr>
            <w:r>
              <w:rPr>
                <w:rFonts w:ascii="Arial" w:cs="Arial" w:eastAsia="Arial" w:hAnsi="Arial"/>
                <w:sz w:val="19"/>
                <w:szCs w:val="19"/>
                <w:color w:val="auto"/>
                <w:w w:val="90"/>
              </w:rPr>
              <w:t>______________</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p>
      <w:pPr>
        <w:ind w:left="820" w:hanging="210"/>
        <w:spacing w:after="0"/>
        <w:tabs>
          <w:tab w:leader="none" w:pos="820" w:val="left"/>
        </w:tabs>
        <w:numPr>
          <w:ilvl w:val="1"/>
          <w:numId w:val="1"/>
        </w:numPr>
        <w:rPr>
          <w:rFonts w:ascii="Arial" w:cs="Arial" w:eastAsia="Arial" w:hAnsi="Arial"/>
          <w:sz w:val="13"/>
          <w:szCs w:val="13"/>
          <w:color w:val="auto"/>
        </w:rPr>
      </w:pPr>
      <w:r>
        <w:rPr>
          <w:rFonts w:ascii="Arial" w:cs="Arial" w:eastAsia="Arial" w:hAnsi="Arial"/>
          <w:sz w:val="13"/>
          <w:szCs w:val="13"/>
          <w:color w:val="auto"/>
        </w:rPr>
        <w:t>Includes shares granted pursuant to the underwriters’ option to purchase additional shares.</w:t>
      </w:r>
    </w:p>
    <w:p>
      <w:pPr>
        <w:spacing w:after="0" w:line="71" w:lineRule="exact"/>
        <w:rPr>
          <w:rFonts w:ascii="Arial" w:cs="Arial" w:eastAsia="Arial" w:hAnsi="Arial"/>
          <w:sz w:val="13"/>
          <w:szCs w:val="13"/>
          <w:color w:val="auto"/>
        </w:rPr>
      </w:pPr>
    </w:p>
    <w:p>
      <w:pPr>
        <w:ind w:left="860" w:hanging="283"/>
        <w:spacing w:after="0"/>
        <w:tabs>
          <w:tab w:leader="none" w:pos="860" w:val="left"/>
        </w:tabs>
        <w:numPr>
          <w:ilvl w:val="1"/>
          <w:numId w:val="1"/>
        </w:numPr>
        <w:rPr>
          <w:rFonts w:ascii="Arial" w:cs="Arial" w:eastAsia="Arial" w:hAnsi="Arial"/>
          <w:sz w:val="16"/>
          <w:szCs w:val="16"/>
          <w:color w:val="auto"/>
        </w:rPr>
      </w:pPr>
      <w:r>
        <w:rPr>
          <w:rFonts w:ascii="Arial" w:cs="Arial" w:eastAsia="Arial" w:hAnsi="Arial"/>
          <w:sz w:val="13"/>
          <w:szCs w:val="13"/>
          <w:color w:val="auto"/>
        </w:rPr>
        <w:t>Estimated solely for the purpose of calculating the registration fee pursuant to Rule 457(a) under the Securities Act of 1933.</w:t>
      </w:r>
    </w:p>
    <w:p>
      <w:pPr>
        <w:spacing w:after="0" w:line="79" w:lineRule="exact"/>
        <w:rPr>
          <w:rFonts w:ascii="Arial" w:cs="Arial" w:eastAsia="Arial" w:hAnsi="Arial"/>
          <w:sz w:val="16"/>
          <w:szCs w:val="16"/>
          <w:color w:val="auto"/>
        </w:rPr>
      </w:pPr>
    </w:p>
    <w:p>
      <w:pPr>
        <w:ind w:left="840" w:hanging="263"/>
        <w:spacing w:after="0"/>
        <w:tabs>
          <w:tab w:leader="none" w:pos="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$13,363 previously paid.</w:t>
      </w:r>
    </w:p>
    <w:p>
      <w:pPr>
        <w:spacing w:after="0" w:line="14"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______________________</w:t>
      </w:r>
    </w:p>
    <w:p>
      <w:pPr>
        <w:spacing w:after="0" w:line="14" w:lineRule="exact"/>
        <w:rPr>
          <w:sz w:val="24"/>
          <w:szCs w:val="24"/>
          <w:color w:val="auto"/>
        </w:rPr>
      </w:pPr>
    </w:p>
    <w:p>
      <w:pPr>
        <w:ind w:left="580" w:right="659"/>
        <w:spacing w:after="0" w:line="261"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wp:posOffset>
            </wp:positionH>
            <wp:positionV relativeFrom="paragraph">
              <wp:posOffset>199390</wp:posOffset>
            </wp:positionV>
            <wp:extent cx="49993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type w:val="continuous"/>
        </w:sectPr>
      </w:pPr>
    </w:p>
    <w:bookmarkStart w:id="1" w:name="page2"/>
    <w:bookmarkEnd w:id="1"/>
    <w:p>
      <w:pPr>
        <w:ind w:left="580" w:right="719"/>
        <w:spacing w:after="0" w:line="262" w:lineRule="auto"/>
        <w:rPr>
          <w:sz w:val="20"/>
          <w:szCs w:val="20"/>
          <w:color w:val="auto"/>
        </w:rPr>
      </w:pPr>
      <w:r>
        <w:rPr>
          <w:rFonts w:ascii="Arial" w:cs="Arial" w:eastAsia="Arial" w:hAnsi="Arial"/>
          <w:sz w:val="16"/>
          <w:szCs w:val="16"/>
          <w:color w:val="D8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6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D80000"/>
        </w:rPr>
        <w:t>Subject to Completion, dated March 18, 2015</w:t>
      </w:r>
    </w:p>
    <w:p>
      <w:pPr>
        <w:spacing w:after="0" w:line="204" w:lineRule="exact"/>
        <w:rPr>
          <w:sz w:val="20"/>
          <w:szCs w:val="20"/>
          <w:color w:val="auto"/>
        </w:rPr>
      </w:pPr>
    </w:p>
    <w:p>
      <w:pPr>
        <w:ind w:left="780"/>
        <w:spacing w:after="0"/>
        <w:rPr>
          <w:sz w:val="20"/>
          <w:szCs w:val="20"/>
          <w:color w:val="auto"/>
        </w:rPr>
      </w:pPr>
      <w:r>
        <w:rPr>
          <w:rFonts w:ascii="Arial" w:cs="Arial" w:eastAsia="Arial" w:hAnsi="Arial"/>
          <w:sz w:val="16"/>
          <w:szCs w:val="16"/>
          <w:b w:val="1"/>
          <w:bCs w:val="1"/>
          <w:u w:val="single" w:color="auto"/>
          <w:color w:val="auto"/>
        </w:rPr>
        <w:t>Preliminary Prospectus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7,100,000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113665</wp:posOffset>
            </wp:positionV>
            <wp:extent cx="2045970" cy="1269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597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Kornit Digital Ltd.</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Ordinary Shares</w:t>
      </w:r>
    </w:p>
    <w:p>
      <w:pPr>
        <w:spacing w:after="0" w:line="8"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______________________</w:t>
      </w:r>
    </w:p>
    <w:p>
      <w:pPr>
        <w:spacing w:after="0" w:line="23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This is Kornit Digital Ltd.’s initial public offering. We are selling 7,100,000 of our ordinary shares.</w:t>
      </w:r>
    </w:p>
    <w:p>
      <w:pPr>
        <w:spacing w:after="0" w:line="204" w:lineRule="exact"/>
        <w:rPr>
          <w:sz w:val="20"/>
          <w:szCs w:val="20"/>
          <w:color w:val="auto"/>
        </w:rPr>
      </w:pPr>
    </w:p>
    <w:p>
      <w:pPr>
        <w:ind w:left="580" w:right="759" w:firstLine="194"/>
        <w:spacing w:after="0" w:line="267" w:lineRule="auto"/>
        <w:rPr>
          <w:sz w:val="20"/>
          <w:szCs w:val="20"/>
          <w:color w:val="auto"/>
        </w:rPr>
      </w:pPr>
      <w:r>
        <w:rPr>
          <w:rFonts w:ascii="Arial" w:cs="Arial" w:eastAsia="Arial" w:hAnsi="Arial"/>
          <w:sz w:val="16"/>
          <w:szCs w:val="16"/>
          <w:color w:val="auto"/>
        </w:rPr>
        <w:t>We expect the public offering price to be between $13.00 and $15.00 per share. Prior to this offering, there has been no public market for our ordinary shares. We have applied to have the ordinary shares listed on the NASDAQ Global Market under the symbol “KRNT.”</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Per Share</w:t>
            </w:r>
          </w:p>
        </w:tc>
        <w:tc>
          <w:tcPr>
            <w:tcW w:w="320" w:type="dxa"/>
            <w:vAlign w:val="bottom"/>
          </w:tcPr>
          <w:p>
            <w:pPr>
              <w:spacing w:after="0"/>
              <w:rPr>
                <w:sz w:val="16"/>
                <w:szCs w:val="16"/>
                <w:color w:val="auto"/>
              </w:rPr>
            </w:pPr>
          </w:p>
        </w:tc>
        <w:tc>
          <w:tcPr>
            <w:tcW w:w="11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Total</w:t>
            </w:r>
          </w:p>
        </w:tc>
      </w:tr>
      <w:tr>
        <w:trPr>
          <w:trHeight w:val="182"/>
        </w:trPr>
        <w:tc>
          <w:tcPr>
            <w:tcW w:w="4020" w:type="dxa"/>
            <w:vAlign w:val="bottom"/>
          </w:tcPr>
          <w:p>
            <w:pPr>
              <w:spacing w:after="0" w:line="181" w:lineRule="exact"/>
              <w:rPr>
                <w:sz w:val="20"/>
                <w:szCs w:val="20"/>
                <w:color w:val="auto"/>
              </w:rPr>
            </w:pPr>
            <w:r>
              <w:rPr>
                <w:rFonts w:ascii="Arial" w:cs="Arial" w:eastAsia="Arial" w:hAnsi="Arial"/>
                <w:sz w:val="16"/>
                <w:szCs w:val="16"/>
                <w:color w:val="auto"/>
              </w:rPr>
              <w:t>Public offering price</w:t>
            </w:r>
          </w:p>
        </w:tc>
        <w:tc>
          <w:tcPr>
            <w:tcW w:w="1180" w:type="dxa"/>
            <w:vAlign w:val="bottom"/>
          </w:tcPr>
          <w:p>
            <w:pPr>
              <w:spacing w:after="0"/>
              <w:rPr>
                <w:sz w:val="15"/>
                <w:szCs w:val="15"/>
                <w:color w:val="auto"/>
              </w:rPr>
            </w:pP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5"/>
                <w:szCs w:val="15"/>
                <w:color w:val="auto"/>
              </w:rPr>
            </w:pP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r>
      <w:tr>
        <w:trPr>
          <w:trHeight w:val="228"/>
        </w:trPr>
        <w:tc>
          <w:tcPr>
            <w:tcW w:w="4020" w:type="dxa"/>
            <w:vAlign w:val="bottom"/>
          </w:tcPr>
          <w:p>
            <w:pPr>
              <w:spacing w:after="0" w:line="228"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6"/>
                <w:szCs w:val="26"/>
                <w:color w:val="auto"/>
                <w:vertAlign w:val="superscript"/>
              </w:rPr>
              <w:t>(1)</w:t>
            </w:r>
          </w:p>
        </w:tc>
        <w:tc>
          <w:tcPr>
            <w:tcW w:w="2280" w:type="dxa"/>
            <w:vAlign w:val="bottom"/>
            <w:gridSpan w:val="2"/>
          </w:tcPr>
          <w:p>
            <w:pPr>
              <w:jc w:val="right"/>
              <w:ind w:right="946"/>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946"/>
              <w:spacing w:after="0"/>
              <w:rPr>
                <w:sz w:val="20"/>
                <w:szCs w:val="20"/>
                <w:color w:val="auto"/>
              </w:rPr>
            </w:pPr>
            <w:r>
              <w:rPr>
                <w:rFonts w:ascii="Arial" w:cs="Arial" w:eastAsia="Arial" w:hAnsi="Arial"/>
                <w:sz w:val="16"/>
                <w:szCs w:val="16"/>
                <w:color w:val="auto"/>
              </w:rPr>
              <w:t>$</w:t>
            </w:r>
          </w:p>
        </w:tc>
      </w:tr>
      <w:tr>
        <w:trPr>
          <w:trHeight w:val="187"/>
        </w:trPr>
        <w:tc>
          <w:tcPr>
            <w:tcW w:w="4020" w:type="dxa"/>
            <w:vAlign w:val="bottom"/>
          </w:tcPr>
          <w:p>
            <w:pPr>
              <w:spacing w:after="0"/>
              <w:rPr>
                <w:sz w:val="20"/>
                <w:szCs w:val="20"/>
                <w:color w:val="auto"/>
              </w:rPr>
            </w:pPr>
            <w:r>
              <w:rPr>
                <w:rFonts w:ascii="Arial" w:cs="Arial" w:eastAsia="Arial" w:hAnsi="Arial"/>
                <w:sz w:val="16"/>
                <w:szCs w:val="16"/>
                <w:color w:val="auto"/>
              </w:rPr>
              <w:t>Proceeds, before expenses, to us</w:t>
            </w:r>
          </w:p>
        </w:tc>
        <w:tc>
          <w:tcPr>
            <w:tcW w:w="2280" w:type="dxa"/>
            <w:vAlign w:val="bottom"/>
            <w:gridSpan w:val="2"/>
          </w:tcPr>
          <w:p>
            <w:pPr>
              <w:jc w:val="right"/>
              <w:ind w:right="946"/>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946"/>
              <w:spacing w:after="0"/>
              <w:rPr>
                <w:sz w:val="20"/>
                <w:szCs w:val="20"/>
                <w:color w:val="auto"/>
              </w:rPr>
            </w:pPr>
            <w:r>
              <w:rPr>
                <w:rFonts w:ascii="Arial" w:cs="Arial" w:eastAsia="Arial" w:hAnsi="Arial"/>
                <w:sz w:val="16"/>
                <w:szCs w:val="16"/>
                <w:color w:val="auto"/>
              </w:rPr>
              <w:t>$</w:t>
            </w:r>
          </w:p>
        </w:tc>
      </w:tr>
      <w:tr>
        <w:trPr>
          <w:trHeight w:val="239"/>
        </w:trPr>
        <w:tc>
          <w:tcPr>
            <w:tcW w:w="4020" w:type="dxa"/>
            <w:vAlign w:val="bottom"/>
          </w:tcPr>
          <w:p>
            <w:pPr>
              <w:jc w:val="right"/>
              <w:ind w:right="2875"/>
              <w:spacing w:after="0"/>
              <w:rPr>
                <w:sz w:val="20"/>
                <w:szCs w:val="20"/>
                <w:color w:val="auto"/>
              </w:rPr>
            </w:pPr>
            <w:r>
              <w:rPr>
                <w:rFonts w:ascii="Arial" w:cs="Arial" w:eastAsia="Arial" w:hAnsi="Arial"/>
                <w:sz w:val="19"/>
                <w:szCs w:val="19"/>
                <w:color w:val="auto"/>
              </w:rPr>
              <w:t>_________</w:t>
            </w: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1020" w:hanging="217"/>
        <w:spacing w:after="0"/>
        <w:tabs>
          <w:tab w:leader="none" w:pos="1020" w:val="left"/>
        </w:tabs>
        <w:numPr>
          <w:ilvl w:val="0"/>
          <w:numId w:val="3"/>
        </w:numPr>
        <w:rPr>
          <w:rFonts w:ascii="Arial" w:cs="Arial" w:eastAsia="Arial" w:hAnsi="Arial"/>
          <w:sz w:val="13"/>
          <w:szCs w:val="13"/>
          <w:color w:val="auto"/>
        </w:rPr>
      </w:pPr>
      <w:r>
        <w:rPr>
          <w:rFonts w:ascii="Arial" w:cs="Arial" w:eastAsia="Arial" w:hAnsi="Arial"/>
          <w:sz w:val="16"/>
          <w:szCs w:val="16"/>
          <w:color w:val="auto"/>
        </w:rPr>
        <w:t xml:space="preserve">See “Underwriting” for a description of the compensation </w:t>
      </w:r>
      <w:r>
        <w:rPr>
          <w:rFonts w:ascii="Arial" w:cs="Arial" w:eastAsia="Arial" w:hAnsi="Arial"/>
          <w:sz w:val="14"/>
          <w:szCs w:val="14"/>
          <w:color w:val="auto"/>
        </w:rPr>
        <w:t>payable to the underwriters.</w:t>
      </w:r>
    </w:p>
    <w:p>
      <w:pPr>
        <w:spacing w:after="0" w:line="202" w:lineRule="exact"/>
        <w:rPr>
          <w:sz w:val="20"/>
          <w:szCs w:val="20"/>
          <w:color w:val="auto"/>
        </w:rPr>
      </w:pPr>
    </w:p>
    <w:p>
      <w:pPr>
        <w:jc w:val="both"/>
        <w:ind w:left="580" w:right="679" w:firstLine="194"/>
        <w:spacing w:after="0" w:line="355" w:lineRule="auto"/>
        <w:rPr>
          <w:sz w:val="20"/>
          <w:szCs w:val="20"/>
          <w:color w:val="auto"/>
        </w:rPr>
      </w:pPr>
      <w:r>
        <w:rPr>
          <w:rFonts w:ascii="Arial" w:cs="Arial" w:eastAsia="Arial" w:hAnsi="Arial"/>
          <w:sz w:val="14"/>
          <w:szCs w:val="14"/>
          <w:color w:val="auto"/>
        </w:rPr>
        <w:t>The underwriters may also exercise their option to purchase up to an additional 1,065,000 ordinary shares from us, at the public offering price, less the underwriting discounts and commissions, for 30 days after the date of this prospectus.</w:t>
      </w:r>
    </w:p>
    <w:p>
      <w:pPr>
        <w:spacing w:after="0" w:line="105" w:lineRule="exact"/>
        <w:rPr>
          <w:sz w:val="20"/>
          <w:szCs w:val="20"/>
          <w:color w:val="auto"/>
        </w:rPr>
      </w:pPr>
    </w:p>
    <w:p>
      <w:pPr>
        <w:ind w:left="580" w:right="679" w:firstLine="194"/>
        <w:spacing w:after="0" w:line="281" w:lineRule="auto"/>
        <w:rPr>
          <w:sz w:val="20"/>
          <w:szCs w:val="20"/>
          <w:color w:val="auto"/>
        </w:rPr>
      </w:pPr>
      <w:r>
        <w:rPr>
          <w:rFonts w:ascii="Arial" w:cs="Arial" w:eastAsia="Arial" w:hAnsi="Arial"/>
          <w:sz w:val="16"/>
          <w:szCs w:val="16"/>
          <w:b w:val="1"/>
          <w:bCs w:val="1"/>
          <w:i w:val="1"/>
          <w:iCs w:val="1"/>
          <w:color w:val="auto"/>
        </w:rPr>
        <w:t>We are an “emerging growth company” as defined under federal securities laws and, as such, may elect to comply with certain reduced public company reporting requirements for future filings.</w:t>
      </w:r>
    </w:p>
    <w:p>
      <w:pPr>
        <w:spacing w:after="0" w:line="151" w:lineRule="exact"/>
        <w:rPr>
          <w:sz w:val="20"/>
          <w:szCs w:val="20"/>
          <w:color w:val="auto"/>
        </w:rPr>
      </w:pPr>
    </w:p>
    <w:p>
      <w:pPr>
        <w:ind w:left="580" w:right="619" w:firstLine="194"/>
        <w:spacing w:after="0" w:line="281" w:lineRule="auto"/>
        <w:rPr>
          <w:sz w:val="20"/>
          <w:szCs w:val="20"/>
          <w:color w:val="auto"/>
        </w:rPr>
      </w:pPr>
      <w:r>
        <w:rPr>
          <w:rFonts w:ascii="Arial" w:cs="Arial" w:eastAsia="Arial" w:hAnsi="Arial"/>
          <w:sz w:val="16"/>
          <w:szCs w:val="16"/>
          <w:b w:val="1"/>
          <w:bCs w:val="1"/>
          <w:i w:val="1"/>
          <w:iCs w:val="1"/>
          <w:color w:val="auto"/>
        </w:rPr>
        <w:t>Investing in our ordinary shares involves risks that are described in the ‘‘Risk Factors’’ section beginning on page 9 of this prospectus.</w:t>
      </w:r>
    </w:p>
    <w:p>
      <w:pPr>
        <w:spacing w:after="0" w:line="151" w:lineRule="exact"/>
        <w:rPr>
          <w:sz w:val="20"/>
          <w:szCs w:val="20"/>
          <w:color w:val="auto"/>
        </w:rPr>
      </w:pPr>
    </w:p>
    <w:p>
      <w:pPr>
        <w:ind w:left="580" w:right="639" w:firstLine="194"/>
        <w:spacing w:after="0" w:line="267"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is truthful or complete. A representation to the contrary is a criminal offense.</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680" w:type="dxa"/>
            <w:vAlign w:val="bottom"/>
            <w:gridSpan w:val="2"/>
          </w:tcPr>
          <w:p>
            <w:pPr>
              <w:ind w:left="200"/>
              <w:spacing w:after="0"/>
              <w:rPr>
                <w:sz w:val="20"/>
                <w:szCs w:val="20"/>
                <w:color w:val="auto"/>
              </w:rPr>
            </w:pPr>
            <w:r>
              <w:rPr>
                <w:rFonts w:ascii="Arial" w:cs="Arial" w:eastAsia="Arial" w:hAnsi="Arial"/>
                <w:sz w:val="16"/>
                <w:szCs w:val="16"/>
                <w:color w:val="auto"/>
                <w:w w:val="95"/>
              </w:rPr>
              <w:t>The underwriters expect to deliver the ordinary shares to purchasers on or about</w:t>
            </w:r>
          </w:p>
        </w:tc>
        <w:tc>
          <w:tcPr>
            <w:tcW w:w="2200" w:type="dxa"/>
            <w:vAlign w:val="bottom"/>
          </w:tcPr>
          <w:p>
            <w:pPr>
              <w:jc w:val="right"/>
              <w:ind w:right="1379"/>
              <w:spacing w:after="0"/>
              <w:rPr>
                <w:sz w:val="20"/>
                <w:szCs w:val="20"/>
                <w:color w:val="auto"/>
              </w:rPr>
            </w:pPr>
            <w:r>
              <w:rPr>
                <w:rFonts w:ascii="Arial" w:cs="Arial" w:eastAsia="Arial" w:hAnsi="Arial"/>
                <w:sz w:val="16"/>
                <w:szCs w:val="16"/>
                <w:color w:val="auto"/>
              </w:rPr>
              <w:t>, 2015.</w:t>
            </w:r>
          </w:p>
        </w:tc>
      </w:tr>
      <w:tr>
        <w:trPr>
          <w:trHeight w:val="207"/>
        </w:trPr>
        <w:tc>
          <w:tcPr>
            <w:tcW w:w="5680" w:type="dxa"/>
            <w:vAlign w:val="bottom"/>
            <w:gridSpan w:val="2"/>
          </w:tcPr>
          <w:p>
            <w:pPr>
              <w:ind w:left="2860"/>
              <w:spacing w:after="0" w:line="207" w:lineRule="exact"/>
              <w:rPr>
                <w:sz w:val="20"/>
                <w:szCs w:val="20"/>
                <w:color w:val="auto"/>
              </w:rPr>
            </w:pPr>
            <w:r>
              <w:rPr>
                <w:rFonts w:ascii="Arial" w:cs="Arial" w:eastAsia="Arial" w:hAnsi="Arial"/>
                <w:sz w:val="19"/>
                <w:szCs w:val="19"/>
                <w:color w:val="auto"/>
              </w:rPr>
              <w:t>______________________</w:t>
            </w:r>
          </w:p>
        </w:tc>
        <w:tc>
          <w:tcPr>
            <w:tcW w:w="2200" w:type="dxa"/>
            <w:vAlign w:val="bottom"/>
          </w:tcPr>
          <w:p>
            <w:pPr>
              <w:spacing w:after="0"/>
              <w:rPr>
                <w:sz w:val="18"/>
                <w:szCs w:val="18"/>
                <w:color w:val="auto"/>
              </w:rPr>
            </w:pPr>
          </w:p>
        </w:tc>
      </w:tr>
      <w:tr>
        <w:trPr>
          <w:trHeight w:val="338"/>
        </w:trPr>
        <w:tc>
          <w:tcPr>
            <w:tcW w:w="4660" w:type="dxa"/>
            <w:vAlign w:val="bottom"/>
          </w:tcPr>
          <w:p>
            <w:pPr>
              <w:spacing w:after="0"/>
              <w:rPr>
                <w:sz w:val="20"/>
                <w:szCs w:val="20"/>
                <w:color w:val="auto"/>
              </w:rPr>
            </w:pPr>
            <w:r>
              <w:rPr>
                <w:rFonts w:ascii="Arial" w:cs="Arial" w:eastAsia="Arial" w:hAnsi="Arial"/>
                <w:sz w:val="26"/>
                <w:szCs w:val="26"/>
                <w:b w:val="1"/>
                <w:bCs w:val="1"/>
                <w:color w:val="auto"/>
              </w:rPr>
              <w:t>Barclays</w:t>
            </w:r>
          </w:p>
        </w:tc>
        <w:tc>
          <w:tcPr>
            <w:tcW w:w="1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26"/>
                <w:szCs w:val="26"/>
                <w:b w:val="1"/>
                <w:bCs w:val="1"/>
                <w:color w:val="auto"/>
              </w:rPr>
              <w:t>Citigroup</w:t>
            </w:r>
          </w:p>
        </w:tc>
      </w:tr>
      <w:tr>
        <w:trPr>
          <w:trHeight w:val="416"/>
        </w:trPr>
        <w:tc>
          <w:tcPr>
            <w:tcW w:w="4660" w:type="dxa"/>
            <w:vAlign w:val="bottom"/>
          </w:tcPr>
          <w:p>
            <w:pPr>
              <w:spacing w:after="0"/>
              <w:rPr>
                <w:sz w:val="20"/>
                <w:szCs w:val="20"/>
                <w:color w:val="auto"/>
              </w:rPr>
            </w:pPr>
            <w:r>
              <w:rPr>
                <w:rFonts w:ascii="Arial" w:cs="Arial" w:eastAsia="Arial" w:hAnsi="Arial"/>
                <w:sz w:val="19"/>
                <w:szCs w:val="19"/>
                <w:b w:val="1"/>
                <w:bCs w:val="1"/>
                <w:color w:val="auto"/>
              </w:rPr>
              <w:t>William Blair</w:t>
            </w:r>
          </w:p>
        </w:tc>
        <w:tc>
          <w:tcPr>
            <w:tcW w:w="1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Stifel</w:t>
            </w:r>
          </w:p>
        </w:tc>
      </w:tr>
      <w:tr>
        <w:trPr>
          <w:trHeight w:val="412"/>
        </w:trPr>
        <w:tc>
          <w:tcPr>
            <w:tcW w:w="4660" w:type="dxa"/>
            <w:vAlign w:val="bottom"/>
          </w:tcPr>
          <w:p>
            <w:pPr>
              <w:spacing w:after="0"/>
              <w:rPr>
                <w:sz w:val="20"/>
                <w:szCs w:val="20"/>
                <w:color w:val="auto"/>
              </w:rPr>
            </w:pPr>
            <w:r>
              <w:rPr>
                <w:rFonts w:ascii="Arial" w:cs="Arial" w:eastAsia="Arial" w:hAnsi="Arial"/>
                <w:sz w:val="19"/>
                <w:szCs w:val="19"/>
                <w:b w:val="1"/>
                <w:bCs w:val="1"/>
                <w:color w:val="auto"/>
              </w:rPr>
              <w:t>Canaccord Genuity</w:t>
            </w:r>
          </w:p>
        </w:tc>
        <w:tc>
          <w:tcPr>
            <w:tcW w:w="1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Needham &amp; Company</w:t>
            </w:r>
          </w:p>
        </w:tc>
      </w:tr>
      <w:tr>
        <w:trPr>
          <w:trHeight w:val="402"/>
        </w:trPr>
        <w:tc>
          <w:tcPr>
            <w:tcW w:w="4660" w:type="dxa"/>
            <w:vAlign w:val="bottom"/>
          </w:tcPr>
          <w:p>
            <w:pPr>
              <w:ind w:left="2460"/>
              <w:spacing w:after="0"/>
              <w:rPr>
                <w:sz w:val="20"/>
                <w:szCs w:val="20"/>
                <w:color w:val="auto"/>
              </w:rPr>
            </w:pPr>
            <w:r>
              <w:rPr>
                <w:rFonts w:ascii="Arial" w:cs="Arial" w:eastAsia="Arial" w:hAnsi="Arial"/>
                <w:sz w:val="16"/>
                <w:szCs w:val="16"/>
                <w:color w:val="auto"/>
              </w:rPr>
              <w:t>The date of this prospectus is</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 2015.</w:t>
            </w:r>
          </w:p>
        </w:tc>
        <w:tc>
          <w:tcPr>
            <w:tcW w:w="2200" w:type="dxa"/>
            <w:vAlign w:val="bottom"/>
          </w:tcPr>
          <w:p>
            <w:pPr>
              <w:spacing w:after="0"/>
              <w:rPr>
                <w:sz w:val="24"/>
                <w:szCs w:val="24"/>
                <w:color w:val="auto"/>
              </w:rPr>
            </w:pPr>
          </w:p>
        </w:tc>
      </w:tr>
      <w:tr>
        <w:trPr>
          <w:trHeight w:val="315"/>
        </w:trPr>
        <w:tc>
          <w:tcPr>
            <w:tcW w:w="4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88900</wp:posOffset>
            </wp:positionV>
            <wp:extent cx="5153025" cy="6791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3025" cy="6791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gridSpan w:val="2"/>
          </w:tcPr>
          <w:p>
            <w:pPr>
              <w:ind w:left="400"/>
              <w:spacing w:after="0"/>
              <w:rPr>
                <w:sz w:val="20"/>
                <w:szCs w:val="20"/>
                <w:color w:val="auto"/>
              </w:rPr>
            </w:pPr>
            <w:r>
              <w:rPr>
                <w:rFonts w:ascii="Arial" w:cs="Arial" w:eastAsia="Arial" w:hAnsi="Arial"/>
                <w:sz w:val="15"/>
                <w:szCs w:val="15"/>
                <w:b w:val="1"/>
                <w:bCs w:val="1"/>
                <w:color w:val="auto"/>
              </w:rPr>
              <w:t>Page</w:t>
            </w:r>
          </w:p>
        </w:tc>
      </w:tr>
      <w:tr>
        <w:trPr>
          <w:trHeight w:val="156"/>
        </w:trPr>
        <w:tc>
          <w:tcPr>
            <w:tcW w:w="6620" w:type="dxa"/>
            <w:vAlign w:val="bottom"/>
            <w:gridSpan w:val="25"/>
          </w:tcPr>
          <w:p>
            <w:pPr>
              <w:spacing w:after="0" w:line="156" w:lineRule="exact"/>
              <w:rPr>
                <w:rFonts w:ascii="Arial" w:cs="Arial" w:eastAsia="Arial" w:hAnsi="Arial"/>
                <w:sz w:val="16"/>
                <w:szCs w:val="16"/>
                <w:color w:val="0000EE"/>
              </w:rPr>
            </w:pPr>
            <w:hyperlink w:anchor="page5">
              <w:r>
                <w:rPr>
                  <w:rFonts w:ascii="Arial" w:cs="Arial" w:eastAsia="Arial" w:hAnsi="Arial"/>
                  <w:sz w:val="16"/>
                  <w:szCs w:val="16"/>
                  <w:color w:val="0000EE"/>
                </w:rPr>
                <w:t>Prospectus Summary</w:t>
              </w:r>
            </w:hyperlink>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r>
      <w:tr>
        <w:trPr>
          <w:trHeight w:val="174"/>
        </w:trPr>
        <w:tc>
          <w:tcPr>
            <w:tcW w:w="1360" w:type="dxa"/>
            <w:vAlign w:val="bottom"/>
            <w:tcBorders>
              <w:top w:val="single" w:sz="8" w:color="0000EE"/>
            </w:tcBorders>
            <w:gridSpan w:val="11"/>
          </w:tcPr>
          <w:p>
            <w:pPr>
              <w:spacing w:after="0" w:line="174" w:lineRule="exact"/>
              <w:rPr>
                <w:rFonts w:ascii="Arial" w:cs="Arial" w:eastAsia="Arial" w:hAnsi="Arial"/>
                <w:sz w:val="16"/>
                <w:szCs w:val="16"/>
                <w:color w:val="0000EE"/>
              </w:rPr>
            </w:pPr>
            <w:hyperlink w:anchor="page13">
              <w:r>
                <w:rPr>
                  <w:rFonts w:ascii="Arial" w:cs="Arial" w:eastAsia="Arial" w:hAnsi="Arial"/>
                  <w:sz w:val="16"/>
                  <w:szCs w:val="16"/>
                  <w:color w:val="0000EE"/>
                </w:rPr>
                <w:t>Risk Factors</w:t>
              </w:r>
            </w:hyperlink>
          </w:p>
        </w:tc>
        <w:tc>
          <w:tcPr>
            <w:tcW w:w="5260" w:type="dxa"/>
            <w:vAlign w:val="bottom"/>
            <w:gridSpan w:val="14"/>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9</w:t>
            </w:r>
          </w:p>
        </w:tc>
      </w:tr>
      <w:tr>
        <w:trPr>
          <w:trHeight w:val="20"/>
        </w:trPr>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74"/>
        </w:trPr>
        <w:tc>
          <w:tcPr>
            <w:tcW w:w="3480" w:type="dxa"/>
            <w:vAlign w:val="bottom"/>
            <w:tcBorders>
              <w:bottom w:val="single" w:sz="8" w:color="0000EE"/>
            </w:tcBorders>
            <w:gridSpan w:val="21"/>
          </w:tcPr>
          <w:p>
            <w:pPr>
              <w:spacing w:after="0" w:line="174" w:lineRule="exact"/>
              <w:rPr>
                <w:rFonts w:ascii="Arial" w:cs="Arial" w:eastAsia="Arial" w:hAnsi="Arial"/>
                <w:sz w:val="16"/>
                <w:szCs w:val="16"/>
                <w:color w:val="0000EE"/>
                <w:w w:val="91"/>
              </w:rPr>
            </w:pPr>
            <w:hyperlink w:anchor="page30">
              <w:r>
                <w:rPr>
                  <w:rFonts w:ascii="Arial" w:cs="Arial" w:eastAsia="Arial" w:hAnsi="Arial"/>
                  <w:sz w:val="16"/>
                  <w:szCs w:val="16"/>
                  <w:color w:val="0000EE"/>
                  <w:w w:val="91"/>
                </w:rPr>
                <w:t>Special Note Regarding Forward-Looking Statements</w:t>
              </w:r>
            </w:hyperlink>
          </w:p>
        </w:tc>
        <w:tc>
          <w:tcPr>
            <w:tcW w:w="3140" w:type="dxa"/>
            <w:vAlign w:val="bottom"/>
            <w:gridSpan w:val="4"/>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26</w:t>
            </w:r>
          </w:p>
        </w:tc>
      </w:tr>
      <w:tr>
        <w:trPr>
          <w:trHeight w:val="174"/>
        </w:trPr>
        <w:tc>
          <w:tcPr>
            <w:tcW w:w="6620" w:type="dxa"/>
            <w:vAlign w:val="bottom"/>
            <w:gridSpan w:val="25"/>
          </w:tcPr>
          <w:p>
            <w:pPr>
              <w:spacing w:after="0" w:line="174" w:lineRule="exact"/>
              <w:rPr>
                <w:rFonts w:ascii="Arial" w:cs="Arial" w:eastAsia="Arial" w:hAnsi="Arial"/>
                <w:sz w:val="16"/>
                <w:szCs w:val="16"/>
                <w:color w:val="0000EE"/>
              </w:rPr>
            </w:pPr>
            <w:hyperlink w:anchor="page31">
              <w:r>
                <w:rPr>
                  <w:rFonts w:ascii="Arial" w:cs="Arial" w:eastAsia="Arial" w:hAnsi="Arial"/>
                  <w:sz w:val="16"/>
                  <w:szCs w:val="16"/>
                  <w:color w:val="0000EE"/>
                </w:rPr>
                <w:t>Use of Proceeds</w:t>
              </w:r>
            </w:hyperlink>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74"/>
        </w:trPr>
        <w:tc>
          <w:tcPr>
            <w:tcW w:w="1060" w:type="dxa"/>
            <w:vAlign w:val="bottom"/>
            <w:tcBorders>
              <w:bottom w:val="single" w:sz="8" w:color="0000EE"/>
            </w:tcBorders>
            <w:gridSpan w:val="10"/>
          </w:tcPr>
          <w:p>
            <w:pPr>
              <w:spacing w:after="0" w:line="174" w:lineRule="exact"/>
              <w:rPr>
                <w:rFonts w:ascii="Arial" w:cs="Arial" w:eastAsia="Arial" w:hAnsi="Arial"/>
                <w:sz w:val="16"/>
                <w:szCs w:val="16"/>
                <w:color w:val="0000EE"/>
                <w:w w:val="95"/>
              </w:rPr>
            </w:pPr>
            <w:hyperlink w:anchor="page32">
              <w:r>
                <w:rPr>
                  <w:rFonts w:ascii="Arial" w:cs="Arial" w:eastAsia="Arial" w:hAnsi="Arial"/>
                  <w:sz w:val="16"/>
                  <w:szCs w:val="16"/>
                  <w:color w:val="0000EE"/>
                  <w:w w:val="95"/>
                </w:rPr>
                <w:t>Dividend Policy</w:t>
              </w:r>
            </w:hyperlink>
          </w:p>
        </w:tc>
        <w:tc>
          <w:tcPr>
            <w:tcW w:w="5560" w:type="dxa"/>
            <w:vAlign w:val="bottom"/>
            <w:gridSpan w:val="15"/>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28</w:t>
            </w:r>
          </w:p>
        </w:tc>
      </w:tr>
      <w:tr>
        <w:trPr>
          <w:trHeight w:val="174"/>
        </w:trPr>
        <w:tc>
          <w:tcPr>
            <w:tcW w:w="920" w:type="dxa"/>
            <w:vAlign w:val="bottom"/>
            <w:tcBorders>
              <w:bottom w:val="single" w:sz="8" w:color="0000EE"/>
            </w:tcBorders>
            <w:gridSpan w:val="8"/>
          </w:tcPr>
          <w:p>
            <w:pPr>
              <w:spacing w:after="0" w:line="174" w:lineRule="exact"/>
              <w:rPr>
                <w:rFonts w:ascii="Arial" w:cs="Arial" w:eastAsia="Arial" w:hAnsi="Arial"/>
                <w:sz w:val="16"/>
                <w:szCs w:val="16"/>
                <w:color w:val="0000EE"/>
                <w:w w:val="93"/>
              </w:rPr>
            </w:pPr>
            <w:hyperlink w:anchor="page33">
              <w:r>
                <w:rPr>
                  <w:rFonts w:ascii="Arial" w:cs="Arial" w:eastAsia="Arial" w:hAnsi="Arial"/>
                  <w:sz w:val="16"/>
                  <w:szCs w:val="16"/>
                  <w:color w:val="0000EE"/>
                  <w:w w:val="93"/>
                </w:rPr>
                <w:t>Capitalization</w:t>
              </w:r>
            </w:hyperlink>
          </w:p>
        </w:tc>
        <w:tc>
          <w:tcPr>
            <w:tcW w:w="5700" w:type="dxa"/>
            <w:vAlign w:val="bottom"/>
            <w:gridSpan w:val="17"/>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29</w:t>
            </w:r>
          </w:p>
        </w:tc>
      </w:tr>
      <w:tr>
        <w:trPr>
          <w:trHeight w:val="174"/>
        </w:trPr>
        <w:tc>
          <w:tcPr>
            <w:tcW w:w="540" w:type="dxa"/>
            <w:vAlign w:val="bottom"/>
            <w:tcBorders>
              <w:bottom w:val="single" w:sz="8" w:color="0000EE"/>
            </w:tcBorders>
            <w:gridSpan w:val="2"/>
          </w:tcPr>
          <w:p>
            <w:pPr>
              <w:spacing w:after="0" w:line="174" w:lineRule="exact"/>
              <w:rPr>
                <w:rFonts w:ascii="Arial" w:cs="Arial" w:eastAsia="Arial" w:hAnsi="Arial"/>
                <w:sz w:val="16"/>
                <w:szCs w:val="16"/>
                <w:color w:val="0000EE"/>
                <w:w w:val="97"/>
              </w:rPr>
            </w:pPr>
            <w:hyperlink w:anchor="page34">
              <w:r>
                <w:rPr>
                  <w:rFonts w:ascii="Arial" w:cs="Arial" w:eastAsia="Arial" w:hAnsi="Arial"/>
                  <w:sz w:val="16"/>
                  <w:szCs w:val="16"/>
                  <w:color w:val="0000EE"/>
                  <w:w w:val="97"/>
                </w:rPr>
                <w:t>Dilution</w:t>
              </w:r>
            </w:hyperlink>
          </w:p>
        </w:tc>
        <w:tc>
          <w:tcPr>
            <w:tcW w:w="6080" w:type="dxa"/>
            <w:vAlign w:val="bottom"/>
            <w:gridSpan w:val="23"/>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30</w:t>
            </w:r>
          </w:p>
        </w:tc>
      </w:tr>
      <w:tr>
        <w:trPr>
          <w:trHeight w:val="174"/>
        </w:trPr>
        <w:tc>
          <w:tcPr>
            <w:tcW w:w="6620" w:type="dxa"/>
            <w:vAlign w:val="bottom"/>
            <w:gridSpan w:val="25"/>
          </w:tcPr>
          <w:p>
            <w:pPr>
              <w:spacing w:after="0" w:line="174" w:lineRule="exact"/>
              <w:rPr>
                <w:rFonts w:ascii="Arial" w:cs="Arial" w:eastAsia="Arial" w:hAnsi="Arial"/>
                <w:sz w:val="16"/>
                <w:szCs w:val="16"/>
                <w:color w:val="0000EE"/>
              </w:rPr>
            </w:pPr>
            <w:hyperlink w:anchor="page36">
              <w:r>
                <w:rPr>
                  <w:rFonts w:ascii="Arial" w:cs="Arial" w:eastAsia="Arial" w:hAnsi="Arial"/>
                  <w:sz w:val="16"/>
                  <w:szCs w:val="16"/>
                  <w:color w:val="0000EE"/>
                </w:rPr>
                <w:t>Selected Consolidated Financial Data</w:t>
              </w:r>
            </w:hyperlink>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74"/>
        </w:trPr>
        <w:tc>
          <w:tcPr>
            <w:tcW w:w="5800" w:type="dxa"/>
            <w:vAlign w:val="bottom"/>
            <w:tcBorders>
              <w:bottom w:val="single" w:sz="8" w:color="0000EE"/>
            </w:tcBorders>
            <w:gridSpan w:val="24"/>
          </w:tcPr>
          <w:p>
            <w:pPr>
              <w:spacing w:after="0" w:line="174" w:lineRule="exact"/>
              <w:rPr>
                <w:rFonts w:ascii="Arial" w:cs="Arial" w:eastAsia="Arial" w:hAnsi="Arial"/>
                <w:sz w:val="16"/>
                <w:szCs w:val="16"/>
                <w:color w:val="0000EE"/>
                <w:w w:val="91"/>
              </w:rPr>
            </w:pPr>
            <w:hyperlink w:anchor="page39">
              <w:r>
                <w:rPr>
                  <w:rFonts w:ascii="Arial" w:cs="Arial" w:eastAsia="Arial" w:hAnsi="Arial"/>
                  <w:sz w:val="16"/>
                  <w:szCs w:val="16"/>
                  <w:color w:val="0000EE"/>
                  <w:w w:val="91"/>
                </w:rPr>
                <w:t>Management’s Discussion and Analysis of Financial Condition and Results of Operations</w:t>
              </w:r>
            </w:hyperlink>
          </w:p>
        </w:tc>
        <w:tc>
          <w:tcPr>
            <w:tcW w:w="820" w:type="dxa"/>
            <w:vAlign w:val="bottom"/>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35</w:t>
            </w:r>
          </w:p>
        </w:tc>
      </w:tr>
      <w:tr>
        <w:trPr>
          <w:trHeight w:val="174"/>
        </w:trPr>
        <w:tc>
          <w:tcPr>
            <w:tcW w:w="540" w:type="dxa"/>
            <w:vAlign w:val="bottom"/>
            <w:tcBorders>
              <w:bottom w:val="single" w:sz="8" w:color="0000EE"/>
            </w:tcBorders>
            <w:gridSpan w:val="2"/>
          </w:tcPr>
          <w:p>
            <w:pPr>
              <w:spacing w:after="0" w:line="174" w:lineRule="exact"/>
              <w:rPr>
                <w:rFonts w:ascii="Arial" w:cs="Arial" w:eastAsia="Arial" w:hAnsi="Arial"/>
                <w:sz w:val="16"/>
                <w:szCs w:val="16"/>
                <w:color w:val="0000EE"/>
                <w:w w:val="91"/>
              </w:rPr>
            </w:pPr>
            <w:hyperlink w:anchor="page56">
              <w:r>
                <w:rPr>
                  <w:rFonts w:ascii="Arial" w:cs="Arial" w:eastAsia="Arial" w:hAnsi="Arial"/>
                  <w:sz w:val="16"/>
                  <w:szCs w:val="16"/>
                  <w:color w:val="0000EE"/>
                  <w:w w:val="91"/>
                </w:rPr>
                <w:t>Industry</w:t>
              </w:r>
            </w:hyperlink>
          </w:p>
        </w:tc>
        <w:tc>
          <w:tcPr>
            <w:tcW w:w="6080" w:type="dxa"/>
            <w:vAlign w:val="bottom"/>
            <w:gridSpan w:val="23"/>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52</w:t>
            </w:r>
          </w:p>
        </w:tc>
      </w:tr>
      <w:tr>
        <w:trPr>
          <w:trHeight w:val="174"/>
        </w:trPr>
        <w:tc>
          <w:tcPr>
            <w:tcW w:w="580" w:type="dxa"/>
            <w:vAlign w:val="bottom"/>
            <w:tcBorders>
              <w:bottom w:val="single" w:sz="8" w:color="0000EE"/>
            </w:tcBorders>
            <w:gridSpan w:val="3"/>
          </w:tcPr>
          <w:p>
            <w:pPr>
              <w:spacing w:after="0" w:line="174" w:lineRule="exact"/>
              <w:rPr>
                <w:rFonts w:ascii="Arial" w:cs="Arial" w:eastAsia="Arial" w:hAnsi="Arial"/>
                <w:sz w:val="16"/>
                <w:szCs w:val="16"/>
                <w:color w:val="0000EE"/>
                <w:w w:val="86"/>
              </w:rPr>
            </w:pPr>
            <w:hyperlink w:anchor="page60">
              <w:r>
                <w:rPr>
                  <w:rFonts w:ascii="Arial" w:cs="Arial" w:eastAsia="Arial" w:hAnsi="Arial"/>
                  <w:sz w:val="16"/>
                  <w:szCs w:val="16"/>
                  <w:color w:val="0000EE"/>
                  <w:w w:val="86"/>
                </w:rPr>
                <w:t>Business</w:t>
              </w:r>
            </w:hyperlink>
          </w:p>
        </w:tc>
        <w:tc>
          <w:tcPr>
            <w:tcW w:w="6040" w:type="dxa"/>
            <w:vAlign w:val="bottom"/>
            <w:gridSpan w:val="22"/>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56</w:t>
            </w:r>
          </w:p>
        </w:tc>
      </w:tr>
      <w:tr>
        <w:trPr>
          <w:trHeight w:val="174"/>
        </w:trPr>
        <w:tc>
          <w:tcPr>
            <w:tcW w:w="6620" w:type="dxa"/>
            <w:vAlign w:val="bottom"/>
            <w:gridSpan w:val="25"/>
          </w:tcPr>
          <w:p>
            <w:pPr>
              <w:spacing w:after="0" w:line="174" w:lineRule="exact"/>
              <w:rPr>
                <w:rFonts w:ascii="Arial" w:cs="Arial" w:eastAsia="Arial" w:hAnsi="Arial"/>
                <w:sz w:val="16"/>
                <w:szCs w:val="16"/>
                <w:color w:val="0000EE"/>
              </w:rPr>
            </w:pPr>
            <w:hyperlink w:anchor="page71">
              <w:r>
                <w:rPr>
                  <w:rFonts w:ascii="Arial" w:cs="Arial" w:eastAsia="Arial" w:hAnsi="Arial"/>
                  <w:sz w:val="16"/>
                  <w:szCs w:val="16"/>
                  <w:color w:val="0000EE"/>
                </w:rPr>
                <w:t>Management</w:t>
              </w:r>
            </w:hyperlink>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67</w:t>
            </w:r>
          </w:p>
        </w:tc>
      </w:tr>
      <w:tr>
        <w:trPr>
          <w:trHeight w:val="20"/>
        </w:trPr>
        <w:tc>
          <w:tcPr>
            <w:tcW w:w="50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74"/>
        </w:trPr>
        <w:tc>
          <w:tcPr>
            <w:tcW w:w="6620" w:type="dxa"/>
            <w:vAlign w:val="bottom"/>
            <w:gridSpan w:val="25"/>
          </w:tcPr>
          <w:p>
            <w:pPr>
              <w:spacing w:after="0" w:line="174" w:lineRule="exact"/>
              <w:rPr>
                <w:rFonts w:ascii="Arial" w:cs="Arial" w:eastAsia="Arial" w:hAnsi="Arial"/>
                <w:sz w:val="16"/>
                <w:szCs w:val="16"/>
                <w:color w:val="0000EE"/>
              </w:rPr>
            </w:pPr>
            <w:hyperlink w:anchor="page92">
              <w:r>
                <w:rPr>
                  <w:rFonts w:ascii="Arial" w:cs="Arial" w:eastAsia="Arial" w:hAnsi="Arial"/>
                  <w:sz w:val="16"/>
                  <w:szCs w:val="16"/>
                  <w:color w:val="0000EE"/>
                </w:rPr>
                <w:t>Principal Shareholders</w:t>
              </w:r>
            </w:hyperlink>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88</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74"/>
        </w:trPr>
        <w:tc>
          <w:tcPr>
            <w:tcW w:w="3440" w:type="dxa"/>
            <w:vAlign w:val="bottom"/>
            <w:tcBorders>
              <w:bottom w:val="single" w:sz="8" w:color="0000EE"/>
            </w:tcBorders>
            <w:gridSpan w:val="20"/>
          </w:tcPr>
          <w:p>
            <w:pPr>
              <w:spacing w:after="0" w:line="174" w:lineRule="exact"/>
              <w:rPr>
                <w:rFonts w:ascii="Arial" w:cs="Arial" w:eastAsia="Arial" w:hAnsi="Arial"/>
                <w:sz w:val="16"/>
                <w:szCs w:val="16"/>
                <w:color w:val="0000EE"/>
                <w:w w:val="89"/>
              </w:rPr>
            </w:pPr>
            <w:hyperlink w:anchor="page94">
              <w:r>
                <w:rPr>
                  <w:rFonts w:ascii="Arial" w:cs="Arial" w:eastAsia="Arial" w:hAnsi="Arial"/>
                  <w:sz w:val="16"/>
                  <w:szCs w:val="16"/>
                  <w:color w:val="0000EE"/>
                  <w:w w:val="89"/>
                </w:rPr>
                <w:t>Certain Relationships and Related Party Transactions</w:t>
              </w:r>
            </w:hyperlink>
          </w:p>
        </w:tc>
        <w:tc>
          <w:tcPr>
            <w:tcW w:w="3180" w:type="dxa"/>
            <w:vAlign w:val="bottom"/>
            <w:gridSpan w:val="5"/>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90</w:t>
            </w:r>
          </w:p>
        </w:tc>
      </w:tr>
      <w:tr>
        <w:trPr>
          <w:trHeight w:val="174"/>
        </w:trPr>
        <w:tc>
          <w:tcPr>
            <w:tcW w:w="1840" w:type="dxa"/>
            <w:vAlign w:val="bottom"/>
            <w:tcBorders>
              <w:bottom w:val="single" w:sz="8" w:color="0000EE"/>
            </w:tcBorders>
            <w:gridSpan w:val="13"/>
          </w:tcPr>
          <w:p>
            <w:pPr>
              <w:spacing w:after="0" w:line="174" w:lineRule="exact"/>
              <w:rPr>
                <w:rFonts w:ascii="Arial" w:cs="Arial" w:eastAsia="Arial" w:hAnsi="Arial"/>
                <w:sz w:val="16"/>
                <w:szCs w:val="16"/>
                <w:color w:val="0000EE"/>
                <w:w w:val="91"/>
              </w:rPr>
            </w:pPr>
            <w:hyperlink w:anchor="page97">
              <w:r>
                <w:rPr>
                  <w:rFonts w:ascii="Arial" w:cs="Arial" w:eastAsia="Arial" w:hAnsi="Arial"/>
                  <w:sz w:val="16"/>
                  <w:szCs w:val="16"/>
                  <w:color w:val="0000EE"/>
                  <w:w w:val="91"/>
                </w:rPr>
                <w:t>Description of Share Capital</w:t>
              </w:r>
            </w:hyperlink>
          </w:p>
        </w:tc>
        <w:tc>
          <w:tcPr>
            <w:tcW w:w="4780" w:type="dxa"/>
            <w:vAlign w:val="bottom"/>
            <w:gridSpan w:val="12"/>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93</w:t>
            </w:r>
          </w:p>
        </w:tc>
      </w:tr>
      <w:tr>
        <w:trPr>
          <w:trHeight w:val="174"/>
        </w:trPr>
        <w:tc>
          <w:tcPr>
            <w:tcW w:w="6620" w:type="dxa"/>
            <w:vAlign w:val="bottom"/>
            <w:gridSpan w:val="25"/>
          </w:tcPr>
          <w:p>
            <w:pPr>
              <w:spacing w:after="0" w:line="174" w:lineRule="exact"/>
              <w:rPr>
                <w:rFonts w:ascii="Arial" w:cs="Arial" w:eastAsia="Arial" w:hAnsi="Arial"/>
                <w:sz w:val="16"/>
                <w:szCs w:val="16"/>
                <w:color w:val="0000EE"/>
              </w:rPr>
            </w:pPr>
            <w:hyperlink w:anchor="page104">
              <w:r>
                <w:rPr>
                  <w:rFonts w:ascii="Arial" w:cs="Arial" w:eastAsia="Arial" w:hAnsi="Arial"/>
                  <w:sz w:val="16"/>
                  <w:szCs w:val="16"/>
                  <w:color w:val="0000EE"/>
                </w:rPr>
                <w:t>Shares Eligible for Future Sale</w:t>
              </w:r>
            </w:hyperlink>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100</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74"/>
        </w:trPr>
        <w:tc>
          <w:tcPr>
            <w:tcW w:w="6620" w:type="dxa"/>
            <w:vAlign w:val="bottom"/>
            <w:gridSpan w:val="25"/>
          </w:tcPr>
          <w:p>
            <w:pPr>
              <w:spacing w:after="0" w:line="174" w:lineRule="exact"/>
              <w:rPr>
                <w:rFonts w:ascii="Arial" w:cs="Arial" w:eastAsia="Arial" w:hAnsi="Arial"/>
                <w:sz w:val="16"/>
                <w:szCs w:val="16"/>
                <w:color w:val="0000EE"/>
              </w:rPr>
            </w:pPr>
            <w:hyperlink w:anchor="page106">
              <w:r>
                <w:rPr>
                  <w:rFonts w:ascii="Arial" w:cs="Arial" w:eastAsia="Arial" w:hAnsi="Arial"/>
                  <w:sz w:val="16"/>
                  <w:szCs w:val="16"/>
                  <w:color w:val="0000EE"/>
                </w:rPr>
                <w:t>Taxation and Israeli Government Programs Applicable to our Company</w:t>
              </w:r>
            </w:hyperlink>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102</w:t>
            </w:r>
          </w:p>
        </w:tc>
      </w:tr>
      <w:tr>
        <w:trPr>
          <w:trHeight w:val="174"/>
        </w:trPr>
        <w:tc>
          <w:tcPr>
            <w:tcW w:w="3620" w:type="dxa"/>
            <w:vAlign w:val="bottom"/>
            <w:tcBorders>
              <w:top w:val="single" w:sz="8" w:color="0000EE"/>
              <w:bottom w:val="single" w:sz="8" w:color="0000EE"/>
            </w:tcBorders>
            <w:gridSpan w:val="22"/>
          </w:tcPr>
          <w:p>
            <w:pPr>
              <w:spacing w:after="0" w:line="174" w:lineRule="exact"/>
              <w:rPr>
                <w:rFonts w:ascii="Arial" w:cs="Arial" w:eastAsia="Arial" w:hAnsi="Arial"/>
                <w:sz w:val="16"/>
                <w:szCs w:val="16"/>
                <w:color w:val="0000EE"/>
                <w:w w:val="89"/>
              </w:rPr>
            </w:pPr>
            <w:hyperlink w:anchor="page109">
              <w:r>
                <w:rPr>
                  <w:rFonts w:ascii="Arial" w:cs="Arial" w:eastAsia="Arial" w:hAnsi="Arial"/>
                  <w:sz w:val="16"/>
                  <w:szCs w:val="16"/>
                  <w:color w:val="0000EE"/>
                  <w:w w:val="89"/>
                </w:rPr>
                <w:t>U.S. and Israeli Tax Consequences for our Shareholders</w:t>
              </w:r>
            </w:hyperlink>
          </w:p>
        </w:tc>
        <w:tc>
          <w:tcPr>
            <w:tcW w:w="1000" w:type="dxa"/>
            <w:vAlign w:val="bottom"/>
            <w:tcBorders>
              <w:top w:val="single" w:sz="8" w:color="0000EE"/>
            </w:tcBorders>
          </w:tcPr>
          <w:p>
            <w:pPr>
              <w:spacing w:after="0"/>
              <w:rPr>
                <w:sz w:val="15"/>
                <w:szCs w:val="15"/>
                <w:color w:val="auto"/>
              </w:rPr>
            </w:pPr>
          </w:p>
        </w:tc>
        <w:tc>
          <w:tcPr>
            <w:tcW w:w="2000" w:type="dxa"/>
            <w:vAlign w:val="bottom"/>
            <w:gridSpan w:val="2"/>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105</w:t>
            </w:r>
          </w:p>
        </w:tc>
      </w:tr>
      <w:tr>
        <w:trPr>
          <w:trHeight w:val="174"/>
        </w:trPr>
        <w:tc>
          <w:tcPr>
            <w:tcW w:w="6620" w:type="dxa"/>
            <w:vAlign w:val="bottom"/>
            <w:gridSpan w:val="25"/>
          </w:tcPr>
          <w:p>
            <w:pPr>
              <w:spacing w:after="0" w:line="174" w:lineRule="exact"/>
              <w:rPr>
                <w:rFonts w:ascii="Arial" w:cs="Arial" w:eastAsia="Arial" w:hAnsi="Arial"/>
                <w:sz w:val="16"/>
                <w:szCs w:val="16"/>
                <w:color w:val="0000EE"/>
              </w:rPr>
            </w:pPr>
            <w:hyperlink w:anchor="page116">
              <w:r>
                <w:rPr>
                  <w:rFonts w:ascii="Arial" w:cs="Arial" w:eastAsia="Arial" w:hAnsi="Arial"/>
                  <w:sz w:val="16"/>
                  <w:szCs w:val="16"/>
                  <w:color w:val="0000EE"/>
                </w:rPr>
                <w:t>Underwriting</w:t>
              </w:r>
            </w:hyperlink>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112</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74"/>
        </w:trPr>
        <w:tc>
          <w:tcPr>
            <w:tcW w:w="2180" w:type="dxa"/>
            <w:vAlign w:val="bottom"/>
            <w:tcBorders>
              <w:bottom w:val="single" w:sz="8" w:color="0000EE"/>
            </w:tcBorders>
            <w:gridSpan w:val="16"/>
          </w:tcPr>
          <w:p>
            <w:pPr>
              <w:spacing w:after="0" w:line="174" w:lineRule="exact"/>
              <w:rPr>
                <w:rFonts w:ascii="Arial" w:cs="Arial" w:eastAsia="Arial" w:hAnsi="Arial"/>
                <w:sz w:val="16"/>
                <w:szCs w:val="16"/>
                <w:color w:val="0000EE"/>
                <w:w w:val="90"/>
              </w:rPr>
            </w:pPr>
            <w:hyperlink w:anchor="page121">
              <w:r>
                <w:rPr>
                  <w:rFonts w:ascii="Arial" w:cs="Arial" w:eastAsia="Arial" w:hAnsi="Arial"/>
                  <w:sz w:val="16"/>
                  <w:szCs w:val="16"/>
                  <w:color w:val="0000EE"/>
                  <w:w w:val="90"/>
                </w:rPr>
                <w:t>Expenses Related to this Offering</w:t>
              </w:r>
            </w:hyperlink>
          </w:p>
        </w:tc>
        <w:tc>
          <w:tcPr>
            <w:tcW w:w="4440" w:type="dxa"/>
            <w:vAlign w:val="bottom"/>
            <w:gridSpan w:val="9"/>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117</w:t>
            </w:r>
          </w:p>
        </w:tc>
      </w:tr>
      <w:tr>
        <w:trPr>
          <w:trHeight w:val="174"/>
        </w:trPr>
        <w:tc>
          <w:tcPr>
            <w:tcW w:w="500" w:type="dxa"/>
            <w:vAlign w:val="bottom"/>
            <w:tcBorders>
              <w:bottom w:val="single" w:sz="8" w:color="0000EE"/>
            </w:tcBorders>
          </w:tcPr>
          <w:p>
            <w:pPr>
              <w:spacing w:after="0" w:line="174" w:lineRule="exact"/>
              <w:rPr>
                <w:rFonts w:ascii="Arial" w:cs="Arial" w:eastAsia="Arial" w:hAnsi="Arial"/>
                <w:sz w:val="16"/>
                <w:szCs w:val="16"/>
                <w:color w:val="0000EE"/>
                <w:w w:val="88"/>
              </w:rPr>
            </w:pPr>
            <w:hyperlink w:anchor="page121">
              <w:r>
                <w:rPr>
                  <w:rFonts w:ascii="Arial" w:cs="Arial" w:eastAsia="Arial" w:hAnsi="Arial"/>
                  <w:sz w:val="16"/>
                  <w:szCs w:val="16"/>
                  <w:color w:val="0000EE"/>
                  <w:w w:val="88"/>
                </w:rPr>
                <w:t>Experts</w:t>
              </w:r>
            </w:hyperlink>
          </w:p>
        </w:tc>
        <w:tc>
          <w:tcPr>
            <w:tcW w:w="6120" w:type="dxa"/>
            <w:vAlign w:val="bottom"/>
            <w:gridSpan w:val="24"/>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117</w:t>
            </w:r>
          </w:p>
        </w:tc>
      </w:tr>
      <w:tr>
        <w:trPr>
          <w:trHeight w:val="174"/>
        </w:trPr>
        <w:tc>
          <w:tcPr>
            <w:tcW w:w="900" w:type="dxa"/>
            <w:vAlign w:val="bottom"/>
            <w:tcBorders>
              <w:bottom w:val="single" w:sz="8" w:color="0000EE"/>
            </w:tcBorders>
            <w:gridSpan w:val="7"/>
          </w:tcPr>
          <w:p>
            <w:pPr>
              <w:spacing w:after="0" w:line="174" w:lineRule="exact"/>
              <w:rPr>
                <w:rFonts w:ascii="Arial" w:cs="Arial" w:eastAsia="Arial" w:hAnsi="Arial"/>
                <w:sz w:val="16"/>
                <w:szCs w:val="16"/>
                <w:color w:val="0000EE"/>
                <w:w w:val="90"/>
              </w:rPr>
            </w:pPr>
            <w:hyperlink w:anchor="page121">
              <w:r>
                <w:rPr>
                  <w:rFonts w:ascii="Arial" w:cs="Arial" w:eastAsia="Arial" w:hAnsi="Arial"/>
                  <w:sz w:val="16"/>
                  <w:szCs w:val="16"/>
                  <w:color w:val="0000EE"/>
                  <w:w w:val="90"/>
                </w:rPr>
                <w:t>Legal Matters</w:t>
              </w:r>
            </w:hyperlink>
          </w:p>
        </w:tc>
        <w:tc>
          <w:tcPr>
            <w:tcW w:w="5720" w:type="dxa"/>
            <w:vAlign w:val="bottom"/>
            <w:gridSpan w:val="18"/>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117</w:t>
            </w:r>
          </w:p>
        </w:tc>
      </w:tr>
      <w:tr>
        <w:trPr>
          <w:trHeight w:val="174"/>
        </w:trPr>
        <w:tc>
          <w:tcPr>
            <w:tcW w:w="2160" w:type="dxa"/>
            <w:vAlign w:val="bottom"/>
            <w:tcBorders>
              <w:bottom w:val="single" w:sz="8" w:color="0000EE"/>
            </w:tcBorders>
            <w:gridSpan w:val="15"/>
          </w:tcPr>
          <w:p>
            <w:pPr>
              <w:spacing w:after="0" w:line="174" w:lineRule="exact"/>
              <w:rPr>
                <w:rFonts w:ascii="Arial" w:cs="Arial" w:eastAsia="Arial" w:hAnsi="Arial"/>
                <w:sz w:val="16"/>
                <w:szCs w:val="16"/>
                <w:color w:val="0000EE"/>
                <w:w w:val="97"/>
              </w:rPr>
            </w:pPr>
            <w:hyperlink w:anchor="page121">
              <w:r>
                <w:rPr>
                  <w:rFonts w:ascii="Arial" w:cs="Arial" w:eastAsia="Arial" w:hAnsi="Arial"/>
                  <w:sz w:val="16"/>
                  <w:szCs w:val="16"/>
                  <w:color w:val="0000EE"/>
                  <w:w w:val="97"/>
                </w:rPr>
                <w:t>Enforceability of Civil Liabilities</w:t>
              </w:r>
            </w:hyperlink>
          </w:p>
        </w:tc>
        <w:tc>
          <w:tcPr>
            <w:tcW w:w="4460" w:type="dxa"/>
            <w:vAlign w:val="bottom"/>
            <w:gridSpan w:val="10"/>
          </w:tcPr>
          <w:p>
            <w:pPr>
              <w:spacing w:after="0"/>
              <w:rPr>
                <w:sz w:val="15"/>
                <w:szCs w:val="15"/>
                <w:color w:val="auto"/>
              </w:rPr>
            </w:pPr>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117</w:t>
            </w:r>
          </w:p>
        </w:tc>
      </w:tr>
      <w:tr>
        <w:trPr>
          <w:trHeight w:val="174"/>
        </w:trPr>
        <w:tc>
          <w:tcPr>
            <w:tcW w:w="6620" w:type="dxa"/>
            <w:vAlign w:val="bottom"/>
            <w:gridSpan w:val="25"/>
          </w:tcPr>
          <w:p>
            <w:pPr>
              <w:spacing w:after="0" w:line="174" w:lineRule="exact"/>
              <w:rPr>
                <w:rFonts w:ascii="Arial" w:cs="Arial" w:eastAsia="Arial" w:hAnsi="Arial"/>
                <w:sz w:val="16"/>
                <w:szCs w:val="16"/>
                <w:color w:val="0000EE"/>
              </w:rPr>
            </w:pPr>
            <w:hyperlink w:anchor="page122">
              <w:r>
                <w:rPr>
                  <w:rFonts w:ascii="Arial" w:cs="Arial" w:eastAsia="Arial" w:hAnsi="Arial"/>
                  <w:sz w:val="16"/>
                  <w:szCs w:val="16"/>
                  <w:color w:val="0000EE"/>
                </w:rPr>
                <w:t>Where You Can Find Additional Information</w:t>
              </w:r>
            </w:hyperlink>
          </w:p>
        </w:tc>
        <w:tc>
          <w:tcPr>
            <w:tcW w:w="112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118</w:t>
            </w:r>
          </w:p>
        </w:tc>
      </w:tr>
      <w:tr>
        <w:trPr>
          <w:trHeight w:val="174"/>
        </w:trPr>
        <w:tc>
          <w:tcPr>
            <w:tcW w:w="2820" w:type="dxa"/>
            <w:vAlign w:val="bottom"/>
            <w:tcBorders>
              <w:top w:val="single" w:sz="8" w:color="0000EE"/>
              <w:bottom w:val="single" w:sz="8" w:color="0000EE"/>
            </w:tcBorders>
            <w:gridSpan w:val="18"/>
          </w:tcPr>
          <w:p>
            <w:pPr>
              <w:spacing w:after="0" w:line="174" w:lineRule="exact"/>
              <w:rPr>
                <w:rFonts w:ascii="Arial" w:cs="Arial" w:eastAsia="Arial" w:hAnsi="Arial"/>
                <w:sz w:val="16"/>
                <w:szCs w:val="16"/>
                <w:color w:val="0000EE"/>
                <w:w w:val="90"/>
              </w:rPr>
            </w:pPr>
            <w:hyperlink w:anchor="page123">
              <w:r>
                <w:rPr>
                  <w:rFonts w:ascii="Arial" w:cs="Arial" w:eastAsia="Arial" w:hAnsi="Arial"/>
                  <w:sz w:val="16"/>
                  <w:szCs w:val="16"/>
                  <w:color w:val="0000EE"/>
                  <w:w w:val="90"/>
                </w:rPr>
                <w:t>Index to Consolidated Financial Statements</w:t>
              </w:r>
            </w:hyperlink>
          </w:p>
        </w:tc>
        <w:tc>
          <w:tcPr>
            <w:tcW w:w="80" w:type="dxa"/>
            <w:vAlign w:val="bottom"/>
            <w:tcBorders>
              <w:top w:val="single" w:sz="8" w:color="0000EE"/>
            </w:tcBorders>
          </w:tcPr>
          <w:p>
            <w:pPr>
              <w:spacing w:after="0"/>
              <w:rPr>
                <w:sz w:val="15"/>
                <w:szCs w:val="15"/>
                <w:color w:val="auto"/>
              </w:rPr>
            </w:pPr>
          </w:p>
        </w:tc>
        <w:tc>
          <w:tcPr>
            <w:tcW w:w="3720" w:type="dxa"/>
            <w:vAlign w:val="bottom"/>
            <w:gridSpan w:val="6"/>
          </w:tcPr>
          <w:p>
            <w:pPr>
              <w:spacing w:after="0"/>
              <w:rPr>
                <w:sz w:val="15"/>
                <w:szCs w:val="15"/>
                <w:color w:val="auto"/>
              </w:rPr>
            </w:pPr>
          </w:p>
        </w:tc>
        <w:tc>
          <w:tcPr>
            <w:tcW w:w="1120" w:type="dxa"/>
            <w:vAlign w:val="bottom"/>
            <w:gridSpan w:val="2"/>
          </w:tcPr>
          <w:p>
            <w:pPr>
              <w:ind w:left="860"/>
              <w:spacing w:after="0" w:line="174" w:lineRule="exact"/>
              <w:rPr>
                <w:sz w:val="20"/>
                <w:szCs w:val="20"/>
                <w:color w:val="auto"/>
              </w:rPr>
            </w:pPr>
            <w:r>
              <w:rPr>
                <w:rFonts w:ascii="Arial" w:cs="Arial" w:eastAsia="Arial" w:hAnsi="Arial"/>
                <w:sz w:val="16"/>
                <w:szCs w:val="16"/>
                <w:color w:val="auto"/>
                <w:w w:val="99"/>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184785</wp:posOffset>
            </wp:positionV>
            <wp:extent cx="4999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0" w:right="679" w:firstLine="194"/>
        <w:spacing w:after="0" w:line="276" w:lineRule="auto"/>
        <w:rPr>
          <w:sz w:val="20"/>
          <w:szCs w:val="20"/>
          <w:color w:val="auto"/>
        </w:rPr>
      </w:pPr>
      <w:r>
        <w:rPr>
          <w:rFonts w:ascii="Arial" w:cs="Arial" w:eastAsia="Arial" w:hAnsi="Arial"/>
          <w:sz w:val="15"/>
          <w:szCs w:val="15"/>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our ordinary shares in any circumstances under which such offer or solicitation is unlawful.</w:t>
      </w:r>
    </w:p>
    <w:p>
      <w:pPr>
        <w:spacing w:after="0" w:line="157" w:lineRule="exact"/>
        <w:rPr>
          <w:sz w:val="20"/>
          <w:szCs w:val="20"/>
          <w:color w:val="auto"/>
        </w:rPr>
      </w:pPr>
    </w:p>
    <w:p>
      <w:pPr>
        <w:jc w:val="both"/>
        <w:ind w:left="580" w:right="739" w:firstLine="194"/>
        <w:spacing w:after="0" w:line="267" w:lineRule="auto"/>
        <w:rPr>
          <w:sz w:val="20"/>
          <w:szCs w:val="20"/>
          <w:color w:val="auto"/>
        </w:rPr>
      </w:pPr>
      <w:r>
        <w:rPr>
          <w:rFonts w:ascii="Arial" w:cs="Arial" w:eastAsia="Arial" w:hAnsi="Arial"/>
          <w:sz w:val="16"/>
          <w:szCs w:val="16"/>
          <w:color w:val="auto"/>
        </w:rPr>
        <w:t>This prospectus includes statistical data, market data and other industry data and forecasts, which we obtained from market research, publicly available information and independent industry publications and reports that we believe to be reliable sources.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1278255</wp:posOffset>
            </wp:positionH>
            <wp:positionV relativeFrom="page">
              <wp:posOffset>88900</wp:posOffset>
            </wp:positionV>
            <wp:extent cx="5004435" cy="7470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04435" cy="7470775"/>
                    </a:xfrm>
                    <a:prstGeom prst="rect">
                      <a:avLst/>
                    </a:prstGeom>
                    <a:noFill/>
                  </pic:spPr>
                </pic:pic>
              </a:graphicData>
            </a:graphic>
          </wp:anchor>
        </w:drawing>
        <w:t>PROSPECTUS SUMMARY</w:t>
      </w:r>
    </w:p>
    <w:p>
      <w:pPr>
        <w:spacing w:after="0" w:line="208" w:lineRule="exact"/>
        <w:rPr>
          <w:sz w:val="20"/>
          <w:szCs w:val="20"/>
          <w:color w:val="auto"/>
        </w:rPr>
      </w:pPr>
    </w:p>
    <w:p>
      <w:pPr>
        <w:ind w:left="660" w:right="699"/>
        <w:spacing w:after="0" w:line="278" w:lineRule="auto"/>
        <w:rPr>
          <w:sz w:val="20"/>
          <w:szCs w:val="20"/>
          <w:color w:val="auto"/>
        </w:rPr>
      </w:pPr>
      <w:r>
        <w:rPr>
          <w:rFonts w:ascii="Arial" w:cs="Arial" w:eastAsia="Arial" w:hAnsi="Arial"/>
          <w:sz w:val="15"/>
          <w:szCs w:val="15"/>
          <w:b w:val="1"/>
          <w:bCs w:val="1"/>
          <w:i w:val="1"/>
          <w:iCs w:val="1"/>
          <w:color w:val="auto"/>
        </w:rPr>
        <w:t>This summary highlights selected information contained elsewhere in this prospectus. This summary does not contain all of the information you should consider before investing in our ordinary shares. You should read the entire prospectus carefully, including “Risk Factors” and our consolidated financial statements and notes to those consolidated financial statements, before making an investment decision. Unless the context otherwise requires, all references to “Kornit,” “we,” “us,” “our,” “the Company” and similar designations refer to Kornit Digital Ltd. and its subsidiaries.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Company</w:t>
      </w:r>
    </w:p>
    <w:p>
      <w:pPr>
        <w:spacing w:after="0" w:line="208" w:lineRule="exact"/>
        <w:rPr>
          <w:sz w:val="20"/>
          <w:szCs w:val="20"/>
          <w:color w:val="auto"/>
        </w:rPr>
      </w:pPr>
    </w:p>
    <w:p>
      <w:pPr>
        <w:ind w:left="660" w:right="739" w:firstLine="194"/>
        <w:spacing w:after="0" w:line="291" w:lineRule="auto"/>
        <w:rPr>
          <w:sz w:val="20"/>
          <w:szCs w:val="20"/>
          <w:color w:val="auto"/>
        </w:rPr>
      </w:pPr>
      <w:r>
        <w:rPr>
          <w:rFonts w:ascii="Arial" w:cs="Arial" w:eastAsia="Arial" w:hAnsi="Arial"/>
          <w:sz w:val="14"/>
          <w:szCs w:val="14"/>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w:t>
      </w:r>
    </w:p>
    <w:p>
      <w:pPr>
        <w:spacing w:after="0" w:line="1" w:lineRule="exact"/>
        <w:rPr>
          <w:sz w:val="20"/>
          <w:szCs w:val="20"/>
          <w:color w:val="auto"/>
        </w:rPr>
      </w:pPr>
    </w:p>
    <w:p>
      <w:pPr>
        <w:ind w:left="660" w:right="659"/>
        <w:spacing w:after="0" w:line="256" w:lineRule="auto"/>
        <w:rPr>
          <w:sz w:val="20"/>
          <w:szCs w:val="20"/>
          <w:color w:val="auto"/>
        </w:rPr>
      </w:pPr>
      <w:r>
        <w:rPr>
          <w:rFonts w:ascii="Arial" w:cs="Arial" w:eastAsia="Arial" w:hAnsi="Arial"/>
          <w:sz w:val="16"/>
          <w:szCs w:val="16"/>
          <w:color w:val="auto"/>
        </w:rPr>
        <w:t>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660" w:right="759" w:firstLine="194"/>
        <w:spacing w:after="0" w:line="275" w:lineRule="auto"/>
        <w:rPr>
          <w:sz w:val="20"/>
          <w:szCs w:val="20"/>
          <w:color w:val="auto"/>
        </w:rPr>
      </w:pPr>
      <w:r>
        <w:rPr>
          <w:rFonts w:ascii="Arial" w:cs="Arial" w:eastAsia="Arial" w:hAnsi="Arial"/>
          <w:sz w:val="15"/>
          <w:szCs w:val="15"/>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59" w:lineRule="exact"/>
        <w:rPr>
          <w:sz w:val="20"/>
          <w:szCs w:val="20"/>
          <w:color w:val="auto"/>
        </w:rPr>
      </w:pPr>
    </w:p>
    <w:p>
      <w:pPr>
        <w:ind w:left="660" w:right="659" w:firstLine="194"/>
        <w:spacing w:after="0" w:line="256"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w:t>
      </w:r>
    </w:p>
    <w:p>
      <w:pPr>
        <w:spacing w:after="0" w:line="174" w:lineRule="exact"/>
        <w:rPr>
          <w:sz w:val="20"/>
          <w:szCs w:val="20"/>
          <w:color w:val="auto"/>
        </w:rPr>
      </w:pPr>
    </w:p>
    <w:p>
      <w:pPr>
        <w:ind w:left="660" w:right="719" w:firstLine="194"/>
        <w:spacing w:after="0" w:line="305" w:lineRule="auto"/>
        <w:rPr>
          <w:sz w:val="20"/>
          <w:szCs w:val="20"/>
          <w:color w:val="auto"/>
        </w:rPr>
      </w:pPr>
      <w:r>
        <w:rPr>
          <w:rFonts w:ascii="Arial" w:cs="Arial" w:eastAsia="Arial" w:hAnsi="Arial"/>
          <w:sz w:val="14"/>
          <w:szCs w:val="14"/>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Industry Overview</w:t>
      </w:r>
    </w:p>
    <w:p>
      <w:pPr>
        <w:spacing w:after="0" w:line="204" w:lineRule="exact"/>
        <w:rPr>
          <w:sz w:val="20"/>
          <w:szCs w:val="20"/>
          <w:color w:val="auto"/>
        </w:rPr>
      </w:pPr>
    </w:p>
    <w:p>
      <w:pPr>
        <w:jc w:val="both"/>
        <w:ind w:left="660" w:right="699" w:firstLine="194"/>
        <w:spacing w:after="0" w:line="258" w:lineRule="auto"/>
        <w:rPr>
          <w:sz w:val="20"/>
          <w:szCs w:val="20"/>
          <w:color w:val="auto"/>
        </w:rPr>
      </w:pPr>
      <w:r>
        <w:rPr>
          <w:rFonts w:ascii="Arial" w:cs="Arial" w:eastAsia="Arial" w:hAnsi="Arial"/>
          <w:sz w:val="16"/>
          <w:szCs w:val="16"/>
          <w:color w:val="auto"/>
        </w:rPr>
        <w:t>The retail value of the global textile industry was over $1 trillion in 2013 and is projected to grow between 2% and 5% annually through 2018, according to a November 2014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5" w:name="page6"/>
    <w:bookmarkEnd w:id="5"/>
    <w:p>
      <w:pPr>
        <w:ind w:left="660" w:right="659" w:firstLine="194"/>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1278255</wp:posOffset>
            </wp:positionH>
            <wp:positionV relativeFrom="page">
              <wp:posOffset>88900</wp:posOffset>
            </wp:positionV>
            <wp:extent cx="5004435" cy="7270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4435" cy="7270750"/>
                    </a:xfrm>
                    <a:prstGeom prst="rect">
                      <a:avLst/>
                    </a:prstGeom>
                    <a:noFill/>
                  </pic:spPr>
                </pic:pic>
              </a:graphicData>
            </a:graphic>
          </wp:anchor>
        </w:drawing>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digital textile printing output is forecasted to grow at approximately 20% per year globally for the foreseeable future. Within digital textile printing, clothing applications represent the greatest amount of digital printed textile output and are projected to grow at a faster rate than household, technical and display applications.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Solutions</w:t>
      </w:r>
    </w:p>
    <w:p>
      <w:pPr>
        <w:spacing w:after="0" w:line="171" w:lineRule="exact"/>
        <w:rPr>
          <w:sz w:val="20"/>
          <w:szCs w:val="20"/>
          <w:color w:val="auto"/>
        </w:rPr>
      </w:pPr>
    </w:p>
    <w:p>
      <w:pPr>
        <w:ind w:left="660" w:right="699" w:firstLine="194"/>
        <w:spacing w:after="0" w:line="281" w:lineRule="auto"/>
        <w:rPr>
          <w:sz w:val="20"/>
          <w:szCs w:val="20"/>
          <w:color w:val="auto"/>
        </w:rPr>
      </w:pPr>
      <w:r>
        <w:rPr>
          <w:rFonts w:ascii="Arial" w:cs="Arial" w:eastAsia="Arial" w:hAnsi="Arial"/>
          <w:sz w:val="15"/>
          <w:szCs w:val="15"/>
          <w:color w:val="auto"/>
        </w:rPr>
        <w:t>Our solutions include a combination of proprietary digital textile printing systems, ink and other consumables and associated software as well as value added services. 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117" w:lineRule="exact"/>
        <w:rPr>
          <w:sz w:val="20"/>
          <w:szCs w:val="20"/>
          <w:color w:val="auto"/>
        </w:rPr>
      </w:pPr>
    </w:p>
    <w:p>
      <w:pPr>
        <w:ind w:left="1040" w:right="839" w:hanging="188"/>
        <w:spacing w:after="0" w:line="266" w:lineRule="auto"/>
        <w:tabs>
          <w:tab w:leader="none" w:pos="1023" w:val="left"/>
        </w:tabs>
        <w:numPr>
          <w:ilvl w:val="0"/>
          <w:numId w:val="4"/>
        </w:numPr>
        <w:rPr>
          <w:rFonts w:ascii="Arial" w:cs="Arial" w:eastAsia="Arial" w:hAnsi="Arial"/>
          <w:sz w:val="18"/>
          <w:szCs w:val="18"/>
          <w:i w:val="1"/>
          <w:iCs w:val="1"/>
          <w:color w:val="auto"/>
        </w:rPr>
      </w:pPr>
      <w:r>
        <w:rPr>
          <w:rFonts w:ascii="Arial" w:cs="Arial" w:eastAsia="Arial" w:hAnsi="Arial"/>
          <w:sz w:val="15"/>
          <w:szCs w:val="15"/>
          <w:i w:val="1"/>
          <w:iCs w:val="1"/>
          <w:color w:val="auto"/>
        </w:rPr>
        <w:t>Entry Level</w:t>
      </w:r>
      <w:r>
        <w:rPr>
          <w:rFonts w:ascii="Arial" w:cs="Arial" w:eastAsia="Arial" w:hAnsi="Arial"/>
          <w:sz w:val="15"/>
          <w:szCs w:val="15"/>
          <w:color w:val="auto"/>
        </w:rPr>
        <w:t>. Our entry level systems consist of our Breeze and Thunder systems. The Breeze and Thunder</w:t>
      </w:r>
      <w:r>
        <w:rPr>
          <w:rFonts w:ascii="Arial" w:cs="Arial" w:eastAsia="Arial" w:hAnsi="Arial"/>
          <w:sz w:val="15"/>
          <w:szCs w:val="15"/>
          <w:i w:val="1"/>
          <w:iCs w:val="1"/>
          <w:color w:val="auto"/>
        </w:rPr>
        <w:t xml:space="preserve"> </w:t>
      </w:r>
      <w:r>
        <w:rPr>
          <w:rFonts w:ascii="Arial" w:cs="Arial" w:eastAsia="Arial" w:hAnsi="Arial"/>
          <w:sz w:val="15"/>
          <w:szCs w:val="15"/>
          <w:color w:val="auto"/>
        </w:rPr>
        <w:t>allow businesses to adopt digital technology with a limited upfront investment and use the same technology as our high throughput systems but with smaller garment printing areas and at lower throughput levels.</w:t>
      </w:r>
    </w:p>
    <w:p>
      <w:pPr>
        <w:spacing w:after="0" w:line="175" w:lineRule="exact"/>
        <w:rPr>
          <w:rFonts w:ascii="Arial" w:cs="Arial" w:eastAsia="Arial" w:hAnsi="Arial"/>
          <w:sz w:val="18"/>
          <w:szCs w:val="18"/>
          <w:i w:val="1"/>
          <w:iCs w:val="1"/>
          <w:color w:val="auto"/>
        </w:rPr>
      </w:pPr>
    </w:p>
    <w:p>
      <w:pPr>
        <w:jc w:val="both"/>
        <w:ind w:left="1040" w:right="859" w:hanging="188"/>
        <w:spacing w:after="0" w:line="244" w:lineRule="auto"/>
        <w:tabs>
          <w:tab w:leader="none" w:pos="1023" w:val="left"/>
        </w:tabs>
        <w:numPr>
          <w:ilvl w:val="0"/>
          <w:numId w:val="4"/>
        </w:numPr>
        <w:rPr>
          <w:rFonts w:ascii="Arial" w:cs="Arial" w:eastAsia="Arial" w:hAnsi="Arial"/>
          <w:sz w:val="19"/>
          <w:szCs w:val="19"/>
          <w:i w:val="1"/>
          <w:iCs w:val="1"/>
          <w:color w:val="auto"/>
        </w:rPr>
      </w:pPr>
      <w:r>
        <w:rPr>
          <w:rFonts w:ascii="Arial" w:cs="Arial" w:eastAsia="Arial" w:hAnsi="Arial"/>
          <w:sz w:val="16"/>
          <w:szCs w:val="16"/>
          <w:i w:val="1"/>
          <w:iCs w:val="1"/>
          <w:color w:val="auto"/>
        </w:rPr>
        <w:t xml:space="preserve">High Throughput. </w:t>
      </w:r>
      <w:r>
        <w:rPr>
          <w:rFonts w:ascii="Arial" w:cs="Arial" w:eastAsia="Arial" w:hAnsi="Arial"/>
          <w:sz w:val="16"/>
          <w:szCs w:val="16"/>
          <w:color w:val="auto"/>
        </w:rPr>
        <w:t>Our high throughput systems, which consist of our Avalanche family of systems, Storm II</w:t>
      </w:r>
      <w:r>
        <w:rPr>
          <w:rFonts w:ascii="Arial" w:cs="Arial" w:eastAsia="Arial" w:hAnsi="Arial"/>
          <w:sz w:val="16"/>
          <w:szCs w:val="16"/>
          <w:i w:val="1"/>
          <w:iCs w:val="1"/>
          <w:color w:val="auto"/>
        </w:rPr>
        <w:t xml:space="preserve"> </w:t>
      </w:r>
      <w:r>
        <w:rPr>
          <w:rFonts w:ascii="Arial" w:cs="Arial" w:eastAsia="Arial" w:hAnsi="Arial"/>
          <w:sz w:val="16"/>
          <w:szCs w:val="16"/>
          <w:color w:val="auto"/>
        </w:rPr>
        <w:t>and Paradigm II, offer high throughput printing capabilities and are designed for customers who conduct large scale printing of small runs of a variety of images and designs.</w:t>
      </w:r>
    </w:p>
    <w:p>
      <w:pPr>
        <w:spacing w:after="0" w:line="131" w:lineRule="exact"/>
        <w:rPr>
          <w:sz w:val="20"/>
          <w:szCs w:val="20"/>
          <w:color w:val="auto"/>
        </w:rPr>
      </w:pPr>
    </w:p>
    <w:p>
      <w:pPr>
        <w:ind w:left="660" w:right="759" w:firstLine="194"/>
        <w:spacing w:after="0" w:line="256" w:lineRule="auto"/>
        <w:rPr>
          <w:sz w:val="20"/>
          <w:szCs w:val="20"/>
          <w:color w:val="auto"/>
        </w:rPr>
      </w:pPr>
      <w:r>
        <w:rPr>
          <w:rFonts w:ascii="Arial" w:cs="Arial" w:eastAsia="Arial" w:hAnsi="Arial"/>
          <w:sz w:val="16"/>
          <w:szCs w:val="16"/>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enables us to print on a wide range of fabrics without the need for a separate pre-treatment process or system reconfiguration, resulting in minimal setup times for each run and high throughput levels. We are also investing in the development of new ink formulas for our new systems in order to expand the range of fabrics on which we can print and further improve the quality of our high resolution images and designs.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Competitive Strengths</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are our key competitive strengths:</w:t>
      </w:r>
    </w:p>
    <w:p>
      <w:pPr>
        <w:spacing w:after="0" w:line="163" w:lineRule="exact"/>
        <w:rPr>
          <w:sz w:val="20"/>
          <w:szCs w:val="20"/>
          <w:color w:val="auto"/>
        </w:rPr>
      </w:pPr>
    </w:p>
    <w:p>
      <w:pPr>
        <w:ind w:left="1040" w:right="659" w:hanging="188"/>
        <w:spacing w:after="0" w:line="290" w:lineRule="auto"/>
        <w:tabs>
          <w:tab w:leader="none" w:pos="1023" w:val="left"/>
        </w:tabs>
        <w:numPr>
          <w:ilvl w:val="0"/>
          <w:numId w:val="5"/>
        </w:numPr>
        <w:rPr>
          <w:rFonts w:ascii="Arial" w:cs="Arial" w:eastAsia="Arial" w:hAnsi="Arial"/>
          <w:sz w:val="17"/>
          <w:szCs w:val="17"/>
          <w:b w:val="1"/>
          <w:bCs w:val="1"/>
          <w:color w:val="auto"/>
        </w:rPr>
      </w:pPr>
      <w:r>
        <w:rPr>
          <w:rFonts w:ascii="Arial" w:cs="Arial" w:eastAsia="Arial" w:hAnsi="Arial"/>
          <w:sz w:val="14"/>
          <w:szCs w:val="14"/>
          <w:b w:val="1"/>
          <w:bCs w:val="1"/>
          <w:color w:val="auto"/>
        </w:rPr>
        <w:t>Leading player in fast-growing digital DTG printing market</w:t>
      </w:r>
      <w:r>
        <w:rPr>
          <w:rFonts w:ascii="Arial" w:cs="Arial" w:eastAsia="Arial" w:hAnsi="Arial"/>
          <w:sz w:val="14"/>
          <w:szCs w:val="14"/>
          <w:color w:val="auto"/>
        </w:rPr>
        <w:t>. We are a leading player in the fast-growing</w:t>
      </w:r>
      <w:r>
        <w:rPr>
          <w:rFonts w:ascii="Arial" w:cs="Arial" w:eastAsia="Arial" w:hAnsi="Arial"/>
          <w:sz w:val="14"/>
          <w:szCs w:val="14"/>
          <w:b w:val="1"/>
          <w:bCs w:val="1"/>
          <w:color w:val="auto"/>
        </w:rPr>
        <w:t xml:space="preserve"> </w:t>
      </w:r>
      <w:r>
        <w:rPr>
          <w:rFonts w:ascii="Arial" w:cs="Arial" w:eastAsia="Arial" w:hAnsi="Arial"/>
          <w:sz w:val="14"/>
          <w:szCs w:val="14"/>
          <w:color w:val="auto"/>
        </w:rPr>
        <w:t>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85" w:lineRule="exact"/>
        <w:rPr>
          <w:rFonts w:ascii="Arial" w:cs="Arial" w:eastAsia="Arial" w:hAnsi="Arial"/>
          <w:sz w:val="17"/>
          <w:szCs w:val="17"/>
          <w:b w:val="1"/>
          <w:bCs w:val="1"/>
          <w:color w:val="auto"/>
        </w:rPr>
      </w:pPr>
    </w:p>
    <w:p>
      <w:pPr>
        <w:ind w:left="1040" w:right="679" w:hanging="188"/>
        <w:spacing w:after="0" w:line="249" w:lineRule="auto"/>
        <w:tabs>
          <w:tab w:leader="none" w:pos="1023" w:val="left"/>
        </w:tabs>
        <w:numPr>
          <w:ilvl w:val="0"/>
          <w:numId w:val="5"/>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Disruptive technology that enables our customers to adopt new or improve existing business models.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printing solutions allow our customers to develop new or improve existing business models by enabling them to produce short to medium runs of high-quality customized garments efficiently. This facilitates online business models that manufacture on a “produce to order” basis and allows brand owners to produce garments in house.</w:t>
      </w:r>
    </w:p>
    <w:p>
      <w:pPr>
        <w:spacing w:after="0" w:line="184" w:lineRule="exact"/>
        <w:rPr>
          <w:rFonts w:ascii="Arial" w:cs="Arial" w:eastAsia="Arial" w:hAnsi="Arial"/>
          <w:sz w:val="19"/>
          <w:szCs w:val="19"/>
          <w:b w:val="1"/>
          <w:bCs w:val="1"/>
          <w:color w:val="auto"/>
        </w:rPr>
      </w:pPr>
    </w:p>
    <w:p>
      <w:pPr>
        <w:jc w:val="both"/>
        <w:ind w:left="1040" w:right="659" w:hanging="188"/>
        <w:spacing w:after="0" w:line="246" w:lineRule="auto"/>
        <w:tabs>
          <w:tab w:leader="none" w:pos="1023" w:val="left"/>
        </w:tabs>
        <w:numPr>
          <w:ilvl w:val="0"/>
          <w:numId w:val="5"/>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Attractive business model. </w:t>
      </w:r>
      <w:r>
        <w:rPr>
          <w:rFonts w:ascii="Arial" w:cs="Arial" w:eastAsia="Arial" w:hAnsi="Arial"/>
          <w:sz w:val="16"/>
          <w:szCs w:val="16"/>
          <w:color w:val="auto"/>
        </w:rPr>
        <w:t>Our existing and growing installed base of systems results in recurring sales of ink</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consumables. Recurring sales of ink and other consumables have historically offered us visibility into a significant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6" w:name="page7"/>
    <w:bookmarkEnd w:id="6"/>
    <w:p>
      <w:pPr>
        <w:ind w:left="1040" w:right="759"/>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1278255</wp:posOffset>
            </wp:positionH>
            <wp:positionV relativeFrom="page">
              <wp:posOffset>88900</wp:posOffset>
            </wp:positionV>
            <wp:extent cx="5004435" cy="7216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04435" cy="7216775"/>
                    </a:xfrm>
                    <a:prstGeom prst="rect">
                      <a:avLst/>
                    </a:prstGeom>
                    <a:noFill/>
                  </pic:spPr>
                </pic:pic>
              </a:graphicData>
            </a:graphic>
          </wp:anchor>
        </w:drawing>
        <w:t>component of our results of operations. We believe that our recurring sales model also enables us to foster close customer relationships and allows us to provide value added services to our customers.</w:t>
      </w:r>
    </w:p>
    <w:p>
      <w:pPr>
        <w:spacing w:after="0" w:line="159" w:lineRule="exact"/>
        <w:rPr>
          <w:sz w:val="20"/>
          <w:szCs w:val="20"/>
          <w:color w:val="auto"/>
        </w:rPr>
      </w:pPr>
    </w:p>
    <w:p>
      <w:pPr>
        <w:jc w:val="both"/>
        <w:ind w:left="1040" w:right="939" w:hanging="188"/>
        <w:spacing w:after="0" w:line="246" w:lineRule="auto"/>
        <w:tabs>
          <w:tab w:leader="none" w:pos="1023" w:val="left"/>
        </w:tabs>
        <w:numPr>
          <w:ilvl w:val="0"/>
          <w:numId w:val="6"/>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Robust intellectual property portfolio driven by an innovation-based culture. </w:t>
      </w:r>
      <w:r>
        <w:rPr>
          <w:rFonts w:ascii="Arial" w:cs="Arial" w:eastAsia="Arial" w:hAnsi="Arial"/>
          <w:sz w:val="16"/>
          <w:szCs w:val="16"/>
          <w:color w:val="auto"/>
        </w:rPr>
        <w:t>Our intellectual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portfolio reflects over a decade of significant investments in digital textile printing, which we believe creates significant barriers to entry.</w:t>
      </w:r>
    </w:p>
    <w:p>
      <w:pPr>
        <w:spacing w:after="0" w:line="186" w:lineRule="exact"/>
        <w:rPr>
          <w:rFonts w:ascii="Arial" w:cs="Arial" w:eastAsia="Arial" w:hAnsi="Arial"/>
          <w:sz w:val="19"/>
          <w:szCs w:val="19"/>
          <w:b w:val="1"/>
          <w:bCs w:val="1"/>
          <w:color w:val="auto"/>
        </w:rPr>
      </w:pPr>
    </w:p>
    <w:p>
      <w:pPr>
        <w:ind w:left="1040" w:right="939" w:hanging="188"/>
        <w:spacing w:after="0" w:line="292" w:lineRule="auto"/>
        <w:tabs>
          <w:tab w:leader="none" w:pos="1023" w:val="left"/>
        </w:tabs>
        <w:numPr>
          <w:ilvl w:val="0"/>
          <w:numId w:val="6"/>
        </w:numPr>
        <w:rPr>
          <w:rFonts w:ascii="Arial" w:cs="Arial" w:eastAsia="Arial" w:hAnsi="Arial"/>
          <w:sz w:val="17"/>
          <w:szCs w:val="17"/>
          <w:b w:val="1"/>
          <w:bCs w:val="1"/>
          <w:color w:val="auto"/>
        </w:rPr>
      </w:pPr>
      <w:r>
        <w:rPr>
          <w:rFonts w:ascii="Arial" w:cs="Arial" w:eastAsia="Arial" w:hAnsi="Arial"/>
          <w:sz w:val="14"/>
          <w:szCs w:val="14"/>
          <w:b w:val="1"/>
          <w:bCs w:val="1"/>
          <w:color w:val="auto"/>
        </w:rPr>
        <w:t xml:space="preserve">Extensive product portfolio and strong new product pipeline. </w:t>
      </w:r>
      <w:r>
        <w:rPr>
          <w:rFonts w:ascii="Arial" w:cs="Arial" w:eastAsia="Arial" w:hAnsi="Arial"/>
          <w:sz w:val="14"/>
          <w:szCs w:val="14"/>
          <w:color w:val="auto"/>
        </w:rPr>
        <w:t>Our DTG systems are suited for smaller</w:t>
      </w:r>
      <w:r>
        <w:rPr>
          <w:rFonts w:ascii="Arial" w:cs="Arial" w:eastAsia="Arial" w:hAnsi="Arial"/>
          <w:sz w:val="14"/>
          <w:szCs w:val="14"/>
          <w:b w:val="1"/>
          <w:bCs w:val="1"/>
          <w:color w:val="auto"/>
        </w:rPr>
        <w:t xml:space="preserve"> </w:t>
      </w:r>
      <w:r>
        <w:rPr>
          <w:rFonts w:ascii="Arial" w:cs="Arial" w:eastAsia="Arial" w:hAnsi="Arial"/>
          <w:sz w:val="14"/>
          <w:szCs w:val="14"/>
          <w:color w:val="auto"/>
        </w:rPr>
        <w:t>commercial operators with limited budgets, as well as mass producers with mature operations and complex needs. In addition, we plan to introduce two new solutions to market: the Allegro, a one-step, integrated R2R printing and drying system, and the Vulcan, a cost-effective digital substitution for carousel screen printing.</w:t>
      </w:r>
    </w:p>
    <w:p>
      <w:pPr>
        <w:spacing w:after="0" w:line="155" w:lineRule="exact"/>
        <w:rPr>
          <w:rFonts w:ascii="Arial" w:cs="Arial" w:eastAsia="Arial" w:hAnsi="Arial"/>
          <w:sz w:val="17"/>
          <w:szCs w:val="17"/>
          <w:b w:val="1"/>
          <w:bCs w:val="1"/>
          <w:color w:val="auto"/>
        </w:rPr>
      </w:pPr>
    </w:p>
    <w:p>
      <w:pPr>
        <w:ind w:left="1040" w:right="659" w:hanging="188"/>
        <w:spacing w:after="0" w:line="248" w:lineRule="auto"/>
        <w:tabs>
          <w:tab w:leader="none" w:pos="1023" w:val="left"/>
        </w:tabs>
        <w:numPr>
          <w:ilvl w:val="0"/>
          <w:numId w:val="6"/>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Environmentally friendly printing processes. </w:t>
      </w:r>
      <w:r>
        <w:rPr>
          <w:rFonts w:ascii="Arial" w:cs="Arial" w:eastAsia="Arial" w:hAnsi="Arial"/>
          <w:sz w:val="16"/>
          <w:szCs w:val="16"/>
          <w:color w:val="auto"/>
        </w:rPr>
        <w:t>A significant portion of global industrial water pollution comes</w:t>
      </w:r>
      <w:r>
        <w:rPr>
          <w:rFonts w:ascii="Arial" w:cs="Arial" w:eastAsia="Arial" w:hAnsi="Arial"/>
          <w:sz w:val="16"/>
          <w:szCs w:val="16"/>
          <w:b w:val="1"/>
          <w:bCs w:val="1"/>
          <w:color w:val="auto"/>
        </w:rPr>
        <w:t xml:space="preserve"> </w:t>
      </w:r>
      <w:r>
        <w:rPr>
          <w:rFonts w:ascii="Arial" w:cs="Arial" w:eastAsia="Arial" w:hAnsi="Arial"/>
          <w:sz w:val="16"/>
          <w:szCs w:val="16"/>
          <w:color w:val="auto"/>
        </w:rPr>
        <w:t>from textile 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pacing w:after="0" w:line="184" w:lineRule="exact"/>
        <w:rPr>
          <w:rFonts w:ascii="Arial" w:cs="Arial" w:eastAsia="Arial" w:hAnsi="Arial"/>
          <w:sz w:val="19"/>
          <w:szCs w:val="19"/>
          <w:b w:val="1"/>
          <w:bCs w:val="1"/>
          <w:color w:val="auto"/>
        </w:rPr>
      </w:pPr>
    </w:p>
    <w:p>
      <w:pPr>
        <w:jc w:val="both"/>
        <w:ind w:left="1040" w:right="659" w:hanging="188"/>
        <w:spacing w:after="0" w:line="246" w:lineRule="auto"/>
        <w:tabs>
          <w:tab w:leader="none" w:pos="1023" w:val="left"/>
        </w:tabs>
        <w:numPr>
          <w:ilvl w:val="0"/>
          <w:numId w:val="6"/>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Experienced management team. </w:t>
      </w:r>
      <w:r>
        <w:rPr>
          <w:rFonts w:ascii="Arial" w:cs="Arial" w:eastAsia="Arial" w:hAnsi="Arial"/>
          <w:sz w:val="16"/>
          <w:szCs w:val="16"/>
          <w:color w:val="auto"/>
        </w:rPr>
        <w:t>We believe that our management team’s industry expertise, long history with</w:t>
      </w:r>
      <w:r>
        <w:rPr>
          <w:rFonts w:ascii="Arial" w:cs="Arial" w:eastAsia="Arial" w:hAnsi="Arial"/>
          <w:sz w:val="16"/>
          <w:szCs w:val="16"/>
          <w:b w:val="1"/>
          <w:bCs w:val="1"/>
          <w:color w:val="auto"/>
        </w:rPr>
        <w:t xml:space="preserve"> </w:t>
      </w:r>
      <w:r>
        <w:rPr>
          <w:rFonts w:ascii="Arial" w:cs="Arial" w:eastAsia="Arial" w:hAnsi="Arial"/>
          <w:sz w:val="16"/>
          <w:szCs w:val="16"/>
          <w:color w:val="auto"/>
        </w:rPr>
        <w:t>our company and extensive experience in running global publicly traded companies will enable us to execute our growth strategy.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Strategy</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are the key elements of our growth strategy:</w:t>
      </w:r>
    </w:p>
    <w:p>
      <w:pPr>
        <w:spacing w:after="0" w:line="203" w:lineRule="exact"/>
        <w:rPr>
          <w:sz w:val="20"/>
          <w:szCs w:val="20"/>
          <w:color w:val="auto"/>
        </w:rPr>
      </w:pPr>
    </w:p>
    <w:p>
      <w:pPr>
        <w:ind w:left="1020" w:hanging="168"/>
        <w:spacing w:after="0"/>
        <w:tabs>
          <w:tab w:leader="none" w:pos="1020" w:val="left"/>
        </w:tabs>
        <w:numPr>
          <w:ilvl w:val="0"/>
          <w:numId w:val="7"/>
        </w:numPr>
        <w:rPr>
          <w:rFonts w:ascii="Arial" w:cs="Arial" w:eastAsia="Arial" w:hAnsi="Arial"/>
          <w:sz w:val="19"/>
          <w:szCs w:val="19"/>
          <w:color w:val="auto"/>
        </w:rPr>
      </w:pPr>
      <w:r>
        <w:rPr>
          <w:rFonts w:ascii="Arial" w:cs="Arial" w:eastAsia="Arial" w:hAnsi="Arial"/>
          <w:sz w:val="16"/>
          <w:szCs w:val="16"/>
          <w:color w:val="auto"/>
        </w:rPr>
        <w:t>capitalize on continued growth of the digital DTG market;</w:t>
      </w:r>
    </w:p>
    <w:p>
      <w:pPr>
        <w:spacing w:after="0" w:line="181" w:lineRule="exact"/>
        <w:rPr>
          <w:rFonts w:ascii="Arial" w:cs="Arial" w:eastAsia="Arial" w:hAnsi="Arial"/>
          <w:sz w:val="19"/>
          <w:szCs w:val="19"/>
          <w:color w:val="auto"/>
        </w:rPr>
      </w:pPr>
    </w:p>
    <w:p>
      <w:pPr>
        <w:ind w:left="1020" w:hanging="168"/>
        <w:spacing w:after="0"/>
        <w:tabs>
          <w:tab w:leader="none" w:pos="1020" w:val="left"/>
        </w:tabs>
        <w:numPr>
          <w:ilvl w:val="0"/>
          <w:numId w:val="7"/>
        </w:numPr>
        <w:rPr>
          <w:rFonts w:ascii="Arial" w:cs="Arial" w:eastAsia="Arial" w:hAnsi="Arial"/>
          <w:sz w:val="19"/>
          <w:szCs w:val="19"/>
          <w:color w:val="auto"/>
        </w:rPr>
      </w:pPr>
      <w:r>
        <w:rPr>
          <w:rFonts w:ascii="Arial" w:cs="Arial" w:eastAsia="Arial" w:hAnsi="Arial"/>
          <w:sz w:val="16"/>
          <w:szCs w:val="16"/>
          <w:color w:val="auto"/>
        </w:rPr>
        <w:t>focus on fast-growing web-to-print businesses;</w:t>
      </w:r>
    </w:p>
    <w:p>
      <w:pPr>
        <w:spacing w:after="0" w:line="192" w:lineRule="exact"/>
        <w:rPr>
          <w:rFonts w:ascii="Arial" w:cs="Arial" w:eastAsia="Arial" w:hAnsi="Arial"/>
          <w:sz w:val="19"/>
          <w:szCs w:val="19"/>
          <w:color w:val="auto"/>
        </w:rPr>
      </w:pPr>
    </w:p>
    <w:p>
      <w:pPr>
        <w:ind w:left="1020" w:hanging="16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5"/>
          <w:szCs w:val="15"/>
          <w:color w:val="auto"/>
        </w:rPr>
        <w:t>drive adoption of digital DTG printing solutions by customers who primarily use screen printing carousels; and</w:t>
      </w:r>
    </w:p>
    <w:p>
      <w:pPr>
        <w:spacing w:after="0" w:line="193" w:lineRule="exact"/>
        <w:rPr>
          <w:rFonts w:ascii="Arial" w:cs="Arial" w:eastAsia="Arial" w:hAnsi="Arial"/>
          <w:sz w:val="18"/>
          <w:szCs w:val="18"/>
          <w:color w:val="auto"/>
        </w:rPr>
      </w:pPr>
    </w:p>
    <w:p>
      <w:pPr>
        <w:ind w:left="1040" w:right="719" w:hanging="188"/>
        <w:spacing w:after="0" w:line="238" w:lineRule="auto"/>
        <w:tabs>
          <w:tab w:leader="none" w:pos="1023" w:val="left"/>
        </w:tabs>
        <w:numPr>
          <w:ilvl w:val="0"/>
          <w:numId w:val="7"/>
        </w:numPr>
        <w:rPr>
          <w:rFonts w:ascii="Arial" w:cs="Arial" w:eastAsia="Arial" w:hAnsi="Arial"/>
          <w:sz w:val="19"/>
          <w:szCs w:val="19"/>
          <w:color w:val="auto"/>
        </w:rPr>
      </w:pPr>
      <w:r>
        <w:rPr>
          <w:rFonts w:ascii="Arial" w:cs="Arial" w:eastAsia="Arial" w:hAnsi="Arial"/>
          <w:sz w:val="16"/>
          <w:szCs w:val="16"/>
          <w:color w:val="auto"/>
        </w:rPr>
        <w:t>extend our technological leadership through ongoing research and development and continuing to introduce new products.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Risks</w:t>
      </w:r>
    </w:p>
    <w:p>
      <w:pPr>
        <w:spacing w:after="0" w:line="208" w:lineRule="exact"/>
        <w:rPr>
          <w:sz w:val="20"/>
          <w:szCs w:val="20"/>
          <w:color w:val="auto"/>
        </w:rPr>
      </w:pPr>
    </w:p>
    <w:p>
      <w:pPr>
        <w:ind w:left="660" w:right="659" w:firstLine="194"/>
        <w:spacing w:after="0" w:line="259" w:lineRule="auto"/>
        <w:rPr>
          <w:sz w:val="20"/>
          <w:szCs w:val="20"/>
          <w:color w:val="auto"/>
        </w:rPr>
      </w:pPr>
      <w:r>
        <w:rPr>
          <w:rFonts w:ascii="Arial" w:cs="Arial" w:eastAsia="Arial" w:hAnsi="Arial"/>
          <w:sz w:val="16"/>
          <w:szCs w:val="16"/>
          <w:color w:val="auto"/>
        </w:rPr>
        <w:t>Investing in our ordinary shares involves risks. You should carefully consider the risks described in “Risk Factors” section beginning on page 9 before making a decision to invest in our ordinary shares. If any of these risks actually occur,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182" w:lineRule="exact"/>
        <w:rPr>
          <w:sz w:val="20"/>
          <w:szCs w:val="20"/>
          <w:color w:val="auto"/>
        </w:rPr>
      </w:pPr>
    </w:p>
    <w:p>
      <w:pPr>
        <w:ind w:left="1040" w:right="819" w:hanging="188"/>
        <w:spacing w:after="0" w:line="238" w:lineRule="auto"/>
        <w:tabs>
          <w:tab w:leader="none" w:pos="1023" w:val="left"/>
        </w:tabs>
        <w:numPr>
          <w:ilvl w:val="0"/>
          <w:numId w:val="8"/>
        </w:numPr>
        <w:rPr>
          <w:rFonts w:ascii="Arial" w:cs="Arial" w:eastAsia="Arial" w:hAnsi="Arial"/>
          <w:sz w:val="19"/>
          <w:szCs w:val="19"/>
          <w:color w:val="auto"/>
        </w:rPr>
      </w:pPr>
      <w:r>
        <w:rPr>
          <w:rFonts w:ascii="Arial" w:cs="Arial" w:eastAsia="Arial" w:hAnsi="Arial"/>
          <w:sz w:val="16"/>
          <w:szCs w:val="16"/>
          <w:color w:val="auto"/>
        </w:rPr>
        <w:t>If the market for digital textile printing does not develop as we anticipate, our sales may not grow as quickly as expected and our share price could decline.</w:t>
      </w:r>
    </w:p>
    <w:p>
      <w:pPr>
        <w:spacing w:after="0" w:line="194" w:lineRule="exact"/>
        <w:rPr>
          <w:rFonts w:ascii="Arial" w:cs="Arial" w:eastAsia="Arial" w:hAnsi="Arial"/>
          <w:sz w:val="19"/>
          <w:szCs w:val="19"/>
          <w:color w:val="auto"/>
        </w:rPr>
      </w:pPr>
    </w:p>
    <w:p>
      <w:pPr>
        <w:ind w:left="1040" w:right="1239" w:hanging="188"/>
        <w:spacing w:after="0" w:line="238" w:lineRule="auto"/>
        <w:tabs>
          <w:tab w:leader="none" w:pos="1023" w:val="left"/>
        </w:tabs>
        <w:numPr>
          <w:ilvl w:val="0"/>
          <w:numId w:val="8"/>
        </w:numPr>
        <w:rPr>
          <w:rFonts w:ascii="Arial" w:cs="Arial" w:eastAsia="Arial" w:hAnsi="Arial"/>
          <w:sz w:val="19"/>
          <w:szCs w:val="19"/>
          <w:color w:val="auto"/>
        </w:rPr>
      </w:pPr>
      <w:r>
        <w:rPr>
          <w:rFonts w:ascii="Arial" w:cs="Arial" w:eastAsia="Arial" w:hAnsi="Arial"/>
          <w:sz w:val="16"/>
          <w:szCs w:val="16"/>
          <w:color w:val="auto"/>
        </w:rPr>
        <w:t>If our customers use alternative ink or other consumables in our systems, our gross margin could decline significantly, and our business could be harmed.</w:t>
      </w:r>
    </w:p>
    <w:p>
      <w:pPr>
        <w:spacing w:after="0" w:line="181" w:lineRule="exact"/>
        <w:rPr>
          <w:rFonts w:ascii="Arial" w:cs="Arial" w:eastAsia="Arial" w:hAnsi="Arial"/>
          <w:sz w:val="19"/>
          <w:szCs w:val="19"/>
          <w:color w:val="auto"/>
        </w:rPr>
      </w:pPr>
    </w:p>
    <w:p>
      <w:pPr>
        <w:ind w:left="1020" w:hanging="168"/>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6"/>
          <w:szCs w:val="16"/>
          <w:color w:val="auto"/>
        </w:rPr>
        <w:t>Our failure to compete successfully could cause our revenues and demand for our solutions to decline.</w:t>
      </w:r>
    </w:p>
    <w:p>
      <w:pPr>
        <w:spacing w:after="0" w:line="193" w:lineRule="exact"/>
        <w:rPr>
          <w:rFonts w:ascii="Arial" w:cs="Arial" w:eastAsia="Arial" w:hAnsi="Arial"/>
          <w:sz w:val="19"/>
          <w:szCs w:val="19"/>
          <w:color w:val="auto"/>
        </w:rPr>
      </w:pPr>
    </w:p>
    <w:p>
      <w:pPr>
        <w:ind w:left="1040" w:right="939" w:hanging="188"/>
        <w:spacing w:after="0" w:line="304" w:lineRule="auto"/>
        <w:tabs>
          <w:tab w:leader="none" w:pos="1023" w:val="left"/>
        </w:tabs>
        <w:numPr>
          <w:ilvl w:val="0"/>
          <w:numId w:val="8"/>
        </w:numPr>
        <w:rPr>
          <w:rFonts w:ascii="Arial" w:cs="Arial" w:eastAsia="Arial" w:hAnsi="Arial"/>
          <w:sz w:val="17"/>
          <w:szCs w:val="17"/>
          <w:color w:val="auto"/>
        </w:rPr>
      </w:pPr>
      <w:r>
        <w:rPr>
          <w:rFonts w:ascii="Arial" w:cs="Arial" w:eastAsia="Arial" w:hAnsi="Arial"/>
          <w:sz w:val="14"/>
          <w:szCs w:val="14"/>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41" w:lineRule="exact"/>
        <w:rPr>
          <w:rFonts w:ascii="Arial" w:cs="Arial" w:eastAsia="Arial" w:hAnsi="Arial"/>
          <w:sz w:val="17"/>
          <w:szCs w:val="17"/>
          <w:color w:val="auto"/>
        </w:rPr>
      </w:pPr>
    </w:p>
    <w:p>
      <w:pPr>
        <w:ind w:left="1040" w:right="699" w:hanging="188"/>
        <w:spacing w:after="0" w:line="238" w:lineRule="auto"/>
        <w:tabs>
          <w:tab w:leader="none" w:pos="1023" w:val="left"/>
        </w:tabs>
        <w:numPr>
          <w:ilvl w:val="0"/>
          <w:numId w:val="8"/>
        </w:numPr>
        <w:rPr>
          <w:rFonts w:ascii="Arial" w:cs="Arial" w:eastAsia="Arial" w:hAnsi="Arial"/>
          <w:sz w:val="19"/>
          <w:szCs w:val="19"/>
          <w:color w:val="auto"/>
        </w:rPr>
      </w:pPr>
      <w:r>
        <w:rPr>
          <w:rFonts w:ascii="Arial" w:cs="Arial" w:eastAsia="Arial" w:hAnsi="Arial"/>
          <w:sz w:val="16"/>
          <w:szCs w:val="16"/>
          <w:color w:val="auto"/>
        </w:rPr>
        <w:t>Our quarterly results of operations have fluctuated in the past and may fluctuate in the future due to variability in our revenues.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7" w:name="page8"/>
    <w:bookmarkEnd w:id="7"/>
    <w:p>
      <w:pPr>
        <w:ind w:left="1040" w:right="739" w:hanging="188"/>
        <w:spacing w:after="0" w:line="238" w:lineRule="auto"/>
        <w:tabs>
          <w:tab w:leader="none" w:pos="1023" w:val="left"/>
        </w:tabs>
        <w:numPr>
          <w:ilvl w:val="0"/>
          <w:numId w:val="9"/>
        </w:numPr>
        <w:rPr>
          <w:rFonts w:ascii="Arial" w:cs="Arial" w:eastAsia="Arial" w:hAnsi="Arial"/>
          <w:sz w:val="19"/>
          <w:szCs w:val="19"/>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1278255</wp:posOffset>
            </wp:positionH>
            <wp:positionV relativeFrom="page">
              <wp:posOffset>88900</wp:posOffset>
            </wp:positionV>
            <wp:extent cx="5004435" cy="6332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4435" cy="6332855"/>
                    </a:xfrm>
                    <a:prstGeom prst="rect">
                      <a:avLst/>
                    </a:prstGeom>
                    <a:noFill/>
                  </pic:spPr>
                </pic:pic>
              </a:graphicData>
            </a:graphic>
          </wp:anchor>
        </w:drawing>
        <w:t>If our relationships with suppliers, especially with single source suppliers of components, were to terminate, our business could be harmed.</w:t>
      </w:r>
    </w:p>
    <w:p>
      <w:pPr>
        <w:spacing w:after="0" w:line="194" w:lineRule="exact"/>
        <w:rPr>
          <w:rFonts w:ascii="Arial" w:cs="Arial" w:eastAsia="Arial" w:hAnsi="Arial"/>
          <w:sz w:val="19"/>
          <w:szCs w:val="19"/>
          <w:color w:val="auto"/>
        </w:rPr>
      </w:pPr>
    </w:p>
    <w:p>
      <w:pPr>
        <w:ind w:left="1040" w:right="899" w:hanging="188"/>
        <w:spacing w:after="0" w:line="238" w:lineRule="auto"/>
        <w:tabs>
          <w:tab w:leader="none" w:pos="1023" w:val="left"/>
        </w:tabs>
        <w:numPr>
          <w:ilvl w:val="0"/>
          <w:numId w:val="9"/>
        </w:numPr>
        <w:rPr>
          <w:rFonts w:ascii="Arial" w:cs="Arial" w:eastAsia="Arial" w:hAnsi="Arial"/>
          <w:sz w:val="19"/>
          <w:szCs w:val="19"/>
          <w:color w:val="auto"/>
        </w:rPr>
      </w:pPr>
      <w:r>
        <w:rPr>
          <w:rFonts w:ascii="Arial" w:cs="Arial" w:eastAsia="Arial" w:hAnsi="Arial"/>
          <w:sz w:val="16"/>
          <w:szCs w:val="16"/>
          <w:color w:val="auto"/>
        </w:rPr>
        <w:t>If we cannot successfully market our systems to major brand owners and fashion designers, our future growth and prospects could be harmed.</w:t>
      </w:r>
    </w:p>
    <w:p>
      <w:pPr>
        <w:spacing w:after="0" w:line="194" w:lineRule="exact"/>
        <w:rPr>
          <w:rFonts w:ascii="Arial" w:cs="Arial" w:eastAsia="Arial" w:hAnsi="Arial"/>
          <w:sz w:val="19"/>
          <w:szCs w:val="19"/>
          <w:color w:val="auto"/>
        </w:rPr>
      </w:pPr>
    </w:p>
    <w:p>
      <w:pPr>
        <w:ind w:left="1040" w:right="859" w:hanging="188"/>
        <w:spacing w:after="0" w:line="238" w:lineRule="auto"/>
        <w:tabs>
          <w:tab w:leader="none" w:pos="1023" w:val="left"/>
        </w:tabs>
        <w:numPr>
          <w:ilvl w:val="0"/>
          <w:numId w:val="9"/>
        </w:numPr>
        <w:rPr>
          <w:rFonts w:ascii="Arial" w:cs="Arial" w:eastAsia="Arial" w:hAnsi="Arial"/>
          <w:sz w:val="19"/>
          <w:szCs w:val="19"/>
          <w:color w:val="auto"/>
        </w:rPr>
      </w:pPr>
      <w:r>
        <w:rPr>
          <w:rFonts w:ascii="Arial" w:cs="Arial" w:eastAsia="Arial" w:hAnsi="Arial"/>
          <w:sz w:val="16"/>
          <w:szCs w:val="16"/>
          <w:color w:val="auto"/>
        </w:rPr>
        <w:t>Disruption of operations at our manufacturing site or those of third-party manufacturers could prevent us from filling customer orders on a timely basis.</w:t>
      </w:r>
    </w:p>
    <w:p>
      <w:pPr>
        <w:spacing w:after="0" w:line="194" w:lineRule="exact"/>
        <w:rPr>
          <w:rFonts w:ascii="Arial" w:cs="Arial" w:eastAsia="Arial" w:hAnsi="Arial"/>
          <w:sz w:val="19"/>
          <w:szCs w:val="19"/>
          <w:color w:val="auto"/>
        </w:rPr>
      </w:pPr>
    </w:p>
    <w:p>
      <w:pPr>
        <w:ind w:left="1040" w:right="1299" w:hanging="188"/>
        <w:spacing w:after="0" w:line="238" w:lineRule="auto"/>
        <w:tabs>
          <w:tab w:leader="none" w:pos="1023" w:val="left"/>
        </w:tabs>
        <w:numPr>
          <w:ilvl w:val="0"/>
          <w:numId w:val="9"/>
        </w:numPr>
        <w:rPr>
          <w:rFonts w:ascii="Arial" w:cs="Arial" w:eastAsia="Arial" w:hAnsi="Arial"/>
          <w:sz w:val="19"/>
          <w:szCs w:val="19"/>
          <w:color w:val="auto"/>
        </w:rPr>
      </w:pPr>
      <w:r>
        <w:rPr>
          <w:rFonts w:ascii="Arial" w:cs="Arial" w:eastAsia="Arial" w:hAnsi="Arial"/>
          <w:sz w:val="16"/>
          <w:szCs w:val="16"/>
          <w:color w:val="auto"/>
        </w:rPr>
        <w:t>We may not be able to introduce new systems or other technological enhancements to the market on the timescales that we project.</w:t>
      </w:r>
    </w:p>
    <w:p>
      <w:pPr>
        <w:spacing w:after="0" w:line="194" w:lineRule="exact"/>
        <w:rPr>
          <w:rFonts w:ascii="Arial" w:cs="Arial" w:eastAsia="Arial" w:hAnsi="Arial"/>
          <w:sz w:val="19"/>
          <w:szCs w:val="19"/>
          <w:color w:val="auto"/>
        </w:rPr>
      </w:pPr>
    </w:p>
    <w:p>
      <w:pPr>
        <w:ind w:left="1040" w:right="919" w:hanging="188"/>
        <w:spacing w:after="0" w:line="238" w:lineRule="auto"/>
        <w:tabs>
          <w:tab w:leader="none" w:pos="1023" w:val="left"/>
        </w:tabs>
        <w:numPr>
          <w:ilvl w:val="0"/>
          <w:numId w:val="9"/>
        </w:numPr>
        <w:rPr>
          <w:rFonts w:ascii="Arial" w:cs="Arial" w:eastAsia="Arial" w:hAnsi="Arial"/>
          <w:sz w:val="19"/>
          <w:szCs w:val="19"/>
          <w:color w:val="auto"/>
        </w:rPr>
      </w:pPr>
      <w:r>
        <w:rPr>
          <w:rFonts w:ascii="Arial" w:cs="Arial" w:eastAsia="Arial" w:hAnsi="Arial"/>
          <w:sz w:val="16"/>
          <w:szCs w:val="16"/>
          <w:color w:val="auto"/>
        </w:rPr>
        <w:t>Our Allegro system, which we expect to launch commercially in the next 18 months, may not achieve market acceptance or gain adequate market share.</w:t>
      </w:r>
    </w:p>
    <w:p>
      <w:pPr>
        <w:spacing w:after="0" w:line="194" w:lineRule="exact"/>
        <w:rPr>
          <w:rFonts w:ascii="Arial" w:cs="Arial" w:eastAsia="Arial" w:hAnsi="Arial"/>
          <w:sz w:val="19"/>
          <w:szCs w:val="19"/>
          <w:color w:val="auto"/>
        </w:rPr>
      </w:pPr>
    </w:p>
    <w:p>
      <w:pPr>
        <w:ind w:left="1040" w:right="719" w:hanging="188"/>
        <w:spacing w:after="0" w:line="238" w:lineRule="auto"/>
        <w:tabs>
          <w:tab w:leader="none" w:pos="1017" w:val="left"/>
        </w:tabs>
        <w:numPr>
          <w:ilvl w:val="0"/>
          <w:numId w:val="9"/>
        </w:numPr>
        <w:rPr>
          <w:rFonts w:ascii="Arial" w:cs="Arial" w:eastAsia="Arial" w:hAnsi="Arial"/>
          <w:sz w:val="19"/>
          <w:szCs w:val="19"/>
          <w:color w:val="auto"/>
        </w:rPr>
      </w:pPr>
      <w:r>
        <w:rPr>
          <w:rFonts w:ascii="Arial" w:cs="Arial" w:eastAsia="Arial" w:hAnsi="Arial"/>
          <w:sz w:val="16"/>
          <w:szCs w:val="16"/>
          <w:color w:val="auto"/>
        </w:rPr>
        <w:t>If we are unable to obtain patent protection for our solutions or otherwise protect our intellectual property rights, our business could suffer.</w:t>
      </w:r>
    </w:p>
    <w:p>
      <w:pPr>
        <w:spacing w:after="0" w:line="194" w:lineRule="exact"/>
        <w:rPr>
          <w:rFonts w:ascii="Arial" w:cs="Arial" w:eastAsia="Arial" w:hAnsi="Arial"/>
          <w:sz w:val="19"/>
          <w:szCs w:val="19"/>
          <w:color w:val="auto"/>
        </w:rPr>
      </w:pPr>
    </w:p>
    <w:p>
      <w:pPr>
        <w:ind w:left="1040" w:right="679" w:hanging="188"/>
        <w:spacing w:after="0" w:line="246" w:lineRule="auto"/>
        <w:tabs>
          <w:tab w:leader="none" w:pos="1017" w:val="left"/>
        </w:tabs>
        <w:numPr>
          <w:ilvl w:val="0"/>
          <w:numId w:val="9"/>
        </w:numPr>
        <w:rPr>
          <w:rFonts w:ascii="Arial" w:cs="Arial" w:eastAsia="Arial" w:hAnsi="Arial"/>
          <w:sz w:val="19"/>
          <w:szCs w:val="19"/>
          <w:color w:val="auto"/>
        </w:rPr>
      </w:pPr>
      <w:r>
        <w:rPr>
          <w:rFonts w:ascii="Arial" w:cs="Arial" w:eastAsia="Arial" w:hAnsi="Arial"/>
          <w:sz w:val="16"/>
          <w:szCs w:val="16"/>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Principal Shareholder</w:t>
      </w:r>
    </w:p>
    <w:p>
      <w:pPr>
        <w:spacing w:after="0" w:line="208" w:lineRule="exact"/>
        <w:rPr>
          <w:sz w:val="20"/>
          <w:szCs w:val="20"/>
          <w:color w:val="auto"/>
        </w:rPr>
      </w:pPr>
    </w:p>
    <w:p>
      <w:pPr>
        <w:ind w:left="660" w:right="739" w:firstLine="194"/>
        <w:spacing w:after="0" w:line="259" w:lineRule="auto"/>
        <w:rPr>
          <w:sz w:val="20"/>
          <w:szCs w:val="20"/>
          <w:color w:val="auto"/>
        </w:rPr>
      </w:pPr>
      <w:r>
        <w:rPr>
          <w:rFonts w:ascii="Arial" w:cs="Arial" w:eastAsia="Arial" w:hAnsi="Arial"/>
          <w:sz w:val="16"/>
          <w:szCs w:val="16"/>
          <w:color w:val="auto"/>
        </w:rPr>
        <w:t>Following the closing of this offering, entities affiliated with Fortissimo Capital Fund II (Israel) L.P. will beneficially own 52.4% of our outstanding shares in the aggregate (or 50.5% if the underwriters exercise in full their option to purchase additional shares). Following the closing of this offering, we will not be a party to and are not otherwise aware of any voting agreement among our shareholders. For further information about the ownership of our ordinary shares following this offering, see “Principal Shareholders.”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Corporate Information</w:t>
      </w:r>
    </w:p>
    <w:p>
      <w:pPr>
        <w:spacing w:after="0" w:line="208" w:lineRule="exact"/>
        <w:rPr>
          <w:sz w:val="20"/>
          <w:szCs w:val="20"/>
          <w:color w:val="auto"/>
        </w:rPr>
      </w:pPr>
    </w:p>
    <w:p>
      <w:pPr>
        <w:ind w:left="660" w:right="739" w:firstLine="194"/>
        <w:spacing w:after="0" w:line="277" w:lineRule="auto"/>
        <w:rPr>
          <w:sz w:val="20"/>
          <w:szCs w:val="20"/>
          <w:color w:val="auto"/>
        </w:rPr>
      </w:pPr>
      <w:r>
        <w:rPr>
          <w:rFonts w:ascii="Arial" w:cs="Arial" w:eastAsia="Arial" w:hAnsi="Arial"/>
          <w:sz w:val="15"/>
          <w:szCs w:val="15"/>
          <w:color w:val="auto"/>
        </w:rPr>
        <w:t>We were incorporated under the laws of the State of Israel on January 16, 2002. Our principal executive offices are located at 12 Ha’Amal Street, Rosh Ha’Ayin 4809246, Israel, and our telephone number is +972-3-908-5800. Our website address is www.kornit.com. The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Kornit Digital North America Inc., located at 10541-10601 North Commerce Street, Mequon, Wisconsin 53092, and its telephone number is (262) 518-0200.</w:t>
      </w:r>
    </w:p>
    <w:p>
      <w:pPr>
        <w:spacing w:after="0" w:line="157" w:lineRule="exact"/>
        <w:rPr>
          <w:sz w:val="20"/>
          <w:szCs w:val="20"/>
          <w:color w:val="auto"/>
        </w:rPr>
      </w:pPr>
    </w:p>
    <w:p>
      <w:pPr>
        <w:ind w:left="660" w:right="759" w:firstLine="194"/>
        <w:spacing w:after="0" w:line="306" w:lineRule="auto"/>
        <w:rPr>
          <w:sz w:val="20"/>
          <w:szCs w:val="20"/>
          <w:color w:val="auto"/>
        </w:rPr>
      </w:pPr>
      <w:r>
        <w:rPr>
          <w:rFonts w:ascii="Arial" w:cs="Arial" w:eastAsia="Arial" w:hAnsi="Arial"/>
          <w:sz w:val="14"/>
          <w:szCs w:val="14"/>
          <w:color w:val="auto"/>
        </w:rPr>
        <w:t>Throughout this prospectus, we refer to various trademarks, service marks and trade names that we use in our business. The “Kornit Digital” design logo and other trademarks or service marks of Kornit Digital Ltd. appearing in this prospectus are the property of Kornit Digital Ltd. We have several other registered trademarks, service marks and</w:t>
      </w:r>
    </w:p>
    <w:p>
      <w:pPr>
        <w:spacing w:after="0" w:line="2" w:lineRule="exact"/>
        <w:rPr>
          <w:sz w:val="20"/>
          <w:szCs w:val="20"/>
          <w:color w:val="auto"/>
        </w:rPr>
      </w:pPr>
    </w:p>
    <w:p>
      <w:pPr>
        <w:ind w:left="660" w:right="759"/>
        <w:spacing w:after="0" w:line="266" w:lineRule="auto"/>
        <w:rPr>
          <w:sz w:val="20"/>
          <w:szCs w:val="20"/>
          <w:color w:val="auto"/>
        </w:rPr>
      </w:pPr>
      <w:r>
        <w:rPr>
          <w:rFonts w:ascii="Arial" w:cs="Arial" w:eastAsia="Arial" w:hAnsi="Arial"/>
          <w:sz w:val="15"/>
          <w:szCs w:val="15"/>
          <w:color w:val="auto"/>
        </w:rPr>
        <w:t>pending applications relating to our solutions. Although we have omitted the “</w:t>
      </w:r>
      <w:r>
        <w:rPr>
          <w:rFonts w:ascii="Arial" w:cs="Arial" w:eastAsia="Arial" w:hAnsi="Arial"/>
          <w:sz w:val="18"/>
          <w:szCs w:val="18"/>
          <w:color w:val="auto"/>
          <w:vertAlign w:val="superscript"/>
        </w:rPr>
        <w:t>®</w:t>
      </w:r>
      <w:r>
        <w:rPr>
          <w:rFonts w:ascii="Arial" w:cs="Arial" w:eastAsia="Arial" w:hAnsi="Arial"/>
          <w:sz w:val="15"/>
          <w:szCs w:val="15"/>
          <w:color w:val="auto"/>
        </w:rPr>
        <w:t>”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515"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1278255</wp:posOffset>
            </wp:positionH>
            <wp:positionV relativeFrom="page">
              <wp:posOffset>88900</wp:posOffset>
            </wp:positionV>
            <wp:extent cx="5004435" cy="8439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04435" cy="8439785"/>
                    </a:xfrm>
                    <a:prstGeom prst="rect">
                      <a:avLst/>
                    </a:prstGeom>
                    <a:noFill/>
                  </pic:spPr>
                </pic:pic>
              </a:graphicData>
            </a:graphic>
          </wp:anchor>
        </w:drawing>
        <w:t>The Offering</w:t>
      </w:r>
    </w:p>
    <w:p>
      <w:pPr>
        <w:spacing w:after="0" w:line="256" w:lineRule="exact"/>
        <w:rPr>
          <w:sz w:val="20"/>
          <w:szCs w:val="20"/>
          <w:color w:val="auto"/>
        </w:rPr>
      </w:pPr>
    </w:p>
    <w:p>
      <w:pPr>
        <w:ind w:left="720"/>
        <w:spacing w:after="0"/>
        <w:tabs>
          <w:tab w:leader="none" w:pos="3460" w:val="left"/>
        </w:tabs>
        <w:rPr>
          <w:sz w:val="20"/>
          <w:szCs w:val="20"/>
          <w:color w:val="auto"/>
        </w:rPr>
      </w:pPr>
      <w:r>
        <w:rPr>
          <w:rFonts w:ascii="Arial" w:cs="Arial" w:eastAsia="Arial" w:hAnsi="Arial"/>
          <w:sz w:val="16"/>
          <w:szCs w:val="16"/>
          <w:color w:val="auto"/>
        </w:rPr>
        <w:t>Ordinary shares we are offering</w:t>
      </w:r>
      <w:r>
        <w:rPr>
          <w:sz w:val="20"/>
          <w:szCs w:val="20"/>
          <w:color w:val="auto"/>
        </w:rPr>
        <w:tab/>
      </w:r>
      <w:r>
        <w:rPr>
          <w:rFonts w:ascii="Arial" w:cs="Arial" w:eastAsia="Arial" w:hAnsi="Arial"/>
          <w:sz w:val="14"/>
          <w:szCs w:val="14"/>
          <w:color w:val="auto"/>
        </w:rPr>
        <w:t>7,100,000 ordinary shares (or 8,165,000 if the underwriters exercise in full</w:t>
      </w:r>
    </w:p>
    <w:p>
      <w:pPr>
        <w:spacing w:after="0" w:line="2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their option to purchase additional ordinary shares)</w:t>
      </w:r>
    </w:p>
    <w:p>
      <w:pPr>
        <w:spacing w:after="0" w:line="200" w:lineRule="exact"/>
        <w:rPr>
          <w:sz w:val="20"/>
          <w:szCs w:val="20"/>
          <w:color w:val="auto"/>
        </w:rPr>
      </w:pPr>
    </w:p>
    <w:p>
      <w:pPr>
        <w:spacing w:after="0" w:line="210" w:lineRule="exact"/>
        <w:rPr>
          <w:sz w:val="20"/>
          <w:szCs w:val="20"/>
          <w:color w:val="auto"/>
        </w:rPr>
      </w:pPr>
    </w:p>
    <w:p>
      <w:pPr>
        <w:ind w:left="720"/>
        <w:spacing w:after="0"/>
        <w:tabs>
          <w:tab w:leader="none" w:pos="3460" w:val="left"/>
        </w:tabs>
        <w:rPr>
          <w:sz w:val="20"/>
          <w:szCs w:val="20"/>
          <w:color w:val="auto"/>
        </w:rPr>
      </w:pPr>
      <w:r>
        <w:rPr>
          <w:rFonts w:ascii="Arial" w:cs="Arial" w:eastAsia="Arial" w:hAnsi="Arial"/>
          <w:sz w:val="16"/>
          <w:szCs w:val="16"/>
          <w:color w:val="auto"/>
        </w:rPr>
        <w:t>Ordinary shares to be outstanding</w:t>
      </w:r>
      <w:r>
        <w:rPr>
          <w:sz w:val="20"/>
          <w:szCs w:val="20"/>
          <w:color w:val="auto"/>
        </w:rPr>
        <w:tab/>
      </w:r>
      <w:r>
        <w:rPr>
          <w:rFonts w:ascii="Arial" w:cs="Arial" w:eastAsia="Arial" w:hAnsi="Arial"/>
          <w:sz w:val="14"/>
          <w:szCs w:val="14"/>
          <w:color w:val="auto"/>
        </w:rPr>
        <w:t>28,701,965 ordinary shares (or 29,766,965 if the underwriters exercise in</w:t>
      </w:r>
    </w:p>
    <w:p>
      <w:pPr>
        <w:spacing w:after="0" w:line="22" w:lineRule="exact"/>
        <w:rPr>
          <w:sz w:val="20"/>
          <w:szCs w:val="20"/>
          <w:color w:val="auto"/>
        </w:rPr>
      </w:pPr>
    </w:p>
    <w:p>
      <w:pPr>
        <w:ind w:left="900"/>
        <w:spacing w:after="0"/>
        <w:tabs>
          <w:tab w:leader="none" w:pos="3460" w:val="left"/>
        </w:tabs>
        <w:rPr>
          <w:sz w:val="20"/>
          <w:szCs w:val="20"/>
          <w:color w:val="auto"/>
        </w:rPr>
      </w:pPr>
      <w:r>
        <w:rPr>
          <w:rFonts w:ascii="Arial" w:cs="Arial" w:eastAsia="Arial" w:hAnsi="Arial"/>
          <w:sz w:val="16"/>
          <w:szCs w:val="16"/>
          <w:color w:val="auto"/>
        </w:rPr>
        <w:t>immediately after this offering</w:t>
      </w:r>
      <w:r>
        <w:rPr>
          <w:sz w:val="20"/>
          <w:szCs w:val="20"/>
          <w:color w:val="auto"/>
        </w:rPr>
        <w:tab/>
      </w:r>
      <w:r>
        <w:rPr>
          <w:rFonts w:ascii="Arial" w:cs="Arial" w:eastAsia="Arial" w:hAnsi="Arial"/>
          <w:sz w:val="14"/>
          <w:szCs w:val="14"/>
          <w:color w:val="auto"/>
        </w:rPr>
        <w:t>full their option to purchase additional ordinary shares)</w:t>
      </w:r>
    </w:p>
    <w:p>
      <w:pPr>
        <w:spacing w:after="0" w:line="200" w:lineRule="exact"/>
        <w:rPr>
          <w:sz w:val="20"/>
          <w:szCs w:val="20"/>
          <w:color w:val="auto"/>
        </w:rPr>
      </w:pPr>
    </w:p>
    <w:p>
      <w:pPr>
        <w:spacing w:after="0" w:line="210" w:lineRule="exact"/>
        <w:rPr>
          <w:sz w:val="20"/>
          <w:szCs w:val="20"/>
          <w:color w:val="auto"/>
        </w:rPr>
      </w:pPr>
    </w:p>
    <w:p>
      <w:pPr>
        <w:ind w:left="720"/>
        <w:spacing w:after="0"/>
        <w:tabs>
          <w:tab w:leader="none" w:pos="3460" w:val="left"/>
        </w:tabs>
        <w:rPr>
          <w:sz w:val="20"/>
          <w:szCs w:val="20"/>
          <w:color w:val="auto"/>
        </w:rPr>
      </w:pPr>
      <w:r>
        <w:rPr>
          <w:rFonts w:ascii="Arial" w:cs="Arial" w:eastAsia="Arial" w:hAnsi="Arial"/>
          <w:sz w:val="16"/>
          <w:szCs w:val="16"/>
          <w:color w:val="auto"/>
        </w:rPr>
        <w:t>Use of proceeds</w:t>
      </w:r>
      <w:r>
        <w:rPr>
          <w:sz w:val="20"/>
          <w:szCs w:val="20"/>
          <w:color w:val="auto"/>
        </w:rPr>
        <w:tab/>
      </w:r>
      <w:r>
        <w:rPr>
          <w:rFonts w:ascii="Arial" w:cs="Arial" w:eastAsia="Arial" w:hAnsi="Arial"/>
          <w:sz w:val="14"/>
          <w:szCs w:val="14"/>
          <w:color w:val="auto"/>
        </w:rPr>
        <w:t>We estimate that we will receive net proceeds from this offering of</w:t>
      </w:r>
    </w:p>
    <w:p>
      <w:pPr>
        <w:spacing w:after="0" w:line="2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approximately $90.0 million, or $103.9 million if the underwriters</w:t>
      </w:r>
    </w:p>
    <w:p>
      <w:pPr>
        <w:spacing w:after="0" w:line="10"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exercise in full their option to purchase additional ordinary shares, based</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on an assumed initial public offering price of $14.00, the midpoint of the</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price range set forth on the cover page of this prospectus, after deducting</w:t>
      </w:r>
    </w:p>
    <w:p>
      <w:pPr>
        <w:spacing w:after="0" w:line="33"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underwriting discounts and commissions and estimated offering expenses</w:t>
      </w:r>
    </w:p>
    <w:p>
      <w:pPr>
        <w:spacing w:after="0" w:line="33"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payable by us.</w:t>
      </w:r>
    </w:p>
    <w:p>
      <w:pPr>
        <w:spacing w:after="0" w:line="10"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We intend to use the net proceeds from this offering to obtain additional</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capital, to increase our financial flexibility and visibility in the</w:t>
      </w:r>
    </w:p>
    <w:p>
      <w:pPr>
        <w:spacing w:after="0" w:line="10"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marketplace, to create a public market for our ordinary shares and to</w:t>
      </w:r>
    </w:p>
    <w:p>
      <w:pPr>
        <w:spacing w:after="0" w:line="10"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facilitate our future access to the public equity markets. While we do not</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currently have specific plans for the net proceeds resulting from this</w:t>
      </w:r>
    </w:p>
    <w:p>
      <w:pPr>
        <w:spacing w:after="0" w:line="10"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offering, we expect to use the net proceeds for general corporate purposes.</w:t>
      </w:r>
    </w:p>
    <w:p>
      <w:pPr>
        <w:spacing w:after="0" w:line="33"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We do not currently have any acquisitions or investments planned</w:t>
      </w:r>
    </w:p>
    <w:p>
      <w:pPr>
        <w:spacing w:after="0" w:line="10"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however we may use a portion of the net proceeds to acquire or invest in</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complementary companies, products or technologies in the future. See</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“Use of Proceeds” on page 27 for additional information.</w:t>
      </w:r>
    </w:p>
    <w:p>
      <w:pPr>
        <w:spacing w:after="0" w:line="200" w:lineRule="exact"/>
        <w:rPr>
          <w:sz w:val="20"/>
          <w:szCs w:val="20"/>
          <w:color w:val="auto"/>
        </w:rPr>
      </w:pPr>
    </w:p>
    <w:p>
      <w:pPr>
        <w:spacing w:after="0" w:line="210" w:lineRule="exact"/>
        <w:rPr>
          <w:sz w:val="20"/>
          <w:szCs w:val="20"/>
          <w:color w:val="auto"/>
        </w:rPr>
      </w:pPr>
    </w:p>
    <w:p>
      <w:pPr>
        <w:ind w:left="720"/>
        <w:spacing w:after="0"/>
        <w:tabs>
          <w:tab w:leader="none" w:pos="3460" w:val="left"/>
        </w:tabs>
        <w:rPr>
          <w:sz w:val="20"/>
          <w:szCs w:val="20"/>
          <w:color w:val="auto"/>
        </w:rPr>
      </w:pPr>
      <w:r>
        <w:rPr>
          <w:rFonts w:ascii="Arial" w:cs="Arial" w:eastAsia="Arial" w:hAnsi="Arial"/>
          <w:sz w:val="16"/>
          <w:szCs w:val="16"/>
          <w:color w:val="auto"/>
        </w:rPr>
        <w:t>Risk factors</w:t>
      </w:r>
      <w:r>
        <w:rPr>
          <w:sz w:val="20"/>
          <w:szCs w:val="20"/>
          <w:color w:val="auto"/>
        </w:rPr>
        <w:tab/>
      </w:r>
      <w:r>
        <w:rPr>
          <w:rFonts w:ascii="Arial" w:cs="Arial" w:eastAsia="Arial" w:hAnsi="Arial"/>
          <w:sz w:val="14"/>
          <w:szCs w:val="14"/>
          <w:color w:val="auto"/>
        </w:rPr>
        <w:t>Investing in our ordinary shares involves a high degree of risk and</w:t>
      </w:r>
    </w:p>
    <w:p>
      <w:pPr>
        <w:spacing w:after="0" w:line="22" w:lineRule="exact"/>
        <w:rPr>
          <w:sz w:val="20"/>
          <w:szCs w:val="20"/>
          <w:color w:val="auto"/>
        </w:rPr>
      </w:pPr>
    </w:p>
    <w:p>
      <w:pPr>
        <w:ind w:left="3480" w:right="819"/>
        <w:spacing w:after="0" w:line="257" w:lineRule="auto"/>
        <w:rPr>
          <w:sz w:val="20"/>
          <w:szCs w:val="20"/>
          <w:color w:val="auto"/>
        </w:rPr>
      </w:pPr>
      <w:r>
        <w:rPr>
          <w:rFonts w:ascii="Arial" w:cs="Arial" w:eastAsia="Arial" w:hAnsi="Arial"/>
          <w:sz w:val="16"/>
          <w:szCs w:val="16"/>
          <w:color w:val="auto"/>
        </w:rPr>
        <w:t>purchasers of our ordinary shares may lose part or all of their investment. See “Risk Factors” and other information included in this prospectus for a discussion of factors you should carefully consider before deciding to invest in our ordinary shares.</w:t>
      </w:r>
    </w:p>
    <w:p>
      <w:pPr>
        <w:spacing w:after="0" w:line="387" w:lineRule="exact"/>
        <w:rPr>
          <w:sz w:val="20"/>
          <w:szCs w:val="20"/>
          <w:color w:val="auto"/>
        </w:rPr>
      </w:pPr>
    </w:p>
    <w:p>
      <w:pPr>
        <w:ind w:left="720"/>
        <w:spacing w:after="0"/>
        <w:tabs>
          <w:tab w:leader="none" w:pos="3460" w:val="left"/>
        </w:tabs>
        <w:rPr>
          <w:sz w:val="20"/>
          <w:szCs w:val="20"/>
          <w:color w:val="auto"/>
        </w:rPr>
      </w:pPr>
      <w:r>
        <w:rPr>
          <w:rFonts w:ascii="Arial" w:cs="Arial" w:eastAsia="Arial" w:hAnsi="Arial"/>
          <w:sz w:val="16"/>
          <w:szCs w:val="16"/>
          <w:color w:val="auto"/>
        </w:rPr>
        <w:t>Proposed NASDAQ Global Market</w:t>
      </w:r>
      <w:r>
        <w:rPr>
          <w:sz w:val="20"/>
          <w:szCs w:val="20"/>
          <w:color w:val="auto"/>
        </w:rPr>
        <w:tab/>
      </w:r>
      <w:r>
        <w:rPr>
          <w:rFonts w:ascii="Arial" w:cs="Arial" w:eastAsia="Arial" w:hAnsi="Arial"/>
          <w:sz w:val="14"/>
          <w:szCs w:val="14"/>
          <w:color w:val="auto"/>
        </w:rPr>
        <w:t>We have applied to have our ordinary shares listed on the NASDAQ</w:t>
      </w:r>
    </w:p>
    <w:p>
      <w:pPr>
        <w:spacing w:after="0" w:line="22" w:lineRule="exact"/>
        <w:rPr>
          <w:sz w:val="20"/>
          <w:szCs w:val="20"/>
          <w:color w:val="auto"/>
        </w:rPr>
      </w:pPr>
    </w:p>
    <w:p>
      <w:pPr>
        <w:ind w:left="900"/>
        <w:spacing w:after="0"/>
        <w:tabs>
          <w:tab w:leader="none" w:pos="3460" w:val="left"/>
        </w:tabs>
        <w:rPr>
          <w:sz w:val="20"/>
          <w:szCs w:val="20"/>
          <w:color w:val="auto"/>
        </w:rPr>
      </w:pPr>
      <w:r>
        <w:rPr>
          <w:rFonts w:ascii="Arial" w:cs="Arial" w:eastAsia="Arial" w:hAnsi="Arial"/>
          <w:sz w:val="16"/>
          <w:szCs w:val="16"/>
          <w:color w:val="auto"/>
        </w:rPr>
        <w:t>symbol</w:t>
      </w:r>
      <w:r>
        <w:rPr>
          <w:sz w:val="20"/>
          <w:szCs w:val="20"/>
          <w:color w:val="auto"/>
        </w:rPr>
        <w:tab/>
      </w:r>
      <w:r>
        <w:rPr>
          <w:rFonts w:ascii="Arial" w:cs="Arial" w:eastAsia="Arial" w:hAnsi="Arial"/>
          <w:sz w:val="16"/>
          <w:szCs w:val="16"/>
          <w:color w:val="auto"/>
        </w:rPr>
        <w:t>Global Market under the symbol “KRNT.”</w:t>
      </w:r>
    </w:p>
    <w:p>
      <w:pPr>
        <w:spacing w:after="0" w:line="204" w:lineRule="exact"/>
        <w:rPr>
          <w:sz w:val="20"/>
          <w:szCs w:val="20"/>
          <w:color w:val="auto"/>
        </w:rPr>
      </w:pPr>
    </w:p>
    <w:p>
      <w:pPr>
        <w:ind w:left="660" w:right="839" w:firstLine="234"/>
        <w:spacing w:after="0" w:line="278" w:lineRule="auto"/>
        <w:rPr>
          <w:sz w:val="20"/>
          <w:szCs w:val="20"/>
          <w:color w:val="auto"/>
        </w:rPr>
      </w:pPr>
      <w:r>
        <w:rPr>
          <w:rFonts w:ascii="Arial" w:cs="Arial" w:eastAsia="Arial" w:hAnsi="Arial"/>
          <w:sz w:val="15"/>
          <w:szCs w:val="15"/>
          <w:color w:val="auto"/>
        </w:rPr>
        <w:t>Unless otherwise indicated, the number of ordinary shares to be outstanding after this offering is based on 21,601,965 ordinary shares outstanding as of March 16, 2015 assuming the conversion of all outstanding Series A-1 preferred shares into an equal number of ordinary shares and excludes (1) 3,456,281 ordinary shares reserved for issuance under our equity incentive plans in respect of which, as of March 16, 2015, we had outstanding options to purchase 2,792,736 ordinary shares at a weighted average exercise price of $2.13 per share and (2) 242,425 ordinary shares reserved for issuance under our Employee Stock Purchase Plan.</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Unless otherwise indicated, all information in this prospectus:</w:t>
      </w:r>
    </w:p>
    <w:p>
      <w:pPr>
        <w:spacing w:after="0" w:line="155" w:lineRule="exact"/>
        <w:rPr>
          <w:sz w:val="20"/>
          <w:szCs w:val="20"/>
          <w:color w:val="auto"/>
        </w:rPr>
      </w:pPr>
    </w:p>
    <w:p>
      <w:pPr>
        <w:ind w:left="1040" w:right="739" w:hanging="188"/>
        <w:spacing w:after="0" w:line="238" w:lineRule="auto"/>
        <w:tabs>
          <w:tab w:leader="none" w:pos="1017" w:val="left"/>
        </w:tabs>
        <w:numPr>
          <w:ilvl w:val="0"/>
          <w:numId w:val="10"/>
        </w:numPr>
        <w:rPr>
          <w:rFonts w:ascii="Arial" w:cs="Arial" w:eastAsia="Arial" w:hAnsi="Arial"/>
          <w:sz w:val="19"/>
          <w:szCs w:val="19"/>
          <w:color w:val="auto"/>
        </w:rPr>
      </w:pPr>
      <w:r>
        <w:rPr>
          <w:rFonts w:ascii="Arial" w:cs="Arial" w:eastAsia="Arial" w:hAnsi="Arial"/>
          <w:sz w:val="16"/>
          <w:szCs w:val="16"/>
          <w:color w:val="auto"/>
        </w:rPr>
        <w:t>reflects the conversion of all outstanding Series A-1 preferred shares into 12,628,741 ordinary shares which will occur immediately prior to the closing of this offering;</w:t>
      </w:r>
    </w:p>
    <w:p>
      <w:pPr>
        <w:spacing w:after="0" w:line="133" w:lineRule="exact"/>
        <w:rPr>
          <w:rFonts w:ascii="Arial" w:cs="Arial" w:eastAsia="Arial" w:hAnsi="Arial"/>
          <w:sz w:val="19"/>
          <w:szCs w:val="19"/>
          <w:color w:val="auto"/>
        </w:rPr>
      </w:pPr>
    </w:p>
    <w:p>
      <w:pPr>
        <w:ind w:left="1040" w:right="759" w:hanging="188"/>
        <w:spacing w:after="0" w:line="238" w:lineRule="auto"/>
        <w:tabs>
          <w:tab w:leader="none" w:pos="1017" w:val="left"/>
        </w:tabs>
        <w:numPr>
          <w:ilvl w:val="0"/>
          <w:numId w:val="10"/>
        </w:numPr>
        <w:rPr>
          <w:rFonts w:ascii="Arial" w:cs="Arial" w:eastAsia="Arial" w:hAnsi="Arial"/>
          <w:sz w:val="19"/>
          <w:szCs w:val="19"/>
          <w:color w:val="auto"/>
        </w:rPr>
      </w:pPr>
      <w:r>
        <w:rPr>
          <w:rFonts w:ascii="Arial" w:cs="Arial" w:eastAsia="Arial" w:hAnsi="Arial"/>
          <w:sz w:val="16"/>
          <w:szCs w:val="16"/>
          <w:color w:val="auto"/>
        </w:rPr>
        <w:t>assumes an initial public offering price of $14.00 per ordinary share, the midpoint of the price range set forth on the cover page of this prospectus;</w:t>
      </w:r>
    </w:p>
    <w:p>
      <w:pPr>
        <w:spacing w:after="0" w:line="121" w:lineRule="exact"/>
        <w:rPr>
          <w:rFonts w:ascii="Arial" w:cs="Arial" w:eastAsia="Arial" w:hAnsi="Arial"/>
          <w:sz w:val="19"/>
          <w:szCs w:val="19"/>
          <w:color w:val="auto"/>
        </w:rPr>
      </w:pPr>
    </w:p>
    <w:p>
      <w:pPr>
        <w:ind w:left="1040" w:right="679" w:hanging="188"/>
        <w:spacing w:after="0" w:line="238" w:lineRule="auto"/>
        <w:tabs>
          <w:tab w:leader="none" w:pos="1017" w:val="left"/>
        </w:tabs>
        <w:numPr>
          <w:ilvl w:val="0"/>
          <w:numId w:val="10"/>
        </w:numPr>
        <w:rPr>
          <w:rFonts w:ascii="Arial" w:cs="Arial" w:eastAsia="Arial" w:hAnsi="Arial"/>
          <w:sz w:val="19"/>
          <w:szCs w:val="19"/>
          <w:color w:val="auto"/>
        </w:rPr>
      </w:pPr>
      <w:r>
        <w:rPr>
          <w:rFonts w:ascii="Arial" w:cs="Arial" w:eastAsia="Arial" w:hAnsi="Arial"/>
          <w:sz w:val="16"/>
          <w:szCs w:val="16"/>
          <w:color w:val="auto"/>
        </w:rPr>
        <w:t>assumes no exercise by the underwriters of their option to purchase up to an additional 1,065,000 ordinary shares from us;</w:t>
      </w:r>
    </w:p>
    <w:p>
      <w:pPr>
        <w:spacing w:after="0" w:line="133" w:lineRule="exact"/>
        <w:rPr>
          <w:rFonts w:ascii="Arial" w:cs="Arial" w:eastAsia="Arial" w:hAnsi="Arial"/>
          <w:sz w:val="19"/>
          <w:szCs w:val="19"/>
          <w:color w:val="auto"/>
        </w:rPr>
      </w:pPr>
    </w:p>
    <w:p>
      <w:pPr>
        <w:ind w:left="1040" w:right="1219" w:hanging="188"/>
        <w:spacing w:after="0" w:line="238" w:lineRule="auto"/>
        <w:tabs>
          <w:tab w:leader="none" w:pos="1023" w:val="left"/>
        </w:tabs>
        <w:numPr>
          <w:ilvl w:val="0"/>
          <w:numId w:val="10"/>
        </w:numPr>
        <w:rPr>
          <w:rFonts w:ascii="Arial" w:cs="Arial" w:eastAsia="Arial" w:hAnsi="Arial"/>
          <w:sz w:val="19"/>
          <w:szCs w:val="19"/>
          <w:color w:val="auto"/>
        </w:rPr>
      </w:pPr>
      <w:r>
        <w:rPr>
          <w:rFonts w:ascii="Arial" w:cs="Arial" w:eastAsia="Arial" w:hAnsi="Arial"/>
          <w:sz w:val="16"/>
          <w:szCs w:val="16"/>
          <w:color w:val="auto"/>
        </w:rPr>
        <w:t>gives effect to the adoption of our amended and restated articles of association prior to the closing of this offering, which will replace our articles of association currently in effect;</w:t>
      </w:r>
    </w:p>
    <w:p>
      <w:pPr>
        <w:spacing w:after="0" w:line="133" w:lineRule="exact"/>
        <w:rPr>
          <w:rFonts w:ascii="Arial" w:cs="Arial" w:eastAsia="Arial" w:hAnsi="Arial"/>
          <w:sz w:val="19"/>
          <w:szCs w:val="19"/>
          <w:color w:val="auto"/>
        </w:rPr>
      </w:pPr>
    </w:p>
    <w:p>
      <w:pPr>
        <w:ind w:left="1040" w:right="679" w:hanging="188"/>
        <w:spacing w:after="0" w:line="244" w:lineRule="auto"/>
        <w:tabs>
          <w:tab w:leader="none" w:pos="1023" w:val="left"/>
        </w:tabs>
        <w:numPr>
          <w:ilvl w:val="0"/>
          <w:numId w:val="10"/>
        </w:numPr>
        <w:rPr>
          <w:rFonts w:ascii="Arial" w:cs="Arial" w:eastAsia="Arial" w:hAnsi="Arial"/>
          <w:sz w:val="19"/>
          <w:szCs w:val="19"/>
          <w:color w:val="auto"/>
        </w:rPr>
      </w:pPr>
      <w:r>
        <w:rPr>
          <w:rFonts w:ascii="Arial" w:cs="Arial" w:eastAsia="Arial" w:hAnsi="Arial"/>
          <w:sz w:val="16"/>
          <w:szCs w:val="16"/>
          <w:color w:val="auto"/>
        </w:rPr>
        <w:t>reflects a 10-for-1 share split effected on May 24, 2012 by means of a share dividend of nine ordinary shares or Series A-1 preferred shares for each ordinary share or Series A-1 preferred shares, respectively, then outstanding; and</w:t>
      </w:r>
    </w:p>
    <w:p>
      <w:pPr>
        <w:spacing w:after="0" w:line="118" w:lineRule="exact"/>
        <w:rPr>
          <w:rFonts w:ascii="Arial" w:cs="Arial" w:eastAsia="Arial" w:hAnsi="Arial"/>
          <w:sz w:val="19"/>
          <w:szCs w:val="19"/>
          <w:color w:val="auto"/>
        </w:rPr>
      </w:pPr>
    </w:p>
    <w:p>
      <w:pPr>
        <w:ind w:left="1040" w:right="959" w:hanging="188"/>
        <w:spacing w:after="0" w:line="238" w:lineRule="auto"/>
        <w:tabs>
          <w:tab w:leader="none" w:pos="1017" w:val="left"/>
        </w:tabs>
        <w:numPr>
          <w:ilvl w:val="0"/>
          <w:numId w:val="10"/>
        </w:numPr>
        <w:rPr>
          <w:rFonts w:ascii="Arial" w:cs="Arial" w:eastAsia="Arial" w:hAnsi="Arial"/>
          <w:sz w:val="19"/>
          <w:szCs w:val="19"/>
          <w:color w:val="auto"/>
        </w:rPr>
      </w:pPr>
      <w:r>
        <w:rPr>
          <w:rFonts w:ascii="Arial" w:cs="Arial" w:eastAsia="Arial" w:hAnsi="Arial"/>
          <w:sz w:val="16"/>
          <w:szCs w:val="16"/>
          <w:color w:val="auto"/>
        </w:rPr>
        <w:t>reflects a further 1-for-6.5531 share split effected on March 17, 2015 by means of a share dividend of 5.5531 ordinary shares for each ordinary share then outstanding.</w:t>
      </w:r>
    </w:p>
    <w:p>
      <w:pPr>
        <w:sectPr>
          <w:pgSz w:w="11900" w:h="16838" w:orient="portrait"/>
          <w:cols w:equalWidth="0" w:num="1">
            <w:col w:w="9019"/>
          </w:cols>
          <w:pgMar w:left="1440" w:top="46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21590</wp:posOffset>
            </wp:positionV>
            <wp:extent cx="49993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462" w:right="1440"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1278255</wp:posOffset>
            </wp:positionH>
            <wp:positionV relativeFrom="page">
              <wp:posOffset>88900</wp:posOffset>
            </wp:positionV>
            <wp:extent cx="500443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4435" cy="6140450"/>
                    </a:xfrm>
                    <a:prstGeom prst="rect">
                      <a:avLst/>
                    </a:prstGeom>
                    <a:noFill/>
                  </pic:spPr>
                </pic:pic>
              </a:graphicData>
            </a:graphic>
          </wp:anchor>
        </w:drawing>
        <w:t>Summary Consolidated Financial Data</w:t>
      </w:r>
    </w:p>
    <w:p>
      <w:pPr>
        <w:spacing w:after="0" w:line="208" w:lineRule="exact"/>
        <w:rPr>
          <w:sz w:val="20"/>
          <w:szCs w:val="20"/>
          <w:color w:val="auto"/>
        </w:rPr>
      </w:pPr>
    </w:p>
    <w:p>
      <w:pPr>
        <w:ind w:left="660" w:right="679" w:firstLine="194"/>
        <w:spacing w:after="0" w:line="281" w:lineRule="auto"/>
        <w:rPr>
          <w:sz w:val="20"/>
          <w:szCs w:val="20"/>
          <w:color w:val="auto"/>
        </w:rPr>
      </w:pPr>
      <w:r>
        <w:rPr>
          <w:rFonts w:ascii="Arial" w:cs="Arial" w:eastAsia="Arial" w:hAnsi="Arial"/>
          <w:sz w:val="15"/>
          <w:szCs w:val="15"/>
          <w:color w:val="auto"/>
        </w:rPr>
        <w:t>The following tables set forth our summary consolidated financial data. You should read the following summary consolidated financial data in conjunction with, and it is qualified in its entirety by reference to, our historical financial information and other information provided in this prospectus, including “Selected Consolidated Financial Data,” “Management’s Discussion and Analysis of Financial Condition and Results of Operations” and our consolidated financial statements and the related notes appearing elsewhere in this prospectus.</w:t>
      </w:r>
    </w:p>
    <w:p>
      <w:pPr>
        <w:spacing w:after="0" w:line="153" w:lineRule="exact"/>
        <w:rPr>
          <w:sz w:val="20"/>
          <w:szCs w:val="20"/>
          <w:color w:val="auto"/>
        </w:rPr>
      </w:pPr>
    </w:p>
    <w:p>
      <w:pPr>
        <w:ind w:left="660" w:right="679" w:firstLine="194"/>
        <w:spacing w:after="0" w:line="259" w:lineRule="auto"/>
        <w:rPr>
          <w:sz w:val="20"/>
          <w:szCs w:val="20"/>
          <w:color w:val="auto"/>
        </w:rPr>
      </w:pPr>
      <w:r>
        <w:rPr>
          <w:rFonts w:ascii="Arial" w:cs="Arial" w:eastAsia="Arial" w:hAnsi="Arial"/>
          <w:sz w:val="16"/>
          <w:szCs w:val="16"/>
          <w:color w:val="auto"/>
        </w:rPr>
        <w:t>The summary consolidated statements of income data for the years ended December 31, 2012, 2013 and 2014 and summary consolidated balance sheet data as of December 31, 2014 are derived from our audited consolidated financial statements appearing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w w:val="86"/>
              </w:rPr>
              <w:t>Year Ended December 31,</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2012</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2013</w:t>
            </w: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2014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Consolidated Statements of Income: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8"/>
          </w:tcPr>
          <w:p>
            <w:pPr>
              <w:jc w:val="right"/>
              <w:ind w:right="380"/>
              <w:spacing w:after="0"/>
              <w:rPr>
                <w:sz w:val="20"/>
                <w:szCs w:val="20"/>
                <w:color w:val="auto"/>
              </w:rPr>
            </w:pPr>
            <w:r>
              <w:rPr>
                <w:rFonts w:ascii="Arial" w:cs="Arial" w:eastAsia="Arial" w:hAnsi="Arial"/>
                <w:sz w:val="15"/>
                <w:szCs w:val="15"/>
                <w:b w:val="1"/>
                <w:bCs w:val="1"/>
                <w:color w:val="auto"/>
                <w:w w:val="96"/>
              </w:rPr>
              <w:t>(in thousands, except share and per share data)</w:t>
            </w: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80"/>
              <w:spacing w:after="0"/>
              <w:rPr>
                <w:sz w:val="20"/>
                <w:szCs w:val="20"/>
                <w:color w:val="auto"/>
              </w:rPr>
            </w:pPr>
            <w:r>
              <w:rPr>
                <w:rFonts w:ascii="Arial" w:cs="Arial" w:eastAsia="Arial" w:hAnsi="Arial"/>
                <w:sz w:val="16"/>
                <w:szCs w:val="16"/>
                <w:color w:val="auto"/>
              </w:rPr>
              <w:t>Revenues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39,167</w:t>
            </w:r>
          </w:p>
        </w:tc>
        <w:tc>
          <w:tcPr>
            <w:tcW w:w="5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49,395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66,364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80"/>
              <w:spacing w:after="0" w:line="242" w:lineRule="exact"/>
              <w:rPr>
                <w:sz w:val="20"/>
                <w:szCs w:val="20"/>
                <w:color w:val="auto"/>
              </w:rPr>
            </w:pPr>
            <w:r>
              <w:rPr>
                <w:rFonts w:ascii="Arial" w:cs="Arial" w:eastAsia="Arial" w:hAnsi="Arial"/>
                <w:sz w:val="16"/>
                <w:szCs w:val="16"/>
                <w:color w:val="auto"/>
              </w:rPr>
              <w:t>Cost of revenues</w:t>
            </w:r>
            <w:r>
              <w:rPr>
                <w:rFonts w:ascii="Arial" w:cs="Arial" w:eastAsia="Arial" w:hAnsi="Arial"/>
                <w:sz w:val="26"/>
                <w:szCs w:val="26"/>
                <w:b w:val="1"/>
                <w:bCs w:val="1"/>
                <w:color w:val="auto"/>
                <w:vertAlign w:val="superscript"/>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22,741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27,953</w:t>
            </w:r>
          </w:p>
        </w:tc>
        <w:tc>
          <w:tcPr>
            <w:tcW w:w="2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37,187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80"/>
              <w:spacing w:after="0"/>
              <w:rPr>
                <w:sz w:val="20"/>
                <w:szCs w:val="20"/>
                <w:color w:val="auto"/>
              </w:rPr>
            </w:pPr>
            <w:r>
              <w:rPr>
                <w:rFonts w:ascii="Arial" w:cs="Arial" w:eastAsia="Arial" w:hAnsi="Arial"/>
                <w:sz w:val="16"/>
                <w:szCs w:val="16"/>
                <w:color w:val="auto"/>
              </w:rPr>
              <w:t>Gross profit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16,426</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21,442</w:t>
            </w: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29,177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680" w:type="dxa"/>
            <w:vAlign w:val="bottom"/>
          </w:tcPr>
          <w:p>
            <w:pPr>
              <w:ind w:left="80"/>
              <w:spacing w:after="0" w:line="173" w:lineRule="exact"/>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8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6"/>
                <w:szCs w:val="26"/>
                <w:b w:val="1"/>
                <w:bCs w:val="1"/>
                <w:color w:val="auto"/>
                <w:vertAlign w:val="superscript"/>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4,839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7,443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8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6"/>
                <w:szCs w:val="26"/>
                <w:b w:val="1"/>
                <w:bCs w:val="1"/>
                <w:color w:val="auto"/>
                <w:vertAlign w:val="superscript"/>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4,668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7,734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10,616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80"/>
              <w:spacing w:after="0" w:line="242"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6"/>
                <w:szCs w:val="26"/>
                <w:b w:val="1"/>
                <w:bCs w:val="1"/>
                <w:color w:val="auto"/>
                <w:vertAlign w:val="superscript"/>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3,092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3,278</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5,266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8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12,599</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18,455</w:t>
            </w:r>
          </w:p>
        </w:tc>
        <w:tc>
          <w:tcPr>
            <w:tcW w:w="3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25,357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80"/>
              <w:spacing w:after="0"/>
              <w:rPr>
                <w:sz w:val="20"/>
                <w:szCs w:val="20"/>
                <w:color w:val="auto"/>
              </w:rPr>
            </w:pPr>
            <w:r>
              <w:rPr>
                <w:rFonts w:ascii="Arial" w:cs="Arial" w:eastAsia="Arial" w:hAnsi="Arial"/>
                <w:sz w:val="16"/>
                <w:szCs w:val="16"/>
                <w:color w:val="auto"/>
              </w:rPr>
              <w:t>Operating income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3,827</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80"/>
              <w:spacing w:after="0"/>
              <w:rPr>
                <w:sz w:val="20"/>
                <w:szCs w:val="20"/>
                <w:color w:val="auto"/>
              </w:rPr>
            </w:pPr>
            <w:r>
              <w:rPr>
                <w:rFonts w:ascii="Arial" w:cs="Arial" w:eastAsia="Arial" w:hAnsi="Arial"/>
                <w:sz w:val="16"/>
                <w:szCs w:val="16"/>
                <w:color w:val="auto"/>
              </w:rPr>
              <w:t>Finance expenses, net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680" w:type="dxa"/>
            <w:vAlign w:val="bottom"/>
          </w:tcPr>
          <w:p>
            <w:pPr>
              <w:ind w:left="80"/>
              <w:spacing w:after="0" w:line="174" w:lineRule="exact"/>
              <w:rPr>
                <w:sz w:val="20"/>
                <w:szCs w:val="20"/>
                <w:color w:val="auto"/>
              </w:rPr>
            </w:pPr>
            <w:r>
              <w:rPr>
                <w:rFonts w:ascii="Arial" w:cs="Arial" w:eastAsia="Arial" w:hAnsi="Arial"/>
                <w:sz w:val="16"/>
                <w:szCs w:val="16"/>
                <w:color w:val="auto"/>
              </w:rPr>
              <w:t>Income before taxes on income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Arial" w:cs="Arial" w:eastAsia="Arial" w:hAnsi="Arial"/>
                <w:sz w:val="16"/>
                <w:szCs w:val="16"/>
                <w:color w:val="auto"/>
              </w:rPr>
              <w:t>3,542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4" w:lineRule="exact"/>
              <w:rPr>
                <w:sz w:val="20"/>
                <w:szCs w:val="20"/>
                <w:color w:val="auto"/>
              </w:rPr>
            </w:pPr>
            <w:r>
              <w:rPr>
                <w:rFonts w:ascii="Arial" w:cs="Arial" w:eastAsia="Arial" w:hAnsi="Arial"/>
                <w:sz w:val="16"/>
                <w:szCs w:val="16"/>
                <w:color w:val="auto"/>
              </w:rPr>
              <w:t>2,527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3,805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680" w:type="dxa"/>
            <w:vAlign w:val="bottom"/>
          </w:tcPr>
          <w:p>
            <w:pPr>
              <w:ind w:left="80"/>
              <w:spacing w:after="0"/>
              <w:rPr>
                <w:sz w:val="20"/>
                <w:szCs w:val="20"/>
                <w:color w:val="auto"/>
              </w:rPr>
            </w:pPr>
            <w:r>
              <w:rPr>
                <w:rFonts w:ascii="Arial" w:cs="Arial" w:eastAsia="Arial" w:hAnsi="Arial"/>
                <w:sz w:val="16"/>
                <w:szCs w:val="16"/>
                <w:color w:val="auto"/>
              </w:rPr>
              <w:t>Taxes on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1,228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782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3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80"/>
              <w:spacing w:after="0" w:line="222" w:lineRule="exact"/>
              <w:rPr>
                <w:sz w:val="20"/>
                <w:szCs w:val="20"/>
                <w:color w:val="auto"/>
              </w:rPr>
            </w:pPr>
            <w:r>
              <w:rPr>
                <w:rFonts w:ascii="Arial" w:cs="Arial" w:eastAsia="Arial" w:hAnsi="Arial"/>
                <w:sz w:val="16"/>
                <w:szCs w:val="16"/>
                <w:color w:val="auto"/>
              </w:rPr>
              <w:t>Net earnings per ordinary share</w:t>
            </w:r>
            <w:r>
              <w:rPr>
                <w:rFonts w:ascii="Arial" w:cs="Arial" w:eastAsia="Arial" w:hAnsi="Arial"/>
                <w:sz w:val="25"/>
                <w:szCs w:val="25"/>
                <w:b w:val="1"/>
                <w:bCs w:val="1"/>
                <w:color w:val="auto"/>
                <w:vertAlign w:val="superscript"/>
              </w:rPr>
              <w:t>(2)</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80" w:type="dxa"/>
            <w:vAlign w:val="bottom"/>
            <w:vMerge w:val="continue"/>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0.26</w:t>
            </w:r>
          </w:p>
        </w:tc>
        <w:tc>
          <w:tcPr>
            <w:tcW w:w="540" w:type="dxa"/>
            <w:vAlign w:val="bottom"/>
            <w:gridSpan w:val="2"/>
            <w:vMerge w:val="restart"/>
          </w:tcPr>
          <w:p>
            <w:pPr>
              <w:jc w:val="right"/>
              <w:ind w:right="84"/>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0.13</w:t>
            </w: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0.34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80"/>
              <w:spacing w:after="0"/>
              <w:rPr>
                <w:sz w:val="20"/>
                <w:szCs w:val="20"/>
                <w:color w:val="auto"/>
              </w:rPr>
            </w:pPr>
            <w:r>
              <w:rPr>
                <w:rFonts w:ascii="Arial" w:cs="Arial" w:eastAsia="Arial" w:hAnsi="Arial"/>
                <w:sz w:val="16"/>
                <w:szCs w:val="16"/>
                <w:color w:val="auto"/>
              </w:rPr>
              <w:t>Diluted</w:t>
            </w:r>
          </w:p>
        </w:tc>
        <w:tc>
          <w:tcPr>
            <w:tcW w:w="1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0.24</w:t>
            </w:r>
          </w:p>
        </w:tc>
        <w:tc>
          <w:tcPr>
            <w:tcW w:w="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4"/>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0.11</w:t>
            </w:r>
          </w:p>
        </w:tc>
        <w:tc>
          <w:tcPr>
            <w:tcW w:w="300" w:type="dxa"/>
            <w:vAlign w:val="bottom"/>
          </w:tcPr>
          <w:p>
            <w:pPr>
              <w:spacing w:after="0"/>
              <w:rPr>
                <w:sz w:val="14"/>
                <w:szCs w:val="14"/>
                <w:color w:val="auto"/>
              </w:rPr>
            </w:pPr>
          </w:p>
        </w:tc>
        <w:tc>
          <w:tcPr>
            <w:tcW w:w="200" w:type="dxa"/>
            <w:vAlign w:val="bottom"/>
            <w:tcBorders>
              <w:bottom w:val="single" w:sz="8" w:color="auto"/>
            </w:tcBorders>
          </w:tcPr>
          <w:p>
            <w:pPr>
              <w:jc w:val="right"/>
              <w:ind w:right="44"/>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0.29</w:t>
            </w:r>
          </w:p>
        </w:tc>
        <w:tc>
          <w:tcPr>
            <w:tcW w:w="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80"/>
              <w:spacing w:after="0" w:line="173" w:lineRule="exact"/>
              <w:rPr>
                <w:sz w:val="20"/>
                <w:szCs w:val="20"/>
                <w:color w:val="auto"/>
              </w:rPr>
            </w:pPr>
            <w:r>
              <w:rPr>
                <w:rFonts w:ascii="Arial" w:cs="Arial" w:eastAsia="Arial" w:hAnsi="Arial"/>
                <w:sz w:val="16"/>
                <w:szCs w:val="16"/>
                <w:color w:val="auto"/>
                <w:w w:val="94"/>
              </w:rPr>
              <w:t>Weighted average number of ordinary shares used in</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80"/>
              <w:spacing w:after="0" w:line="242" w:lineRule="exact"/>
              <w:rPr>
                <w:sz w:val="20"/>
                <w:szCs w:val="20"/>
                <w:color w:val="auto"/>
              </w:rPr>
            </w:pPr>
            <w:r>
              <w:rPr>
                <w:rFonts w:ascii="Arial" w:cs="Arial" w:eastAsia="Arial" w:hAnsi="Arial"/>
                <w:sz w:val="16"/>
                <w:szCs w:val="16"/>
                <w:color w:val="auto"/>
              </w:rPr>
              <w:t>computing income per ordinary share</w:t>
            </w:r>
            <w:r>
              <w:rPr>
                <w:rFonts w:ascii="Arial" w:cs="Arial" w:eastAsia="Arial" w:hAnsi="Arial"/>
                <w:sz w:val="26"/>
                <w:szCs w:val="26"/>
                <w:b w:val="1"/>
                <w:bCs w:val="1"/>
                <w:color w:val="auto"/>
                <w:vertAlign w:val="superscript"/>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8,953,565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8,953,565</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8,969,588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28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8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9,649,573</w:t>
            </w:r>
          </w:p>
        </w:tc>
        <w:tc>
          <w:tcPr>
            <w:tcW w:w="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9,880,049</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10,446,353</w:t>
            </w:r>
          </w:p>
        </w:tc>
        <w:tc>
          <w:tcPr>
            <w:tcW w:w="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80"/>
              <w:spacing w:after="0" w:line="222" w:lineRule="exact"/>
              <w:rPr>
                <w:sz w:val="20"/>
                <w:szCs w:val="20"/>
                <w:color w:val="auto"/>
              </w:rPr>
            </w:pPr>
            <w:r>
              <w:rPr>
                <w:rFonts w:ascii="Arial" w:cs="Arial" w:eastAsia="Arial" w:hAnsi="Arial"/>
                <w:sz w:val="16"/>
                <w:szCs w:val="16"/>
                <w:color w:val="auto"/>
              </w:rPr>
              <w:t>Pro forma net earnings per ordinary share</w:t>
            </w:r>
            <w:r>
              <w:rPr>
                <w:rFonts w:ascii="Arial" w:cs="Arial" w:eastAsia="Arial" w:hAnsi="Arial"/>
                <w:sz w:val="25"/>
                <w:szCs w:val="25"/>
                <w:b w:val="1"/>
                <w:bCs w:val="1"/>
                <w:color w:val="auto"/>
                <w:vertAlign w:val="superscript"/>
              </w:rPr>
              <w:t>(3)</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0.14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80" w:type="dxa"/>
            <w:vAlign w:val="bottom"/>
          </w:tcPr>
          <w:p>
            <w:pPr>
              <w:ind w:left="28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8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jc w:val="right"/>
              <w:ind w:right="44"/>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0.13</w:t>
            </w:r>
          </w:p>
        </w:tc>
        <w:tc>
          <w:tcPr>
            <w:tcW w:w="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80"/>
              <w:spacing w:after="0" w:line="173" w:lineRule="exact"/>
              <w:rPr>
                <w:sz w:val="20"/>
                <w:szCs w:val="20"/>
                <w:color w:val="auto"/>
              </w:rPr>
            </w:pPr>
            <w:r>
              <w:rPr>
                <w:rFonts w:ascii="Arial" w:cs="Arial" w:eastAsia="Arial" w:hAnsi="Arial"/>
                <w:sz w:val="16"/>
                <w:szCs w:val="16"/>
                <w:color w:val="auto"/>
                <w:w w:val="94"/>
              </w:rPr>
              <w:t>Weighted average number of ordinary shares used in</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80"/>
              <w:spacing w:after="0" w:line="242" w:lineRule="exact"/>
              <w:rPr>
                <w:sz w:val="20"/>
                <w:szCs w:val="20"/>
                <w:color w:val="auto"/>
              </w:rPr>
            </w:pPr>
            <w:r>
              <w:rPr>
                <w:rFonts w:ascii="Arial" w:cs="Arial" w:eastAsia="Arial" w:hAnsi="Arial"/>
                <w:sz w:val="16"/>
                <w:szCs w:val="16"/>
                <w:color w:val="auto"/>
                <w:w w:val="93"/>
              </w:rPr>
              <w:t>computing pro forma income per ordinary share</w:t>
            </w:r>
            <w:r>
              <w:rPr>
                <w:rFonts w:ascii="Arial" w:cs="Arial" w:eastAsia="Arial" w:hAnsi="Arial"/>
                <w:sz w:val="26"/>
                <w:szCs w:val="26"/>
                <w:b w:val="1"/>
                <w:bCs w:val="1"/>
                <w:color w:val="auto"/>
                <w:w w:val="93"/>
                <w:vertAlign w:val="superscript"/>
              </w:rPr>
              <w:t>(3)</w:t>
            </w:r>
            <w:r>
              <w:rPr>
                <w:rFonts w:ascii="Arial" w:cs="Arial" w:eastAsia="Arial" w:hAnsi="Arial"/>
                <w:sz w:val="16"/>
                <w:szCs w:val="16"/>
                <w:color w:val="auto"/>
                <w:w w:val="93"/>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21,598,329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28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8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23,075,094</w:t>
            </w:r>
          </w:p>
        </w:tc>
        <w:tc>
          <w:tcPr>
            <w:tcW w:w="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41"/>
              <w:spacing w:after="0"/>
              <w:rPr>
                <w:sz w:val="20"/>
                <w:szCs w:val="20"/>
                <w:color w:val="auto"/>
              </w:rPr>
            </w:pPr>
            <w:r>
              <w:rPr>
                <w:rFonts w:ascii="Arial" w:cs="Arial" w:eastAsia="Arial" w:hAnsi="Arial"/>
                <w:sz w:val="13"/>
                <w:szCs w:val="13"/>
                <w:color w:val="auto"/>
                <w:w w:val="82"/>
              </w:rPr>
              <w:t>6</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05"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1278255</wp:posOffset>
            </wp:positionH>
            <wp:positionV relativeFrom="page">
              <wp:posOffset>88900</wp:posOffset>
            </wp:positionV>
            <wp:extent cx="5004435" cy="6540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04435" cy="6540500"/>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As of December 31, 2014</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2"/>
              <w:spacing w:after="0" w:line="167" w:lineRule="exact"/>
              <w:rPr>
                <w:sz w:val="20"/>
                <w:szCs w:val="20"/>
                <w:color w:val="auto"/>
              </w:rPr>
            </w:pPr>
            <w:r>
              <w:rPr>
                <w:rFonts w:ascii="Arial" w:cs="Arial" w:eastAsia="Arial" w:hAnsi="Arial"/>
                <w:sz w:val="15"/>
                <w:szCs w:val="15"/>
                <w:b w:val="1"/>
                <w:bCs w:val="1"/>
                <w:color w:val="auto"/>
                <w:w w:val="89"/>
              </w:rPr>
              <w:t>Pro forma as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1"/>
              <w:spacing w:after="0" w:line="230" w:lineRule="exact"/>
              <w:rPr>
                <w:sz w:val="20"/>
                <w:szCs w:val="20"/>
                <w:color w:val="auto"/>
              </w:rPr>
            </w:pPr>
            <w:r>
              <w:rPr>
                <w:rFonts w:ascii="Arial" w:cs="Arial" w:eastAsia="Arial" w:hAnsi="Arial"/>
                <w:sz w:val="15"/>
                <w:szCs w:val="15"/>
                <w:b w:val="1"/>
                <w:bCs w:val="1"/>
                <w:color w:val="auto"/>
                <w:w w:val="97"/>
              </w:rPr>
              <w:t>Actual</w:t>
            </w:r>
            <w:r>
              <w:rPr>
                <w:rFonts w:ascii="Arial" w:cs="Arial" w:eastAsia="Arial" w:hAnsi="Arial"/>
                <w:sz w:val="24"/>
                <w:szCs w:val="24"/>
                <w:b w:val="1"/>
                <w:bCs w:val="1"/>
                <w:color w:val="auto"/>
                <w:w w:val="97"/>
                <w:vertAlign w:val="superscript"/>
              </w:rPr>
              <w:t>(4)</w:t>
            </w:r>
          </w:p>
        </w:tc>
        <w:tc>
          <w:tcPr>
            <w:tcW w:w="420" w:type="dxa"/>
            <w:vAlign w:val="bottom"/>
          </w:tcPr>
          <w:p>
            <w:pPr>
              <w:spacing w:after="0"/>
              <w:rPr>
                <w:sz w:val="20"/>
                <w:szCs w:val="20"/>
                <w:color w:val="auto"/>
              </w:rPr>
            </w:pPr>
          </w:p>
        </w:tc>
        <w:tc>
          <w:tcPr>
            <w:tcW w:w="1220" w:type="dxa"/>
            <w:vAlign w:val="bottom"/>
          </w:tcPr>
          <w:p>
            <w:pPr>
              <w:jc w:val="right"/>
              <w:ind w:right="341"/>
              <w:spacing w:after="0" w:line="230" w:lineRule="exact"/>
              <w:rPr>
                <w:sz w:val="20"/>
                <w:szCs w:val="20"/>
                <w:color w:val="auto"/>
              </w:rPr>
            </w:pPr>
            <w:r>
              <w:rPr>
                <w:rFonts w:ascii="Arial" w:cs="Arial" w:eastAsia="Arial" w:hAnsi="Arial"/>
                <w:sz w:val="15"/>
                <w:szCs w:val="15"/>
                <w:b w:val="1"/>
                <w:bCs w:val="1"/>
                <w:color w:val="auto"/>
                <w:w w:val="86"/>
              </w:rPr>
              <w:t>Pro forma</w:t>
            </w:r>
            <w:r>
              <w:rPr>
                <w:rFonts w:ascii="Arial" w:cs="Arial" w:eastAsia="Arial" w:hAnsi="Arial"/>
                <w:sz w:val="24"/>
                <w:szCs w:val="24"/>
                <w:b w:val="1"/>
                <w:bCs w:val="1"/>
                <w:color w:val="auto"/>
                <w:w w:val="86"/>
                <w:vertAlign w:val="superscript"/>
              </w:rPr>
              <w:t>(5)</w:t>
            </w:r>
          </w:p>
        </w:tc>
        <w:tc>
          <w:tcPr>
            <w:tcW w:w="140" w:type="dxa"/>
            <w:vAlign w:val="bottom"/>
          </w:tcPr>
          <w:p>
            <w:pPr>
              <w:spacing w:after="0"/>
              <w:rPr>
                <w:sz w:val="20"/>
                <w:szCs w:val="20"/>
                <w:color w:val="auto"/>
              </w:rPr>
            </w:pPr>
          </w:p>
        </w:tc>
        <w:tc>
          <w:tcPr>
            <w:tcW w:w="980" w:type="dxa"/>
            <w:vAlign w:val="bottom"/>
            <w:gridSpan w:val="2"/>
          </w:tcPr>
          <w:p>
            <w:pPr>
              <w:jc w:val="center"/>
              <w:ind w:right="120"/>
              <w:spacing w:after="0" w:line="230" w:lineRule="exact"/>
              <w:rPr>
                <w:sz w:val="20"/>
                <w:szCs w:val="20"/>
                <w:color w:val="auto"/>
              </w:rPr>
            </w:pPr>
            <w:r>
              <w:rPr>
                <w:rFonts w:ascii="Arial" w:cs="Arial" w:eastAsia="Arial" w:hAnsi="Arial"/>
                <w:sz w:val="15"/>
                <w:szCs w:val="15"/>
                <w:b w:val="1"/>
                <w:bCs w:val="1"/>
                <w:color w:val="auto"/>
                <w:w w:val="81"/>
              </w:rPr>
              <w:t>adjusted</w:t>
            </w:r>
            <w:r>
              <w:rPr>
                <w:rFonts w:ascii="Arial" w:cs="Arial" w:eastAsia="Arial" w:hAnsi="Arial"/>
                <w:sz w:val="24"/>
                <w:szCs w:val="24"/>
                <w:b w:val="1"/>
                <w:bCs w:val="1"/>
                <w:color w:val="auto"/>
                <w:w w:val="81"/>
                <w:vertAlign w:val="superscript"/>
              </w:rPr>
              <w:t>(5)</w:t>
            </w:r>
          </w:p>
        </w:tc>
        <w:tc>
          <w:tcPr>
            <w:tcW w:w="0" w:type="dxa"/>
            <w:vAlign w:val="bottom"/>
          </w:tcPr>
          <w:p>
            <w:pPr>
              <w:spacing w:after="0"/>
              <w:rPr>
                <w:sz w:val="1"/>
                <w:szCs w:val="1"/>
                <w:color w:val="auto"/>
              </w:rPr>
            </w:pPr>
          </w:p>
        </w:tc>
      </w:tr>
      <w:tr>
        <w:trPr>
          <w:trHeight w:val="180"/>
        </w:trPr>
        <w:tc>
          <w:tcPr>
            <w:tcW w:w="302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Balance Sheet Data:</w:t>
            </w:r>
          </w:p>
        </w:tc>
        <w:tc>
          <w:tcPr>
            <w:tcW w:w="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5"/>
              </w:rPr>
              <w:t>(in thousands)</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4,993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4,993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94,696</w:t>
            </w:r>
          </w:p>
        </w:tc>
        <w:tc>
          <w:tcPr>
            <w:tcW w:w="0" w:type="dxa"/>
            <w:vAlign w:val="bottom"/>
          </w:tcPr>
          <w:p>
            <w:pPr>
              <w:spacing w:after="0"/>
              <w:rPr>
                <w:sz w:val="1"/>
                <w:szCs w:val="1"/>
                <w:color w:val="auto"/>
              </w:rPr>
            </w:pPr>
          </w:p>
        </w:tc>
      </w:tr>
      <w:tr>
        <w:trPr>
          <w:trHeight w:val="228"/>
        </w:trPr>
        <w:tc>
          <w:tcPr>
            <w:tcW w:w="3020" w:type="dxa"/>
            <w:vAlign w:val="bottom"/>
          </w:tcPr>
          <w:p>
            <w:pPr>
              <w:spacing w:after="0" w:line="228" w:lineRule="exact"/>
              <w:rPr>
                <w:sz w:val="20"/>
                <w:szCs w:val="20"/>
                <w:color w:val="auto"/>
              </w:rPr>
            </w:pPr>
            <w:r>
              <w:rPr>
                <w:rFonts w:ascii="Arial" w:cs="Arial" w:eastAsia="Arial" w:hAnsi="Arial"/>
                <w:sz w:val="16"/>
                <w:szCs w:val="16"/>
                <w:color w:val="auto"/>
              </w:rPr>
              <w:t>Working capital</w:t>
            </w:r>
            <w:r>
              <w:rPr>
                <w:rFonts w:ascii="Arial" w:cs="Arial" w:eastAsia="Arial" w:hAnsi="Arial"/>
                <w:sz w:val="26"/>
                <w:szCs w:val="26"/>
                <w:color w:val="auto"/>
                <w:vertAlign w:val="superscript"/>
              </w:rPr>
              <w:t>(6)</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15,186</w:t>
            </w:r>
          </w:p>
        </w:tc>
        <w:tc>
          <w:tcPr>
            <w:tcW w:w="420" w:type="dxa"/>
            <w:vAlign w:val="bottom"/>
          </w:tcPr>
          <w:p>
            <w:pPr>
              <w:spacing w:after="0"/>
              <w:rPr>
                <w:sz w:val="19"/>
                <w:szCs w:val="19"/>
                <w:color w:val="auto"/>
              </w:rPr>
            </w:pP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15,186</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20"/>
                <w:szCs w:val="20"/>
                <w:color w:val="auto"/>
              </w:rPr>
            </w:pPr>
            <w:r>
              <w:rPr>
                <w:rFonts w:ascii="Arial" w:cs="Arial" w:eastAsia="Arial" w:hAnsi="Arial"/>
                <w:sz w:val="16"/>
                <w:szCs w:val="16"/>
                <w:color w:val="auto"/>
              </w:rPr>
              <w:t>Total assets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34,714</w:t>
            </w:r>
          </w:p>
        </w:tc>
        <w:tc>
          <w:tcPr>
            <w:tcW w:w="420" w:type="dxa"/>
            <w:vAlign w:val="bottom"/>
          </w:tcPr>
          <w:p>
            <w:pPr>
              <w:spacing w:after="0"/>
              <w:rPr>
                <w:sz w:val="16"/>
                <w:szCs w:val="16"/>
                <w:color w:val="auto"/>
              </w:rPr>
            </w:pP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34,714</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124,417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20"/>
                <w:szCs w:val="20"/>
                <w:color w:val="auto"/>
              </w:rPr>
            </w:pPr>
            <w:r>
              <w:rPr>
                <w:rFonts w:ascii="Arial" w:cs="Arial" w:eastAsia="Arial" w:hAnsi="Arial"/>
                <w:sz w:val="16"/>
                <w:szCs w:val="16"/>
                <w:color w:val="auto"/>
              </w:rPr>
              <w:t>Total long-term liabilities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2,025</w:t>
            </w:r>
          </w:p>
        </w:tc>
        <w:tc>
          <w:tcPr>
            <w:tcW w:w="420" w:type="dxa"/>
            <w:vAlign w:val="bottom"/>
          </w:tcPr>
          <w:p>
            <w:pPr>
              <w:spacing w:after="0"/>
              <w:rPr>
                <w:sz w:val="16"/>
                <w:szCs w:val="16"/>
                <w:color w:val="auto"/>
              </w:rPr>
            </w:pP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20"/>
                <w:szCs w:val="20"/>
                <w:color w:val="auto"/>
              </w:rPr>
            </w:pPr>
            <w:r>
              <w:rPr>
                <w:rFonts w:ascii="Arial" w:cs="Arial" w:eastAsia="Arial" w:hAnsi="Arial"/>
                <w:sz w:val="16"/>
                <w:szCs w:val="16"/>
                <w:color w:val="auto"/>
              </w:rPr>
              <w:t>Total shareholders’ equity</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19,351</w:t>
            </w:r>
          </w:p>
        </w:tc>
        <w:tc>
          <w:tcPr>
            <w:tcW w:w="420" w:type="dxa"/>
            <w:vAlign w:val="bottom"/>
          </w:tcPr>
          <w:p>
            <w:pPr>
              <w:spacing w:after="0"/>
              <w:rPr>
                <w:sz w:val="17"/>
                <w:szCs w:val="17"/>
                <w:color w:val="auto"/>
              </w:rPr>
            </w:pP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19,351</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108,393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Year Ended December 31,</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2012</w:t>
            </w: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5"/>
                <w:szCs w:val="15"/>
                <w:b w:val="1"/>
                <w:bCs w:val="1"/>
                <w:color w:val="auto"/>
              </w:rPr>
              <w:t>2013</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Financial Data:</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(in thousands)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2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4,690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4,281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20" w:type="dxa"/>
            <w:vAlign w:val="bottom"/>
          </w:tcPr>
          <w:p>
            <w:pPr>
              <w:spacing w:after="0"/>
              <w:rPr>
                <w:sz w:val="20"/>
                <w:szCs w:val="20"/>
                <w:color w:val="auto"/>
              </w:rPr>
            </w:pPr>
            <w:r>
              <w:rPr>
                <w:rFonts w:ascii="Arial" w:cs="Arial" w:eastAsia="Arial" w:hAnsi="Arial"/>
                <w:sz w:val="19"/>
                <w:szCs w:val="19"/>
                <w:color w:val="auto"/>
              </w:rPr>
              <w:t>______________</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6"/>
          <w:szCs w:val="16"/>
          <w:color w:val="auto"/>
        </w:rPr>
        <w:t>(1) Includes share-based compensation expense as follows:</w:t>
      </w:r>
    </w:p>
    <w:p>
      <w:pPr>
        <w:spacing w:after="0" w:line="6"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w w:val="86"/>
              </w:rPr>
              <w:t>Year Ended December 31,</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2012</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2013</w:t>
            </w: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180"/>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Share-based Compensation Expense:</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w w:val="90"/>
              </w:rPr>
              <w:t>(in thousands)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20"/>
                <w:szCs w:val="20"/>
                <w:color w:val="auto"/>
              </w:rPr>
            </w:pPr>
            <w:r>
              <w:rPr>
                <w:rFonts w:ascii="Arial" w:cs="Arial" w:eastAsia="Arial" w:hAnsi="Arial"/>
                <w:sz w:val="16"/>
                <w:szCs w:val="16"/>
                <w:color w:val="auto"/>
              </w:rPr>
              <w:t>Cost of revenues</w:t>
            </w:r>
          </w:p>
        </w:tc>
        <w:tc>
          <w:tcPr>
            <w:tcW w:w="1360" w:type="dxa"/>
            <w:vAlign w:val="bottom"/>
            <w:gridSpan w:val="2"/>
          </w:tcPr>
          <w:p>
            <w:pPr>
              <w:jc w:val="right"/>
              <w:ind w:right="666"/>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54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4"/>
        </w:trPr>
        <w:tc>
          <w:tcPr>
            <w:tcW w:w="31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4"/>
        </w:trPr>
        <w:tc>
          <w:tcPr>
            <w:tcW w:w="3160" w:type="dxa"/>
            <w:vAlign w:val="bottom"/>
          </w:tcPr>
          <w:p>
            <w:pPr>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20"/>
                <w:szCs w:val="20"/>
                <w:color w:val="auto"/>
              </w:rPr>
            </w:pPr>
            <w:r>
              <w:rPr>
                <w:rFonts w:ascii="Arial" w:cs="Arial" w:eastAsia="Arial" w:hAnsi="Arial"/>
                <w:sz w:val="16"/>
                <w:szCs w:val="16"/>
                <w:color w:val="auto"/>
              </w:rPr>
              <w:t>Total share-based compensation expense</w:t>
            </w:r>
          </w:p>
        </w:tc>
        <w:tc>
          <w:tcPr>
            <w:tcW w:w="54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3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940" w:right="759" w:hanging="242"/>
        <w:spacing w:after="0" w:line="267" w:lineRule="auto"/>
        <w:tabs>
          <w:tab w:leader="none" w:pos="918" w:val="left"/>
        </w:tabs>
        <w:numPr>
          <w:ilvl w:val="1"/>
          <w:numId w:val="11"/>
        </w:numPr>
        <w:rPr>
          <w:rFonts w:ascii="Arial" w:cs="Arial" w:eastAsia="Arial" w:hAnsi="Arial"/>
          <w:sz w:val="16"/>
          <w:szCs w:val="16"/>
          <w:color w:val="auto"/>
        </w:rPr>
      </w:pPr>
      <w:r>
        <w:rPr>
          <w:rFonts w:ascii="Arial" w:cs="Arial" w:eastAsia="Arial" w:hAnsi="Arial"/>
          <w:sz w:val="16"/>
          <w:szCs w:val="16"/>
          <w:color w:val="auto"/>
        </w:rPr>
        <w:t>Basic and diluted net earnings per ordinary share is computed based on the basic and diluted weighted average number of ordinary shares outstanding during each period. For additional information, see notes 2v and 10 to our consolidated financial statements included elsewhere in this prospectus.</w:t>
      </w:r>
    </w:p>
    <w:p>
      <w:pPr>
        <w:spacing w:after="0" w:line="161" w:lineRule="exact"/>
        <w:rPr>
          <w:rFonts w:ascii="Arial" w:cs="Arial" w:eastAsia="Arial" w:hAnsi="Arial"/>
          <w:sz w:val="16"/>
          <w:szCs w:val="16"/>
          <w:color w:val="auto"/>
        </w:rPr>
      </w:pPr>
    </w:p>
    <w:p>
      <w:pPr>
        <w:ind w:left="940" w:right="659" w:hanging="282"/>
        <w:spacing w:after="0" w:line="281" w:lineRule="auto"/>
        <w:tabs>
          <w:tab w:leader="none" w:pos="946"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 forma basic and diluted net earnings per ordinary share and pro forma weighted average shares outstanding assumes the conversion of all of our outstanding Series A-1 preferred shares into ordinary shares, which will occur upon the closing of this offering, but does not give effect to the issuance of ordinary shares in connection with this offering. For additional information on the conversion of the Series A-1 preferred shares, see note 2c to our consolidated financial statements included elsewhere in this prospectus.</w:t>
      </w:r>
    </w:p>
    <w:p>
      <w:pPr>
        <w:spacing w:after="0" w:line="153" w:lineRule="exact"/>
        <w:rPr>
          <w:rFonts w:ascii="Arial" w:cs="Arial" w:eastAsia="Arial" w:hAnsi="Arial"/>
          <w:sz w:val="15"/>
          <w:szCs w:val="15"/>
          <w:color w:val="auto"/>
        </w:rPr>
      </w:pPr>
    </w:p>
    <w:p>
      <w:pPr>
        <w:ind w:left="960" w:hanging="302"/>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the payment of $0.7 million of expenses related to this offering through December 31, 2014.</w:t>
      </w:r>
    </w:p>
    <w:p>
      <w:pPr>
        <w:spacing w:after="0" w:line="203" w:lineRule="exact"/>
        <w:rPr>
          <w:rFonts w:ascii="Arial" w:cs="Arial" w:eastAsia="Arial" w:hAnsi="Arial"/>
          <w:sz w:val="16"/>
          <w:szCs w:val="16"/>
          <w:color w:val="auto"/>
        </w:rPr>
      </w:pPr>
    </w:p>
    <w:p>
      <w:pPr>
        <w:ind w:left="940" w:right="719" w:hanging="282"/>
        <w:spacing w:after="0" w:line="298" w:lineRule="auto"/>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 forma gives effect to the conversion into ordinary shares of all of our outstanding Series A-1 preferred shares. Pro forma as adjusted gives effect to (a) the same item as "pro forma," (b) the issuance and sale of 7,100,000 ordinary shares in this offering at an assumed initial public offering price of $14.00 per ordinary share, the midpoint of the price range set forth on the cover page of this prospectus, after deducting underwriting discounts and commissions and estimated offering expenses payable by us, (c) a one-time payment in the aggregate amount of $750,000 to our sponsor, Fortissimo Capital, in connection with the termination of our existing management services agreement with them and (d) the payment of $250,000 in the aggregate to certain of our employees, including some of our executive officers, for their contribution to completing this offering.</w:t>
      </w:r>
    </w:p>
    <w:p>
      <w:pPr>
        <w:spacing w:after="0" w:line="144" w:lineRule="exact"/>
        <w:rPr>
          <w:rFonts w:ascii="Arial" w:cs="Arial" w:eastAsia="Arial" w:hAnsi="Arial"/>
          <w:sz w:val="14"/>
          <w:szCs w:val="14"/>
          <w:color w:val="auto"/>
        </w:rPr>
      </w:pPr>
    </w:p>
    <w:p>
      <w:pPr>
        <w:ind w:left="940" w:hanging="282"/>
        <w:spacing w:after="0"/>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1278255</wp:posOffset>
            </wp:positionH>
            <wp:positionV relativeFrom="page">
              <wp:posOffset>88900</wp:posOffset>
            </wp:positionV>
            <wp:extent cx="5004435" cy="523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04435" cy="5232400"/>
                    </a:xfrm>
                    <a:prstGeom prst="rect">
                      <a:avLst/>
                    </a:prstGeom>
                    <a:noFill/>
                  </pic:spPr>
                </pic:pic>
              </a:graphicData>
            </a:graphic>
          </wp:anchor>
        </w:drawing>
        <w:t>(7) The following table reconciles net income to Adjusted EBITDA for the periods presented:</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w w:val="86"/>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2012</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2013</w:t>
            </w: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180"/>
        </w:trPr>
        <w:tc>
          <w:tcPr>
            <w:tcW w:w="328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Net Income to Adjusted</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w w:val="90"/>
              </w:rPr>
              <w:t>(in thousands)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566"/>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2,314</w:t>
            </w:r>
          </w:p>
        </w:tc>
        <w:tc>
          <w:tcPr>
            <w:tcW w:w="54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1,134</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3,023</w:t>
            </w:r>
          </w:p>
        </w:tc>
        <w:tc>
          <w:tcPr>
            <w:tcW w:w="0" w:type="dxa"/>
            <w:vAlign w:val="bottom"/>
          </w:tcPr>
          <w:p>
            <w:pPr>
              <w:spacing w:after="0"/>
              <w:rPr>
                <w:sz w:val="1"/>
                <w:szCs w:val="1"/>
                <w:color w:val="auto"/>
              </w:rPr>
            </w:pPr>
          </w:p>
        </w:tc>
      </w:tr>
      <w:tr>
        <w:trPr>
          <w:trHeight w:val="174"/>
        </w:trPr>
        <w:tc>
          <w:tcPr>
            <w:tcW w:w="3280" w:type="dxa"/>
            <w:vAlign w:val="bottom"/>
          </w:tcPr>
          <w:p>
            <w:pPr>
              <w:spacing w:after="0" w:line="174" w:lineRule="exact"/>
              <w:rPr>
                <w:sz w:val="20"/>
                <w:szCs w:val="20"/>
                <w:color w:val="auto"/>
              </w:rPr>
            </w:pPr>
            <w:r>
              <w:rPr>
                <w:rFonts w:ascii="Arial" w:cs="Arial" w:eastAsia="Arial" w:hAnsi="Arial"/>
                <w:sz w:val="16"/>
                <w:szCs w:val="16"/>
                <w:color w:val="auto"/>
              </w:rPr>
              <w:t>Finance expenses, net</w:t>
            </w:r>
          </w:p>
        </w:tc>
        <w:tc>
          <w:tcPr>
            <w:tcW w:w="4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285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460</w:t>
            </w: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20"/>
                <w:szCs w:val="20"/>
                <w:color w:val="auto"/>
              </w:rPr>
            </w:pPr>
            <w:r>
              <w:rPr>
                <w:rFonts w:ascii="Arial" w:cs="Arial" w:eastAsia="Arial" w:hAnsi="Arial"/>
                <w:sz w:val="16"/>
                <w:szCs w:val="16"/>
                <w:color w:val="auto"/>
              </w:rPr>
              <w:t>Taxes on income</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1,228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786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20"/>
                <w:szCs w:val="20"/>
                <w:color w:val="auto"/>
              </w:rPr>
            </w:pPr>
            <w:r>
              <w:rPr>
                <w:rFonts w:ascii="Arial" w:cs="Arial" w:eastAsia="Arial" w:hAnsi="Arial"/>
                <w:sz w:val="16"/>
                <w:szCs w:val="16"/>
                <w:color w:val="auto"/>
              </w:rPr>
              <w:t>Adjusted EBITDA</w:t>
            </w:r>
          </w:p>
        </w:tc>
        <w:tc>
          <w:tcPr>
            <w:tcW w:w="420" w:type="dxa"/>
            <w:vAlign w:val="bottom"/>
          </w:tcPr>
          <w:p>
            <w:pPr>
              <w:spacing w:after="0"/>
              <w:rPr>
                <w:sz w:val="17"/>
                <w:szCs w:val="17"/>
                <w:color w:val="auto"/>
              </w:rPr>
            </w:pPr>
          </w:p>
        </w:tc>
        <w:tc>
          <w:tcPr>
            <w:tcW w:w="720" w:type="dxa"/>
            <w:vAlign w:val="bottom"/>
            <w:tcBorders>
              <w:top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4,690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4,281</w:t>
            </w:r>
          </w:p>
        </w:tc>
        <w:tc>
          <w:tcPr>
            <w:tcW w:w="300" w:type="dxa"/>
            <w:vAlign w:val="bottom"/>
          </w:tcPr>
          <w:p>
            <w:pPr>
              <w:spacing w:after="0"/>
              <w:rPr>
                <w:sz w:val="17"/>
                <w:szCs w:val="17"/>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60" w:right="699" w:firstLine="194"/>
        <w:spacing w:after="0" w:line="296" w:lineRule="auto"/>
        <w:rPr>
          <w:sz w:val="20"/>
          <w:szCs w:val="20"/>
          <w:color w:val="auto"/>
        </w:rPr>
      </w:pPr>
      <w:r>
        <w:rPr>
          <w:rFonts w:ascii="Arial" w:cs="Arial" w:eastAsia="Arial" w:hAnsi="Arial"/>
          <w:sz w:val="14"/>
          <w:szCs w:val="14"/>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58" w:lineRule="exact"/>
        <w:rPr>
          <w:sz w:val="20"/>
          <w:szCs w:val="20"/>
          <w:color w:val="auto"/>
        </w:rPr>
      </w:pPr>
    </w:p>
    <w:p>
      <w:pPr>
        <w:ind w:left="1040" w:right="1059" w:hanging="188"/>
        <w:spacing w:after="0" w:line="238" w:lineRule="auto"/>
        <w:tabs>
          <w:tab w:leader="none" w:pos="1023" w:val="left"/>
        </w:tabs>
        <w:numPr>
          <w:ilvl w:val="0"/>
          <w:numId w:val="13"/>
        </w:numPr>
        <w:rPr>
          <w:rFonts w:ascii="Arial" w:cs="Arial" w:eastAsia="Arial" w:hAnsi="Arial"/>
          <w:sz w:val="19"/>
          <w:szCs w:val="19"/>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81" w:lineRule="exact"/>
        <w:rPr>
          <w:rFonts w:ascii="Arial" w:cs="Arial" w:eastAsia="Arial" w:hAnsi="Arial"/>
          <w:sz w:val="19"/>
          <w:szCs w:val="19"/>
          <w:color w:val="auto"/>
        </w:rPr>
      </w:pPr>
    </w:p>
    <w:p>
      <w:pPr>
        <w:ind w:left="1020" w:hanging="168"/>
        <w:spacing w:after="0"/>
        <w:tabs>
          <w:tab w:leader="none" w:pos="1020" w:val="left"/>
        </w:tabs>
        <w:numPr>
          <w:ilvl w:val="0"/>
          <w:numId w:val="13"/>
        </w:numPr>
        <w:rPr>
          <w:rFonts w:ascii="Arial" w:cs="Arial" w:eastAsia="Arial" w:hAnsi="Arial"/>
          <w:sz w:val="19"/>
          <w:szCs w:val="19"/>
          <w:color w:val="auto"/>
        </w:rPr>
      </w:pPr>
      <w:r>
        <w:rPr>
          <w:rFonts w:ascii="Arial" w:cs="Arial" w:eastAsia="Arial" w:hAnsi="Arial"/>
          <w:sz w:val="16"/>
          <w:szCs w:val="16"/>
          <w:color w:val="auto"/>
        </w:rPr>
        <w:t>Adjusted EBITDA does not reflect changes in, or cash requirements for, our working capital needs; and</w:t>
      </w:r>
    </w:p>
    <w:p>
      <w:pPr>
        <w:spacing w:after="0" w:line="193" w:lineRule="exact"/>
        <w:rPr>
          <w:rFonts w:ascii="Arial" w:cs="Arial" w:eastAsia="Arial" w:hAnsi="Arial"/>
          <w:sz w:val="19"/>
          <w:szCs w:val="19"/>
          <w:color w:val="auto"/>
        </w:rPr>
      </w:pPr>
    </w:p>
    <w:p>
      <w:pPr>
        <w:ind w:left="1040" w:right="959" w:hanging="188"/>
        <w:spacing w:after="0" w:line="268" w:lineRule="auto"/>
        <w:tabs>
          <w:tab w:leader="none" w:pos="1023" w:val="left"/>
        </w:tabs>
        <w:numPr>
          <w:ilvl w:val="0"/>
          <w:numId w:val="13"/>
        </w:numPr>
        <w:rPr>
          <w:rFonts w:ascii="Arial" w:cs="Arial" w:eastAsia="Arial" w:hAnsi="Arial"/>
          <w:sz w:val="18"/>
          <w:szCs w:val="18"/>
          <w:color w:val="auto"/>
        </w:rPr>
      </w:pPr>
      <w:r>
        <w:rPr>
          <w:rFonts w:ascii="Arial" w:cs="Arial" w:eastAsia="Arial" w:hAnsi="Arial"/>
          <w:sz w:val="15"/>
          <w:szCs w:val="15"/>
          <w:color w:val="auto"/>
        </w:rPr>
        <w:t>Although depreciation is a non-cash charge, the assets being depreciated will often have to be replaced in the future, and Adjusted EBITDA does not reflect any cash requirements for such replacements.</w:t>
      </w:r>
    </w:p>
    <w:p>
      <w:pPr>
        <w:spacing w:after="0" w:line="158" w:lineRule="exact"/>
        <w:rPr>
          <w:sz w:val="20"/>
          <w:szCs w:val="20"/>
          <w:color w:val="auto"/>
        </w:rPr>
      </w:pPr>
    </w:p>
    <w:p>
      <w:pPr>
        <w:ind w:left="660" w:right="679" w:firstLine="194"/>
        <w:spacing w:after="0" w:line="302" w:lineRule="auto"/>
        <w:rPr>
          <w:sz w:val="20"/>
          <w:szCs w:val="20"/>
          <w:color w:val="auto"/>
        </w:rPr>
      </w:pPr>
      <w:r>
        <w:rPr>
          <w:rFonts w:ascii="Arial" w:cs="Arial" w:eastAsia="Arial" w:hAnsi="Arial"/>
          <w:sz w:val="14"/>
          <w:szCs w:val="14"/>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466"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RISK FACTORS</w:t>
      </w:r>
    </w:p>
    <w:p>
      <w:pPr>
        <w:spacing w:after="0" w:line="208" w:lineRule="exact"/>
        <w:rPr>
          <w:sz w:val="20"/>
          <w:szCs w:val="20"/>
          <w:color w:val="auto"/>
        </w:rPr>
      </w:pPr>
    </w:p>
    <w:p>
      <w:pPr>
        <w:ind w:left="580" w:right="599" w:firstLine="194"/>
        <w:spacing w:after="0" w:line="258" w:lineRule="auto"/>
        <w:rPr>
          <w:sz w:val="20"/>
          <w:szCs w:val="20"/>
          <w:color w:val="auto"/>
        </w:rPr>
      </w:pPr>
      <w:r>
        <w:rPr>
          <w:rFonts w:ascii="Arial" w:cs="Arial" w:eastAsia="Arial" w:hAnsi="Arial"/>
          <w:sz w:val="16"/>
          <w:szCs w:val="16"/>
          <w:i w:val="1"/>
          <w:iCs w:val="1"/>
          <w:color w:val="auto"/>
        </w:rPr>
        <w:t>Investing in our ordinary shares involves a high degree of risk. You should carefully consider the risks and uncertainties described below, in addition to the other information set forth in this prospectus, including the consolidated financial statements and the related notes included elsewhere in this prospectus, before purchasing our ordinary shares. If any of the following risks actually occur, our business, financial condition, cash flows, and results of operations could be materially adversely affected. In that case, the trading price of our ordinary shares would likely decline and you might lose all or part of your investment.</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Risks Related to Our Business and Our Industry</w:t>
      </w:r>
    </w:p>
    <w:p>
      <w:pPr>
        <w:spacing w:after="0" w:line="208" w:lineRule="exact"/>
        <w:rPr>
          <w:sz w:val="20"/>
          <w:szCs w:val="20"/>
          <w:color w:val="auto"/>
        </w:rPr>
      </w:pPr>
    </w:p>
    <w:p>
      <w:pPr>
        <w:ind w:left="580" w:right="1099"/>
        <w:spacing w:after="0" w:line="281" w:lineRule="auto"/>
        <w:rPr>
          <w:sz w:val="20"/>
          <w:szCs w:val="20"/>
          <w:color w:val="auto"/>
        </w:rPr>
      </w:pPr>
      <w:r>
        <w:rPr>
          <w:rFonts w:ascii="Arial" w:cs="Arial" w:eastAsia="Arial" w:hAnsi="Arial"/>
          <w:sz w:val="16"/>
          <w:szCs w:val="16"/>
          <w:b w:val="1"/>
          <w:bCs w:val="1"/>
          <w:i w:val="1"/>
          <w:iCs w:val="1"/>
          <w:color w:val="auto"/>
        </w:rPr>
        <w:t>If the market for digital textile printing does not develop as we anticipate, our sales may not grow as quickly as expected and our share price could decline.</w:t>
      </w:r>
    </w:p>
    <w:p>
      <w:pPr>
        <w:spacing w:after="0" w:line="151" w:lineRule="exact"/>
        <w:rPr>
          <w:sz w:val="20"/>
          <w:szCs w:val="20"/>
          <w:color w:val="auto"/>
        </w:rPr>
      </w:pPr>
    </w:p>
    <w:p>
      <w:pPr>
        <w:ind w:left="580" w:right="579" w:firstLine="194"/>
        <w:spacing w:after="0" w:line="273" w:lineRule="auto"/>
        <w:rPr>
          <w:sz w:val="20"/>
          <w:szCs w:val="20"/>
          <w:color w:val="auto"/>
        </w:rPr>
      </w:pPr>
      <w:r>
        <w:rPr>
          <w:rFonts w:ascii="Arial" w:cs="Arial" w:eastAsia="Arial" w:hAnsi="Arial"/>
          <w:sz w:val="15"/>
          <w:szCs w:val="15"/>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65" w:lineRule="exact"/>
        <w:rPr>
          <w:sz w:val="20"/>
          <w:szCs w:val="20"/>
          <w:color w:val="auto"/>
        </w:rPr>
      </w:pPr>
    </w:p>
    <w:p>
      <w:pPr>
        <w:ind w:left="580" w:right="1459"/>
        <w:spacing w:after="0" w:line="281" w:lineRule="auto"/>
        <w:rPr>
          <w:sz w:val="20"/>
          <w:szCs w:val="20"/>
          <w:color w:val="auto"/>
        </w:rPr>
      </w:pPr>
      <w:r>
        <w:rPr>
          <w:rFonts w:ascii="Arial" w:cs="Arial" w:eastAsia="Arial" w:hAnsi="Arial"/>
          <w:sz w:val="16"/>
          <w:szCs w:val="16"/>
          <w:b w:val="1"/>
          <w:bCs w:val="1"/>
          <w:i w:val="1"/>
          <w:iCs w:val="1"/>
          <w:color w:val="auto"/>
        </w:rPr>
        <w:t>If our customers use alternative ink or other consumables in our systems, our gross margin could decline significantly, and our business could be harmed.</w:t>
      </w:r>
    </w:p>
    <w:p>
      <w:pPr>
        <w:spacing w:after="0" w:line="151" w:lineRule="exact"/>
        <w:rPr>
          <w:sz w:val="20"/>
          <w:szCs w:val="20"/>
          <w:color w:val="auto"/>
        </w:rPr>
      </w:pPr>
    </w:p>
    <w:p>
      <w:pPr>
        <w:ind w:left="580" w:right="579" w:firstLine="194"/>
        <w:spacing w:after="0" w:line="257" w:lineRule="auto"/>
        <w:rPr>
          <w:sz w:val="20"/>
          <w:szCs w:val="20"/>
          <w:color w:val="auto"/>
        </w:rPr>
      </w:pPr>
      <w:r>
        <w:rPr>
          <w:rFonts w:ascii="Arial" w:cs="Arial" w:eastAsia="Arial" w:hAnsi="Arial"/>
          <w:sz w:val="16"/>
          <w:szCs w:val="16"/>
          <w:color w:val="auto"/>
        </w:rPr>
        <w:t>Our business model benefits significantly from recurring sales of our ink and other consumables for our existing and growing installed base of systems. Third parties sell, and purchasers of our systems can seek to buy, alternative versions of our ink or other consumables. We are aware of a small number of instances in which customers are using such third party inks in our systems. These third-party ink and other consumables may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71" w:lineRule="exact"/>
        <w:rPr>
          <w:sz w:val="20"/>
          <w:szCs w:val="20"/>
          <w:color w:val="auto"/>
        </w:rPr>
      </w:pPr>
    </w:p>
    <w:p>
      <w:pPr>
        <w:ind w:left="580" w:right="679" w:firstLine="194"/>
        <w:spacing w:after="0" w:line="276" w:lineRule="auto"/>
        <w:rPr>
          <w:sz w:val="20"/>
          <w:szCs w:val="20"/>
          <w:color w:val="auto"/>
        </w:rPr>
      </w:pPr>
      <w:r>
        <w:rPr>
          <w:rFonts w:ascii="Arial" w:cs="Arial" w:eastAsia="Arial" w:hAnsi="Arial"/>
          <w:sz w:val="15"/>
          <w:szCs w:val="15"/>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Our failure to compete successfully could cause our revenues and demand for our solutions to decline.</w:t>
      </w:r>
    </w:p>
    <w:p>
      <w:pPr>
        <w:spacing w:after="0" w:line="215" w:lineRule="exact"/>
        <w:rPr>
          <w:sz w:val="20"/>
          <w:szCs w:val="20"/>
          <w:color w:val="auto"/>
        </w:rPr>
      </w:pPr>
    </w:p>
    <w:p>
      <w:pPr>
        <w:ind w:left="580" w:right="619" w:firstLine="194"/>
        <w:spacing w:after="0" w:line="258" w:lineRule="auto"/>
        <w:rPr>
          <w:sz w:val="20"/>
          <w:szCs w:val="20"/>
          <w:color w:val="auto"/>
        </w:rPr>
      </w:pPr>
      <w:r>
        <w:rPr>
          <w:rFonts w:ascii="Arial" w:cs="Arial" w:eastAsia="Arial" w:hAnsi="Arial"/>
          <w:sz w:val="16"/>
          <w:szCs w:val="16"/>
          <w:color w:val="auto"/>
        </w:rPr>
        <w:t>The principal competition for our digital printing systems comes from manufacturers of screen printing systems. Our principal competitor in the high throughput digital direct-to-garment, or DTG, market is Aeoon Technologies GmbH. We also face competition from Brother International Corporation, Seiko Epson Corporation and a number of smaller competitors with respect to our entry level systems. Some of our current and potential competitors have larger overall installed bases of customers, longer operating histories and greater name recognition than we have. In addition, many of these competitors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 w:name="page14"/>
    <w:bookmarkEnd w:id="13"/>
    <w:p>
      <w:pPr>
        <w:ind w:left="580" w:right="659"/>
        <w:spacing w:after="0" w:line="276" w:lineRule="auto"/>
        <w:rPr>
          <w:sz w:val="20"/>
          <w:szCs w:val="20"/>
          <w:color w:val="auto"/>
        </w:rPr>
      </w:pPr>
      <w:r>
        <w:rPr>
          <w:rFonts w:ascii="Arial" w:cs="Arial" w:eastAsia="Arial" w:hAnsi="Arial"/>
          <w:sz w:val="15"/>
          <w:szCs w:val="15"/>
          <w:color w:val="auto"/>
        </w:rPr>
        <w:t>have greater sales and marketing resources, more advanced manufacturing operations, broader distribution channels and established relationships with channel partners, and greater customer support resources than we have. Current and future competitors may be able to respond more quickly to changes in customer demands and devote greater resources to the development, promotion and sale of their printers and ink and other consumables than we can. Our current and potential competitors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57" w:lineRule="exact"/>
        <w:rPr>
          <w:sz w:val="20"/>
          <w:szCs w:val="20"/>
          <w:color w:val="auto"/>
        </w:rPr>
      </w:pPr>
    </w:p>
    <w:p>
      <w:pPr>
        <w:ind w:left="580" w:right="699"/>
        <w:spacing w:after="0" w:line="355" w:lineRule="auto"/>
        <w:rPr>
          <w:sz w:val="20"/>
          <w:szCs w:val="20"/>
          <w:color w:val="auto"/>
        </w:rPr>
      </w:pPr>
      <w:r>
        <w:rPr>
          <w:rFonts w:ascii="Arial" w:cs="Arial" w:eastAsia="Arial" w:hAnsi="Arial"/>
          <w:sz w:val="14"/>
          <w:szCs w:val="14"/>
          <w:b w:val="1"/>
          <w:bCs w:val="1"/>
          <w:i w:val="1"/>
          <w:iCs w:val="1"/>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05" w:lineRule="exact"/>
        <w:rPr>
          <w:sz w:val="20"/>
          <w:szCs w:val="20"/>
          <w:color w:val="auto"/>
        </w:rPr>
      </w:pPr>
    </w:p>
    <w:p>
      <w:pPr>
        <w:ind w:left="580" w:right="599" w:firstLine="194"/>
        <w:spacing w:after="0" w:line="273" w:lineRule="auto"/>
        <w:rPr>
          <w:sz w:val="20"/>
          <w:szCs w:val="20"/>
          <w:color w:val="auto"/>
        </w:rPr>
      </w:pPr>
      <w:r>
        <w:rPr>
          <w:rFonts w:ascii="Arial" w:cs="Arial" w:eastAsia="Arial" w:hAnsi="Arial"/>
          <w:sz w:val="15"/>
          <w:szCs w:val="15"/>
          <w:color w:val="auto"/>
        </w:rPr>
        <w:t>We are subject to revenue concentration with respect to two of our independent distributors. In 2013 and 2014, Hirsch International Corporation and SPSI, Inc., both distributors in the United States, accounted for 20% and 25% of our revenues in each such period, respectively, in the case of Hirsch, and 13% and 15% of our revenues in each such period in the case of SPSI, respectively. We have entered into non-exclusive distributor agreements with each of these distributors with a term that ends in April 2017 subject to automatic renewal for successive one-year periods unless one party notifies the other party that it does not wish to renew the agreement. These distributors may fail to devote the same level of attention to our solutions as they currently do, elect to distribute competitors’ products or be less successful than distributors of competitors’ products in their territories and, as a result, sales of our solutions may suffer. In addition, our relationships with these distributors could be terminated with little or no notice if these distributors become subject to bankruptcy or other similar proceedings or otherwise become unable or unwilling to continue their business relationship with us and we may not be able to find qualified and successful replacements for our distributors in a timely manner. Due to the concentration of our revenues with these distributors, any such event could have a material adverse effect on our results of operations. Additionally, a default by one or more independent distributors that has a significant receivables balance could harm our financial condition.</w:t>
      </w:r>
    </w:p>
    <w:p>
      <w:pPr>
        <w:spacing w:after="0" w:line="160" w:lineRule="exact"/>
        <w:rPr>
          <w:sz w:val="20"/>
          <w:szCs w:val="20"/>
          <w:color w:val="auto"/>
        </w:rPr>
      </w:pPr>
    </w:p>
    <w:p>
      <w:pPr>
        <w:ind w:left="580" w:right="599"/>
        <w:spacing w:after="0" w:line="281" w:lineRule="auto"/>
        <w:rPr>
          <w:sz w:val="20"/>
          <w:szCs w:val="20"/>
          <w:color w:val="auto"/>
        </w:rPr>
      </w:pPr>
      <w:r>
        <w:rPr>
          <w:rFonts w:ascii="Arial" w:cs="Arial" w:eastAsia="Arial" w:hAnsi="Arial"/>
          <w:sz w:val="16"/>
          <w:szCs w:val="16"/>
          <w:b w:val="1"/>
          <w:bCs w:val="1"/>
          <w:i w:val="1"/>
          <w:iCs w:val="1"/>
          <w:color w:val="auto"/>
        </w:rPr>
        <w:t>Our quarterly results of operations have fluctuated in the past and may fluctuate in the future due to variability in our revenues.</w:t>
      </w:r>
    </w:p>
    <w:p>
      <w:pPr>
        <w:spacing w:after="0" w:line="151" w:lineRule="exact"/>
        <w:rPr>
          <w:sz w:val="20"/>
          <w:szCs w:val="20"/>
          <w:color w:val="auto"/>
        </w:rPr>
      </w:pPr>
    </w:p>
    <w:p>
      <w:pPr>
        <w:ind w:left="580" w:right="599" w:firstLine="194"/>
        <w:spacing w:after="0" w:line="294" w:lineRule="auto"/>
        <w:rPr>
          <w:sz w:val="20"/>
          <w:szCs w:val="20"/>
          <w:color w:val="auto"/>
        </w:rPr>
      </w:pPr>
      <w:r>
        <w:rPr>
          <w:rFonts w:ascii="Arial" w:cs="Arial" w:eastAsia="Arial" w:hAnsi="Arial"/>
          <w:sz w:val="14"/>
          <w:szCs w:val="14"/>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Moreover, the closing of an especially large transaction in a particular quarter may make it more difficult for us to meet market expectations in subsequent quarters, and our failure to close a large transaction in a particular quarter could adversely impact our revenues for that quarter.</w:t>
      </w:r>
    </w:p>
    <w:p>
      <w:pPr>
        <w:spacing w:after="0" w:line="153" w:lineRule="exact"/>
        <w:rPr>
          <w:sz w:val="20"/>
          <w:szCs w:val="20"/>
          <w:color w:val="auto"/>
        </w:rPr>
      </w:pPr>
    </w:p>
    <w:p>
      <w:pPr>
        <w:ind w:left="580" w:right="599" w:firstLine="194"/>
        <w:spacing w:after="0" w:line="274" w:lineRule="auto"/>
        <w:rPr>
          <w:sz w:val="20"/>
          <w:szCs w:val="20"/>
          <w:color w:val="auto"/>
        </w:rPr>
      </w:pPr>
      <w:r>
        <w:rPr>
          <w:rFonts w:ascii="Arial" w:cs="Arial" w:eastAsia="Arial" w:hAnsi="Arial"/>
          <w:sz w:val="15"/>
          <w:szCs w:val="15"/>
          <w:color w:val="auto"/>
        </w:rPr>
        <w:t>In addition, while we recently started implementing a means of collecting real time data about our customers’ consumption of ink and other consumables when using our systems, we have thus far done so only to a limited extent and, accordingly, our ability to predict consumption is limited. 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63" w:lineRule="exact"/>
        <w:rPr>
          <w:sz w:val="20"/>
          <w:szCs w:val="20"/>
          <w:color w:val="auto"/>
        </w:rPr>
      </w:pPr>
    </w:p>
    <w:p>
      <w:pPr>
        <w:ind w:left="580" w:right="659" w:firstLine="194"/>
        <w:spacing w:after="0" w:line="262" w:lineRule="auto"/>
        <w:rPr>
          <w:sz w:val="20"/>
          <w:szCs w:val="20"/>
          <w:color w:val="auto"/>
        </w:rPr>
      </w:pPr>
      <w:r>
        <w:rPr>
          <w:rFonts w:ascii="Arial" w:cs="Arial" w:eastAsia="Arial" w:hAnsi="Arial"/>
          <w:sz w:val="16"/>
          <w:szCs w:val="16"/>
          <w:color w:val="auto"/>
        </w:rPr>
        <w:t>Furthermore, we base our current and future expense levels on our revenue forecasts and operating plans, and our expenses are relatively fixed in the short term, due in part to long lead times required for ordering certain components of our systems and ordering assembly of our systems by third-party manufacturers. Accordingly, we would likely not be able to reduce our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4" w:name="page15"/>
    <w:bookmarkEnd w:id="14"/>
    <w:p>
      <w:pPr>
        <w:ind w:left="580" w:right="679"/>
        <w:spacing w:after="0" w:line="262" w:lineRule="auto"/>
        <w:rPr>
          <w:sz w:val="20"/>
          <w:szCs w:val="20"/>
          <w:color w:val="auto"/>
        </w:rPr>
      </w:pPr>
      <w:r>
        <w:rPr>
          <w:rFonts w:ascii="Arial" w:cs="Arial" w:eastAsia="Arial" w:hAnsi="Arial"/>
          <w:sz w:val="16"/>
          <w:szCs w:val="16"/>
          <w:color w:val="auto"/>
        </w:rPr>
        <w:t>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69" w:lineRule="exact"/>
        <w:rPr>
          <w:sz w:val="20"/>
          <w:szCs w:val="20"/>
          <w:color w:val="auto"/>
        </w:rPr>
      </w:pPr>
    </w:p>
    <w:p>
      <w:pPr>
        <w:ind w:left="580" w:right="999"/>
        <w:spacing w:after="0" w:line="281" w:lineRule="auto"/>
        <w:rPr>
          <w:sz w:val="20"/>
          <w:szCs w:val="20"/>
          <w:color w:val="auto"/>
        </w:rPr>
      </w:pPr>
      <w:r>
        <w:rPr>
          <w:rFonts w:ascii="Arial" w:cs="Arial" w:eastAsia="Arial" w:hAnsi="Arial"/>
          <w:sz w:val="16"/>
          <w:szCs w:val="16"/>
          <w:b w:val="1"/>
          <w:bCs w:val="1"/>
          <w:i w:val="1"/>
          <w:iCs w:val="1"/>
          <w:color w:val="auto"/>
        </w:rPr>
        <w:t>If our relationships with suppliers, especially with single source suppliers of components, were to terminate, our business could be harmed.</w:t>
      </w:r>
    </w:p>
    <w:p>
      <w:pPr>
        <w:spacing w:after="0" w:line="151" w:lineRule="exact"/>
        <w:rPr>
          <w:sz w:val="20"/>
          <w:szCs w:val="20"/>
          <w:color w:val="auto"/>
        </w:rPr>
      </w:pPr>
    </w:p>
    <w:p>
      <w:pPr>
        <w:ind w:left="580" w:right="679" w:firstLine="194"/>
        <w:spacing w:after="0" w:line="262" w:lineRule="auto"/>
        <w:rPr>
          <w:sz w:val="20"/>
          <w:szCs w:val="20"/>
          <w:color w:val="auto"/>
        </w:rPr>
      </w:pPr>
      <w:r>
        <w:rPr>
          <w:rFonts w:ascii="Arial" w:cs="Arial" w:eastAsia="Arial" w:hAnsi="Arial"/>
          <w:sz w:val="16"/>
          <w:szCs w:val="16"/>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such as our print heads and emulsion, are only available from single or limited sources as described below.</w:t>
      </w:r>
    </w:p>
    <w:p>
      <w:pPr>
        <w:spacing w:after="0" w:line="129" w:lineRule="exact"/>
        <w:rPr>
          <w:sz w:val="20"/>
          <w:szCs w:val="20"/>
          <w:color w:val="auto"/>
        </w:rPr>
      </w:pPr>
    </w:p>
    <w:p>
      <w:pPr>
        <w:ind w:left="960" w:right="579" w:hanging="189"/>
        <w:spacing w:after="0" w:line="289" w:lineRule="auto"/>
        <w:tabs>
          <w:tab w:leader="none" w:pos="943" w:val="left"/>
        </w:tabs>
        <w:numPr>
          <w:ilvl w:val="0"/>
          <w:numId w:val="14"/>
        </w:numPr>
        <w:rPr>
          <w:rFonts w:ascii="Arial" w:cs="Arial" w:eastAsia="Arial" w:hAnsi="Arial"/>
          <w:sz w:val="17"/>
          <w:szCs w:val="17"/>
          <w:color w:val="auto"/>
        </w:rPr>
      </w:pPr>
      <w:r>
        <w:rPr>
          <w:rFonts w:ascii="Arial" w:cs="Arial" w:eastAsia="Arial" w:hAnsi="Arial"/>
          <w:sz w:val="14"/>
          <w:szCs w:val="14"/>
          <w:color w:val="auto"/>
        </w:rPr>
        <w:t>The print heads for our systems are supplied by a sole supplier, FujiFilm Dimatix, Inc., or FDMX. We entered into an agreement with FDMX in 2006, pursuant to which FDMX sells us certain off-the-shelf print heads and additional products, including ink, all of which FDMX regularly sells to providers of inkjet systems. The agreement renews automatically for successive one-year periods, but FDMX or we can terminate the agreement upon 90 days’ notice prior to the end of the current term. The agreement provides that beginning with the start of the first one-year renewal period, FDMX may increase the prices of the products that we purchase from it upon 90-days’ prior notice. We have entered into new pricing terms with FDMX on an annual basis which have constituted a new agreement starting a new initial term. Our current agreement terminates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63" w:lineRule="exact"/>
        <w:rPr>
          <w:rFonts w:ascii="Arial" w:cs="Arial" w:eastAsia="Arial" w:hAnsi="Arial"/>
          <w:sz w:val="17"/>
          <w:szCs w:val="17"/>
          <w:color w:val="auto"/>
        </w:rPr>
      </w:pPr>
    </w:p>
    <w:p>
      <w:pPr>
        <w:ind w:left="960" w:right="1039" w:hanging="189"/>
        <w:spacing w:after="0" w:line="238" w:lineRule="auto"/>
        <w:tabs>
          <w:tab w:leader="none" w:pos="943" w:val="left"/>
        </w:tabs>
        <w:numPr>
          <w:ilvl w:val="0"/>
          <w:numId w:val="14"/>
        </w:numPr>
        <w:rPr>
          <w:rFonts w:ascii="Arial" w:cs="Arial" w:eastAsia="Arial" w:hAnsi="Arial"/>
          <w:sz w:val="19"/>
          <w:szCs w:val="19"/>
          <w:color w:val="auto"/>
        </w:rPr>
      </w:pPr>
      <w:r>
        <w:rPr>
          <w:rFonts w:ascii="Arial" w:cs="Arial" w:eastAsia="Arial" w:hAnsi="Arial"/>
          <w:sz w:val="16"/>
          <w:szCs w:val="16"/>
          <w:color w:val="auto"/>
        </w:rPr>
        <w:t>The emulsion used in our ink is supplied by BG Bond, a subsidiary of Ashtrom Ltd., a large Israeli industrial company. We currently purchase the emulsion on a purchase order basis.</w:t>
      </w:r>
    </w:p>
    <w:p>
      <w:pPr>
        <w:spacing w:after="0" w:line="122" w:lineRule="exact"/>
        <w:rPr>
          <w:sz w:val="20"/>
          <w:szCs w:val="20"/>
          <w:color w:val="auto"/>
        </w:rPr>
      </w:pPr>
    </w:p>
    <w:p>
      <w:pPr>
        <w:ind w:left="580" w:right="599" w:firstLine="194"/>
        <w:spacing w:after="0" w:line="275" w:lineRule="auto"/>
        <w:rPr>
          <w:sz w:val="20"/>
          <w:szCs w:val="20"/>
          <w:color w:val="auto"/>
        </w:rPr>
      </w:pPr>
      <w:r>
        <w:rPr>
          <w:rFonts w:ascii="Arial" w:cs="Arial" w:eastAsia="Arial" w:hAnsi="Arial"/>
          <w:sz w:val="15"/>
          <w:szCs w:val="15"/>
          <w:color w:val="auto"/>
        </w:rPr>
        <w:t>The loss of either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emulsion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Other risks stemming from our reliance on suppliers include:</w:t>
      </w:r>
    </w:p>
    <w:p>
      <w:pPr>
        <w:spacing w:after="0" w:line="143" w:lineRule="exact"/>
        <w:rPr>
          <w:sz w:val="20"/>
          <w:szCs w:val="20"/>
          <w:color w:val="auto"/>
        </w:rPr>
      </w:pPr>
    </w:p>
    <w:p>
      <w:pPr>
        <w:ind w:left="960" w:right="1059" w:hanging="189"/>
        <w:spacing w:after="0" w:line="238" w:lineRule="auto"/>
        <w:tabs>
          <w:tab w:leader="none" w:pos="943" w:val="left"/>
        </w:tabs>
        <w:numPr>
          <w:ilvl w:val="0"/>
          <w:numId w:val="15"/>
        </w:numPr>
        <w:rPr>
          <w:rFonts w:ascii="Arial" w:cs="Arial" w:eastAsia="Arial" w:hAnsi="Arial"/>
          <w:sz w:val="19"/>
          <w:szCs w:val="19"/>
          <w:color w:val="auto"/>
        </w:rPr>
      </w:pPr>
      <w:r>
        <w:rPr>
          <w:rFonts w:ascii="Arial" w:cs="Arial" w:eastAsia="Arial" w:hAnsi="Arial"/>
          <w:sz w:val="16"/>
          <w:szCs w:val="16"/>
          <w:color w:val="auto"/>
        </w:rPr>
        <w:t>if we experience an increase in demand for our solutions, our suppliers may be unable to provide us with the components that we need in order to meet that increased demand;</w:t>
      </w:r>
    </w:p>
    <w:p>
      <w:pPr>
        <w:spacing w:after="0" w:line="133" w:lineRule="exact"/>
        <w:rPr>
          <w:rFonts w:ascii="Arial" w:cs="Arial" w:eastAsia="Arial" w:hAnsi="Arial"/>
          <w:sz w:val="19"/>
          <w:szCs w:val="19"/>
          <w:color w:val="auto"/>
        </w:rPr>
      </w:pPr>
    </w:p>
    <w:p>
      <w:pPr>
        <w:ind w:left="960" w:right="639" w:hanging="189"/>
        <w:spacing w:after="0" w:line="238" w:lineRule="auto"/>
        <w:tabs>
          <w:tab w:leader="none" w:pos="943" w:val="left"/>
        </w:tabs>
        <w:numPr>
          <w:ilvl w:val="0"/>
          <w:numId w:val="15"/>
        </w:numPr>
        <w:rPr>
          <w:rFonts w:ascii="Arial" w:cs="Arial" w:eastAsia="Arial" w:hAnsi="Arial"/>
          <w:sz w:val="19"/>
          <w:szCs w:val="19"/>
          <w:color w:val="auto"/>
        </w:rPr>
      </w:pPr>
      <w:r>
        <w:rPr>
          <w:rFonts w:ascii="Arial" w:cs="Arial" w:eastAsia="Arial" w:hAnsi="Arial"/>
          <w:sz w:val="16"/>
          <w:szCs w:val="16"/>
          <w:color w:val="auto"/>
        </w:rPr>
        <w:t>our suppliers may encounter financial hardships unrelated to our demand for components, which could inhibit their ability to fulfill our orders and meet our requirements;</w:t>
      </w:r>
    </w:p>
    <w:p>
      <w:pPr>
        <w:spacing w:after="0" w:line="132" w:lineRule="exact"/>
        <w:rPr>
          <w:rFonts w:ascii="Arial" w:cs="Arial" w:eastAsia="Arial" w:hAnsi="Arial"/>
          <w:sz w:val="19"/>
          <w:szCs w:val="19"/>
          <w:color w:val="auto"/>
        </w:rPr>
      </w:pPr>
    </w:p>
    <w:p>
      <w:pPr>
        <w:ind w:left="940" w:hanging="169"/>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5"/>
          <w:szCs w:val="15"/>
          <w:color w:val="auto"/>
        </w:rPr>
        <w:t>we may experience production delays related to the evaluation and testing of products from alternative suppliers;</w:t>
      </w:r>
    </w:p>
    <w:p>
      <w:pPr>
        <w:spacing w:after="0" w:line="120" w:lineRule="exact"/>
        <w:rPr>
          <w:rFonts w:ascii="Arial" w:cs="Arial" w:eastAsia="Arial" w:hAnsi="Arial"/>
          <w:sz w:val="18"/>
          <w:szCs w:val="18"/>
          <w:color w:val="auto"/>
        </w:rPr>
      </w:pPr>
    </w:p>
    <w:p>
      <w:pPr>
        <w:ind w:left="940" w:hanging="169"/>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5"/>
          <w:szCs w:val="15"/>
          <w:color w:val="auto"/>
        </w:rPr>
        <w:t>we may be subject to price fluctuations due to a lack of long-term supply arrangements for key components;</w:t>
      </w:r>
    </w:p>
    <w:p>
      <w:pPr>
        <w:spacing w:after="0" w:line="133" w:lineRule="exact"/>
        <w:rPr>
          <w:rFonts w:ascii="Arial" w:cs="Arial" w:eastAsia="Arial" w:hAnsi="Arial"/>
          <w:sz w:val="18"/>
          <w:szCs w:val="18"/>
          <w:color w:val="auto"/>
        </w:rPr>
      </w:pPr>
    </w:p>
    <w:p>
      <w:pPr>
        <w:ind w:left="960" w:right="1239" w:hanging="189"/>
        <w:spacing w:after="0" w:line="238" w:lineRule="auto"/>
        <w:tabs>
          <w:tab w:leader="none" w:pos="943" w:val="left"/>
        </w:tabs>
        <w:numPr>
          <w:ilvl w:val="0"/>
          <w:numId w:val="15"/>
        </w:numPr>
        <w:rPr>
          <w:rFonts w:ascii="Arial" w:cs="Arial" w:eastAsia="Arial" w:hAnsi="Arial"/>
          <w:sz w:val="19"/>
          <w:szCs w:val="19"/>
          <w:color w:val="auto"/>
        </w:rPr>
      </w:pPr>
      <w:r>
        <w:rPr>
          <w:rFonts w:ascii="Arial" w:cs="Arial" w:eastAsia="Arial" w:hAnsi="Arial"/>
          <w:sz w:val="16"/>
          <w:szCs w:val="16"/>
          <w:color w:val="auto"/>
        </w:rPr>
        <w:t>we or our suppliers may lose access to critical services and components, resulting in an interruption in the manufacture, assembly and shipment of our systems; and</w:t>
      </w:r>
    </w:p>
    <w:p>
      <w:pPr>
        <w:spacing w:after="0" w:line="133" w:lineRule="exact"/>
        <w:rPr>
          <w:rFonts w:ascii="Arial" w:cs="Arial" w:eastAsia="Arial" w:hAnsi="Arial"/>
          <w:sz w:val="19"/>
          <w:szCs w:val="19"/>
          <w:color w:val="auto"/>
        </w:rPr>
      </w:pPr>
    </w:p>
    <w:p>
      <w:pPr>
        <w:ind w:left="960" w:right="1179" w:hanging="189"/>
        <w:spacing w:after="0" w:line="238" w:lineRule="auto"/>
        <w:tabs>
          <w:tab w:leader="none" w:pos="943" w:val="left"/>
        </w:tabs>
        <w:numPr>
          <w:ilvl w:val="0"/>
          <w:numId w:val="15"/>
        </w:numPr>
        <w:rPr>
          <w:rFonts w:ascii="Arial" w:cs="Arial" w:eastAsia="Arial" w:hAnsi="Arial"/>
          <w:sz w:val="19"/>
          <w:szCs w:val="19"/>
          <w:color w:val="auto"/>
        </w:rPr>
      </w:pPr>
      <w:r>
        <w:rPr>
          <w:rFonts w:ascii="Arial" w:cs="Arial" w:eastAsia="Arial" w:hAnsi="Arial"/>
          <w:sz w:val="16"/>
          <w:szCs w:val="16"/>
          <w:color w:val="auto"/>
        </w:rPr>
        <w:t>fluctuations in demand for components that our suppliers manufacture for others may affect their ability or willingness to deliver components to us in a timely manner.</w:t>
      </w:r>
    </w:p>
    <w:p>
      <w:pPr>
        <w:spacing w:after="0" w:line="110" w:lineRule="exact"/>
        <w:rPr>
          <w:sz w:val="20"/>
          <w:szCs w:val="20"/>
          <w:color w:val="auto"/>
        </w:rPr>
      </w:pPr>
    </w:p>
    <w:p>
      <w:pPr>
        <w:ind w:left="580" w:right="599" w:firstLine="194"/>
        <w:spacing w:after="0" w:line="300" w:lineRule="auto"/>
        <w:rPr>
          <w:sz w:val="20"/>
          <w:szCs w:val="20"/>
          <w:color w:val="auto"/>
        </w:rPr>
      </w:pPr>
      <w:r>
        <w:rPr>
          <w:rFonts w:ascii="Arial" w:cs="Arial" w:eastAsia="Arial" w:hAnsi="Arial"/>
          <w:sz w:val="14"/>
          <w:szCs w:val="14"/>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5" w:name="page16"/>
    <w:bookmarkEnd w:id="15"/>
    <w:p>
      <w:pPr>
        <w:ind w:left="580" w:right="819"/>
        <w:spacing w:after="0" w:line="281" w:lineRule="auto"/>
        <w:rPr>
          <w:sz w:val="20"/>
          <w:szCs w:val="20"/>
          <w:color w:val="auto"/>
        </w:rPr>
      </w:pPr>
      <w:r>
        <w:rPr>
          <w:rFonts w:ascii="Arial" w:cs="Arial" w:eastAsia="Arial" w:hAnsi="Arial"/>
          <w:sz w:val="16"/>
          <w:szCs w:val="16"/>
          <w:b w:val="1"/>
          <w:bCs w:val="1"/>
          <w:i w:val="1"/>
          <w:iCs w:val="1"/>
          <w:color w:val="auto"/>
        </w:rPr>
        <w:t>If we cannot successfully market our systems to major brand owners and fashion designers, our future growth and prospects could be harmed.</w:t>
      </w:r>
    </w:p>
    <w:p>
      <w:pPr>
        <w:spacing w:after="0" w:line="151" w:lineRule="exact"/>
        <w:rPr>
          <w:sz w:val="20"/>
          <w:szCs w:val="20"/>
          <w:color w:val="auto"/>
        </w:rPr>
      </w:pPr>
    </w:p>
    <w:p>
      <w:pPr>
        <w:ind w:left="580" w:right="719" w:firstLine="194"/>
        <w:spacing w:after="0" w:line="256" w:lineRule="auto"/>
        <w:rPr>
          <w:sz w:val="20"/>
          <w:szCs w:val="20"/>
          <w:color w:val="auto"/>
        </w:rPr>
      </w:pPr>
      <w:r>
        <w:rPr>
          <w:rFonts w:ascii="Arial" w:cs="Arial" w:eastAsia="Arial" w:hAnsi="Arial"/>
          <w:sz w:val="16"/>
          <w:szCs w:val="16"/>
          <w:color w:val="auto"/>
        </w:rPr>
        <w:t>A key element of our strategy for growing our business is to market and sell digital printing systems to contract printers that serve major textile brand owners and fashion designers. Accordingly, we are investing in efforts to educate leading textile brand owners and fashion designers about the potential benefits of digital textile printing. Although we have successfully marketed our systems to online businesses and custom decorators, we have limited experience marketing our systems to brand owners and fashion designers. If our efforts to expand awareness of our systems do not succeed or do not influence major brand owners and fashion designers to adopt our digital printing technologies, or if there is a significant reduction in the popularity of printed textiles, especially those that are customized or personalized, among the consumers to whom such brand owners and fashion designers cater, our future growth and prospects could suffer.</w:t>
      </w:r>
    </w:p>
    <w:p>
      <w:pPr>
        <w:spacing w:after="0" w:line="172" w:lineRule="exact"/>
        <w:rPr>
          <w:sz w:val="20"/>
          <w:szCs w:val="20"/>
          <w:color w:val="auto"/>
        </w:rPr>
      </w:pPr>
    </w:p>
    <w:p>
      <w:pPr>
        <w:ind w:left="580" w:right="579"/>
        <w:spacing w:after="0" w:line="281" w:lineRule="auto"/>
        <w:rPr>
          <w:sz w:val="20"/>
          <w:szCs w:val="20"/>
          <w:color w:val="auto"/>
        </w:rPr>
      </w:pPr>
      <w:r>
        <w:rPr>
          <w:rFonts w:ascii="Arial" w:cs="Arial" w:eastAsia="Arial" w:hAnsi="Arial"/>
          <w:sz w:val="16"/>
          <w:szCs w:val="16"/>
          <w:b w:val="1"/>
          <w:bCs w:val="1"/>
          <w:i w:val="1"/>
          <w:iCs w:val="1"/>
          <w:color w:val="auto"/>
        </w:rPr>
        <w:t>Disruption of operations at our manufacturing site or those of third-party manufacturers could prevent us from filling customer orders on a timely basis.</w:t>
      </w:r>
    </w:p>
    <w:p>
      <w:pPr>
        <w:spacing w:after="0" w:line="151" w:lineRule="exact"/>
        <w:rPr>
          <w:sz w:val="20"/>
          <w:szCs w:val="20"/>
          <w:color w:val="auto"/>
        </w:rPr>
      </w:pPr>
    </w:p>
    <w:p>
      <w:pPr>
        <w:ind w:left="580" w:right="619" w:firstLine="194"/>
        <w:spacing w:after="0" w:line="273" w:lineRule="auto"/>
        <w:rPr>
          <w:sz w:val="20"/>
          <w:szCs w:val="20"/>
          <w:color w:val="auto"/>
        </w:rPr>
      </w:pPr>
      <w:r>
        <w:rPr>
          <w:rFonts w:ascii="Arial" w:cs="Arial" w:eastAsia="Arial" w:hAnsi="Arial"/>
          <w:sz w:val="15"/>
          <w:szCs w:val="15"/>
          <w:color w:val="auto"/>
        </w:rPr>
        <w:t>We manufacture our ink and other consumables at our facility in Kiryat Gat, Israel. We also rely on contract manufacturing services provided by ITS Industrial Techno Logic Solutions Ltd. in Israel to assemble the majority of our systems and receive contract manufacturing services from IFAT Technologies Ltd. with respect to certain of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we currently have only a limited inventory of our systems and ink and other consumables that we can supply to our customers in the event that our manufacturing is disrupted.</w:t>
      </w:r>
    </w:p>
    <w:p>
      <w:pPr>
        <w:spacing w:after="0" w:line="163" w:lineRule="exact"/>
        <w:rPr>
          <w:sz w:val="20"/>
          <w:szCs w:val="20"/>
          <w:color w:val="auto"/>
        </w:rPr>
      </w:pPr>
    </w:p>
    <w:p>
      <w:pPr>
        <w:ind w:left="580" w:right="839"/>
        <w:spacing w:after="0" w:line="281" w:lineRule="auto"/>
        <w:rPr>
          <w:sz w:val="20"/>
          <w:szCs w:val="20"/>
          <w:color w:val="auto"/>
        </w:rPr>
      </w:pPr>
      <w:r>
        <w:rPr>
          <w:rFonts w:ascii="Arial" w:cs="Arial" w:eastAsia="Arial" w:hAnsi="Arial"/>
          <w:sz w:val="16"/>
          <w:szCs w:val="16"/>
          <w:b w:val="1"/>
          <w:bCs w:val="1"/>
          <w:i w:val="1"/>
          <w:iCs w:val="1"/>
          <w:color w:val="auto"/>
        </w:rPr>
        <w:t>We may not be able to introduce new systems or other technological enhancements to the market on the timescales that we project.</w:t>
      </w:r>
    </w:p>
    <w:p>
      <w:pPr>
        <w:spacing w:after="0" w:line="151" w:lineRule="exact"/>
        <w:rPr>
          <w:sz w:val="20"/>
          <w:szCs w:val="20"/>
          <w:color w:val="auto"/>
        </w:rPr>
      </w:pPr>
    </w:p>
    <w:p>
      <w:pPr>
        <w:ind w:left="580" w:right="599" w:firstLine="194"/>
        <w:spacing w:after="0" w:line="255" w:lineRule="auto"/>
        <w:rPr>
          <w:sz w:val="20"/>
          <w:szCs w:val="20"/>
          <w:color w:val="auto"/>
        </w:rPr>
      </w:pPr>
      <w:r>
        <w:rPr>
          <w:rFonts w:ascii="Arial" w:cs="Arial" w:eastAsia="Arial" w:hAnsi="Arial"/>
          <w:sz w:val="16"/>
          <w:szCs w:val="16"/>
          <w:color w:val="auto"/>
        </w:rPr>
        <w:t>Our growth plan includes the introduction of new systems. For example, we are seeking to penetrate the roll-to-roll, or R2R, market with the commercial launch of our Allegro system, which is targeted to occur within the next 18 months. We are also seeking to expand our presence in the industrial market with the commercial launch of our Vulcan system, which is targeted to occur within the next 24 months. The process of developing new or improved solutions is expensive, complex and involves uncertainties. The success of new or improved solutions depends on several factors, including appropriate component and raw materials costs, timely completion and introduction, reliability and stability, differentiation of new or improved solutions, and market acceptance. There can be no assurance that we will be successful in developing and marketing our new or improved solutions in a timely manner or that our new or improved solutions will adequately address market demands. Furthermore, we may experience unanticipated delays in the availability of new or improved solutions, and may fail to meet customer expectations with respect to the timing of such availability.</w:t>
      </w:r>
    </w:p>
    <w:p>
      <w:pPr>
        <w:spacing w:after="0" w:line="175" w:lineRule="exact"/>
        <w:rPr>
          <w:sz w:val="20"/>
          <w:szCs w:val="20"/>
          <w:color w:val="auto"/>
        </w:rPr>
      </w:pPr>
    </w:p>
    <w:p>
      <w:pPr>
        <w:ind w:left="580" w:right="1239"/>
        <w:spacing w:after="0" w:line="281" w:lineRule="auto"/>
        <w:rPr>
          <w:sz w:val="20"/>
          <w:szCs w:val="20"/>
          <w:color w:val="auto"/>
        </w:rPr>
      </w:pPr>
      <w:r>
        <w:rPr>
          <w:rFonts w:ascii="Arial" w:cs="Arial" w:eastAsia="Arial" w:hAnsi="Arial"/>
          <w:sz w:val="16"/>
          <w:szCs w:val="16"/>
          <w:b w:val="1"/>
          <w:bCs w:val="1"/>
          <w:i w:val="1"/>
          <w:iCs w:val="1"/>
          <w:color w:val="auto"/>
        </w:rPr>
        <w:t>Our Allegro system, which we expect to launch commercially in the next 18 months, may not achieve market acceptance or gain adequate market share.</w:t>
      </w:r>
    </w:p>
    <w:p>
      <w:pPr>
        <w:spacing w:after="0" w:line="151" w:lineRule="exact"/>
        <w:rPr>
          <w:sz w:val="20"/>
          <w:szCs w:val="20"/>
          <w:color w:val="auto"/>
        </w:rPr>
      </w:pPr>
    </w:p>
    <w:p>
      <w:pPr>
        <w:ind w:left="580" w:right="639" w:firstLine="194"/>
        <w:spacing w:after="0" w:line="274" w:lineRule="auto"/>
        <w:rPr>
          <w:sz w:val="20"/>
          <w:szCs w:val="20"/>
          <w:color w:val="auto"/>
        </w:rPr>
      </w:pPr>
      <w:r>
        <w:rPr>
          <w:rFonts w:ascii="Arial" w:cs="Arial" w:eastAsia="Arial" w:hAnsi="Arial"/>
          <w:sz w:val="15"/>
          <w:szCs w:val="15"/>
          <w:color w:val="auto"/>
        </w:rPr>
        <w:t>Our Allegro system, which is currently in beta testing, is our first R2R printing system. Although the Allegro is based on the technology used in our DTG printing systems and we have experience in marketing our systems and ink and other consumables to the DTG printing market, the Allegro is our first R2R system. The market for digital R2R printers is more mature than the market for digital DTG printers, and we expect to face significant competition from major textile printer and ink manufacturers in the R2R market, such as MS Printing Solutions SRL, Reggiani Macchine S.P.A., and Durst Phototechnik AG. In addition, we expect to focus marketing efforts for our R2R systems towards customers with more capital-intensive operations, such as fabric converters, who source large quantities of fabric and convert untreated fabrics into finished materials to be sold to garment and home décor manufacturers. This differs from the customer base that we currently serve in the DTG market. We cannot ensure that the significant investments that we have made in distribution, sales and</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6" w:name="page17"/>
    <w:bookmarkEnd w:id="16"/>
    <w:p>
      <w:pPr>
        <w:ind w:left="580" w:right="659"/>
        <w:spacing w:after="0" w:line="257" w:lineRule="auto"/>
        <w:rPr>
          <w:sz w:val="20"/>
          <w:szCs w:val="20"/>
          <w:color w:val="auto"/>
        </w:rPr>
      </w:pPr>
      <w:r>
        <w:rPr>
          <w:rFonts w:ascii="Arial" w:cs="Arial" w:eastAsia="Arial" w:hAnsi="Arial"/>
          <w:sz w:val="16"/>
          <w:szCs w:val="16"/>
          <w:color w:val="auto"/>
        </w:rPr>
        <w:t>customer service teams in preparation for the launch of the Allegro will enable us to market, sell and distribute the Allegro as planned. Market acceptance of the Allegro will depend on, among other things, the system demonstrating a real advantage over existing printers, the success of our sales and marketing teams in creating awareness of the Allegro, the sales price of the Allegro relative to alternative printers, customer recognition of the value of our technology, the effectiveness of our marketing campaigns, and the general willingness of potential customers to try new technologies. In the event that we are unable to achieve market acceptance of the Allegro, our growth and future prospects may be adversely affected.</w:t>
      </w:r>
    </w:p>
    <w:p>
      <w:pPr>
        <w:spacing w:after="0" w:line="171" w:lineRule="exact"/>
        <w:rPr>
          <w:sz w:val="20"/>
          <w:szCs w:val="20"/>
          <w:color w:val="auto"/>
        </w:rPr>
      </w:pPr>
    </w:p>
    <w:p>
      <w:pPr>
        <w:ind w:left="580" w:right="579"/>
        <w:spacing w:after="0" w:line="316" w:lineRule="auto"/>
        <w:rPr>
          <w:sz w:val="20"/>
          <w:szCs w:val="20"/>
          <w:color w:val="auto"/>
        </w:rPr>
      </w:pPr>
      <w:r>
        <w:rPr>
          <w:rFonts w:ascii="Arial" w:cs="Arial" w:eastAsia="Arial" w:hAnsi="Arial"/>
          <w:sz w:val="15"/>
          <w:szCs w:val="15"/>
          <w:b w:val="1"/>
          <w:bCs w:val="1"/>
          <w:i w:val="1"/>
          <w:iCs w:val="1"/>
          <w:color w:val="auto"/>
        </w:rPr>
        <w:t>If we fail to effectively manage our growth, our business and operations will be negatively affected, and as we invest in the growth of our business, our operating and net profit margins could decline in the near-term.</w:t>
      </w:r>
    </w:p>
    <w:p>
      <w:pPr>
        <w:spacing w:after="0" w:line="115" w:lineRule="exact"/>
        <w:rPr>
          <w:sz w:val="20"/>
          <w:szCs w:val="20"/>
          <w:color w:val="auto"/>
        </w:rPr>
      </w:pPr>
    </w:p>
    <w:p>
      <w:pPr>
        <w:ind w:left="580" w:right="639" w:firstLine="194"/>
        <w:spacing w:after="0" w:line="296" w:lineRule="auto"/>
        <w:rPr>
          <w:sz w:val="20"/>
          <w:szCs w:val="20"/>
          <w:color w:val="auto"/>
        </w:rPr>
      </w:pPr>
      <w:r>
        <w:rPr>
          <w:rFonts w:ascii="Arial" w:cs="Arial" w:eastAsia="Arial" w:hAnsi="Arial"/>
          <w:sz w:val="14"/>
          <w:szCs w:val="14"/>
          <w:color w:val="auto"/>
        </w:rPr>
        <w:t>We have experienced significant growth in a relatively short period of time and intend to continue to grow our business. Our revenues grew from $49.4 million in 2013 to $66.4 million in 2014. Our headcount increased from 109 as of December 31, 2011 to 251 as of December 31, 2014, and during such period we hired our current Chief Executive Officer and Chief Financial Officer. We plan to hire additional employees in 2015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and in connection with our transition to a public company,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22" w:lineRule="exact"/>
        <w:rPr>
          <w:sz w:val="20"/>
          <w:szCs w:val="20"/>
          <w:color w:val="auto"/>
        </w:rPr>
      </w:pPr>
    </w:p>
    <w:p>
      <w:pPr>
        <w:ind w:left="580" w:right="919"/>
        <w:spacing w:after="0" w:line="316" w:lineRule="auto"/>
        <w:rPr>
          <w:sz w:val="20"/>
          <w:szCs w:val="20"/>
          <w:color w:val="auto"/>
        </w:rPr>
      </w:pPr>
      <w:r>
        <w:rPr>
          <w:rFonts w:ascii="Arial" w:cs="Arial" w:eastAsia="Arial" w:hAnsi="Arial"/>
          <w:sz w:val="15"/>
          <w:szCs w:val="15"/>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15" w:lineRule="exact"/>
        <w:rPr>
          <w:sz w:val="20"/>
          <w:szCs w:val="20"/>
          <w:color w:val="auto"/>
        </w:rPr>
      </w:pPr>
    </w:p>
    <w:p>
      <w:pPr>
        <w:ind w:left="580" w:right="579" w:firstLine="194"/>
        <w:spacing w:after="0" w:line="293" w:lineRule="auto"/>
        <w:rPr>
          <w:sz w:val="20"/>
          <w:szCs w:val="20"/>
          <w:color w:val="auto"/>
        </w:rPr>
      </w:pPr>
      <w:r>
        <w:rPr>
          <w:rFonts w:ascii="Arial" w:cs="Arial" w:eastAsia="Arial" w:hAnsi="Arial"/>
          <w:sz w:val="14"/>
          <w:szCs w:val="14"/>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35" w:lineRule="exact"/>
        <w:rPr>
          <w:sz w:val="20"/>
          <w:szCs w:val="20"/>
          <w:color w:val="auto"/>
        </w:rPr>
      </w:pPr>
    </w:p>
    <w:p>
      <w:pPr>
        <w:ind w:left="580" w:right="839"/>
        <w:spacing w:after="0" w:line="281" w:lineRule="auto"/>
        <w:rPr>
          <w:sz w:val="20"/>
          <w:szCs w:val="20"/>
          <w:color w:val="auto"/>
        </w:rPr>
      </w:pPr>
      <w:r>
        <w:rPr>
          <w:rFonts w:ascii="Arial" w:cs="Arial" w:eastAsia="Arial" w:hAnsi="Arial"/>
          <w:sz w:val="16"/>
          <w:szCs w:val="16"/>
          <w:b w:val="1"/>
          <w:bCs w:val="1"/>
          <w:i w:val="1"/>
          <w:iCs w:val="1"/>
          <w:color w:val="auto"/>
        </w:rPr>
        <w:t>Exchange rate fluctuations between the U.S. dollar and the Israeli shekel, the Euro and other non-U.S. currencies may negatively affect our earnings.</w:t>
      </w:r>
    </w:p>
    <w:p>
      <w:pPr>
        <w:spacing w:after="0" w:line="126" w:lineRule="exact"/>
        <w:rPr>
          <w:sz w:val="20"/>
          <w:szCs w:val="20"/>
          <w:color w:val="auto"/>
        </w:rPr>
      </w:pPr>
    </w:p>
    <w:p>
      <w:pPr>
        <w:ind w:left="580" w:right="559" w:firstLine="194"/>
        <w:spacing w:after="0" w:line="273" w:lineRule="auto"/>
        <w:rPr>
          <w:sz w:val="20"/>
          <w:szCs w:val="20"/>
          <w:color w:val="auto"/>
        </w:rPr>
      </w:pPr>
      <w:r>
        <w:rPr>
          <w:rFonts w:ascii="Arial" w:cs="Arial" w:eastAsia="Arial" w:hAnsi="Arial"/>
          <w:sz w:val="15"/>
          <w:szCs w:val="15"/>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once implemented, will be successful in protecting us in full from adverse impacts from currency exchange rate fluctuations since we only plan to</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7" w:name="page18"/>
    <w:bookmarkEnd w:id="17"/>
    <w:p>
      <w:pPr>
        <w:ind w:left="580" w:right="579"/>
        <w:spacing w:after="0" w:line="277" w:lineRule="auto"/>
        <w:rPr>
          <w:sz w:val="20"/>
          <w:szCs w:val="20"/>
          <w:color w:val="auto"/>
        </w:rPr>
      </w:pPr>
      <w:r>
        <w:rPr>
          <w:rFonts w:ascii="Arial" w:cs="Arial" w:eastAsia="Arial" w:hAnsi="Arial"/>
          <w:sz w:val="15"/>
          <w:szCs w:val="15"/>
          <w:color w:val="auto"/>
        </w:rPr>
        <w:t>hedge a portion of our foreign currency exposure, and we cannot predict any future trends in the rate of inflation in Israel or the rate of devaluation (if any) of the NIS against the dollar. For example, based on annual average exchange rates, the dollar appreciated by 7.8% against the NIS in 2012, depreciated by 6.4% against the NIS in 2013 and depreciated by 0.9% against the NIS in 2014. This depreciation was further compounded by inflation in Israel of 1.8% in 2013 and deflation in Israel of 0.2% in 2014. If the dollar cost of our operations increases, our dollar-measured results of operations will be adversely affected. See “Management’s Discussion and Analysis of Financial Condition and Results of Operations —Quantitative and Qualitative Disclosure About Market Risk—Foreign Currency Risk.”</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Our business could suffer if we are unable to attract and retain key employees.</w:t>
      </w:r>
    </w:p>
    <w:p>
      <w:pPr>
        <w:spacing w:after="0" w:line="167" w:lineRule="exact"/>
        <w:rPr>
          <w:sz w:val="20"/>
          <w:szCs w:val="20"/>
          <w:color w:val="auto"/>
        </w:rPr>
      </w:pPr>
    </w:p>
    <w:p>
      <w:pPr>
        <w:ind w:left="580" w:right="639" w:firstLine="194"/>
        <w:spacing w:after="0" w:line="300" w:lineRule="auto"/>
        <w:rPr>
          <w:sz w:val="20"/>
          <w:szCs w:val="20"/>
          <w:color w:val="auto"/>
        </w:rPr>
      </w:pPr>
      <w:r>
        <w:rPr>
          <w:rFonts w:ascii="Arial" w:cs="Arial" w:eastAsia="Arial" w:hAnsi="Arial"/>
          <w:sz w:val="14"/>
          <w:szCs w:val="14"/>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57" w:lineRule="exact"/>
        <w:rPr>
          <w:sz w:val="20"/>
          <w:szCs w:val="20"/>
          <w:color w:val="auto"/>
        </w:rPr>
      </w:pPr>
    </w:p>
    <w:p>
      <w:pPr>
        <w:ind w:left="580" w:right="599" w:firstLine="194"/>
        <w:spacing w:after="0" w:line="274" w:lineRule="auto"/>
        <w:rPr>
          <w:sz w:val="20"/>
          <w:szCs w:val="20"/>
          <w:color w:val="auto"/>
        </w:rPr>
      </w:pPr>
      <w:r>
        <w:rPr>
          <w:rFonts w:ascii="Arial" w:cs="Arial" w:eastAsia="Arial" w:hAnsi="Arial"/>
          <w:sz w:val="15"/>
          <w:szCs w:val="15"/>
          <w:color w:val="auto"/>
        </w:rPr>
        <w:t>Our growth and success also depend on our ability to attract and retain additional highly qualified scientific, technical, sales, managerial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develop and commercialize our solutions or new applications for our existing systems. Further, any failure to effectively integrate new personnel could prevent us from successfully growing our company.</w:t>
      </w:r>
    </w:p>
    <w:p>
      <w:pPr>
        <w:spacing w:after="0" w:line="138" w:lineRule="exact"/>
        <w:rPr>
          <w:sz w:val="20"/>
          <w:szCs w:val="20"/>
          <w:color w:val="auto"/>
        </w:rPr>
      </w:pPr>
    </w:p>
    <w:p>
      <w:pPr>
        <w:ind w:left="580" w:right="899"/>
        <w:spacing w:after="0" w:line="355" w:lineRule="auto"/>
        <w:rPr>
          <w:sz w:val="20"/>
          <w:szCs w:val="20"/>
          <w:color w:val="auto"/>
        </w:rPr>
      </w:pPr>
      <w:r>
        <w:rPr>
          <w:rFonts w:ascii="Arial" w:cs="Arial" w:eastAsia="Arial" w:hAnsi="Arial"/>
          <w:sz w:val="14"/>
          <w:szCs w:val="14"/>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69" w:lineRule="exact"/>
        <w:rPr>
          <w:sz w:val="20"/>
          <w:szCs w:val="20"/>
          <w:color w:val="auto"/>
        </w:rPr>
      </w:pPr>
    </w:p>
    <w:p>
      <w:pPr>
        <w:ind w:left="580" w:right="579" w:firstLine="194"/>
        <w:spacing w:after="0" w:line="276" w:lineRule="auto"/>
        <w:rPr>
          <w:sz w:val="20"/>
          <w:szCs w:val="20"/>
          <w:color w:val="auto"/>
        </w:rPr>
      </w:pPr>
      <w:r>
        <w:rPr>
          <w:rFonts w:ascii="Arial" w:cs="Arial" w:eastAsia="Arial" w:hAnsi="Arial"/>
          <w:sz w:val="15"/>
          <w:szCs w:val="15"/>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09" w:lineRule="exact"/>
        <w:rPr>
          <w:sz w:val="20"/>
          <w:szCs w:val="20"/>
          <w:color w:val="auto"/>
        </w:rPr>
      </w:pPr>
    </w:p>
    <w:p>
      <w:pPr>
        <w:ind w:left="580" w:right="659"/>
        <w:spacing w:after="0" w:line="292" w:lineRule="auto"/>
        <w:rPr>
          <w:sz w:val="20"/>
          <w:szCs w:val="20"/>
          <w:color w:val="auto"/>
        </w:rPr>
      </w:pPr>
      <w:r>
        <w:rPr>
          <w:rFonts w:ascii="Arial" w:cs="Arial" w:eastAsia="Arial" w:hAnsi="Arial"/>
          <w:sz w:val="15"/>
          <w:szCs w:val="15"/>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09" w:lineRule="exact"/>
        <w:rPr>
          <w:sz w:val="20"/>
          <w:szCs w:val="20"/>
          <w:color w:val="auto"/>
        </w:rPr>
      </w:pPr>
    </w:p>
    <w:p>
      <w:pPr>
        <w:ind w:left="580" w:right="619" w:firstLine="194"/>
        <w:spacing w:after="0" w:line="276" w:lineRule="auto"/>
        <w:rPr>
          <w:sz w:val="20"/>
          <w:szCs w:val="20"/>
          <w:color w:val="auto"/>
        </w:rPr>
      </w:pPr>
      <w:r>
        <w:rPr>
          <w:rFonts w:ascii="Arial" w:cs="Arial" w:eastAsia="Arial" w:hAnsi="Arial"/>
          <w:sz w:val="15"/>
          <w:szCs w:val="15"/>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the net proceeds from this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85" w:lineRule="exact"/>
        <w:rPr>
          <w:sz w:val="20"/>
          <w:szCs w:val="20"/>
          <w:color w:val="auto"/>
        </w:rPr>
      </w:pPr>
    </w:p>
    <w:p>
      <w:pPr>
        <w:ind w:left="580" w:right="579" w:firstLine="194"/>
        <w:spacing w:after="0" w:line="256" w:lineRule="auto"/>
        <w:rPr>
          <w:sz w:val="20"/>
          <w:szCs w:val="20"/>
          <w:color w:val="auto"/>
        </w:rPr>
      </w:pPr>
      <w:r>
        <w:rPr>
          <w:rFonts w:ascii="Arial" w:cs="Arial" w:eastAsia="Arial" w:hAnsi="Arial"/>
          <w:sz w:val="16"/>
          <w:szCs w:val="16"/>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8" w:name="page19"/>
    <w:bookmarkEnd w:id="18"/>
    <w:p>
      <w:pPr>
        <w:ind w:left="580" w:right="579" w:firstLine="194"/>
        <w:spacing w:after="0" w:line="274" w:lineRule="auto"/>
        <w:rPr>
          <w:sz w:val="20"/>
          <w:szCs w:val="20"/>
          <w:color w:val="auto"/>
        </w:rPr>
      </w:pPr>
      <w:r>
        <w:rPr>
          <w:rFonts w:ascii="Arial" w:cs="Arial" w:eastAsia="Arial" w:hAnsi="Arial"/>
          <w:sz w:val="15"/>
          <w:szCs w:val="15"/>
          <w:color w:val="auto"/>
        </w:rPr>
        <w:t>Further, while we have two lines of credit from Israeli banks in a total amount of up to $3.0 million, all of which is undrawn as of December 31, 2014, the lines of credit contain change of control provisions that, absent a waiver or amendment, could cause us to be in default or require us to repay any amounts borrowed under certain circumstances. Specifically, we would be in default under one of our lines of credit if our controlling shareholder, Fortissimo Capital, ceases to control us. However, because the agreement provides an exception for changes of control that occur as a result of a listing on a stock exchange, such as the NASDAQ, we do not expect to be in default under this line of credit for this reason following the closing of this offering. Any borrowings under our second line of credit would become repayable if Fortissimo Capital ceases to hold 25.0% of our issued and outstanding shares and no longer has the right to appoint 25% of our directors. While Fortissimo will no longer have the right to appoint any directors following the closing of this offering, we do not anticipate that Fortissimo will cease to hold 25.0% of our issued and outstanding shares, although they may hold less than 25.0% in the future.</w:t>
      </w:r>
    </w:p>
    <w:p>
      <w:pPr>
        <w:spacing w:after="0" w:line="159" w:lineRule="exact"/>
        <w:rPr>
          <w:sz w:val="20"/>
          <w:szCs w:val="20"/>
          <w:color w:val="auto"/>
        </w:rPr>
      </w:pPr>
    </w:p>
    <w:p>
      <w:pPr>
        <w:ind w:left="580" w:right="619" w:firstLine="194"/>
        <w:spacing w:after="0" w:line="262" w:lineRule="auto"/>
        <w:rPr>
          <w:sz w:val="20"/>
          <w:szCs w:val="20"/>
          <w:color w:val="auto"/>
        </w:rPr>
      </w:pPr>
      <w:r>
        <w:rPr>
          <w:rFonts w:ascii="Arial" w:cs="Arial" w:eastAsia="Arial" w:hAnsi="Arial"/>
          <w:sz w:val="16"/>
          <w:szCs w:val="16"/>
          <w:color w:val="auto"/>
        </w:rPr>
        <w:t>If we are unable to raise additional capital when required and on acceptable terms, we may be required to delay, scale back or discontinue the development, manufacturing scale-up or commercialization of our current and future solutions, which would have a material adverse effect on our business, operating results and prospects and on our ability to develop our solutions.</w:t>
      </w:r>
    </w:p>
    <w:p>
      <w:pPr>
        <w:spacing w:after="0" w:line="166" w:lineRule="exact"/>
        <w:rPr>
          <w:sz w:val="20"/>
          <w:szCs w:val="20"/>
          <w:color w:val="auto"/>
        </w:rPr>
      </w:pPr>
    </w:p>
    <w:p>
      <w:pPr>
        <w:ind w:left="580" w:right="659"/>
        <w:spacing w:after="0" w:line="281" w:lineRule="auto"/>
        <w:rPr>
          <w:sz w:val="20"/>
          <w:szCs w:val="20"/>
          <w:color w:val="auto"/>
        </w:rPr>
      </w:pPr>
      <w:r>
        <w:rPr>
          <w:rFonts w:ascii="Arial" w:cs="Arial" w:eastAsia="Arial" w:hAnsi="Arial"/>
          <w:sz w:val="16"/>
          <w:szCs w:val="16"/>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51" w:lineRule="exact"/>
        <w:rPr>
          <w:sz w:val="20"/>
          <w:szCs w:val="20"/>
          <w:color w:val="auto"/>
        </w:rPr>
      </w:pPr>
    </w:p>
    <w:p>
      <w:pPr>
        <w:ind w:left="580" w:right="639" w:firstLine="194"/>
        <w:spacing w:after="0" w:line="300" w:lineRule="auto"/>
        <w:rPr>
          <w:sz w:val="20"/>
          <w:szCs w:val="20"/>
          <w:color w:val="auto"/>
        </w:rPr>
      </w:pPr>
      <w:r>
        <w:rPr>
          <w:rFonts w:ascii="Arial" w:cs="Arial" w:eastAsia="Arial" w:hAnsi="Arial"/>
          <w:sz w:val="14"/>
          <w:szCs w:val="14"/>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16" w:lineRule="exact"/>
        <w:rPr>
          <w:sz w:val="20"/>
          <w:szCs w:val="20"/>
          <w:color w:val="auto"/>
        </w:rPr>
      </w:pPr>
    </w:p>
    <w:p>
      <w:pPr>
        <w:ind w:left="940" w:hanging="16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5"/>
          <w:szCs w:val="15"/>
          <w:color w:val="auto"/>
        </w:rPr>
        <w:t>greater difficulty in enforcing contracts and accounts receivable collection, as well as longer collection periods;</w:t>
      </w:r>
    </w:p>
    <w:p>
      <w:pPr>
        <w:spacing w:after="0" w:line="169" w:lineRule="exact"/>
        <w:rPr>
          <w:rFonts w:ascii="Arial" w:cs="Arial" w:eastAsia="Arial" w:hAnsi="Arial"/>
          <w:sz w:val="18"/>
          <w:szCs w:val="18"/>
          <w:color w:val="auto"/>
        </w:rPr>
      </w:pPr>
    </w:p>
    <w:p>
      <w:pPr>
        <w:ind w:left="960" w:right="1059" w:hanging="189"/>
        <w:spacing w:after="0" w:line="238" w:lineRule="auto"/>
        <w:tabs>
          <w:tab w:leader="none" w:pos="943" w:val="left"/>
        </w:tabs>
        <w:numPr>
          <w:ilvl w:val="0"/>
          <w:numId w:val="16"/>
        </w:numPr>
        <w:rPr>
          <w:rFonts w:ascii="Arial" w:cs="Arial" w:eastAsia="Arial" w:hAnsi="Arial"/>
          <w:sz w:val="19"/>
          <w:szCs w:val="19"/>
          <w:color w:val="auto"/>
        </w:rPr>
      </w:pPr>
      <w:r>
        <w:rPr>
          <w:rFonts w:ascii="Arial" w:cs="Arial" w:eastAsia="Arial" w:hAnsi="Arial"/>
          <w:sz w:val="16"/>
          <w:szCs w:val="16"/>
          <w:color w:val="auto"/>
        </w:rPr>
        <w:t>increased expenses incurred in establishing and maintaining office space and equipment for our international operations;</w:t>
      </w:r>
    </w:p>
    <w:p>
      <w:pPr>
        <w:spacing w:after="0" w:line="156" w:lineRule="exact"/>
        <w:rPr>
          <w:rFonts w:ascii="Arial" w:cs="Arial" w:eastAsia="Arial" w:hAnsi="Arial"/>
          <w:sz w:val="19"/>
          <w:szCs w:val="19"/>
          <w:color w:val="auto"/>
        </w:rPr>
      </w:pPr>
    </w:p>
    <w:p>
      <w:pPr>
        <w:ind w:left="940" w:hanging="16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5"/>
          <w:szCs w:val="15"/>
          <w:color w:val="auto"/>
        </w:rPr>
        <w:t>fluctuations in exchange rates between the U.S. dollar and foreign currencies in markets where we do business;</w:t>
      </w:r>
    </w:p>
    <w:p>
      <w:pPr>
        <w:spacing w:after="0" w:line="157" w:lineRule="exact"/>
        <w:rPr>
          <w:rFonts w:ascii="Arial" w:cs="Arial" w:eastAsia="Arial" w:hAnsi="Arial"/>
          <w:sz w:val="18"/>
          <w:szCs w:val="18"/>
          <w:color w:val="auto"/>
        </w:rPr>
      </w:pPr>
    </w:p>
    <w:p>
      <w:pPr>
        <w:ind w:left="960" w:right="1139" w:hanging="189"/>
        <w:spacing w:after="0" w:line="238" w:lineRule="auto"/>
        <w:tabs>
          <w:tab w:leader="none" w:pos="943" w:val="left"/>
        </w:tabs>
        <w:numPr>
          <w:ilvl w:val="0"/>
          <w:numId w:val="16"/>
        </w:numPr>
        <w:rPr>
          <w:rFonts w:ascii="Arial" w:cs="Arial" w:eastAsia="Arial" w:hAnsi="Arial"/>
          <w:sz w:val="19"/>
          <w:szCs w:val="19"/>
          <w:color w:val="auto"/>
        </w:rPr>
      </w:pPr>
      <w:r>
        <w:rPr>
          <w:rFonts w:ascii="Arial" w:cs="Arial" w:eastAsia="Arial" w:hAnsi="Arial"/>
          <w:sz w:val="16"/>
          <w:szCs w:val="16"/>
          <w:color w:val="auto"/>
        </w:rPr>
        <w:t>greater difficulty in recruiting local experienced personnel, and the costs and expenses associated with such activities;</w:t>
      </w:r>
    </w:p>
    <w:p>
      <w:pPr>
        <w:spacing w:after="0" w:line="157" w:lineRule="exact"/>
        <w:rPr>
          <w:rFonts w:ascii="Arial" w:cs="Arial" w:eastAsia="Arial" w:hAnsi="Arial"/>
          <w:sz w:val="19"/>
          <w:szCs w:val="19"/>
          <w:color w:val="auto"/>
        </w:rPr>
      </w:pPr>
    </w:p>
    <w:p>
      <w:pPr>
        <w:ind w:left="940" w:hanging="169"/>
        <w:spacing w:after="0"/>
        <w:tabs>
          <w:tab w:leader="none" w:pos="940" w:val="left"/>
        </w:tabs>
        <w:numPr>
          <w:ilvl w:val="0"/>
          <w:numId w:val="16"/>
        </w:numPr>
        <w:rPr>
          <w:rFonts w:ascii="Arial" w:cs="Arial" w:eastAsia="Arial" w:hAnsi="Arial"/>
          <w:sz w:val="19"/>
          <w:szCs w:val="19"/>
          <w:color w:val="auto"/>
        </w:rPr>
      </w:pPr>
      <w:r>
        <w:rPr>
          <w:rFonts w:ascii="Arial" w:cs="Arial" w:eastAsia="Arial" w:hAnsi="Arial"/>
          <w:sz w:val="16"/>
          <w:szCs w:val="16"/>
          <w:color w:val="auto"/>
        </w:rPr>
        <w:t>general economic and political conditions in these foreign markets;</w:t>
      </w:r>
    </w:p>
    <w:p>
      <w:pPr>
        <w:spacing w:after="0" w:line="157" w:lineRule="exact"/>
        <w:rPr>
          <w:rFonts w:ascii="Arial" w:cs="Arial" w:eastAsia="Arial" w:hAnsi="Arial"/>
          <w:sz w:val="19"/>
          <w:szCs w:val="19"/>
          <w:color w:val="auto"/>
        </w:rPr>
      </w:pPr>
    </w:p>
    <w:p>
      <w:pPr>
        <w:ind w:left="960" w:right="879" w:hanging="189"/>
        <w:spacing w:after="0" w:line="238" w:lineRule="auto"/>
        <w:tabs>
          <w:tab w:leader="none" w:pos="943" w:val="left"/>
        </w:tabs>
        <w:numPr>
          <w:ilvl w:val="0"/>
          <w:numId w:val="16"/>
        </w:numPr>
        <w:rPr>
          <w:rFonts w:ascii="Arial" w:cs="Arial" w:eastAsia="Arial" w:hAnsi="Arial"/>
          <w:sz w:val="19"/>
          <w:szCs w:val="19"/>
          <w:color w:val="auto"/>
        </w:rPr>
      </w:pPr>
      <w:r>
        <w:rPr>
          <w:rFonts w:ascii="Arial" w:cs="Arial" w:eastAsia="Arial" w:hAnsi="Arial"/>
          <w:sz w:val="16"/>
          <w:szCs w:val="16"/>
          <w:color w:val="auto"/>
        </w:rPr>
        <w:t>economic uncertainty around the world, including continued economic uncertainty as a result of sovereign debt issues in Europe and Latin America;</w:t>
      </w:r>
    </w:p>
    <w:p>
      <w:pPr>
        <w:spacing w:after="0" w:line="145" w:lineRule="exact"/>
        <w:rPr>
          <w:rFonts w:ascii="Arial" w:cs="Arial" w:eastAsia="Arial" w:hAnsi="Arial"/>
          <w:sz w:val="19"/>
          <w:szCs w:val="19"/>
          <w:color w:val="auto"/>
        </w:rPr>
      </w:pPr>
    </w:p>
    <w:p>
      <w:pPr>
        <w:ind w:left="940" w:hanging="169"/>
        <w:spacing w:after="0"/>
        <w:tabs>
          <w:tab w:leader="none" w:pos="940" w:val="left"/>
        </w:tabs>
        <w:numPr>
          <w:ilvl w:val="0"/>
          <w:numId w:val="16"/>
        </w:numPr>
        <w:rPr>
          <w:rFonts w:ascii="Arial" w:cs="Arial" w:eastAsia="Arial" w:hAnsi="Arial"/>
          <w:sz w:val="19"/>
          <w:szCs w:val="19"/>
          <w:color w:val="auto"/>
        </w:rPr>
      </w:pPr>
      <w:r>
        <w:rPr>
          <w:rFonts w:ascii="Arial" w:cs="Arial" w:eastAsia="Arial" w:hAnsi="Arial"/>
          <w:sz w:val="16"/>
          <w:szCs w:val="16"/>
          <w:color w:val="auto"/>
        </w:rPr>
        <w:t>management communication and integration problems resulting from cultural and geographic dispersion;</w:t>
      </w:r>
    </w:p>
    <w:p>
      <w:pPr>
        <w:spacing w:after="0" w:line="169" w:lineRule="exact"/>
        <w:rPr>
          <w:rFonts w:ascii="Arial" w:cs="Arial" w:eastAsia="Arial" w:hAnsi="Arial"/>
          <w:sz w:val="19"/>
          <w:szCs w:val="19"/>
          <w:color w:val="auto"/>
        </w:rPr>
      </w:pPr>
    </w:p>
    <w:p>
      <w:pPr>
        <w:ind w:left="960" w:right="699" w:hanging="189"/>
        <w:spacing w:after="0" w:line="244" w:lineRule="auto"/>
        <w:tabs>
          <w:tab w:leader="none" w:pos="943" w:val="left"/>
        </w:tabs>
        <w:numPr>
          <w:ilvl w:val="0"/>
          <w:numId w:val="16"/>
        </w:numPr>
        <w:rPr>
          <w:rFonts w:ascii="Arial" w:cs="Arial" w:eastAsia="Arial" w:hAnsi="Arial"/>
          <w:sz w:val="19"/>
          <w:szCs w:val="19"/>
          <w:color w:val="auto"/>
        </w:rPr>
      </w:pPr>
      <w:r>
        <w:rPr>
          <w:rFonts w:ascii="Arial" w:cs="Arial" w:eastAsia="Arial" w:hAnsi="Arial"/>
          <w:sz w:val="16"/>
          <w:szCs w:val="16"/>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42" w:lineRule="exact"/>
        <w:rPr>
          <w:rFonts w:ascii="Arial" w:cs="Arial" w:eastAsia="Arial" w:hAnsi="Arial"/>
          <w:sz w:val="19"/>
          <w:szCs w:val="19"/>
          <w:color w:val="auto"/>
        </w:rPr>
      </w:pPr>
    </w:p>
    <w:p>
      <w:pPr>
        <w:ind w:left="940" w:hanging="169"/>
        <w:spacing w:after="0"/>
        <w:tabs>
          <w:tab w:leader="none" w:pos="940" w:val="left"/>
        </w:tabs>
        <w:numPr>
          <w:ilvl w:val="0"/>
          <w:numId w:val="16"/>
        </w:numPr>
        <w:rPr>
          <w:rFonts w:ascii="Arial" w:cs="Arial" w:eastAsia="Arial" w:hAnsi="Arial"/>
          <w:sz w:val="19"/>
          <w:szCs w:val="19"/>
          <w:color w:val="auto"/>
        </w:rPr>
      </w:pPr>
      <w:r>
        <w:rPr>
          <w:rFonts w:ascii="Arial" w:cs="Arial" w:eastAsia="Arial" w:hAnsi="Arial"/>
          <w:sz w:val="16"/>
          <w:szCs w:val="16"/>
          <w:color w:val="auto"/>
        </w:rPr>
        <w:t>greater risk of unexpected changes in regulatory practices, tariffs, and tax laws and treaties;</w:t>
      </w:r>
    </w:p>
    <w:p>
      <w:pPr>
        <w:spacing w:after="0" w:line="144" w:lineRule="exact"/>
        <w:rPr>
          <w:rFonts w:ascii="Arial" w:cs="Arial" w:eastAsia="Arial" w:hAnsi="Arial"/>
          <w:sz w:val="19"/>
          <w:szCs w:val="19"/>
          <w:color w:val="auto"/>
        </w:rPr>
      </w:pPr>
    </w:p>
    <w:p>
      <w:pPr>
        <w:ind w:left="940" w:hanging="169"/>
        <w:spacing w:after="0"/>
        <w:tabs>
          <w:tab w:leader="none" w:pos="940" w:val="left"/>
        </w:tabs>
        <w:numPr>
          <w:ilvl w:val="0"/>
          <w:numId w:val="16"/>
        </w:numPr>
        <w:rPr>
          <w:rFonts w:ascii="Arial" w:cs="Arial" w:eastAsia="Arial" w:hAnsi="Arial"/>
          <w:sz w:val="19"/>
          <w:szCs w:val="19"/>
          <w:color w:val="auto"/>
        </w:rPr>
      </w:pPr>
      <w:r>
        <w:rPr>
          <w:rFonts w:ascii="Arial" w:cs="Arial" w:eastAsia="Arial" w:hAnsi="Arial"/>
          <w:sz w:val="16"/>
          <w:szCs w:val="16"/>
          <w:color w:val="auto"/>
        </w:rPr>
        <w:t>the uncertainty of protection for intellectual property rights in some countries;</w:t>
      </w:r>
    </w:p>
    <w:p>
      <w:pPr>
        <w:spacing w:after="0" w:line="169" w:lineRule="exact"/>
        <w:rPr>
          <w:rFonts w:ascii="Arial" w:cs="Arial" w:eastAsia="Arial" w:hAnsi="Arial"/>
          <w:sz w:val="19"/>
          <w:szCs w:val="19"/>
          <w:color w:val="auto"/>
        </w:rPr>
      </w:pPr>
    </w:p>
    <w:p>
      <w:pPr>
        <w:ind w:left="960" w:right="599" w:hanging="189"/>
        <w:spacing w:after="0" w:line="268" w:lineRule="auto"/>
        <w:tabs>
          <w:tab w:leader="none" w:pos="943" w:val="left"/>
        </w:tabs>
        <w:numPr>
          <w:ilvl w:val="0"/>
          <w:numId w:val="16"/>
        </w:numPr>
        <w:rPr>
          <w:rFonts w:ascii="Arial" w:cs="Arial" w:eastAsia="Arial" w:hAnsi="Arial"/>
          <w:sz w:val="18"/>
          <w:szCs w:val="18"/>
          <w:color w:val="auto"/>
        </w:rPr>
      </w:pPr>
      <w:r>
        <w:rPr>
          <w:rFonts w:ascii="Arial" w:cs="Arial" w:eastAsia="Arial" w:hAnsi="Arial"/>
          <w:sz w:val="15"/>
          <w:szCs w:val="15"/>
          <w:color w:val="auto"/>
        </w:rPr>
        <w:t>greater risk of a failure of employees to comply with both U.S. and foreign laws, including antitrust regulations, the U.S. Foreign Corrupt Practices Act (FCPA), and any trade regulations ensuring fair trade practices; and</w:t>
      </w:r>
    </w:p>
    <w:p>
      <w:pPr>
        <w:spacing w:after="0" w:line="133" w:lineRule="exact"/>
        <w:rPr>
          <w:rFonts w:ascii="Arial" w:cs="Arial" w:eastAsia="Arial" w:hAnsi="Arial"/>
          <w:sz w:val="18"/>
          <w:szCs w:val="18"/>
          <w:color w:val="auto"/>
        </w:rPr>
      </w:pPr>
    </w:p>
    <w:p>
      <w:pPr>
        <w:ind w:left="960" w:right="1119" w:hanging="189"/>
        <w:spacing w:after="0" w:line="244" w:lineRule="auto"/>
        <w:tabs>
          <w:tab w:leader="none" w:pos="943" w:val="left"/>
        </w:tabs>
        <w:numPr>
          <w:ilvl w:val="0"/>
          <w:numId w:val="16"/>
        </w:numPr>
        <w:rPr>
          <w:rFonts w:ascii="Arial" w:cs="Arial" w:eastAsia="Arial" w:hAnsi="Arial"/>
          <w:sz w:val="19"/>
          <w:szCs w:val="19"/>
          <w:color w:val="auto"/>
        </w:rPr>
      </w:pPr>
      <w:r>
        <w:rPr>
          <w:rFonts w:ascii="Arial" w:cs="Arial" w:eastAsia="Arial" w:hAnsi="Arial"/>
          <w:sz w:val="16"/>
          <w:szCs w:val="16"/>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79" w:lineRule="exact"/>
        <w:rPr>
          <w:sz w:val="20"/>
          <w:szCs w:val="20"/>
          <w:color w:val="auto"/>
        </w:rPr>
      </w:pPr>
    </w:p>
    <w:p>
      <w:pPr>
        <w:ind w:left="580" w:right="699" w:firstLine="194"/>
        <w:spacing w:after="0" w:line="267" w:lineRule="auto"/>
        <w:rPr>
          <w:sz w:val="20"/>
          <w:szCs w:val="20"/>
          <w:color w:val="auto"/>
        </w:rPr>
      </w:pPr>
      <w:r>
        <w:rPr>
          <w:rFonts w:ascii="Arial" w:cs="Arial" w:eastAsia="Arial" w:hAnsi="Arial"/>
          <w:sz w:val="16"/>
          <w:szCs w:val="16"/>
          <w:color w:val="auto"/>
        </w:rPr>
        <w:t>Any of these risks could adversely affect our international operations, reduce our revenues from outside the United States or increase our operating costs, adversely affecting our business, results of operations and financial condition and growth</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9" w:name="page20"/>
    <w:bookmarkEnd w:id="19"/>
    <w:p>
      <w:pPr>
        <w:ind w:left="580" w:right="639"/>
        <w:spacing w:after="0" w:line="259" w:lineRule="auto"/>
        <w:rPr>
          <w:sz w:val="20"/>
          <w:szCs w:val="20"/>
          <w:color w:val="auto"/>
        </w:rPr>
      </w:pPr>
      <w:r>
        <w:rPr>
          <w:rFonts w:ascii="Arial" w:cs="Arial" w:eastAsia="Arial" w:hAnsi="Arial"/>
          <w:sz w:val="16"/>
          <w:szCs w:val="16"/>
          <w:color w:val="auto"/>
        </w:rPr>
        <w:t>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70" w:lineRule="exact"/>
        <w:rPr>
          <w:sz w:val="20"/>
          <w:szCs w:val="20"/>
          <w:color w:val="auto"/>
        </w:rPr>
      </w:pPr>
    </w:p>
    <w:p>
      <w:pPr>
        <w:ind w:left="580" w:right="659"/>
        <w:spacing w:after="0" w:line="281" w:lineRule="auto"/>
        <w:rPr>
          <w:sz w:val="20"/>
          <w:szCs w:val="20"/>
          <w:color w:val="auto"/>
        </w:rPr>
      </w:pPr>
      <w:r>
        <w:rPr>
          <w:rFonts w:ascii="Arial" w:cs="Arial" w:eastAsia="Arial" w:hAnsi="Arial"/>
          <w:sz w:val="16"/>
          <w:szCs w:val="16"/>
          <w:b w:val="1"/>
          <w:bCs w:val="1"/>
          <w:i w:val="1"/>
          <w:iCs w:val="1"/>
          <w:color w:val="auto"/>
        </w:rPr>
        <w:t>If we are unable to obtain patent protection for our solutions or otherwise protect our intellectual property rights, our business could suffer.</w:t>
      </w:r>
    </w:p>
    <w:p>
      <w:pPr>
        <w:spacing w:after="0" w:line="151" w:lineRule="exact"/>
        <w:rPr>
          <w:sz w:val="20"/>
          <w:szCs w:val="20"/>
          <w:color w:val="auto"/>
        </w:rPr>
      </w:pPr>
    </w:p>
    <w:p>
      <w:pPr>
        <w:ind w:left="580" w:right="659" w:firstLine="194"/>
        <w:spacing w:after="0" w:line="262" w:lineRule="auto"/>
        <w:rPr>
          <w:sz w:val="20"/>
          <w:szCs w:val="20"/>
          <w:color w:val="auto"/>
        </w:rPr>
      </w:pPr>
      <w:r>
        <w:rPr>
          <w:rFonts w:ascii="Arial" w:cs="Arial" w:eastAsia="Arial" w:hAnsi="Arial"/>
          <w:sz w:val="16"/>
          <w:szCs w:val="16"/>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66" w:lineRule="exact"/>
        <w:rPr>
          <w:sz w:val="20"/>
          <w:szCs w:val="20"/>
          <w:color w:val="auto"/>
        </w:rPr>
      </w:pPr>
    </w:p>
    <w:p>
      <w:pPr>
        <w:ind w:left="580" w:right="579" w:firstLine="194"/>
        <w:spacing w:after="0" w:line="289" w:lineRule="auto"/>
        <w:rPr>
          <w:sz w:val="20"/>
          <w:szCs w:val="20"/>
          <w:color w:val="auto"/>
        </w:rPr>
      </w:pPr>
      <w:r>
        <w:rPr>
          <w:rFonts w:ascii="Arial" w:cs="Arial" w:eastAsia="Arial" w:hAnsi="Arial"/>
          <w:sz w:val="14"/>
          <w:szCs w:val="14"/>
          <w:color w:val="auto"/>
        </w:rPr>
        <w:t>As of December 31,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w:t>
      </w:r>
    </w:p>
    <w:p>
      <w:pPr>
        <w:spacing w:after="0" w:line="11" w:lineRule="exact"/>
        <w:rPr>
          <w:sz w:val="20"/>
          <w:szCs w:val="20"/>
          <w:color w:val="auto"/>
        </w:rPr>
      </w:pPr>
    </w:p>
    <w:p>
      <w:pPr>
        <w:jc w:val="both"/>
        <w:ind w:left="580" w:right="819"/>
        <w:spacing w:after="0" w:line="259" w:lineRule="auto"/>
        <w:rPr>
          <w:sz w:val="20"/>
          <w:szCs w:val="20"/>
          <w:color w:val="auto"/>
        </w:rPr>
      </w:pPr>
      <w:r>
        <w:rPr>
          <w:rFonts w:ascii="Arial" w:cs="Arial" w:eastAsia="Arial" w:hAnsi="Arial"/>
          <w:sz w:val="16"/>
          <w:szCs w:val="16"/>
          <w:color w:val="auto"/>
        </w:rPr>
        <w:t>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67" w:lineRule="exact"/>
        <w:rPr>
          <w:sz w:val="20"/>
          <w:szCs w:val="20"/>
          <w:color w:val="auto"/>
        </w:rPr>
      </w:pPr>
    </w:p>
    <w:p>
      <w:pPr>
        <w:ind w:left="580" w:right="579" w:firstLine="194"/>
        <w:spacing w:after="0" w:line="272" w:lineRule="auto"/>
        <w:rPr>
          <w:sz w:val="20"/>
          <w:szCs w:val="20"/>
          <w:color w:val="auto"/>
        </w:rPr>
      </w:pPr>
      <w:r>
        <w:rPr>
          <w:rFonts w:ascii="Arial" w:cs="Arial" w:eastAsia="Arial" w:hAnsi="Arial"/>
          <w:sz w:val="15"/>
          <w:szCs w:val="15"/>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If we are unable to protect our trademarks from infringement, our business prospects may be harmed.</w:t>
      </w:r>
    </w:p>
    <w:p>
      <w:pPr>
        <w:spacing w:after="0" w:line="204" w:lineRule="exact"/>
        <w:rPr>
          <w:sz w:val="20"/>
          <w:szCs w:val="20"/>
          <w:color w:val="auto"/>
        </w:rPr>
      </w:pPr>
    </w:p>
    <w:p>
      <w:pPr>
        <w:ind w:left="580" w:right="679" w:firstLine="194"/>
        <w:spacing w:after="0" w:line="267" w:lineRule="auto"/>
        <w:rPr>
          <w:sz w:val="20"/>
          <w:szCs w:val="20"/>
          <w:color w:val="auto"/>
        </w:rPr>
      </w:pPr>
      <w:r>
        <w:rPr>
          <w:rFonts w:ascii="Arial" w:cs="Arial" w:eastAsia="Arial" w:hAnsi="Arial"/>
          <w:sz w:val="16"/>
          <w:szCs w:val="16"/>
          <w:color w:val="auto"/>
        </w:rPr>
        <w:t>We own trademarks that identify “Kornit” and “NeoPigment” among others, and have registered these trademarks in certain key markets. Although we take steps to monitor the possible infringement or misuse of our trademarks, third parties may violate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0" w:name="page21"/>
    <w:bookmarkEnd w:id="20"/>
    <w:p>
      <w:pPr>
        <w:jc w:val="both"/>
        <w:ind w:left="580" w:right="1119"/>
        <w:spacing w:after="0" w:line="267" w:lineRule="auto"/>
        <w:rPr>
          <w:sz w:val="20"/>
          <w:szCs w:val="20"/>
          <w:color w:val="auto"/>
        </w:rPr>
      </w:pPr>
      <w:r>
        <w:rPr>
          <w:rFonts w:ascii="Arial" w:cs="Arial" w:eastAsia="Arial" w:hAnsi="Arial"/>
          <w:sz w:val="16"/>
          <w:szCs w:val="16"/>
          <w:color w:val="auto"/>
        </w:rPr>
        <w:t>our trademark rights. Any unauthorized use of our trademarks could harm our reputation or commercial interests. In addition, efforts to enforce our trademarks may be expensive and time-consuming, and may not effectively prevent infringement.</w:t>
      </w:r>
    </w:p>
    <w:p>
      <w:pPr>
        <w:spacing w:after="0" w:line="161" w:lineRule="exact"/>
        <w:rPr>
          <w:sz w:val="20"/>
          <w:szCs w:val="20"/>
          <w:color w:val="auto"/>
        </w:rPr>
      </w:pPr>
    </w:p>
    <w:p>
      <w:pPr>
        <w:ind w:left="580" w:right="719"/>
        <w:spacing w:after="0" w:line="262" w:lineRule="auto"/>
        <w:rPr>
          <w:sz w:val="20"/>
          <w:szCs w:val="20"/>
          <w:color w:val="auto"/>
        </w:rPr>
      </w:pPr>
      <w:r>
        <w:rPr>
          <w:rFonts w:ascii="Arial" w:cs="Arial" w:eastAsia="Arial" w:hAnsi="Arial"/>
          <w:sz w:val="16"/>
          <w:szCs w:val="16"/>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66" w:lineRule="exact"/>
        <w:rPr>
          <w:sz w:val="20"/>
          <w:szCs w:val="20"/>
          <w:color w:val="auto"/>
        </w:rPr>
      </w:pPr>
    </w:p>
    <w:p>
      <w:pPr>
        <w:ind w:left="580" w:right="1119" w:firstLine="194"/>
        <w:spacing w:after="0" w:line="316" w:lineRule="auto"/>
        <w:rPr>
          <w:sz w:val="20"/>
          <w:szCs w:val="20"/>
          <w:color w:val="auto"/>
        </w:rPr>
      </w:pPr>
      <w:r>
        <w:rPr>
          <w:rFonts w:ascii="Arial" w:cs="Arial" w:eastAsia="Arial" w:hAnsi="Arial"/>
          <w:sz w:val="15"/>
          <w:szCs w:val="15"/>
          <w:color w:val="auto"/>
        </w:rPr>
        <w:t>There can be no assurance that third parties will not assert that our solutions, services and intellectual property infringe, misappropriate or otherwise violate their intellectual property or other proprietary rights.</w:t>
      </w:r>
    </w:p>
    <w:p>
      <w:pPr>
        <w:spacing w:after="0" w:line="127" w:lineRule="exact"/>
        <w:rPr>
          <w:sz w:val="20"/>
          <w:szCs w:val="20"/>
          <w:color w:val="auto"/>
        </w:rPr>
      </w:pPr>
    </w:p>
    <w:p>
      <w:pPr>
        <w:ind w:left="580" w:right="599" w:firstLine="194"/>
        <w:spacing w:after="0" w:line="274" w:lineRule="auto"/>
        <w:rPr>
          <w:sz w:val="20"/>
          <w:szCs w:val="20"/>
          <w:color w:val="auto"/>
        </w:rPr>
      </w:pPr>
      <w:r>
        <w:rPr>
          <w:rFonts w:ascii="Arial" w:cs="Arial" w:eastAsia="Arial" w:hAnsi="Arial"/>
          <w:sz w:val="15"/>
          <w:szCs w:val="15"/>
          <w:color w:val="auto"/>
        </w:rPr>
        <w:t>In February 2015, one of our U.S. distributors, Hirsch, provided us with a letter Hirsch received from Direct Imaging Systems, Inc. (“DIS”), claiming that Hirsch was infringing on a DIS patent (no. 6,095,628), which expires in August 2016, through its distribution of our Breeze printing system. Although we were not contacted by DIS in February 2015, and have not since been contacted by them, and are not named in the complaint, we may be joined to the claim at a future date. In addition, our agreement with Hirsch contains an undertaking by us to indemnify Hirsch against claims by third parties alleging that our products infringe third party intellectual property rights and may therefore be required to indemnify Hirsch for its expenses and any losses associated with this claim. As a condition to Hirsch seeking indemnification from us, we are entitled to assume sole control at our expense of the defense and any decision to settle the claim, and Hirsch would be required to provide us with reasonable cooperation at our expense. See “Business—Legal Proceedings—Direct Imaging Systems, Inc.”</w:t>
      </w:r>
    </w:p>
    <w:p>
      <w:pPr>
        <w:spacing w:after="0" w:line="163" w:lineRule="exact"/>
        <w:rPr>
          <w:sz w:val="20"/>
          <w:szCs w:val="20"/>
          <w:color w:val="auto"/>
        </w:rPr>
      </w:pPr>
    </w:p>
    <w:p>
      <w:pPr>
        <w:ind w:left="580" w:right="659" w:firstLine="194"/>
        <w:spacing w:after="0" w:line="256" w:lineRule="auto"/>
        <w:rPr>
          <w:sz w:val="20"/>
          <w:szCs w:val="20"/>
          <w:color w:val="auto"/>
        </w:rPr>
      </w:pPr>
      <w:r>
        <w:rPr>
          <w:rFonts w:ascii="Arial" w:cs="Arial" w:eastAsia="Arial" w:hAnsi="Arial"/>
          <w:sz w:val="16"/>
          <w:szCs w:val="16"/>
          <w:color w:val="auto"/>
        </w:rPr>
        <w:t>Intellectual property disputes, such as the third-party claim described above,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 party intellectual property rights and entitle us to assume the defense of any claim as part of the indemnification undertaking. Our assumption of the defense of such a claim may result in similar costs, disruption and diversion of management attention as a claim that is directly against us. We may not prevail in any such dispute or litigation, and an adverse decision in any legal action involving intellectual property rights could harm our intellectual property rights and the value of any related technology.</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Adverse outcomes in intellectual property disputes could:</w:t>
      </w:r>
    </w:p>
    <w:p>
      <w:pPr>
        <w:spacing w:after="0" w:line="216" w:lineRule="exact"/>
        <w:rPr>
          <w:sz w:val="20"/>
          <w:szCs w:val="20"/>
          <w:color w:val="auto"/>
        </w:rPr>
      </w:pPr>
    </w:p>
    <w:p>
      <w:pPr>
        <w:ind w:left="960" w:right="659" w:hanging="189"/>
        <w:spacing w:after="0" w:line="238" w:lineRule="auto"/>
        <w:tabs>
          <w:tab w:leader="none" w:pos="943" w:val="left"/>
        </w:tabs>
        <w:numPr>
          <w:ilvl w:val="0"/>
          <w:numId w:val="17"/>
        </w:numPr>
        <w:rPr>
          <w:rFonts w:ascii="Arial" w:cs="Arial" w:eastAsia="Arial" w:hAnsi="Arial"/>
          <w:sz w:val="19"/>
          <w:szCs w:val="19"/>
          <w:color w:val="auto"/>
        </w:rPr>
      </w:pPr>
      <w:r>
        <w:rPr>
          <w:rFonts w:ascii="Arial" w:cs="Arial" w:eastAsia="Arial" w:hAnsi="Arial"/>
          <w:sz w:val="16"/>
          <w:szCs w:val="16"/>
          <w:color w:val="auto"/>
        </w:rPr>
        <w:t>require us to redesign our technology or force us to enter into costly settlement or license agreements on terms that are unfavorable to us;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7"/>
        </w:numPr>
        <w:rPr>
          <w:rFonts w:ascii="Arial" w:cs="Arial" w:eastAsia="Arial" w:hAnsi="Arial"/>
          <w:sz w:val="19"/>
          <w:szCs w:val="19"/>
          <w:color w:val="auto"/>
        </w:rPr>
      </w:pPr>
      <w:r>
        <w:rPr>
          <w:rFonts w:ascii="Arial" w:cs="Arial" w:eastAsia="Arial" w:hAnsi="Arial"/>
          <w:sz w:val="16"/>
          <w:szCs w:val="16"/>
          <w:color w:val="auto"/>
        </w:rPr>
        <w:t>prevent us from manufacturing, importing, using, or selling some or all of our solutions;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7"/>
        </w:numPr>
        <w:rPr>
          <w:rFonts w:ascii="Arial" w:cs="Arial" w:eastAsia="Arial" w:hAnsi="Arial"/>
          <w:sz w:val="19"/>
          <w:szCs w:val="19"/>
          <w:color w:val="auto"/>
        </w:rPr>
      </w:pPr>
      <w:r>
        <w:rPr>
          <w:rFonts w:ascii="Arial" w:cs="Arial" w:eastAsia="Arial" w:hAnsi="Arial"/>
          <w:sz w:val="16"/>
          <w:szCs w:val="16"/>
          <w:color w:val="auto"/>
        </w:rPr>
        <w:t>disrupt our operations or the markets in which we compete;</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7"/>
        </w:numPr>
        <w:rPr>
          <w:rFonts w:ascii="Arial" w:cs="Arial" w:eastAsia="Arial" w:hAnsi="Arial"/>
          <w:sz w:val="19"/>
          <w:szCs w:val="19"/>
          <w:color w:val="auto"/>
        </w:rPr>
      </w:pPr>
      <w:r>
        <w:rPr>
          <w:rFonts w:ascii="Arial" w:cs="Arial" w:eastAsia="Arial" w:hAnsi="Arial"/>
          <w:sz w:val="16"/>
          <w:szCs w:val="16"/>
          <w:color w:val="auto"/>
        </w:rPr>
        <w:t>impose costly damage awards; and</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7"/>
        </w:numPr>
        <w:rPr>
          <w:rFonts w:ascii="Arial" w:cs="Arial" w:eastAsia="Arial" w:hAnsi="Arial"/>
          <w:sz w:val="19"/>
          <w:szCs w:val="19"/>
          <w:color w:val="auto"/>
        </w:rPr>
      </w:pPr>
      <w:r>
        <w:rPr>
          <w:rFonts w:ascii="Arial" w:cs="Arial" w:eastAsia="Arial" w:hAnsi="Arial"/>
          <w:sz w:val="16"/>
          <w:szCs w:val="16"/>
          <w:color w:val="auto"/>
        </w:rPr>
        <w:t>require us to indemnify our distributors and customers.</w:t>
      </w:r>
    </w:p>
    <w:p>
      <w:pPr>
        <w:spacing w:after="0" w:line="182" w:lineRule="exact"/>
        <w:rPr>
          <w:sz w:val="20"/>
          <w:szCs w:val="20"/>
          <w:color w:val="auto"/>
        </w:rPr>
      </w:pPr>
    </w:p>
    <w:p>
      <w:pPr>
        <w:ind w:left="580" w:right="579"/>
        <w:spacing w:after="0" w:line="281" w:lineRule="auto"/>
        <w:rPr>
          <w:sz w:val="20"/>
          <w:szCs w:val="20"/>
          <w:color w:val="auto"/>
        </w:rPr>
      </w:pPr>
      <w:r>
        <w:rPr>
          <w:rFonts w:ascii="Arial" w:cs="Arial" w:eastAsia="Arial" w:hAnsi="Arial"/>
          <w:sz w:val="16"/>
          <w:szCs w:val="16"/>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51" w:lineRule="exact"/>
        <w:rPr>
          <w:sz w:val="20"/>
          <w:szCs w:val="20"/>
          <w:color w:val="auto"/>
        </w:rPr>
      </w:pPr>
    </w:p>
    <w:p>
      <w:pPr>
        <w:ind w:left="580" w:right="559" w:firstLine="194"/>
        <w:spacing w:after="0" w:line="293" w:lineRule="auto"/>
        <w:rPr>
          <w:sz w:val="20"/>
          <w:szCs w:val="20"/>
          <w:color w:val="auto"/>
        </w:rPr>
      </w:pPr>
      <w:r>
        <w:rPr>
          <w:rFonts w:ascii="Arial" w:cs="Arial" w:eastAsia="Arial" w:hAnsi="Arial"/>
          <w:sz w:val="14"/>
          <w:szCs w:val="14"/>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decisions by the Committee (which have been upheld by the Israeli Supreme Court on appeal) have created uncertainty in this area, as it held that employees may be entitled to remuneration for their service inventions despite having specifically waived any such rights. However, a recent decision by the Committee held that such right can be waived by the employee. The Committee further held that an explicit reference to the waived right is not necessary in every circumstance in order for the employee’s waiver of such right to be valid. Such waiver can be formalized in writing or orally or be implied by the actions of the parties in accordance with the rules of interpretation of Israeli contract law.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Undetected defects in the design or manufacturing of our products may harm our business and results of operations.</w:t>
      </w:r>
    </w:p>
    <w:p>
      <w:pPr>
        <w:spacing w:after="0" w:line="227" w:lineRule="exact"/>
        <w:rPr>
          <w:sz w:val="20"/>
          <w:szCs w:val="20"/>
          <w:color w:val="auto"/>
        </w:rPr>
      </w:pPr>
    </w:p>
    <w:p>
      <w:pPr>
        <w:ind w:left="580" w:right="579" w:firstLine="194"/>
        <w:spacing w:after="0" w:line="267" w:lineRule="auto"/>
        <w:rPr>
          <w:sz w:val="20"/>
          <w:szCs w:val="20"/>
          <w:color w:val="auto"/>
        </w:rPr>
      </w:pPr>
      <w:r>
        <w:rPr>
          <w:rFonts w:ascii="Arial" w:cs="Arial" w:eastAsia="Arial" w:hAnsi="Arial"/>
          <w:sz w:val="16"/>
          <w:szCs w:val="16"/>
          <w:color w:val="auto"/>
        </w:rPr>
        <w:t>Our systems, ink and other consumables, and associated software may contain undetected errors or defects when first introduced or as new versions are released. We have experienced these errors or defects in the past during the introduction</w:t>
      </w:r>
    </w:p>
    <w:p>
      <w:pPr>
        <w:sectPr>
          <w:pgSz w:w="11900" w:h="16838" w:orient="portrait"/>
          <w:cols w:equalWidth="0" w:num="1">
            <w:col w:w="9019"/>
          </w:cols>
          <w:pgMar w:left="1440" w:top="127"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6985</wp:posOffset>
            </wp:positionV>
            <wp:extent cx="49993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1" w:name="page22"/>
    <w:bookmarkEnd w:id="21"/>
    <w:p>
      <w:pPr>
        <w:ind w:left="580" w:right="619"/>
        <w:spacing w:after="0" w:line="294" w:lineRule="auto"/>
        <w:rPr>
          <w:sz w:val="20"/>
          <w:szCs w:val="20"/>
          <w:color w:val="auto"/>
        </w:rPr>
      </w:pPr>
      <w:r>
        <w:rPr>
          <w:rFonts w:ascii="Arial" w:cs="Arial" w:eastAsia="Arial" w:hAnsi="Arial"/>
          <w:sz w:val="14"/>
          <w:szCs w:val="14"/>
          <w:color w:val="auto"/>
        </w:rPr>
        <w:t>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53" w:lineRule="exact"/>
        <w:rPr>
          <w:sz w:val="20"/>
          <w:szCs w:val="20"/>
          <w:color w:val="auto"/>
        </w:rPr>
      </w:pPr>
    </w:p>
    <w:p>
      <w:pPr>
        <w:ind w:left="580" w:right="659"/>
        <w:spacing w:after="0" w:line="281" w:lineRule="auto"/>
        <w:rPr>
          <w:sz w:val="20"/>
          <w:szCs w:val="20"/>
          <w:color w:val="auto"/>
        </w:rPr>
      </w:pPr>
      <w:r>
        <w:rPr>
          <w:rFonts w:ascii="Arial" w:cs="Arial" w:eastAsia="Arial" w:hAnsi="Arial"/>
          <w:sz w:val="16"/>
          <w:szCs w:val="16"/>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151" w:lineRule="exact"/>
        <w:rPr>
          <w:sz w:val="20"/>
          <w:szCs w:val="20"/>
          <w:color w:val="auto"/>
        </w:rPr>
      </w:pPr>
    </w:p>
    <w:p>
      <w:pPr>
        <w:ind w:left="580" w:right="579" w:firstLine="194"/>
        <w:spacing w:after="0" w:line="293" w:lineRule="auto"/>
        <w:rPr>
          <w:sz w:val="20"/>
          <w:szCs w:val="20"/>
          <w:color w:val="auto"/>
        </w:rPr>
      </w:pPr>
      <w:r>
        <w:rPr>
          <w:rFonts w:ascii="Arial" w:cs="Arial" w:eastAsia="Arial" w:hAnsi="Arial"/>
          <w:sz w:val="14"/>
          <w:szCs w:val="14"/>
          <w:color w:val="auto"/>
        </w:rPr>
        <w:t>As part of our business strategy and in order to remain competitive, we may acquire or make investments in complementary companies, products or technologies. However, we have not made any acquisitions to date, and as a result, our ability as an organization to acquire and integrate other companies, products or technologies in a successful manner is unproven. We may not be able to find suitable acquisition candidates, and we may not be able to complete such acquisitions on favorable terms, if at all. If we do complete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34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Risks Related to Our Ordinary Shares and the Offering</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There has been no prior public market for our ordinary shares, and an active trading market may not develop.</w:t>
      </w:r>
    </w:p>
    <w:p>
      <w:pPr>
        <w:spacing w:after="0" w:line="215" w:lineRule="exact"/>
        <w:rPr>
          <w:sz w:val="20"/>
          <w:szCs w:val="20"/>
          <w:color w:val="auto"/>
        </w:rPr>
      </w:pPr>
    </w:p>
    <w:p>
      <w:pPr>
        <w:ind w:left="580" w:right="759" w:firstLine="194"/>
        <w:spacing w:after="0" w:line="258" w:lineRule="auto"/>
        <w:rPr>
          <w:sz w:val="20"/>
          <w:szCs w:val="20"/>
          <w:color w:val="auto"/>
        </w:rPr>
      </w:pPr>
      <w:r>
        <w:rPr>
          <w:rFonts w:ascii="Arial" w:cs="Arial" w:eastAsia="Arial" w:hAnsi="Arial"/>
          <w:sz w:val="16"/>
          <w:szCs w:val="16"/>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Our share price may be volatile, and you may lose all or part of your investment.</w:t>
      </w:r>
    </w:p>
    <w:p>
      <w:pPr>
        <w:spacing w:after="0" w:line="204" w:lineRule="exact"/>
        <w:rPr>
          <w:sz w:val="20"/>
          <w:szCs w:val="20"/>
          <w:color w:val="auto"/>
        </w:rPr>
      </w:pPr>
    </w:p>
    <w:p>
      <w:pPr>
        <w:ind w:left="580" w:right="619" w:firstLine="194"/>
        <w:spacing w:after="0" w:line="285" w:lineRule="auto"/>
        <w:rPr>
          <w:sz w:val="20"/>
          <w:szCs w:val="20"/>
          <w:color w:val="auto"/>
        </w:rPr>
      </w:pPr>
      <w:r>
        <w:rPr>
          <w:rFonts w:ascii="Arial" w:cs="Arial" w:eastAsia="Arial" w:hAnsi="Arial"/>
          <w:sz w:val="15"/>
          <w:szCs w:val="15"/>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149" w:lineRule="exact"/>
        <w:rPr>
          <w:sz w:val="20"/>
          <w:szCs w:val="20"/>
          <w:color w:val="auto"/>
        </w:rPr>
      </w:pPr>
    </w:p>
    <w:p>
      <w:pPr>
        <w:ind w:left="940" w:hanging="169"/>
        <w:spacing w:after="0"/>
        <w:tabs>
          <w:tab w:leader="none" w:pos="940" w:val="left"/>
        </w:tabs>
        <w:numPr>
          <w:ilvl w:val="0"/>
          <w:numId w:val="18"/>
        </w:numPr>
        <w:rPr>
          <w:rFonts w:ascii="Arial" w:cs="Arial" w:eastAsia="Arial" w:hAnsi="Arial"/>
          <w:sz w:val="19"/>
          <w:szCs w:val="19"/>
          <w:color w:val="auto"/>
        </w:rPr>
      </w:pPr>
      <w:r>
        <w:rPr>
          <w:rFonts w:ascii="Arial" w:cs="Arial" w:eastAsia="Arial" w:hAnsi="Arial"/>
          <w:sz w:val="16"/>
          <w:szCs w:val="16"/>
          <w:color w:val="auto"/>
        </w:rPr>
        <w:t>actual or anticipated variations in our and/or our competitors’ results of operations and financial condition;</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8"/>
        </w:numPr>
        <w:rPr>
          <w:rFonts w:ascii="Arial" w:cs="Arial" w:eastAsia="Arial" w:hAnsi="Arial"/>
          <w:sz w:val="19"/>
          <w:szCs w:val="19"/>
          <w:color w:val="auto"/>
        </w:rPr>
      </w:pPr>
      <w:r>
        <w:rPr>
          <w:rFonts w:ascii="Arial" w:cs="Arial" w:eastAsia="Arial" w:hAnsi="Arial"/>
          <w:sz w:val="16"/>
          <w:szCs w:val="16"/>
          <w:color w:val="auto"/>
        </w:rPr>
        <w:t>variance in our financial performance from the expectations of market analysts;</w:t>
      </w:r>
    </w:p>
    <w:p>
      <w:pPr>
        <w:spacing w:after="0" w:line="193" w:lineRule="exact"/>
        <w:rPr>
          <w:rFonts w:ascii="Arial" w:cs="Arial" w:eastAsia="Arial" w:hAnsi="Arial"/>
          <w:sz w:val="19"/>
          <w:szCs w:val="19"/>
          <w:color w:val="auto"/>
        </w:rPr>
      </w:pPr>
    </w:p>
    <w:p>
      <w:pPr>
        <w:ind w:left="960" w:right="1179" w:hanging="189"/>
        <w:spacing w:after="0" w:line="238" w:lineRule="auto"/>
        <w:tabs>
          <w:tab w:leader="none" w:pos="943" w:val="left"/>
        </w:tabs>
        <w:numPr>
          <w:ilvl w:val="0"/>
          <w:numId w:val="18"/>
        </w:numPr>
        <w:rPr>
          <w:rFonts w:ascii="Arial" w:cs="Arial" w:eastAsia="Arial" w:hAnsi="Arial"/>
          <w:sz w:val="19"/>
          <w:szCs w:val="19"/>
          <w:color w:val="auto"/>
        </w:rPr>
      </w:pPr>
      <w:r>
        <w:rPr>
          <w:rFonts w:ascii="Arial" w:cs="Arial" w:eastAsia="Arial" w:hAnsi="Arial"/>
          <w:sz w:val="16"/>
          <w:szCs w:val="16"/>
          <w:color w:val="auto"/>
        </w:rPr>
        <w:t>announcements by us or our competitors of significant business developments, changes in service provider relationships, acquisitions or expansion plans;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2" w:name="page23"/>
    <w:bookmarkEnd w:id="22"/>
    <w:p>
      <w:pPr>
        <w:ind w:left="940" w:hanging="169"/>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changes in the prices of our solutions;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our involvement in litigation;</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our sale of ordinary shares or other securities in the future;</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market conditions in our industry;</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changes in key personnel;</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the trading volume of our ordinary shares;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changes in the estimation of the future size and growth rate of our markets; and</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6"/>
          <w:szCs w:val="16"/>
          <w:color w:val="auto"/>
        </w:rPr>
        <w:t>general economic and market conditions.</w:t>
      </w:r>
    </w:p>
    <w:p>
      <w:pPr>
        <w:spacing w:after="0" w:line="145" w:lineRule="exact"/>
        <w:rPr>
          <w:sz w:val="20"/>
          <w:szCs w:val="20"/>
          <w:color w:val="auto"/>
        </w:rPr>
      </w:pPr>
    </w:p>
    <w:p>
      <w:pPr>
        <w:ind w:left="580" w:right="599" w:firstLine="194"/>
        <w:spacing w:after="0" w:line="259" w:lineRule="auto"/>
        <w:rPr>
          <w:sz w:val="20"/>
          <w:szCs w:val="20"/>
          <w:color w:val="auto"/>
        </w:rPr>
      </w:pPr>
      <w:r>
        <w:rPr>
          <w:rFonts w:ascii="Arial" w:cs="Arial" w:eastAsia="Arial" w:hAnsi="Arial"/>
          <w:sz w:val="16"/>
          <w:szCs w:val="16"/>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Future sales of our ordinary shares could reduce the market price of our ordinary shares.</w:t>
      </w:r>
    </w:p>
    <w:p>
      <w:pPr>
        <w:spacing w:after="0" w:line="179" w:lineRule="exact"/>
        <w:rPr>
          <w:sz w:val="20"/>
          <w:szCs w:val="20"/>
          <w:color w:val="auto"/>
        </w:rPr>
      </w:pPr>
    </w:p>
    <w:p>
      <w:pPr>
        <w:ind w:left="580" w:right="559" w:firstLine="194"/>
        <w:spacing w:after="0" w:line="272" w:lineRule="auto"/>
        <w:rPr>
          <w:sz w:val="20"/>
          <w:szCs w:val="20"/>
          <w:color w:val="auto"/>
        </w:rPr>
      </w:pPr>
      <w:r>
        <w:rPr>
          <w:rFonts w:ascii="Arial" w:cs="Arial" w:eastAsia="Arial" w:hAnsi="Arial"/>
          <w:sz w:val="15"/>
          <w:szCs w:val="15"/>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 Substantially all of our shares outstanding prior to this offering and our shares issuable upon the exercise of options are subject to lock-up agreements with the underwriters that restrict the ability of their holders to transfer such shares without the prior written consent of Barclays Capital Inc. and Citigroup Global Markets Inc. for 180 days after the date of this prospectus. Consequently, upon expiration of the lock-up agreements, an additional approximately 21.3 million outstanding ordinary shares will be eligible for sale in the public market of which approximately 16.5 million ordinary shares will be subject to restrictions on volume and manner of sale pursuant to Rule 144 under the Securities Act of 1933, as amended. In addition, approximately 1.5 million shares underlying vested options will be eligible for sale in the public market on the same date. We intend to file one or more registration statements on Form S-8 with the U.S. Securities and Exchange Commission, or the Commission, covering all of the ordinary shares issuable under our share incentive plans and such shares will be available for resale following the expiration of the restrictions on transfer. The market price of our ordinary shares may drop significantly when the restrictions on resale by our existing shareholders lapse and these shareholders are able to sell our ordinary shares into the market. 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Investors in this offering will experience immediate substantial dilution in net tangible book value.</w:t>
      </w:r>
    </w:p>
    <w:p>
      <w:pPr>
        <w:spacing w:after="0" w:line="167" w:lineRule="exact"/>
        <w:rPr>
          <w:sz w:val="20"/>
          <w:szCs w:val="20"/>
          <w:color w:val="auto"/>
        </w:rPr>
      </w:pPr>
    </w:p>
    <w:p>
      <w:pPr>
        <w:ind w:left="580" w:right="579" w:firstLine="194"/>
        <w:spacing w:after="0" w:line="258" w:lineRule="auto"/>
        <w:rPr>
          <w:sz w:val="20"/>
          <w:szCs w:val="20"/>
          <w:color w:val="auto"/>
        </w:rPr>
      </w:pPr>
      <w:r>
        <w:rPr>
          <w:rFonts w:ascii="Arial" w:cs="Arial" w:eastAsia="Arial" w:hAnsi="Arial"/>
          <w:sz w:val="16"/>
          <w:szCs w:val="16"/>
          <w:color w:val="auto"/>
        </w:rPr>
        <w:t>The initial public offering price of our ordinary shares in this offering is considerably greater than the net tangible book value per share of our outstanding ordinary shares immediately after this offering. Accordingly, investors in this offering will incur immediate dilution of $10.23 per share, based on an assumed initial public offering price of $14.00 per share, the midpoint of the estimated initial public offering price range set forth on the cover of this prospectus. In addition, if outstanding options to purchase our ordinary shares are exercised in the future, you will experience additional dilution. See “Dilution.”</w:t>
      </w:r>
    </w:p>
    <w:p>
      <w:pPr>
        <w:spacing w:after="0" w:line="170" w:lineRule="exact"/>
        <w:rPr>
          <w:sz w:val="20"/>
          <w:szCs w:val="20"/>
          <w:color w:val="auto"/>
        </w:rPr>
      </w:pPr>
    </w:p>
    <w:p>
      <w:pPr>
        <w:ind w:left="580" w:right="639"/>
        <w:spacing w:after="0" w:line="267" w:lineRule="auto"/>
        <w:rPr>
          <w:sz w:val="20"/>
          <w:szCs w:val="20"/>
          <w:color w:val="auto"/>
        </w:rPr>
      </w:pPr>
      <w:r>
        <w:rPr>
          <w:rFonts w:ascii="Arial" w:cs="Arial" w:eastAsia="Arial" w:hAnsi="Arial"/>
          <w:sz w:val="16"/>
          <w:szCs w:val="16"/>
          <w:b w:val="1"/>
          <w:bCs w:val="1"/>
          <w:i w:val="1"/>
          <w:iCs w:val="1"/>
          <w:color w:val="auto"/>
        </w:rPr>
        <w:t>Following the closing of this offering, entities and individuals affiliated with Fortissimo Capital Fund II (Israel) L.P., or Fortissimo Capital, will have a controlling influence over matters requiring shareholder approval, which could delay or prevent a change of control.</w:t>
      </w:r>
    </w:p>
    <w:p>
      <w:pPr>
        <w:spacing w:after="0" w:line="125" w:lineRule="exact"/>
        <w:rPr>
          <w:sz w:val="20"/>
          <w:szCs w:val="20"/>
          <w:color w:val="auto"/>
        </w:rPr>
      </w:pPr>
    </w:p>
    <w:p>
      <w:pPr>
        <w:ind w:left="580" w:right="659" w:firstLine="194"/>
        <w:spacing w:after="0" w:line="355" w:lineRule="auto"/>
        <w:rPr>
          <w:sz w:val="20"/>
          <w:szCs w:val="20"/>
          <w:color w:val="auto"/>
        </w:rPr>
      </w:pPr>
      <w:r>
        <w:rPr>
          <w:rFonts w:ascii="Arial" w:cs="Arial" w:eastAsia="Arial" w:hAnsi="Arial"/>
          <w:sz w:val="14"/>
          <w:szCs w:val="14"/>
          <w:color w:val="auto"/>
        </w:rPr>
        <w:t>Following the closing of this offering, entities and individuals affiliated with Fortissimo Capital will beneficially own 52.4% of our ordinary shares or 50.5% if the underwriters exercise their option to purchase additional ordinary shares.</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3" w:name="page24"/>
    <w:bookmarkEnd w:id="23"/>
    <w:p>
      <w:pPr>
        <w:ind w:left="580" w:right="699" w:firstLine="194"/>
        <w:spacing w:after="0" w:line="355" w:lineRule="auto"/>
        <w:rPr>
          <w:sz w:val="20"/>
          <w:szCs w:val="20"/>
          <w:color w:val="auto"/>
        </w:rPr>
      </w:pPr>
      <w:r>
        <w:rPr>
          <w:rFonts w:ascii="Arial" w:cs="Arial" w:eastAsia="Arial" w:hAnsi="Arial"/>
          <w:sz w:val="14"/>
          <w:szCs w:val="14"/>
          <w:color w:val="auto"/>
        </w:rPr>
        <w:t>As a result, this shareholder could exert significant influence over our operations and business strategy and will have sufficient voting power to control the outcome of matters requiring shareholder approval. These matters may include:</w:t>
      </w:r>
    </w:p>
    <w:p>
      <w:pPr>
        <w:spacing w:after="0" w:line="117" w:lineRule="exact"/>
        <w:rPr>
          <w:sz w:val="20"/>
          <w:szCs w:val="20"/>
          <w:color w:val="auto"/>
        </w:rPr>
      </w:pPr>
    </w:p>
    <w:p>
      <w:pPr>
        <w:ind w:left="960" w:right="639" w:hanging="189"/>
        <w:spacing w:after="0" w:line="238" w:lineRule="auto"/>
        <w:tabs>
          <w:tab w:leader="none" w:pos="943" w:val="left"/>
        </w:tabs>
        <w:numPr>
          <w:ilvl w:val="0"/>
          <w:numId w:val="20"/>
        </w:numPr>
        <w:rPr>
          <w:rFonts w:ascii="Arial" w:cs="Arial" w:eastAsia="Arial" w:hAnsi="Arial"/>
          <w:sz w:val="19"/>
          <w:szCs w:val="19"/>
          <w:color w:val="auto"/>
        </w:rPr>
      </w:pPr>
      <w:r>
        <w:rPr>
          <w:rFonts w:ascii="Arial" w:cs="Arial" w:eastAsia="Arial" w:hAnsi="Arial"/>
          <w:sz w:val="16"/>
          <w:szCs w:val="16"/>
          <w:color w:val="auto"/>
        </w:rPr>
        <w:t>the composition of our board of directors, which has the authority to direct our business and to appoint and remove our officers;</w:t>
      </w:r>
    </w:p>
    <w:p>
      <w:pPr>
        <w:spacing w:after="0" w:line="145" w:lineRule="exact"/>
        <w:rPr>
          <w:rFonts w:ascii="Arial" w:cs="Arial" w:eastAsia="Arial" w:hAnsi="Arial"/>
          <w:sz w:val="19"/>
          <w:szCs w:val="19"/>
          <w:color w:val="auto"/>
        </w:rPr>
      </w:pPr>
    </w:p>
    <w:p>
      <w:pPr>
        <w:ind w:left="940" w:hanging="169"/>
        <w:spacing w:after="0"/>
        <w:tabs>
          <w:tab w:leader="none" w:pos="940" w:val="left"/>
        </w:tabs>
        <w:numPr>
          <w:ilvl w:val="0"/>
          <w:numId w:val="20"/>
        </w:numPr>
        <w:rPr>
          <w:rFonts w:ascii="Arial" w:cs="Arial" w:eastAsia="Arial" w:hAnsi="Arial"/>
          <w:sz w:val="19"/>
          <w:szCs w:val="19"/>
          <w:color w:val="auto"/>
        </w:rPr>
      </w:pPr>
      <w:r>
        <w:rPr>
          <w:rFonts w:ascii="Arial" w:cs="Arial" w:eastAsia="Arial" w:hAnsi="Arial"/>
          <w:sz w:val="16"/>
          <w:szCs w:val="16"/>
          <w:color w:val="auto"/>
        </w:rPr>
        <w:t>approving or rejecting a merger, consolidation or other business combination;</w:t>
      </w:r>
    </w:p>
    <w:p>
      <w:pPr>
        <w:spacing w:after="0" w:line="157" w:lineRule="exact"/>
        <w:rPr>
          <w:rFonts w:ascii="Arial" w:cs="Arial" w:eastAsia="Arial" w:hAnsi="Arial"/>
          <w:sz w:val="19"/>
          <w:szCs w:val="19"/>
          <w:color w:val="auto"/>
        </w:rPr>
      </w:pPr>
    </w:p>
    <w:p>
      <w:pPr>
        <w:ind w:left="940" w:hanging="169"/>
        <w:spacing w:after="0"/>
        <w:tabs>
          <w:tab w:leader="none" w:pos="940" w:val="left"/>
        </w:tabs>
        <w:numPr>
          <w:ilvl w:val="0"/>
          <w:numId w:val="20"/>
        </w:numPr>
        <w:rPr>
          <w:rFonts w:ascii="Arial" w:cs="Arial" w:eastAsia="Arial" w:hAnsi="Arial"/>
          <w:sz w:val="19"/>
          <w:szCs w:val="19"/>
          <w:color w:val="auto"/>
        </w:rPr>
      </w:pPr>
      <w:r>
        <w:rPr>
          <w:rFonts w:ascii="Arial" w:cs="Arial" w:eastAsia="Arial" w:hAnsi="Arial"/>
          <w:sz w:val="16"/>
          <w:szCs w:val="16"/>
          <w:color w:val="auto"/>
        </w:rPr>
        <w:t>raising future capital; and</w:t>
      </w:r>
    </w:p>
    <w:p>
      <w:pPr>
        <w:spacing w:after="0" w:line="144" w:lineRule="exact"/>
        <w:rPr>
          <w:rFonts w:ascii="Arial" w:cs="Arial" w:eastAsia="Arial" w:hAnsi="Arial"/>
          <w:sz w:val="19"/>
          <w:szCs w:val="19"/>
          <w:color w:val="auto"/>
        </w:rPr>
      </w:pPr>
    </w:p>
    <w:p>
      <w:pPr>
        <w:ind w:left="940" w:hanging="169"/>
        <w:spacing w:after="0"/>
        <w:tabs>
          <w:tab w:leader="none" w:pos="940" w:val="left"/>
        </w:tabs>
        <w:numPr>
          <w:ilvl w:val="0"/>
          <w:numId w:val="20"/>
        </w:numPr>
        <w:rPr>
          <w:rFonts w:ascii="Arial" w:cs="Arial" w:eastAsia="Arial" w:hAnsi="Arial"/>
          <w:sz w:val="19"/>
          <w:szCs w:val="19"/>
          <w:color w:val="auto"/>
        </w:rPr>
      </w:pPr>
      <w:r>
        <w:rPr>
          <w:rFonts w:ascii="Arial" w:cs="Arial" w:eastAsia="Arial" w:hAnsi="Arial"/>
          <w:sz w:val="16"/>
          <w:szCs w:val="16"/>
          <w:color w:val="auto"/>
        </w:rPr>
        <w:t>amending our articles of association, which govern the rights attached to our ordinary shares.</w:t>
      </w:r>
    </w:p>
    <w:p>
      <w:pPr>
        <w:spacing w:after="0" w:line="182" w:lineRule="exact"/>
        <w:rPr>
          <w:sz w:val="20"/>
          <w:szCs w:val="20"/>
          <w:color w:val="auto"/>
        </w:rPr>
      </w:pPr>
    </w:p>
    <w:p>
      <w:pPr>
        <w:jc w:val="both"/>
        <w:ind w:left="580" w:right="679" w:firstLine="194"/>
        <w:spacing w:after="0" w:line="262" w:lineRule="auto"/>
        <w:rPr>
          <w:sz w:val="20"/>
          <w:szCs w:val="20"/>
          <w:color w:val="auto"/>
        </w:rPr>
      </w:pPr>
      <w:r>
        <w:rPr>
          <w:rFonts w:ascii="Arial" w:cs="Arial" w:eastAsia="Arial" w:hAnsi="Arial"/>
          <w:sz w:val="16"/>
          <w:szCs w:val="16"/>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166" w:lineRule="exact"/>
        <w:rPr>
          <w:sz w:val="20"/>
          <w:szCs w:val="20"/>
          <w:color w:val="auto"/>
        </w:rPr>
      </w:pPr>
    </w:p>
    <w:p>
      <w:pPr>
        <w:ind w:left="580" w:right="739"/>
        <w:spacing w:after="0" w:line="316" w:lineRule="auto"/>
        <w:rPr>
          <w:sz w:val="20"/>
          <w:szCs w:val="20"/>
          <w:color w:val="auto"/>
        </w:rPr>
      </w:pPr>
      <w:r>
        <w:rPr>
          <w:rFonts w:ascii="Arial" w:cs="Arial" w:eastAsia="Arial" w:hAnsi="Arial"/>
          <w:sz w:val="15"/>
          <w:szCs w:val="15"/>
          <w:b w:val="1"/>
          <w:bCs w:val="1"/>
          <w:i w:val="1"/>
          <w:iCs w:val="1"/>
          <w:color w:val="auto"/>
        </w:rPr>
        <w:t>We will be a “controlled company” within the meaning of NASDAQ Stock Market rules and, as a result, will qualify for, and intend to rely on, certain exemptions from certain corporate governance requirements.</w:t>
      </w:r>
    </w:p>
    <w:p>
      <w:pPr>
        <w:spacing w:after="0" w:line="127" w:lineRule="exact"/>
        <w:rPr>
          <w:sz w:val="20"/>
          <w:szCs w:val="20"/>
          <w:color w:val="auto"/>
        </w:rPr>
      </w:pPr>
    </w:p>
    <w:p>
      <w:pPr>
        <w:ind w:left="580" w:right="619" w:firstLine="194"/>
        <w:spacing w:after="0" w:line="276" w:lineRule="auto"/>
        <w:rPr>
          <w:sz w:val="20"/>
          <w:szCs w:val="20"/>
          <w:color w:val="auto"/>
        </w:rPr>
      </w:pPr>
      <w:r>
        <w:rPr>
          <w:rFonts w:ascii="Arial" w:cs="Arial" w:eastAsia="Arial" w:hAnsi="Arial"/>
          <w:sz w:val="15"/>
          <w:szCs w:val="15"/>
          <w:color w:val="auto"/>
        </w:rPr>
        <w:t>As a result of the number of shares beneficially owned by Fortissimo Capital, after the completion of this offering, we will be a “controlled company” under the NASDAQ Stock Market rules. A controlled company is a company of which more than 50% of the voting power is held by an individual, group or another company. Pursuant to the controlled company exemption, we are not required to, and do not currently intend to comply with the requirements that (1) a majority of our board of directors consist of independent directors, and (2) we have a nominating committee composed entirely of independent directors. See “Management—Corporate Governance Practices.” Accordingly, you will not have the same protections afforded to shareholders of companies that are not controlled companies and are therefore subject to all of the corporate governance requirements of the NASDAQ Stock Market.</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We have broad discretion as to the use of the net proceeds from this offering and may not use them effectively.</w:t>
      </w:r>
    </w:p>
    <w:p>
      <w:pPr>
        <w:spacing w:after="0" w:line="227" w:lineRule="exact"/>
        <w:rPr>
          <w:sz w:val="20"/>
          <w:szCs w:val="20"/>
          <w:color w:val="auto"/>
        </w:rPr>
      </w:pPr>
    </w:p>
    <w:p>
      <w:pPr>
        <w:ind w:left="580" w:right="579" w:firstLine="194"/>
        <w:spacing w:after="0" w:line="257" w:lineRule="auto"/>
        <w:rPr>
          <w:sz w:val="20"/>
          <w:szCs w:val="20"/>
          <w:color w:val="auto"/>
        </w:rPr>
      </w:pPr>
      <w:r>
        <w:rPr>
          <w:rFonts w:ascii="Arial" w:cs="Arial" w:eastAsia="Arial" w:hAnsi="Arial"/>
          <w:sz w:val="16"/>
          <w:szCs w:val="16"/>
          <w:color w:val="auto"/>
        </w:rPr>
        <w:t>We do not currently have specific plans for the net proceeds resulting from this offering and expect to use the net proceeds for general corporate purposes. As such,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our use of the net proceeds from this offering, we may invest the proceeds in a manner that does not produce income. See “Use of Proceeds” on page 27 for additional information.</w:t>
      </w:r>
    </w:p>
    <w:p>
      <w:pPr>
        <w:spacing w:after="0" w:line="171" w:lineRule="exact"/>
        <w:rPr>
          <w:sz w:val="20"/>
          <w:szCs w:val="20"/>
          <w:color w:val="auto"/>
        </w:rPr>
      </w:pPr>
    </w:p>
    <w:p>
      <w:pPr>
        <w:ind w:left="580" w:right="799"/>
        <w:spacing w:after="0" w:line="281"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w:t>
      </w:r>
    </w:p>
    <w:p>
      <w:pPr>
        <w:spacing w:after="0" w:line="151" w:lineRule="exact"/>
        <w:rPr>
          <w:sz w:val="20"/>
          <w:szCs w:val="20"/>
          <w:color w:val="auto"/>
        </w:rPr>
      </w:pPr>
    </w:p>
    <w:p>
      <w:pPr>
        <w:ind w:left="580" w:right="579" w:firstLine="194"/>
        <w:spacing w:after="0" w:line="274" w:lineRule="auto"/>
        <w:rPr>
          <w:sz w:val="20"/>
          <w:szCs w:val="20"/>
          <w:color w:val="auto"/>
        </w:rPr>
      </w:pPr>
      <w:r>
        <w:rPr>
          <w:rFonts w:ascii="Arial" w:cs="Arial" w:eastAsia="Arial" w:hAnsi="Arial"/>
          <w:sz w:val="15"/>
          <w:szCs w:val="15"/>
          <w:color w:val="auto"/>
        </w:rPr>
        <w:t>As a public company whose ordinary shares are listed in the United States, we will incur accounting, legal and other expenses that we did not incur as a private company, including costs associated with our reporting requirements under the U.S. Securities Exchange Act of 1934, as amended, or the Exchange Act. We also anticipate that we will incur costs associated with corporate governance requirements, including requirements under Section 404 and other provisions of the Sarbanes-Oxley Act of 2002, or the Sarbanes-Oxley Act, as well as rules implemented by the Commission and the NASDAQ Stock Market, and provisions of Israeli corporate and securities laws applicable to public companies. We expect that these rules and regulations will increase our legal and financial compliance costs, introduce new costs such as investor relations and stock exchange listing fees, and will make some activities more time-consuming and costly. We are currently evaluating and monitoring developments with respect to these rules, and we cannot predict or estimate the amount of additional costs we may incur or the timing of such costs.</w:t>
      </w:r>
    </w:p>
    <w:p>
      <w:pPr>
        <w:spacing w:after="0" w:line="163" w:lineRule="exact"/>
        <w:rPr>
          <w:sz w:val="20"/>
          <w:szCs w:val="20"/>
          <w:color w:val="auto"/>
        </w:rPr>
      </w:pPr>
    </w:p>
    <w:p>
      <w:pPr>
        <w:jc w:val="both"/>
        <w:ind w:left="580" w:right="679" w:firstLine="194"/>
        <w:spacing w:after="0" w:line="311" w:lineRule="auto"/>
        <w:rPr>
          <w:sz w:val="20"/>
          <w:szCs w:val="20"/>
          <w:color w:val="auto"/>
        </w:rPr>
      </w:pPr>
      <w:r>
        <w:rPr>
          <w:rFonts w:ascii="Arial" w:cs="Arial" w:eastAsia="Arial" w:hAnsi="Arial"/>
          <w:sz w:val="14"/>
          <w:szCs w:val="14"/>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4" w:name="page25"/>
    <w:bookmarkEnd w:id="24"/>
    <w:p>
      <w:pPr>
        <w:jc w:val="both"/>
        <w:ind w:left="580" w:right="579"/>
        <w:spacing w:after="0" w:line="267" w:lineRule="auto"/>
        <w:rPr>
          <w:sz w:val="20"/>
          <w:szCs w:val="20"/>
          <w:color w:val="auto"/>
        </w:rPr>
      </w:pPr>
      <w:r>
        <w:rPr>
          <w:rFonts w:ascii="Arial" w:cs="Arial" w:eastAsia="Arial" w:hAnsi="Arial"/>
          <w:sz w:val="16"/>
          <w:szCs w:val="16"/>
          <w:color w:val="auto"/>
        </w:rPr>
        <w:t>could also make it more difficult for us to attract and retain qualified persons to serve on our board of directors, our board committees or as executive officers. We cannot predict or estimate the amount or timing of additional costs we may incur in order to comply with such requirements.</w:t>
      </w:r>
    </w:p>
    <w:p>
      <w:pPr>
        <w:spacing w:after="0" w:line="161" w:lineRule="exact"/>
        <w:rPr>
          <w:sz w:val="20"/>
          <w:szCs w:val="20"/>
          <w:color w:val="auto"/>
        </w:rPr>
      </w:pPr>
    </w:p>
    <w:p>
      <w:pPr>
        <w:ind w:left="580" w:right="839"/>
        <w:spacing w:after="0" w:line="281" w:lineRule="auto"/>
        <w:rPr>
          <w:sz w:val="20"/>
          <w:szCs w:val="20"/>
          <w:color w:val="auto"/>
        </w:rPr>
      </w:pPr>
      <w:r>
        <w:rPr>
          <w:rFonts w:ascii="Arial" w:cs="Arial" w:eastAsia="Arial" w:hAnsi="Arial"/>
          <w:sz w:val="16"/>
          <w:szCs w:val="16"/>
          <w:b w:val="1"/>
          <w:bCs w:val="1"/>
          <w:i w:val="1"/>
          <w:iCs w:val="1"/>
          <w:color w:val="auto"/>
        </w:rPr>
        <w:t>We have never paid cash dividends on our share capital, and we do not anticipate paying any cash dividends in the foreseeable future.</w:t>
      </w:r>
    </w:p>
    <w:p>
      <w:pPr>
        <w:spacing w:after="0" w:line="151" w:lineRule="exact"/>
        <w:rPr>
          <w:sz w:val="20"/>
          <w:szCs w:val="20"/>
          <w:color w:val="auto"/>
        </w:rPr>
      </w:pPr>
    </w:p>
    <w:p>
      <w:pPr>
        <w:ind w:left="580" w:right="559" w:firstLine="194"/>
        <w:spacing w:after="0" w:line="257" w:lineRule="auto"/>
        <w:rPr>
          <w:sz w:val="20"/>
          <w:szCs w:val="20"/>
          <w:color w:val="auto"/>
        </w:rPr>
      </w:pPr>
      <w:r>
        <w:rPr>
          <w:rFonts w:ascii="Arial" w:cs="Arial" w:eastAsia="Arial" w:hAnsi="Arial"/>
          <w:sz w:val="16"/>
          <w:szCs w:val="16"/>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71" w:lineRule="exact"/>
        <w:rPr>
          <w:sz w:val="20"/>
          <w:szCs w:val="20"/>
          <w:color w:val="auto"/>
        </w:rPr>
      </w:pPr>
    </w:p>
    <w:p>
      <w:pPr>
        <w:ind w:left="580" w:right="819"/>
        <w:spacing w:after="0" w:line="322" w:lineRule="auto"/>
        <w:rPr>
          <w:sz w:val="20"/>
          <w:szCs w:val="20"/>
          <w:color w:val="auto"/>
        </w:rPr>
      </w:pPr>
      <w:r>
        <w:rPr>
          <w:rFonts w:ascii="Arial" w:cs="Arial" w:eastAsia="Arial" w:hAnsi="Arial"/>
          <w:sz w:val="14"/>
          <w:szCs w:val="14"/>
          <w:b w:val="1"/>
          <w:bCs w:val="1"/>
          <w:i w:val="1"/>
          <w:iCs w:val="1"/>
          <w:color w:val="auto"/>
        </w:rPr>
        <w:t>As a foreign private issuer, we are permitted, and intend, to follow certain home country corporate governance practices instead of otherwise applicable SEC and NASDAQ Stock Market, or NASDAQ, requirements, which may result in less protection than is accorded to investors under rules applicable to domestic U.S. issuers.</w:t>
      </w:r>
    </w:p>
    <w:p>
      <w:pPr>
        <w:spacing w:after="0" w:line="127" w:lineRule="exact"/>
        <w:rPr>
          <w:sz w:val="20"/>
          <w:szCs w:val="20"/>
          <w:color w:val="auto"/>
        </w:rPr>
      </w:pPr>
    </w:p>
    <w:p>
      <w:pPr>
        <w:ind w:left="580" w:right="679" w:firstLine="194"/>
        <w:spacing w:after="0" w:line="294" w:lineRule="auto"/>
        <w:rPr>
          <w:sz w:val="20"/>
          <w:szCs w:val="20"/>
          <w:color w:val="auto"/>
        </w:rPr>
      </w:pPr>
      <w:r>
        <w:rPr>
          <w:rFonts w:ascii="Arial" w:cs="Arial" w:eastAsia="Arial" w:hAnsi="Arial"/>
          <w:sz w:val="14"/>
          <w:szCs w:val="14"/>
          <w:color w:val="auto"/>
        </w:rPr>
        <w:t>As a foreign private issuer, in reliance on Rule 5615(a)(3) of the NASDAQ Listing Rules, which permits a foreign private issuer to follow the corporate governance practices of its home country, we will be permitted to follow certain Israeli corporate governance practices instead of those otherwise required under the corporate governance standards for U.S. domestic issuers. Following the listing of our ordinary shares on the NASDAQ Global Market, we intend to follow Israeli home country practices with regard to the quorum requirement for shareholder meetings. As permitted under the Israeli Companies Law, our articles of association to be effective upon the closing of this offering will provide that the quorum for any meeting of shareholders shall be the presence of at least two shareholders present in person, by proxy or</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by a voting instrument, who hold at least 25% of the voting power of our shares instead of 33 </w:t>
      </w:r>
      <w:r>
        <w:rPr>
          <w:rFonts w:ascii="Arial" w:cs="Arial" w:eastAsia="Arial" w:hAnsi="Arial"/>
          <w:sz w:val="24"/>
          <w:szCs w:val="24"/>
          <w:color w:val="auto"/>
          <w:vertAlign w:val="superscript"/>
        </w:rPr>
        <w:t>1</w:t>
      </w:r>
      <w:r>
        <w:rPr>
          <w:rFonts w:ascii="Arial" w:cs="Arial" w:eastAsia="Arial" w:hAnsi="Arial"/>
          <w:sz w:val="11"/>
          <w:szCs w:val="11"/>
          <w:color w:val="auto"/>
        </w:rPr>
        <w:t>/</w:t>
      </w:r>
      <w:r>
        <w:rPr>
          <w:rFonts w:ascii="Arial" w:cs="Arial" w:eastAsia="Arial" w:hAnsi="Arial"/>
          <w:sz w:val="12"/>
          <w:szCs w:val="12"/>
          <w:color w:val="auto"/>
        </w:rPr>
        <w:t>3</w:t>
      </w:r>
      <w:r>
        <w:rPr>
          <w:rFonts w:ascii="Arial" w:cs="Arial" w:eastAsia="Arial" w:hAnsi="Arial"/>
          <w:sz w:val="15"/>
          <w:szCs w:val="15"/>
          <w:color w:val="auto"/>
        </w:rPr>
        <w:t>% of our issued share</w:t>
      </w:r>
    </w:p>
    <w:p>
      <w:pPr>
        <w:spacing w:after="0" w:line="3" w:lineRule="exact"/>
        <w:rPr>
          <w:sz w:val="20"/>
          <w:szCs w:val="20"/>
          <w:color w:val="auto"/>
        </w:rPr>
      </w:pPr>
    </w:p>
    <w:p>
      <w:pPr>
        <w:ind w:left="580" w:right="559"/>
        <w:spacing w:after="0" w:line="294" w:lineRule="auto"/>
        <w:rPr>
          <w:sz w:val="20"/>
          <w:szCs w:val="20"/>
          <w:color w:val="auto"/>
        </w:rPr>
      </w:pPr>
      <w:r>
        <w:rPr>
          <w:rFonts w:ascii="Arial" w:cs="Arial" w:eastAsia="Arial" w:hAnsi="Arial"/>
          <w:sz w:val="14"/>
          <w:szCs w:val="14"/>
          <w:color w:val="auto"/>
        </w:rPr>
        <w:t>capital. We may in the future elect to follow Israeli home country practices with regard to other matters such as the requirement to have a nominating committee or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“Management—Corporate Governance Practices.”</w:t>
      </w:r>
    </w:p>
    <w:p>
      <w:pPr>
        <w:spacing w:after="0" w:line="149" w:lineRule="exact"/>
        <w:rPr>
          <w:sz w:val="20"/>
          <w:szCs w:val="20"/>
          <w:color w:val="auto"/>
        </w:rPr>
      </w:pPr>
    </w:p>
    <w:p>
      <w:pPr>
        <w:ind w:left="580" w:right="779"/>
        <w:spacing w:after="0" w:line="281" w:lineRule="auto"/>
        <w:rPr>
          <w:sz w:val="20"/>
          <w:szCs w:val="20"/>
          <w:color w:val="auto"/>
        </w:rPr>
      </w:pPr>
      <w:r>
        <w:rPr>
          <w:rFonts w:ascii="Arial" w:cs="Arial" w:eastAsia="Arial" w:hAnsi="Arial"/>
          <w:sz w:val="16"/>
          <w:szCs w:val="16"/>
          <w:b w:val="1"/>
          <w:bCs w:val="1"/>
          <w:i w:val="1"/>
          <w:iCs w:val="1"/>
          <w:color w:val="auto"/>
        </w:rPr>
        <w:t>As a foreign private issuer, we will not be subject to the provisions of Regulation FD or U.S. proxy rules and will be exempt from filing certain Exchange Act reports.</w:t>
      </w:r>
    </w:p>
    <w:p>
      <w:pPr>
        <w:spacing w:after="0" w:line="151" w:lineRule="exact"/>
        <w:rPr>
          <w:sz w:val="20"/>
          <w:szCs w:val="20"/>
          <w:color w:val="auto"/>
        </w:rPr>
      </w:pPr>
    </w:p>
    <w:p>
      <w:pPr>
        <w:ind w:left="580" w:right="639" w:firstLine="194"/>
        <w:spacing w:after="0" w:line="294" w:lineRule="auto"/>
        <w:rPr>
          <w:sz w:val="20"/>
          <w:szCs w:val="20"/>
          <w:color w:val="auto"/>
        </w:rPr>
      </w:pPr>
      <w:r>
        <w:rPr>
          <w:rFonts w:ascii="Arial" w:cs="Arial" w:eastAsia="Arial" w:hAnsi="Arial"/>
          <w:sz w:val="14"/>
          <w:szCs w:val="14"/>
          <w:color w:val="auto"/>
        </w:rPr>
        <w:t>As a foreign private issuer, we will be exempt from a number of requirements under U.S. securities laws that apply to public companies that are not foreign private issuers. In particular,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frequency and scope of information and protections to which you are entitled as an investor.</w:t>
      </w:r>
    </w:p>
    <w:p>
      <w:pPr>
        <w:spacing w:after="0" w:line="153" w:lineRule="exact"/>
        <w:rPr>
          <w:sz w:val="20"/>
          <w:szCs w:val="20"/>
          <w:color w:val="auto"/>
        </w:rPr>
      </w:pPr>
    </w:p>
    <w:p>
      <w:pPr>
        <w:ind w:left="580" w:right="639" w:firstLine="194"/>
        <w:spacing w:after="0" w:line="311" w:lineRule="auto"/>
        <w:rPr>
          <w:sz w:val="20"/>
          <w:szCs w:val="20"/>
          <w:color w:val="auto"/>
        </w:rPr>
      </w:pPr>
      <w:r>
        <w:rPr>
          <w:rFonts w:ascii="Arial" w:cs="Arial" w:eastAsia="Arial" w:hAnsi="Arial"/>
          <w:sz w:val="14"/>
          <w:szCs w:val="14"/>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a recent amendment to the regulations promulgated under the Israeli Companies Law will require us, after we become a public</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5" w:name="page26"/>
    <w:bookmarkEnd w:id="25"/>
    <w:p>
      <w:pPr>
        <w:ind w:left="580" w:right="599"/>
        <w:spacing w:after="0" w:line="258" w:lineRule="auto"/>
        <w:rPr>
          <w:sz w:val="20"/>
          <w:szCs w:val="20"/>
          <w:color w:val="auto"/>
        </w:rPr>
      </w:pPr>
      <w:r>
        <w:rPr>
          <w:rFonts w:ascii="Arial" w:cs="Arial" w:eastAsia="Arial" w:hAnsi="Arial"/>
          <w:sz w:val="16"/>
          <w:szCs w:val="16"/>
          <w:color w:val="auto"/>
        </w:rPr>
        <w:t>company,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70" w:lineRule="exact"/>
        <w:rPr>
          <w:sz w:val="20"/>
          <w:szCs w:val="20"/>
          <w:color w:val="auto"/>
        </w:rPr>
      </w:pPr>
    </w:p>
    <w:p>
      <w:pPr>
        <w:ind w:left="580" w:right="579" w:firstLine="194"/>
        <w:spacing w:after="0" w:line="273" w:lineRule="auto"/>
        <w:rPr>
          <w:sz w:val="20"/>
          <w:szCs w:val="20"/>
          <w:color w:val="auto"/>
        </w:rPr>
      </w:pPr>
      <w:r>
        <w:rPr>
          <w:rFonts w:ascii="Arial" w:cs="Arial" w:eastAsia="Arial" w:hAnsi="Arial"/>
          <w:sz w:val="15"/>
          <w:szCs w:val="15"/>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65" w:lineRule="exact"/>
        <w:rPr>
          <w:sz w:val="20"/>
          <w:szCs w:val="20"/>
          <w:color w:val="auto"/>
        </w:rPr>
      </w:pPr>
    </w:p>
    <w:p>
      <w:pPr>
        <w:ind w:left="580" w:right="999"/>
        <w:spacing w:after="0" w:line="281" w:lineRule="auto"/>
        <w:rPr>
          <w:sz w:val="20"/>
          <w:szCs w:val="20"/>
          <w:color w:val="auto"/>
        </w:rPr>
      </w:pPr>
      <w:r>
        <w:rPr>
          <w:rFonts w:ascii="Arial" w:cs="Arial" w:eastAsia="Arial" w:hAnsi="Arial"/>
          <w:sz w:val="16"/>
          <w:szCs w:val="16"/>
          <w:b w:val="1"/>
          <w:bCs w:val="1"/>
          <w:i w:val="1"/>
          <w:iCs w:val="1"/>
          <w:color w:val="auto"/>
        </w:rPr>
        <w:t>We are an “emerging growth company” and the reduced disclosure requirements applicable to emerging growth companies may make our ordinary shares less attractive to investors.</w:t>
      </w:r>
    </w:p>
    <w:p>
      <w:pPr>
        <w:spacing w:after="0" w:line="151" w:lineRule="exact"/>
        <w:rPr>
          <w:sz w:val="20"/>
          <w:szCs w:val="20"/>
          <w:color w:val="auto"/>
        </w:rPr>
      </w:pPr>
    </w:p>
    <w:p>
      <w:pPr>
        <w:ind w:left="580" w:right="559" w:firstLine="194"/>
        <w:spacing w:after="0" w:line="272" w:lineRule="auto"/>
        <w:rPr>
          <w:sz w:val="20"/>
          <w:szCs w:val="20"/>
          <w:color w:val="auto"/>
        </w:rPr>
      </w:pPr>
      <w:r>
        <w:rPr>
          <w:rFonts w:ascii="Arial" w:cs="Arial" w:eastAsia="Arial" w:hAnsi="Arial"/>
          <w:sz w:val="15"/>
          <w:szCs w:val="15"/>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for up to five fiscal years after the date of this offering. We will remain an emerging growth company until the earliest of: (a) 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69" w:lineRule="exact"/>
        <w:rPr>
          <w:sz w:val="20"/>
          <w:szCs w:val="20"/>
          <w:color w:val="auto"/>
        </w:rPr>
      </w:pPr>
    </w:p>
    <w:p>
      <w:pPr>
        <w:jc w:val="both"/>
        <w:ind w:left="580" w:right="579"/>
        <w:spacing w:after="0" w:line="267" w:lineRule="auto"/>
        <w:rPr>
          <w:sz w:val="20"/>
          <w:szCs w:val="20"/>
          <w:color w:val="auto"/>
        </w:rPr>
      </w:pPr>
      <w:r>
        <w:rPr>
          <w:rFonts w:ascii="Arial" w:cs="Arial" w:eastAsia="Arial" w:hAnsi="Arial"/>
          <w:sz w:val="16"/>
          <w:szCs w:val="16"/>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161" w:lineRule="exact"/>
        <w:rPr>
          <w:sz w:val="20"/>
          <w:szCs w:val="20"/>
          <w:color w:val="auto"/>
        </w:rPr>
      </w:pPr>
    </w:p>
    <w:p>
      <w:pPr>
        <w:ind w:left="580" w:right="599" w:firstLine="194"/>
        <w:spacing w:after="0" w:line="272" w:lineRule="auto"/>
        <w:rPr>
          <w:sz w:val="20"/>
          <w:szCs w:val="20"/>
          <w:color w:val="auto"/>
        </w:rPr>
      </w:pPr>
      <w:r>
        <w:rPr>
          <w:rFonts w:ascii="Arial" w:cs="Arial" w:eastAsia="Arial" w:hAnsi="Arial"/>
          <w:sz w:val="15"/>
          <w:szCs w:val="15"/>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 outcome of this determination and whether we will 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6" w:name="page27"/>
    <w:bookmarkEnd w:id="26"/>
    <w:p>
      <w:pPr>
        <w:ind w:left="580" w:right="619"/>
        <w:spacing w:after="0" w:line="262" w:lineRule="auto"/>
        <w:rPr>
          <w:sz w:val="20"/>
          <w:szCs w:val="20"/>
          <w:color w:val="auto"/>
        </w:rPr>
      </w:pPr>
      <w:r>
        <w:rPr>
          <w:rFonts w:ascii="Arial" w:cs="Arial" w:eastAsia="Arial" w:hAnsi="Arial"/>
          <w:sz w:val="16"/>
          <w:szCs w:val="16"/>
          <w:color w:val="auto"/>
        </w:rPr>
        <w:t>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66" w:lineRule="exact"/>
        <w:rPr>
          <w:sz w:val="20"/>
          <w:szCs w:val="20"/>
          <w:color w:val="auto"/>
        </w:rPr>
      </w:pPr>
    </w:p>
    <w:p>
      <w:pPr>
        <w:ind w:left="580" w:right="619"/>
        <w:spacing w:after="0" w:line="281" w:lineRule="auto"/>
        <w:rPr>
          <w:sz w:val="20"/>
          <w:szCs w:val="20"/>
          <w:color w:val="auto"/>
        </w:rPr>
      </w:pPr>
      <w:r>
        <w:rPr>
          <w:rFonts w:ascii="Arial" w:cs="Arial" w:eastAsia="Arial" w:hAnsi="Arial"/>
          <w:sz w:val="16"/>
          <w:szCs w:val="16"/>
          <w:b w:val="1"/>
          <w:bCs w:val="1"/>
          <w:i w:val="1"/>
          <w:iCs w:val="1"/>
          <w:color w:val="auto"/>
        </w:rPr>
        <w:t>Our U.S. shareholders may suffer adverse tax consequences if we are characterized as a passive foreign investment company.</w:t>
      </w:r>
    </w:p>
    <w:p>
      <w:pPr>
        <w:spacing w:after="0" w:line="151" w:lineRule="exact"/>
        <w:rPr>
          <w:sz w:val="20"/>
          <w:szCs w:val="20"/>
          <w:color w:val="auto"/>
        </w:rPr>
      </w:pPr>
    </w:p>
    <w:p>
      <w:pPr>
        <w:ind w:left="580" w:right="579" w:firstLine="194"/>
        <w:spacing w:after="0" w:line="293" w:lineRule="auto"/>
        <w:rPr>
          <w:sz w:val="20"/>
          <w:szCs w:val="20"/>
          <w:color w:val="auto"/>
        </w:rPr>
      </w:pPr>
      <w:r>
        <w:rPr>
          <w:rFonts w:ascii="Arial" w:cs="Arial" w:eastAsia="Arial" w:hAnsi="Arial"/>
          <w:sz w:val="14"/>
          <w:szCs w:val="14"/>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Our status as a PFIC may also depend on how quickly we use the cash proceeds from this offering in our business. Based on certain estimates of our gross income and gross assets, our receipt of the net proceeds of this offering, and the nature of our business, we do not expect that we will be classified as a PFIC for the taxable year ending December 31, 2015.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Shareholders—United States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Risks Related to Our Operations in Israel</w:t>
      </w:r>
    </w:p>
    <w:p>
      <w:pPr>
        <w:spacing w:after="0" w:line="208" w:lineRule="exact"/>
        <w:rPr>
          <w:sz w:val="20"/>
          <w:szCs w:val="20"/>
          <w:color w:val="auto"/>
        </w:rPr>
      </w:pPr>
    </w:p>
    <w:p>
      <w:pPr>
        <w:ind w:left="580" w:right="839"/>
        <w:spacing w:after="0" w:line="316" w:lineRule="auto"/>
        <w:rPr>
          <w:sz w:val="20"/>
          <w:szCs w:val="20"/>
          <w:color w:val="auto"/>
        </w:rPr>
      </w:pPr>
      <w:r>
        <w:rPr>
          <w:rFonts w:ascii="Arial" w:cs="Arial" w:eastAsia="Arial" w:hAnsi="Arial"/>
          <w:sz w:val="15"/>
          <w:szCs w:val="15"/>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27" w:lineRule="exact"/>
        <w:rPr>
          <w:sz w:val="20"/>
          <w:szCs w:val="20"/>
          <w:color w:val="auto"/>
        </w:rPr>
      </w:pPr>
    </w:p>
    <w:p>
      <w:pPr>
        <w:ind w:left="580" w:right="579" w:firstLine="194"/>
        <w:spacing w:after="0" w:line="273" w:lineRule="auto"/>
        <w:rPr>
          <w:sz w:val="20"/>
          <w:szCs w:val="20"/>
          <w:color w:val="auto"/>
        </w:rPr>
      </w:pPr>
      <w:r>
        <w:rPr>
          <w:rFonts w:ascii="Arial" w:cs="Arial" w:eastAsia="Arial" w:hAnsi="Arial"/>
          <w:sz w:val="15"/>
          <w:szCs w:val="15"/>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 involving Israel could adversely affect our operations and results of operations.</w:t>
      </w:r>
    </w:p>
    <w:p>
      <w:pPr>
        <w:spacing w:after="0" w:line="163" w:lineRule="exact"/>
        <w:rPr>
          <w:sz w:val="20"/>
          <w:szCs w:val="20"/>
          <w:color w:val="auto"/>
        </w:rPr>
      </w:pPr>
    </w:p>
    <w:p>
      <w:pPr>
        <w:ind w:left="580" w:right="579" w:firstLine="194"/>
        <w:spacing w:after="0" w:line="300" w:lineRule="auto"/>
        <w:rPr>
          <w:sz w:val="20"/>
          <w:szCs w:val="20"/>
          <w:color w:val="auto"/>
        </w:rPr>
      </w:pPr>
      <w:r>
        <w:rPr>
          <w:rFonts w:ascii="Arial" w:cs="Arial" w:eastAsia="Arial" w:hAnsi="Arial"/>
          <w:sz w:val="14"/>
          <w:szCs w:val="14"/>
          <w:color w:val="auto"/>
        </w:rPr>
        <w:t>Further, our operations could be disrupted by the obligations of personnel to perform military service. As of December 31, 2014, we had 166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42" w:lineRule="exact"/>
        <w:rPr>
          <w:sz w:val="20"/>
          <w:szCs w:val="20"/>
          <w:color w:val="auto"/>
        </w:rPr>
      </w:pPr>
    </w:p>
    <w:p>
      <w:pPr>
        <w:ind w:left="580" w:right="679" w:firstLine="194"/>
        <w:spacing w:after="0" w:line="259" w:lineRule="auto"/>
        <w:rPr>
          <w:sz w:val="20"/>
          <w:szCs w:val="20"/>
          <w:color w:val="auto"/>
        </w:rPr>
      </w:pPr>
      <w:r>
        <w:rPr>
          <w:rFonts w:ascii="Arial" w:cs="Arial" w:eastAsia="Arial" w:hAnsi="Arial"/>
          <w:sz w:val="16"/>
          <w:szCs w:val="16"/>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7" w:name="page28"/>
    <w:bookmarkEnd w:id="27"/>
    <w:p>
      <w:pPr>
        <w:ind w:left="580" w:right="619" w:firstLine="194"/>
        <w:spacing w:after="0" w:line="305" w:lineRule="auto"/>
        <w:rPr>
          <w:sz w:val="20"/>
          <w:szCs w:val="20"/>
          <w:color w:val="auto"/>
        </w:rPr>
      </w:pPr>
      <w:r>
        <w:rPr>
          <w:rFonts w:ascii="Arial" w:cs="Arial" w:eastAsia="Arial" w:hAnsi="Arial"/>
          <w:sz w:val="14"/>
          <w:szCs w:val="14"/>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40" w:lineRule="exact"/>
        <w:rPr>
          <w:sz w:val="20"/>
          <w:szCs w:val="20"/>
          <w:color w:val="auto"/>
        </w:rPr>
      </w:pPr>
    </w:p>
    <w:p>
      <w:pPr>
        <w:ind w:left="580" w:right="639"/>
        <w:spacing w:after="0" w:line="281" w:lineRule="auto"/>
        <w:rPr>
          <w:sz w:val="20"/>
          <w:szCs w:val="20"/>
          <w:color w:val="auto"/>
        </w:rPr>
      </w:pPr>
      <w:r>
        <w:rPr>
          <w:rFonts w:ascii="Arial" w:cs="Arial" w:eastAsia="Arial" w:hAnsi="Arial"/>
          <w:sz w:val="16"/>
          <w:szCs w:val="16"/>
          <w:b w:val="1"/>
          <w:bCs w:val="1"/>
          <w:i w:val="1"/>
          <w:iCs w:val="1"/>
          <w:color w:val="auto"/>
        </w:rPr>
        <w:t>The government tax benefits that we currently receive require us to meet several conditions and may be terminated or reduced in the future, which would increase our costs.</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and our wholly-owned Israeli subsidiary, Kornit Digital Technologies Ltd., or Kornit Technologies, are entitled to</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various tax benefits under the Israeli Law for the Encouragement of Capital Investments, 1959, or the Investment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Law. As a result of this status, the effective tax rate for our taxable income generated in Israel is expected to be between</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zero and 5% starting in 2014. However, if we do not meet the requirements for maintaining these benefits, they may be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reduced or cancelled and the relevant operations would be subject to Israeli corporate tax at the standard rate, which is</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currently set at 26.5% for 2014 and onwards. In addition to being subject to the standard corporate tax rate, we could be</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required to refund any tax benefits that we have already received, plus interest and penalties thereon. Even if we continue</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to meet the relevant requirements, the tax benefits that our current beneficiary enterprises receive may not be continued</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in the future at their current levels or at all. If these tax benefits were reduced or eliminated, the amount of taxes that we</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pay would likely increase, as all of our operations would consequently be subject to corporate tax at the standard rate,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which could adversely affect our results of operations. Additionally, if we increase our activities outside of Israel, for</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example, via acquisitions, our increased activities may not be eligible for inclusion in Israeli tax benefit programs. See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“Taxation and Israeli Government Programs Applicable to our Company—Law for the Encouragement of Capital</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Investments, 5719-1959.”</w:t>
      </w:r>
    </w:p>
    <w:p>
      <w:pPr>
        <w:spacing w:after="0" w:line="192" w:lineRule="exact"/>
        <w:rPr>
          <w:sz w:val="20"/>
          <w:szCs w:val="20"/>
          <w:color w:val="auto"/>
        </w:rPr>
      </w:pPr>
    </w:p>
    <w:p>
      <w:pPr>
        <w:jc w:val="both"/>
        <w:ind w:left="580" w:right="959"/>
        <w:spacing w:after="0" w:line="267" w:lineRule="auto"/>
        <w:rPr>
          <w:sz w:val="20"/>
          <w:szCs w:val="20"/>
          <w:color w:val="auto"/>
        </w:rPr>
      </w:pPr>
      <w:r>
        <w:rPr>
          <w:rFonts w:ascii="Arial" w:cs="Arial" w:eastAsia="Arial" w:hAnsi="Arial"/>
          <w:sz w:val="16"/>
          <w:szCs w:val="16"/>
          <w:b w:val="1"/>
          <w:bCs w:val="1"/>
          <w:i w:val="1"/>
          <w:iCs w:val="1"/>
          <w:color w:val="auto"/>
        </w:rPr>
        <w:t>We received Israeli government grants for certain research and development activities. The terms of those grants require us to satisfy specified conditions and to pay penalties in addition to repayment of the grants upon certain events.</w:t>
      </w:r>
    </w:p>
    <w:p>
      <w:pPr>
        <w:spacing w:after="0" w:line="161" w:lineRule="exact"/>
        <w:rPr>
          <w:sz w:val="20"/>
          <w:szCs w:val="20"/>
          <w:color w:val="auto"/>
        </w:rPr>
      </w:pPr>
    </w:p>
    <w:p>
      <w:pPr>
        <w:ind w:left="580" w:right="559" w:firstLine="194"/>
        <w:spacing w:after="0" w:line="294" w:lineRule="auto"/>
        <w:rPr>
          <w:sz w:val="20"/>
          <w:szCs w:val="20"/>
          <w:color w:val="auto"/>
        </w:rPr>
      </w:pPr>
      <w:r>
        <w:rPr>
          <w:rFonts w:ascii="Arial" w:cs="Arial" w:eastAsia="Arial" w:hAnsi="Arial"/>
          <w:sz w:val="14"/>
          <w:szCs w:val="14"/>
          <w:color w:val="auto"/>
        </w:rPr>
        <w:t>Our research and development efforts were financed in part through grants from the Israeli Office of the Chief Scientist, or OCS, totaling approximately $0.2 million. As of December 31, 2014, the balance of the principal and interest in respect of our commitments for future payments to the OCS totals approximately $0.2 million. Even following full repayment of any OCS grants, we must nevertheless continue to comply with the requirements of the Israeli Law for the Encouragement of Industrial Research and Development, 5744-1984, and related regulations, or collectively, the R&amp;D Law.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We may not receive those approvals. Furthermore, the OCS may impose certain conditions on any arrangement under which it permits us to transfer technology out of Israel.</w:t>
      </w:r>
    </w:p>
    <w:p>
      <w:pPr>
        <w:spacing w:after="0" w:line="153" w:lineRule="exact"/>
        <w:rPr>
          <w:sz w:val="20"/>
          <w:szCs w:val="20"/>
          <w:color w:val="auto"/>
        </w:rPr>
      </w:pPr>
    </w:p>
    <w:p>
      <w:pPr>
        <w:ind w:left="580" w:right="619" w:firstLine="194"/>
        <w:spacing w:after="0" w:line="256" w:lineRule="auto"/>
        <w:rPr>
          <w:sz w:val="20"/>
          <w:szCs w:val="20"/>
          <w:color w:val="auto"/>
        </w:rPr>
      </w:pPr>
      <w:r>
        <w:rPr>
          <w:rFonts w:ascii="Arial" w:cs="Arial" w:eastAsia="Arial" w:hAnsi="Arial"/>
          <w:sz w:val="16"/>
          <w:szCs w:val="16"/>
          <w:color w:val="auto"/>
        </w:rPr>
        <w:t>The transfer of OCS-supported technology or know-how outside of Israel may involve the payment of significant penalties and other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74" w:lineRule="exact"/>
        <w:rPr>
          <w:sz w:val="20"/>
          <w:szCs w:val="20"/>
          <w:color w:val="auto"/>
        </w:rPr>
      </w:pPr>
    </w:p>
    <w:p>
      <w:pPr>
        <w:jc w:val="both"/>
        <w:ind w:left="580" w:right="599"/>
        <w:spacing w:after="0" w:line="267" w:lineRule="auto"/>
        <w:rPr>
          <w:sz w:val="20"/>
          <w:szCs w:val="20"/>
          <w:color w:val="auto"/>
        </w:rPr>
      </w:pPr>
      <w:r>
        <w:rPr>
          <w:rFonts w:ascii="Arial" w:cs="Arial" w:eastAsia="Arial" w:hAnsi="Arial"/>
          <w:sz w:val="16"/>
          <w:szCs w:val="16"/>
          <w:b w:val="1"/>
          <w:bCs w:val="1"/>
          <w:i w:val="1"/>
          <w:iCs w:val="1"/>
          <w:color w:val="auto"/>
        </w:rPr>
        <w:t>Provisions of Israeli law and our amended and restated articles of association may delay, prevent or otherwise impede a merger with, or an acquisition of, our company, even when the terms of such a transaction are favorable to us and our shareholders.</w:t>
      </w:r>
    </w:p>
    <w:p>
      <w:pPr>
        <w:spacing w:after="0" w:line="161" w:lineRule="exact"/>
        <w:rPr>
          <w:sz w:val="20"/>
          <w:szCs w:val="20"/>
          <w:color w:val="auto"/>
        </w:rPr>
      </w:pPr>
    </w:p>
    <w:p>
      <w:pPr>
        <w:ind w:left="580" w:right="719" w:firstLine="194"/>
        <w:spacing w:after="0" w:line="258"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8" w:name="page29"/>
    <w:bookmarkEnd w:id="28"/>
    <w:p>
      <w:pPr>
        <w:ind w:left="580" w:right="679"/>
        <w:spacing w:after="0" w:line="278" w:lineRule="auto"/>
        <w:rPr>
          <w:sz w:val="20"/>
          <w:szCs w:val="20"/>
          <w:color w:val="auto"/>
        </w:rPr>
      </w:pPr>
      <w:r>
        <w:rPr>
          <w:rFonts w:ascii="Arial" w:cs="Arial" w:eastAsia="Arial" w:hAnsi="Arial"/>
          <w:sz w:val="15"/>
          <w:szCs w:val="15"/>
          <w:color w:val="auto"/>
        </w:rPr>
        <w:t>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“Description of Share Capital—Acquisitions under Israeli Law” for additional information.</w:t>
      </w:r>
    </w:p>
    <w:p>
      <w:pPr>
        <w:spacing w:after="0" w:line="158" w:lineRule="exact"/>
        <w:rPr>
          <w:sz w:val="20"/>
          <w:szCs w:val="20"/>
          <w:color w:val="auto"/>
        </w:rPr>
      </w:pPr>
    </w:p>
    <w:p>
      <w:pPr>
        <w:jc w:val="both"/>
        <w:ind w:left="580" w:right="599" w:firstLine="194"/>
        <w:spacing w:after="0" w:line="267" w:lineRule="auto"/>
        <w:rPr>
          <w:sz w:val="20"/>
          <w:szCs w:val="20"/>
          <w:color w:val="auto"/>
        </w:rPr>
      </w:pPr>
      <w:r>
        <w:rPr>
          <w:rFonts w:ascii="Arial" w:cs="Arial" w:eastAsia="Arial" w:hAnsi="Arial"/>
          <w:sz w:val="16"/>
          <w:szCs w:val="16"/>
          <w:color w:val="auto"/>
        </w:rPr>
        <w:t>Our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161" w:lineRule="exact"/>
        <w:rPr>
          <w:sz w:val="20"/>
          <w:szCs w:val="20"/>
          <w:color w:val="auto"/>
        </w:rPr>
      </w:pPr>
    </w:p>
    <w:p>
      <w:pPr>
        <w:ind w:left="580" w:right="639" w:firstLine="194"/>
        <w:spacing w:after="0" w:line="274" w:lineRule="auto"/>
        <w:rPr>
          <w:sz w:val="20"/>
          <w:szCs w:val="20"/>
          <w:color w:val="auto"/>
        </w:rPr>
      </w:pPr>
      <w:r>
        <w:rPr>
          <w:rFonts w:ascii="Arial" w:cs="Arial" w:eastAsia="Arial" w:hAnsi="Arial"/>
          <w:sz w:val="15"/>
          <w:szCs w:val="15"/>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63" w:lineRule="exact"/>
        <w:rPr>
          <w:sz w:val="20"/>
          <w:szCs w:val="20"/>
          <w:color w:val="auto"/>
        </w:rPr>
      </w:pPr>
    </w:p>
    <w:p>
      <w:pPr>
        <w:ind w:left="580" w:right="839"/>
        <w:spacing w:after="0" w:line="267" w:lineRule="auto"/>
        <w:rPr>
          <w:sz w:val="20"/>
          <w:szCs w:val="20"/>
          <w:color w:val="auto"/>
        </w:rPr>
      </w:pPr>
      <w:r>
        <w:rPr>
          <w:rFonts w:ascii="Arial" w:cs="Arial" w:eastAsia="Arial" w:hAnsi="Arial"/>
          <w:sz w:val="16"/>
          <w:szCs w:val="16"/>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161" w:lineRule="exact"/>
        <w:rPr>
          <w:sz w:val="20"/>
          <w:szCs w:val="20"/>
          <w:color w:val="auto"/>
        </w:rPr>
      </w:pPr>
    </w:p>
    <w:p>
      <w:pPr>
        <w:ind w:left="580" w:right="579" w:firstLine="194"/>
        <w:spacing w:after="0" w:line="272" w:lineRule="auto"/>
        <w:rPr>
          <w:sz w:val="20"/>
          <w:szCs w:val="20"/>
          <w:color w:val="auto"/>
        </w:rPr>
      </w:pPr>
      <w:r>
        <w:rPr>
          <w:rFonts w:ascii="Arial" w:cs="Arial" w:eastAsia="Arial" w:hAnsi="Arial"/>
          <w:sz w:val="15"/>
          <w:szCs w:val="15"/>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169" w:lineRule="exact"/>
        <w:rPr>
          <w:sz w:val="20"/>
          <w:szCs w:val="20"/>
          <w:color w:val="auto"/>
        </w:rPr>
      </w:pPr>
    </w:p>
    <w:p>
      <w:pPr>
        <w:ind w:left="580" w:right="1059"/>
        <w:spacing w:after="0" w:line="281" w:lineRule="auto"/>
        <w:rPr>
          <w:sz w:val="20"/>
          <w:szCs w:val="20"/>
          <w:color w:val="auto"/>
        </w:rPr>
      </w:pPr>
      <w:r>
        <w:rPr>
          <w:rFonts w:ascii="Arial" w:cs="Arial" w:eastAsia="Arial" w:hAnsi="Arial"/>
          <w:sz w:val="16"/>
          <w:szCs w:val="16"/>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51" w:lineRule="exact"/>
        <w:rPr>
          <w:sz w:val="20"/>
          <w:szCs w:val="20"/>
          <w:color w:val="auto"/>
        </w:rPr>
      </w:pPr>
    </w:p>
    <w:p>
      <w:pPr>
        <w:ind w:left="580" w:right="619" w:firstLine="194"/>
        <w:spacing w:after="0" w:line="273" w:lineRule="auto"/>
        <w:rPr>
          <w:sz w:val="20"/>
          <w:szCs w:val="20"/>
          <w:color w:val="auto"/>
        </w:rPr>
      </w:pPr>
      <w:r>
        <w:rPr>
          <w:rFonts w:ascii="Arial" w:cs="Arial" w:eastAsia="Arial" w:hAnsi="Arial"/>
          <w:sz w:val="15"/>
          <w:szCs w:val="15"/>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08" w:lineRule="exact"/>
        <w:rPr>
          <w:sz w:val="20"/>
          <w:szCs w:val="20"/>
          <w:color w:val="auto"/>
        </w:rPr>
      </w:pPr>
    </w:p>
    <w:p>
      <w:pPr>
        <w:ind w:left="580" w:right="679" w:firstLine="194"/>
        <w:spacing w:after="0" w:line="258" w:lineRule="auto"/>
        <w:rPr>
          <w:sz w:val="20"/>
          <w:szCs w:val="20"/>
          <w:color w:val="auto"/>
        </w:rPr>
      </w:pPr>
      <w:r>
        <w:rPr>
          <w:rFonts w:ascii="Arial" w:cs="Arial" w:eastAsia="Arial" w:hAnsi="Arial"/>
          <w:sz w:val="16"/>
          <w:szCs w:val="16"/>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169" w:lineRule="exact"/>
        <w:rPr>
          <w:sz w:val="20"/>
          <w:szCs w:val="20"/>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our future gross margins and operating expenses;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our growth and overall profitability;</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the impacts of variability on our future revenues;</w:t>
      </w:r>
    </w:p>
    <w:p>
      <w:pPr>
        <w:spacing w:after="0" w:line="193" w:lineRule="exact"/>
        <w:rPr>
          <w:rFonts w:ascii="Arial" w:cs="Arial" w:eastAsia="Arial" w:hAnsi="Arial"/>
          <w:sz w:val="19"/>
          <w:szCs w:val="19"/>
          <w:color w:val="auto"/>
        </w:rPr>
      </w:pPr>
    </w:p>
    <w:p>
      <w:pPr>
        <w:ind w:left="960" w:right="919" w:hanging="189"/>
        <w:spacing w:after="0" w:line="238" w:lineRule="auto"/>
        <w:tabs>
          <w:tab w:leader="none" w:pos="943"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drivers of our future growth, including anticipated sales growth, penetration of new markets, and expansion of our customer base;</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plans to expand into new product markets;</w:t>
      </w:r>
    </w:p>
    <w:p>
      <w:pPr>
        <w:spacing w:after="0" w:line="192"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5"/>
          <w:szCs w:val="15"/>
          <w:color w:val="auto"/>
        </w:rPr>
        <w:t>our plans to continue to invest in research and development to introduce new systems and improved solutions;</w:t>
      </w:r>
    </w:p>
    <w:p>
      <w:pPr>
        <w:spacing w:after="0" w:line="181" w:lineRule="exact"/>
        <w:rPr>
          <w:rFonts w:ascii="Arial" w:cs="Arial" w:eastAsia="Arial" w:hAnsi="Arial"/>
          <w:sz w:val="18"/>
          <w:szCs w:val="18"/>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the success of our new products and systems;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the impact of government laws and regulations;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our tax classifications and reserves;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our anticipated cash requirements for the next 12 months;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plans to expand our international operations;</w:t>
      </w:r>
    </w:p>
    <w:p>
      <w:pPr>
        <w:spacing w:after="0" w:line="193" w:lineRule="exact"/>
        <w:rPr>
          <w:rFonts w:ascii="Arial" w:cs="Arial" w:eastAsia="Arial" w:hAnsi="Arial"/>
          <w:sz w:val="19"/>
          <w:szCs w:val="19"/>
          <w:color w:val="auto"/>
        </w:rPr>
      </w:pPr>
    </w:p>
    <w:p>
      <w:pPr>
        <w:ind w:left="960" w:right="1239" w:hanging="189"/>
        <w:spacing w:after="0" w:line="238" w:lineRule="auto"/>
        <w:tabs>
          <w:tab w:leader="none" w:pos="943"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plans to file and procure additional patents relating to our intellectual property rights and the adequate protection of these rights;</w:t>
      </w:r>
    </w:p>
    <w:p>
      <w:pPr>
        <w:spacing w:after="0" w:line="193"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5"/>
          <w:szCs w:val="15"/>
          <w:color w:val="auto"/>
        </w:rPr>
        <w:t>our plans to pursue strategic acquisitions or invest in complementary companies, products or technologies;</w:t>
      </w:r>
    </w:p>
    <w:p>
      <w:pPr>
        <w:spacing w:after="0" w:line="193" w:lineRule="exact"/>
        <w:rPr>
          <w:rFonts w:ascii="Arial" w:cs="Arial" w:eastAsia="Arial" w:hAnsi="Arial"/>
          <w:sz w:val="18"/>
          <w:szCs w:val="18"/>
          <w:color w:val="auto"/>
        </w:rPr>
      </w:pPr>
    </w:p>
    <w:p>
      <w:pPr>
        <w:ind w:left="960" w:right="819" w:hanging="189"/>
        <w:spacing w:after="0" w:line="238" w:lineRule="auto"/>
        <w:tabs>
          <w:tab w:leader="none" w:pos="943"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the time during which we will be an emerging growth company under the JOBS Act; and</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1"/>
        </w:numPr>
        <w:rPr>
          <w:rFonts w:ascii="Arial" w:cs="Arial" w:eastAsia="Arial" w:hAnsi="Arial"/>
          <w:sz w:val="19"/>
          <w:szCs w:val="19"/>
          <w:color w:val="auto"/>
        </w:rPr>
      </w:pPr>
      <w:r>
        <w:rPr>
          <w:rFonts w:ascii="Arial" w:cs="Arial" w:eastAsia="Arial" w:hAnsi="Arial"/>
          <w:sz w:val="16"/>
          <w:szCs w:val="16"/>
          <w:color w:val="auto"/>
        </w:rPr>
        <w:t>our expectations regarding the use of proceeds from this offering.</w:t>
      </w:r>
    </w:p>
    <w:p>
      <w:pPr>
        <w:spacing w:after="0" w:line="182" w:lineRule="exact"/>
        <w:rPr>
          <w:sz w:val="20"/>
          <w:szCs w:val="20"/>
          <w:color w:val="auto"/>
        </w:rPr>
      </w:pPr>
    </w:p>
    <w:p>
      <w:pPr>
        <w:ind w:left="580" w:right="579" w:firstLine="194"/>
        <w:spacing w:after="0" w:line="257" w:lineRule="auto"/>
        <w:rPr>
          <w:sz w:val="20"/>
          <w:szCs w:val="20"/>
          <w:color w:val="auto"/>
        </w:rPr>
      </w:pPr>
      <w:r>
        <w:rPr>
          <w:rFonts w:ascii="Arial" w:cs="Arial" w:eastAsia="Arial" w:hAnsi="Arial"/>
          <w:sz w:val="16"/>
          <w:szCs w:val="16"/>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171" w:lineRule="exact"/>
        <w:rPr>
          <w:sz w:val="20"/>
          <w:szCs w:val="20"/>
          <w:color w:val="auto"/>
        </w:rPr>
      </w:pPr>
    </w:p>
    <w:p>
      <w:pPr>
        <w:ind w:left="580" w:right="599" w:firstLine="194"/>
        <w:spacing w:after="0" w:line="258"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08" w:lineRule="exact"/>
        <w:rPr>
          <w:sz w:val="20"/>
          <w:szCs w:val="20"/>
          <w:color w:val="auto"/>
        </w:rPr>
      </w:pPr>
    </w:p>
    <w:p>
      <w:pPr>
        <w:ind w:left="580" w:right="599" w:firstLine="194"/>
        <w:spacing w:after="0" w:line="262" w:lineRule="auto"/>
        <w:rPr>
          <w:sz w:val="20"/>
          <w:szCs w:val="20"/>
          <w:color w:val="auto"/>
        </w:rPr>
      </w:pPr>
      <w:r>
        <w:rPr>
          <w:rFonts w:ascii="Arial" w:cs="Arial" w:eastAsia="Arial" w:hAnsi="Arial"/>
          <w:sz w:val="16"/>
          <w:szCs w:val="16"/>
          <w:color w:val="auto"/>
        </w:rPr>
        <w:t>We estimate that we will receive net proceeds from this offering, after deducting underwriting discounts and commissions and estimated offering expenses payable by us, of approximately $90.0 million, or approximately $103.9 million if the underwriters exercise in full their option to purchase additional ordinary shares, based on an assumed initial public offering price of $14.00 per ordinary share.</w:t>
      </w:r>
    </w:p>
    <w:p>
      <w:pPr>
        <w:spacing w:after="0" w:line="166" w:lineRule="exact"/>
        <w:rPr>
          <w:sz w:val="20"/>
          <w:szCs w:val="20"/>
          <w:color w:val="auto"/>
        </w:rPr>
      </w:pPr>
    </w:p>
    <w:p>
      <w:pPr>
        <w:ind w:left="580" w:right="599" w:firstLine="194"/>
        <w:spacing w:after="0" w:line="300" w:lineRule="auto"/>
        <w:rPr>
          <w:sz w:val="20"/>
          <w:szCs w:val="20"/>
          <w:color w:val="auto"/>
        </w:rPr>
      </w:pPr>
      <w:r>
        <w:rPr>
          <w:rFonts w:ascii="Arial" w:cs="Arial" w:eastAsia="Arial" w:hAnsi="Arial"/>
          <w:sz w:val="14"/>
          <w:szCs w:val="14"/>
          <w:color w:val="auto"/>
        </w:rPr>
        <w:t>A $1.00 increase (decrease) in the assumed initial public offering price of $14.00 per ordinary share would increase (decrease) the net proceeds that we receive from this offering by approximately $6.6 million, assuming that the number of ordinary shares offered, as set forth on the cover page of this prospectus, remains the same and after deducting underwriting discounts and commissions and estimated offering expenses payable by us. Similarly, each increase (decrease) of 100,000 shares in the number of ordinary shares offered by us would increase (decrease) the net proceeds to us from this offering by approximately $1.3 million, assuming that the assumed initial public offering price remains the same, and after deducting the underwriting discounts and commissions and estimated offering expenses payable by us.</w:t>
      </w:r>
    </w:p>
    <w:p>
      <w:pPr>
        <w:spacing w:after="0" w:line="142" w:lineRule="exact"/>
        <w:rPr>
          <w:sz w:val="20"/>
          <w:szCs w:val="20"/>
          <w:color w:val="auto"/>
        </w:rPr>
      </w:pPr>
    </w:p>
    <w:p>
      <w:pPr>
        <w:ind w:left="580" w:right="579" w:firstLine="194"/>
        <w:spacing w:after="0" w:line="297" w:lineRule="auto"/>
        <w:rPr>
          <w:sz w:val="20"/>
          <w:szCs w:val="20"/>
          <w:color w:val="auto"/>
        </w:rPr>
      </w:pPr>
      <w:r>
        <w:rPr>
          <w:rFonts w:ascii="Arial" w:cs="Arial" w:eastAsia="Arial" w:hAnsi="Arial"/>
          <w:sz w:val="14"/>
          <w:szCs w:val="14"/>
          <w:color w:val="auto"/>
        </w:rPr>
        <w:t>The principal purposes of this offering are to obtain additional capital, to increase our financial flexibility and visibility in the marketplace, to create a public market for our ordinary shares and to facilitate our future access to the public equity markets. While we do not currently have specific plans for the net proceeds resulting from this offering, we expect to use the net proceeds for general corporate purposes. We do not currently have any acquisitions or investments planned however we may use a portion of the net proceeds to acquire or invest in complementary companies, products or technologies in the future. We will have broad discretion over the uses of the net proceeds in this offering, and, as of the date of this prospectus, we have not allocated the net proceeds to particular uses. We believe this will afford us significant flexibility to pursue our business strategies. Until we use the net proceeds we receive from this offering, we intend to invest those proceeds in short-term, investment-grade interest-bearing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6"/>
          <w:szCs w:val="16"/>
          <w:b w:val="1"/>
          <w:bCs w:val="1"/>
          <w:color w:val="auto"/>
        </w:rPr>
        <w:t>DIVIDEND POLICY</w:t>
      </w:r>
    </w:p>
    <w:p>
      <w:pPr>
        <w:spacing w:after="0" w:line="208" w:lineRule="exact"/>
        <w:rPr>
          <w:sz w:val="20"/>
          <w:szCs w:val="20"/>
          <w:color w:val="auto"/>
        </w:rPr>
      </w:pPr>
    </w:p>
    <w:p>
      <w:pPr>
        <w:ind w:left="580" w:right="699" w:firstLine="194"/>
        <w:spacing w:after="0" w:line="258" w:lineRule="auto"/>
        <w:rPr>
          <w:sz w:val="20"/>
          <w:szCs w:val="20"/>
          <w:color w:val="auto"/>
        </w:rPr>
      </w:pPr>
      <w:r>
        <w:rPr>
          <w:rFonts w:ascii="Arial" w:cs="Arial" w:eastAsia="Arial" w:hAnsi="Arial"/>
          <w:sz w:val="16"/>
          <w:szCs w:val="16"/>
          <w:color w:val="auto"/>
        </w:rPr>
        <w:t>We have never declared or paid cash dividends to our shareholders and we do not intend to pay cash dividends in the foreseeable future. We currently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70" w:lineRule="exact"/>
        <w:rPr>
          <w:sz w:val="20"/>
          <w:szCs w:val="20"/>
          <w:color w:val="auto"/>
        </w:rPr>
      </w:pPr>
    </w:p>
    <w:p>
      <w:pPr>
        <w:ind w:left="580" w:right="599" w:firstLine="194"/>
        <w:spacing w:after="0" w:line="262" w:lineRule="auto"/>
        <w:rPr>
          <w:sz w:val="20"/>
          <w:szCs w:val="20"/>
          <w:color w:val="auto"/>
        </w:rPr>
      </w:pPr>
      <w:r>
        <w:rPr>
          <w:rFonts w:ascii="Arial" w:cs="Arial" w:eastAsia="Arial" w:hAnsi="Arial"/>
          <w:sz w:val="16"/>
          <w:szCs w:val="16"/>
          <w:color w:val="auto"/>
        </w:rPr>
        <w:t>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presents our capitalization as of December 31, 2014:</w:t>
      </w:r>
    </w:p>
    <w:p>
      <w:pPr>
        <w:spacing w:after="0" w:line="203" w:lineRule="exact"/>
        <w:rPr>
          <w:sz w:val="20"/>
          <w:szCs w:val="20"/>
          <w:color w:val="auto"/>
        </w:rPr>
      </w:pPr>
    </w:p>
    <w:p>
      <w:pPr>
        <w:ind w:left="940" w:hanging="169"/>
        <w:spacing w:after="0"/>
        <w:tabs>
          <w:tab w:leader="none" w:pos="940" w:val="left"/>
        </w:tabs>
        <w:numPr>
          <w:ilvl w:val="0"/>
          <w:numId w:val="22"/>
        </w:numPr>
        <w:rPr>
          <w:rFonts w:ascii="Arial" w:cs="Arial" w:eastAsia="Arial" w:hAnsi="Arial"/>
          <w:sz w:val="19"/>
          <w:szCs w:val="19"/>
          <w:color w:val="auto"/>
        </w:rPr>
      </w:pPr>
      <w:r>
        <w:rPr>
          <w:rFonts w:ascii="Arial" w:cs="Arial" w:eastAsia="Arial" w:hAnsi="Arial"/>
          <w:sz w:val="16"/>
          <w:szCs w:val="16"/>
          <w:color w:val="auto"/>
        </w:rPr>
        <w:t>on an actual basis;</w:t>
      </w:r>
    </w:p>
    <w:p>
      <w:pPr>
        <w:spacing w:after="0" w:line="193" w:lineRule="exact"/>
        <w:rPr>
          <w:rFonts w:ascii="Arial" w:cs="Arial" w:eastAsia="Arial" w:hAnsi="Arial"/>
          <w:sz w:val="19"/>
          <w:szCs w:val="19"/>
          <w:color w:val="auto"/>
        </w:rPr>
      </w:pPr>
    </w:p>
    <w:p>
      <w:pPr>
        <w:ind w:left="960" w:right="819" w:hanging="189"/>
        <w:spacing w:after="0" w:line="238" w:lineRule="auto"/>
        <w:tabs>
          <w:tab w:leader="none" w:pos="943" w:val="left"/>
        </w:tabs>
        <w:numPr>
          <w:ilvl w:val="0"/>
          <w:numId w:val="22"/>
        </w:numPr>
        <w:rPr>
          <w:rFonts w:ascii="Arial" w:cs="Arial" w:eastAsia="Arial" w:hAnsi="Arial"/>
          <w:sz w:val="19"/>
          <w:szCs w:val="19"/>
          <w:color w:val="auto"/>
        </w:rPr>
      </w:pPr>
      <w:r>
        <w:rPr>
          <w:rFonts w:ascii="Arial" w:cs="Arial" w:eastAsia="Arial" w:hAnsi="Arial"/>
          <w:sz w:val="16"/>
          <w:szCs w:val="16"/>
          <w:color w:val="auto"/>
        </w:rPr>
        <w:t>on a pro forma basis, to give effect to the conversion of all outstanding Series A-1 preferred shares into an equal number of ordinary shares immediately prior to the closing of this offering; and</w:t>
      </w:r>
    </w:p>
    <w:p>
      <w:pPr>
        <w:spacing w:after="0" w:line="194" w:lineRule="exact"/>
        <w:rPr>
          <w:rFonts w:ascii="Arial" w:cs="Arial" w:eastAsia="Arial" w:hAnsi="Arial"/>
          <w:sz w:val="19"/>
          <w:szCs w:val="19"/>
          <w:color w:val="auto"/>
        </w:rPr>
      </w:pPr>
    </w:p>
    <w:p>
      <w:pPr>
        <w:ind w:left="960" w:right="699" w:hanging="189"/>
        <w:spacing w:after="0" w:line="246" w:lineRule="auto"/>
        <w:tabs>
          <w:tab w:leader="none" w:pos="937" w:val="left"/>
        </w:tabs>
        <w:numPr>
          <w:ilvl w:val="0"/>
          <w:numId w:val="22"/>
        </w:numPr>
        <w:rPr>
          <w:rFonts w:ascii="Arial" w:cs="Arial" w:eastAsia="Arial" w:hAnsi="Arial"/>
          <w:sz w:val="19"/>
          <w:szCs w:val="19"/>
          <w:color w:val="auto"/>
        </w:rPr>
      </w:pPr>
      <w:r>
        <w:rPr>
          <w:rFonts w:ascii="Arial" w:cs="Arial" w:eastAsia="Arial" w:hAnsi="Arial"/>
          <w:sz w:val="16"/>
          <w:szCs w:val="16"/>
          <w:color w:val="auto"/>
        </w:rPr>
        <w:t>on a pro forma as adjusted basis, to give further effect to (1) the issuance of ordinary shares in this offering, at an assumed initial public offering price of $14.00 per share, after deducting underwriting discounts and commissions and estimated offering expenses payable by us and (2) the adoption of our amended and restated articles of association to be effective upon the closing of this offering.</w:t>
      </w:r>
    </w:p>
    <w:p>
      <w:pPr>
        <w:spacing w:after="0" w:line="179" w:lineRule="exact"/>
        <w:rPr>
          <w:sz w:val="20"/>
          <w:szCs w:val="20"/>
          <w:color w:val="auto"/>
        </w:rPr>
      </w:pPr>
    </w:p>
    <w:p>
      <w:pPr>
        <w:jc w:val="center"/>
        <w:ind w:left="580" w:right="639"/>
        <w:spacing w:after="0" w:line="355" w:lineRule="auto"/>
        <w:rPr>
          <w:sz w:val="20"/>
          <w:szCs w:val="20"/>
          <w:color w:val="auto"/>
        </w:rPr>
      </w:pPr>
      <w:r>
        <w:rPr>
          <w:rFonts w:ascii="Arial" w:cs="Arial" w:eastAsia="Arial" w:hAnsi="Arial"/>
          <w:sz w:val="14"/>
          <w:szCs w:val="14"/>
          <w:color w:val="auto"/>
        </w:rPr>
        <w:t>You should read this table in conjunction with “Management’s Discussion and Analysis of Financial Condition and Results of Operations” and our consolidated financial statements and related notes included elsewhere in this prospectus.</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Shareholders’ equity:</w:t>
      </w:r>
    </w:p>
    <w:p>
      <w:pPr>
        <w:spacing w:after="0" w:line="22" w:lineRule="exact"/>
        <w:rPr>
          <w:sz w:val="20"/>
          <w:szCs w:val="20"/>
          <w:color w:val="auto"/>
        </w:rPr>
      </w:pPr>
    </w:p>
    <w:p>
      <w:pPr>
        <w:ind w:left="780" w:hanging="193"/>
        <w:spacing w:after="0" w:line="274" w:lineRule="auto"/>
        <w:rPr>
          <w:sz w:val="20"/>
          <w:szCs w:val="20"/>
          <w:color w:val="auto"/>
        </w:rPr>
      </w:pPr>
      <w:r>
        <w:rPr>
          <w:rFonts w:ascii="Arial" w:cs="Arial" w:eastAsia="Arial" w:hAnsi="Arial"/>
          <w:sz w:val="14"/>
          <w:szCs w:val="14"/>
          <w:color w:val="auto"/>
        </w:rPr>
        <w:t>Ordinary shares, NIS 0.01 par value: 26,345,297 shares authorized (actual and pro forma) and 200,000,000 shares authorized (pro forma as adjusted); 8,973,224 shares issued and outstanding (actual), 21,601,965 shares issued and outstanding (pro forma), and 28,701,965 shares issued and outstanding (pro forma as adjusted)</w:t>
      </w:r>
      <w:r>
        <w:rPr>
          <w:rFonts w:ascii="Arial" w:cs="Arial" w:eastAsia="Arial" w:hAnsi="Arial"/>
          <w:sz w:val="22"/>
          <w:szCs w:val="22"/>
          <w:color w:val="auto"/>
          <w:vertAlign w:val="superscript"/>
        </w:rPr>
        <w:t>(1)</w:t>
      </w:r>
    </w:p>
    <w:p>
      <w:pPr>
        <w:spacing w:after="0" w:line="3" w:lineRule="exact"/>
        <w:rPr>
          <w:sz w:val="20"/>
          <w:szCs w:val="20"/>
          <w:color w:val="auto"/>
        </w:rPr>
      </w:pPr>
    </w:p>
    <w:p>
      <w:pPr>
        <w:ind w:left="780" w:hanging="193"/>
        <w:spacing w:after="0" w:line="269" w:lineRule="auto"/>
        <w:rPr>
          <w:sz w:val="20"/>
          <w:szCs w:val="20"/>
          <w:color w:val="auto"/>
        </w:rPr>
      </w:pPr>
      <w:r>
        <w:rPr>
          <w:rFonts w:ascii="Arial" w:cs="Arial" w:eastAsia="Arial" w:hAnsi="Arial"/>
          <w:sz w:val="15"/>
          <w:szCs w:val="15"/>
          <w:color w:val="auto"/>
        </w:rPr>
        <w:t>Series A-1 preferred shares, NIS 0.01 par value: 1,927,220 shares authorized (actual) and no shares authorized (pro forma and pro forma as adjusted); 1,927,140 shares issued and outstanding (actual) and no shares issued and outstanding (pro forma and pro forma as adjusted)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Additional paid-in capital</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Accumulated other comprehensive loss</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Retained earnings</w:t>
      </w:r>
    </w:p>
    <w:p>
      <w:pPr>
        <w:spacing w:after="0" w:line="1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Total shareholders’ equity</w:t>
      </w:r>
    </w:p>
    <w:p>
      <w:pPr>
        <w:spacing w:after="0" w:line="3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Total capitalization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As of December 31, 2014</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4999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ind w:left="340"/>
        <w:spacing w:after="0"/>
        <w:tabs>
          <w:tab w:leader="none" w:pos="1620" w:val="left"/>
          <w:tab w:leader="none" w:pos="3020" w:val="left"/>
        </w:tabs>
        <w:rPr>
          <w:sz w:val="20"/>
          <w:szCs w:val="20"/>
          <w:color w:val="auto"/>
        </w:rPr>
      </w:pPr>
      <w:r>
        <w:rPr>
          <w:rFonts w:ascii="Arial" w:cs="Arial" w:eastAsia="Arial" w:hAnsi="Arial"/>
          <w:sz w:val="15"/>
          <w:szCs w:val="15"/>
          <w:b w:val="1"/>
          <w:bCs w:val="1"/>
          <w:color w:val="auto"/>
        </w:rPr>
        <w:t>Actual</w:t>
      </w:r>
      <w:r>
        <w:rPr>
          <w:sz w:val="20"/>
          <w:szCs w:val="20"/>
          <w:color w:val="auto"/>
        </w:rPr>
        <w:tab/>
      </w:r>
      <w:r>
        <w:rPr>
          <w:rFonts w:ascii="Arial" w:cs="Arial" w:eastAsia="Arial" w:hAnsi="Arial"/>
          <w:sz w:val="15"/>
          <w:szCs w:val="15"/>
          <w:b w:val="1"/>
          <w:bCs w:val="1"/>
          <w:color w:val="auto"/>
        </w:rPr>
        <w:t>Pro forma</w:t>
      </w:r>
      <w:r>
        <w:rPr>
          <w:sz w:val="20"/>
          <w:szCs w:val="20"/>
          <w:color w:val="auto"/>
        </w:rPr>
        <w:tab/>
      </w:r>
      <w:r>
        <w:rPr>
          <w:rFonts w:ascii="Arial" w:cs="Arial" w:eastAsia="Arial" w:hAnsi="Arial"/>
          <w:sz w:val="12"/>
          <w:szCs w:val="12"/>
          <w:b w:val="1"/>
          <w:bCs w:val="1"/>
          <w:color w:val="auto"/>
        </w:rPr>
        <w:t>as adjusted</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24999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920" w:val="left"/>
          <w:tab w:leader="none" w:pos="1400" w:val="left"/>
          <w:tab w:leader="none" w:pos="2340" w:val="left"/>
          <w:tab w:leader="none" w:pos="2820" w:val="left"/>
          <w:tab w:leader="none" w:pos="37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r>
      <w:tr>
        <w:trPr>
          <w:trHeight w:val="194"/>
        </w:trPr>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12,770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12,770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101,794</w:t>
            </w:r>
          </w:p>
        </w:tc>
        <w:tc>
          <w:tcPr>
            <w:tcW w:w="20" w:type="dxa"/>
            <w:vAlign w:val="bottom"/>
          </w:tcPr>
          <w:p>
            <w:pPr>
              <w:spacing w:after="0"/>
              <w:rPr>
                <w:sz w:val="16"/>
                <w:szCs w:val="16"/>
                <w:color w:val="auto"/>
              </w:rPr>
            </w:pPr>
          </w:p>
        </w:tc>
      </w:tr>
      <w:tr>
        <w:trPr>
          <w:trHeight w:val="194"/>
        </w:trPr>
        <w:tc>
          <w:tcPr>
            <w:tcW w:w="36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(146)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(146)</w:t>
            </w:r>
          </w:p>
        </w:tc>
      </w:tr>
      <w:tr>
        <w:trPr>
          <w:trHeight w:val="206"/>
        </w:trPr>
        <w:tc>
          <w:tcPr>
            <w:tcW w:w="3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6,673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6,673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19,351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19,351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108,393</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19,351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19,351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108,393</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24999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4180" w:space="180"/>
            <w:col w:w="4659"/>
          </w:cols>
          <w:pgMar w:left="1440" w:top="123" w:right="1440" w:bottom="1440" w:gutter="0" w:footer="0" w:header="0"/>
          <w:type w:val="continuous"/>
        </w:sectPr>
      </w:pPr>
    </w:p>
    <w:p>
      <w:pPr>
        <w:ind w:left="580"/>
        <w:spacing w:after="0"/>
        <w:rPr>
          <w:sz w:val="20"/>
          <w:szCs w:val="20"/>
          <w:color w:val="auto"/>
        </w:rPr>
      </w:pPr>
      <w:r>
        <w:rPr>
          <w:rFonts w:ascii="Arial" w:cs="Arial" w:eastAsia="Arial" w:hAnsi="Arial"/>
          <w:sz w:val="19"/>
          <w:szCs w:val="19"/>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-133350</wp:posOffset>
            </wp:positionV>
            <wp:extent cx="24999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ind w:left="860" w:right="759" w:hanging="283"/>
        <w:spacing w:after="0" w:line="257" w:lineRule="auto"/>
        <w:tabs>
          <w:tab w:leader="none" w:pos="8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March 17, 2015, we effected a 1-for-6.5531 share split by means of a share dividend of 5.5531 ordinary shares for each ordinary share then outstanding. The number of authorized and outstanding shares has been adjusted to reflect this share split.</w:t>
      </w:r>
    </w:p>
    <w:p>
      <w:pPr>
        <w:spacing w:after="0" w:line="170" w:lineRule="exact"/>
        <w:rPr>
          <w:sz w:val="20"/>
          <w:szCs w:val="20"/>
          <w:color w:val="auto"/>
        </w:rPr>
      </w:pPr>
    </w:p>
    <w:p>
      <w:pPr>
        <w:jc w:val="both"/>
        <w:ind w:left="580" w:right="699" w:firstLine="194"/>
        <w:spacing w:after="0" w:line="267" w:lineRule="auto"/>
        <w:rPr>
          <w:sz w:val="20"/>
          <w:szCs w:val="20"/>
          <w:color w:val="auto"/>
        </w:rPr>
      </w:pPr>
      <w:r>
        <w:rPr>
          <w:rFonts w:ascii="Arial" w:cs="Arial" w:eastAsia="Arial" w:hAnsi="Arial"/>
          <w:sz w:val="16"/>
          <w:szCs w:val="16"/>
          <w:color w:val="auto"/>
        </w:rPr>
        <w:t>The preceding table excludes 2,640,564 ordinary shares reserved for issuance under our equity incentive plans as of December 31, 2014 in respect of which we had outstanding options to purchase 2,578,328 ordinary shares at a weighted average exercise price of $1.47 per share.</w:t>
      </w:r>
    </w:p>
    <w:p>
      <w:pPr>
        <w:spacing w:after="0" w:line="161" w:lineRule="exact"/>
        <w:rPr>
          <w:sz w:val="20"/>
          <w:szCs w:val="20"/>
          <w:color w:val="auto"/>
        </w:rPr>
      </w:pPr>
    </w:p>
    <w:p>
      <w:pPr>
        <w:ind w:left="580" w:right="799" w:firstLine="194"/>
        <w:spacing w:after="0" w:line="259" w:lineRule="auto"/>
        <w:rPr>
          <w:sz w:val="20"/>
          <w:szCs w:val="20"/>
          <w:color w:val="auto"/>
        </w:rPr>
      </w:pPr>
      <w:r>
        <w:rPr>
          <w:rFonts w:ascii="Arial" w:cs="Arial" w:eastAsia="Arial" w:hAnsi="Arial"/>
          <w:sz w:val="16"/>
          <w:szCs w:val="16"/>
          <w:color w:val="auto"/>
        </w:rPr>
        <w:t>A $1.00 increase (decrease) in the assumed initial public offering price of $14.00 would increase (decrease) the pro forma as adjusted amount of each of additional paid-in capital, total shareholders’ equity and total capitalization by approximately $6.6 million, assuming that the number of ordinary shares offered, as set forth on the cover page of this prospectus, remains the same and after deducting underwriting discounts and commissions and estimated offering expenses payable by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DILUTION</w:t>
      </w:r>
    </w:p>
    <w:p>
      <w:pPr>
        <w:spacing w:after="0" w:line="208" w:lineRule="exact"/>
        <w:rPr>
          <w:sz w:val="20"/>
          <w:szCs w:val="20"/>
          <w:color w:val="auto"/>
        </w:rPr>
      </w:pPr>
    </w:p>
    <w:p>
      <w:pPr>
        <w:ind w:left="580" w:right="719" w:firstLine="194"/>
        <w:spacing w:after="0" w:line="259" w:lineRule="auto"/>
        <w:rPr>
          <w:sz w:val="20"/>
          <w:szCs w:val="20"/>
          <w:color w:val="auto"/>
        </w:rPr>
      </w:pPr>
      <w:r>
        <w:rPr>
          <w:rFonts w:ascii="Arial" w:cs="Arial" w:eastAsia="Arial" w:hAnsi="Arial"/>
          <w:sz w:val="16"/>
          <w:szCs w:val="16"/>
          <w:color w:val="auto"/>
        </w:rPr>
        <w:t>If you invest in our ordinary shares in this offering, your ownership interest will be immediately diluted to the extent of the difference between the initial public offering price per share and the net tangible book value per ordinary share after this offering. On a pro forma basis, our consolidated net tangible book value as of December 31, 2014 was $19.1 million, or $0.88 per ordinary share. Pro forma consolidated net tangible book value per ordinary share was calculated by:</w:t>
      </w:r>
    </w:p>
    <w:p>
      <w:pPr>
        <w:spacing w:after="0" w:line="133" w:lineRule="exact"/>
        <w:rPr>
          <w:sz w:val="20"/>
          <w:szCs w:val="20"/>
          <w:color w:val="auto"/>
        </w:rPr>
      </w:pPr>
    </w:p>
    <w:p>
      <w:pPr>
        <w:ind w:left="940" w:hanging="169"/>
        <w:spacing w:after="0"/>
        <w:tabs>
          <w:tab w:leader="none" w:pos="940" w:val="left"/>
        </w:tabs>
        <w:numPr>
          <w:ilvl w:val="0"/>
          <w:numId w:val="24"/>
        </w:numPr>
        <w:rPr>
          <w:rFonts w:ascii="Arial" w:cs="Arial" w:eastAsia="Arial" w:hAnsi="Arial"/>
          <w:sz w:val="19"/>
          <w:szCs w:val="19"/>
          <w:color w:val="auto"/>
        </w:rPr>
      </w:pPr>
      <w:r>
        <w:rPr>
          <w:rFonts w:ascii="Arial" w:cs="Arial" w:eastAsia="Arial" w:hAnsi="Arial"/>
          <w:sz w:val="16"/>
          <w:szCs w:val="16"/>
          <w:color w:val="auto"/>
        </w:rPr>
        <w:t>subtracting our consolidated liabilities from our consolidated tangible assets; and</w:t>
      </w:r>
    </w:p>
    <w:p>
      <w:pPr>
        <w:spacing w:after="0" w:line="157" w:lineRule="exact"/>
        <w:rPr>
          <w:rFonts w:ascii="Arial" w:cs="Arial" w:eastAsia="Arial" w:hAnsi="Arial"/>
          <w:sz w:val="19"/>
          <w:szCs w:val="19"/>
          <w:color w:val="auto"/>
        </w:rPr>
      </w:pPr>
    </w:p>
    <w:p>
      <w:pPr>
        <w:ind w:left="940" w:hanging="169"/>
        <w:spacing w:after="0"/>
        <w:tabs>
          <w:tab w:leader="none" w:pos="940" w:val="left"/>
        </w:tabs>
        <w:numPr>
          <w:ilvl w:val="0"/>
          <w:numId w:val="24"/>
        </w:numPr>
        <w:rPr>
          <w:rFonts w:ascii="Arial" w:cs="Arial" w:eastAsia="Arial" w:hAnsi="Arial"/>
          <w:sz w:val="19"/>
          <w:szCs w:val="19"/>
          <w:color w:val="auto"/>
        </w:rPr>
      </w:pPr>
      <w:r>
        <w:rPr>
          <w:rFonts w:ascii="Arial" w:cs="Arial" w:eastAsia="Arial" w:hAnsi="Arial"/>
          <w:sz w:val="16"/>
          <w:szCs w:val="16"/>
          <w:color w:val="auto"/>
        </w:rPr>
        <w:t>dividing the difference by the number of ordinary shares outstanding on a pro forma basis.</w:t>
      </w:r>
    </w:p>
    <w:p>
      <w:pPr>
        <w:spacing w:after="0" w:line="145" w:lineRule="exact"/>
        <w:rPr>
          <w:sz w:val="20"/>
          <w:szCs w:val="20"/>
          <w:color w:val="auto"/>
        </w:rPr>
      </w:pPr>
    </w:p>
    <w:p>
      <w:pPr>
        <w:ind w:left="580" w:right="579" w:firstLine="194"/>
        <w:spacing w:after="0" w:line="297" w:lineRule="auto"/>
        <w:rPr>
          <w:sz w:val="20"/>
          <w:szCs w:val="20"/>
          <w:color w:val="auto"/>
        </w:rPr>
      </w:pPr>
      <w:r>
        <w:rPr>
          <w:rFonts w:ascii="Arial" w:cs="Arial" w:eastAsia="Arial" w:hAnsi="Arial"/>
          <w:sz w:val="14"/>
          <w:szCs w:val="14"/>
          <w:color w:val="auto"/>
        </w:rPr>
        <w:t>After giving effect to adjustments relating to this offering, our pro forma as adjusted consolidated net tangible book value on December 31, 2014 would have been approximately $108.1 million, equivalent to $3.77 per ordinary share. The adjustments made to determine our pro forma as adjusted consolidated net tangible book value are: (1) the conversion of all outstanding Series A-1 preferred shares into an equal number of ordinary shares; (2) an increase in consolidated tangible assets to reflect the net proceeds of this offering received by us as described under “Use of Proceeds”; (3) the addition of the 7,100,000 ordinary shares offered in this prospectus to the number of ordinary shares outstanding; (4) a one-time payment in the aggregate amount of $750,000 to our sponsor, Fortissimo Capital, in connection with the termination of our existing management services agreement with them; and (5) a payment of $250,000 in the aggregate to certain of our employees, including some of our executive officers, for their contribution to completing this offering.</w:t>
      </w:r>
    </w:p>
    <w:p>
      <w:pPr>
        <w:spacing w:after="0" w:line="109" w:lineRule="exact"/>
        <w:rPr>
          <w:sz w:val="20"/>
          <w:szCs w:val="20"/>
          <w:color w:val="auto"/>
        </w:rPr>
      </w:pPr>
    </w:p>
    <w:p>
      <w:pPr>
        <w:ind w:left="580" w:right="899" w:firstLine="194"/>
        <w:spacing w:after="0" w:line="316" w:lineRule="auto"/>
        <w:rPr>
          <w:sz w:val="20"/>
          <w:szCs w:val="20"/>
          <w:color w:val="auto"/>
        </w:rPr>
      </w:pPr>
      <w:r>
        <w:rPr>
          <w:rFonts w:ascii="Arial" w:cs="Arial" w:eastAsia="Arial" w:hAnsi="Arial"/>
          <w:sz w:val="15"/>
          <w:szCs w:val="15"/>
          <w:color w:val="auto"/>
        </w:rPr>
        <w:t>The following table illustrates the immediate increase in our pro forma as adjusted consolidated net tangible book value of $2.89 per ordinary share and the immediate pro forma as adjusted dilution to new investors: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4"/>
        </w:trPr>
        <w:tc>
          <w:tcPr>
            <w:tcW w:w="5080" w:type="dxa"/>
            <w:vAlign w:val="bottom"/>
          </w:tcPr>
          <w:p>
            <w:pPr>
              <w:spacing w:after="0"/>
              <w:rPr>
                <w:sz w:val="20"/>
                <w:szCs w:val="20"/>
                <w:color w:val="auto"/>
              </w:rPr>
            </w:pPr>
            <w:r>
              <w:rPr>
                <w:rFonts w:ascii="Arial" w:cs="Arial" w:eastAsia="Arial" w:hAnsi="Arial"/>
                <w:sz w:val="16"/>
                <w:szCs w:val="16"/>
                <w:color w:val="auto"/>
              </w:rPr>
              <w:t>Assumed initial public offering price per ordinary share</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3"/>
          </w:tcPr>
          <w:p>
            <w:pPr>
              <w:jc w:val="right"/>
              <w:ind w:right="24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194"/>
        </w:trPr>
        <w:tc>
          <w:tcPr>
            <w:tcW w:w="5080" w:type="dxa"/>
            <w:vAlign w:val="bottom"/>
          </w:tcPr>
          <w:p>
            <w:pPr>
              <w:ind w:left="200"/>
              <w:spacing w:after="0"/>
              <w:rPr>
                <w:sz w:val="20"/>
                <w:szCs w:val="20"/>
                <w:color w:val="auto"/>
              </w:rPr>
            </w:pPr>
            <w:r>
              <w:rPr>
                <w:rFonts w:ascii="Arial" w:cs="Arial" w:eastAsia="Arial" w:hAnsi="Arial"/>
                <w:sz w:val="16"/>
                <w:szCs w:val="16"/>
                <w:color w:val="auto"/>
                <w:w w:val="95"/>
              </w:rPr>
              <w:t>Pro forma consolidated net tangible book value per ordinary share as of</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5080" w:type="dxa"/>
            <w:vAlign w:val="bottom"/>
          </w:tcPr>
          <w:p>
            <w:pPr>
              <w:ind w:left="380"/>
              <w:spacing w:after="0"/>
              <w:rPr>
                <w:sz w:val="20"/>
                <w:szCs w:val="20"/>
                <w:color w:val="auto"/>
              </w:rPr>
            </w:pPr>
            <w:r>
              <w:rPr>
                <w:rFonts w:ascii="Arial" w:cs="Arial" w:eastAsia="Arial" w:hAnsi="Arial"/>
                <w:sz w:val="16"/>
                <w:szCs w:val="16"/>
                <w:color w:val="auto"/>
              </w:rPr>
              <w:t>December 31, 2014</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0.88</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4"/>
        </w:trPr>
        <w:tc>
          <w:tcPr>
            <w:tcW w:w="5080" w:type="dxa"/>
            <w:vAlign w:val="bottom"/>
          </w:tcPr>
          <w:p>
            <w:pPr>
              <w:ind w:left="200"/>
              <w:spacing w:after="0"/>
              <w:rPr>
                <w:sz w:val="20"/>
                <w:szCs w:val="20"/>
                <w:color w:val="auto"/>
              </w:rPr>
            </w:pPr>
            <w:r>
              <w:rPr>
                <w:rFonts w:ascii="Arial" w:cs="Arial" w:eastAsia="Arial" w:hAnsi="Arial"/>
                <w:sz w:val="16"/>
                <w:szCs w:val="16"/>
                <w:color w:val="auto"/>
                <w:w w:val="95"/>
              </w:rPr>
              <w:t>Increase in net tangible book value per ordinary share attributable to the</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6"/>
        </w:trPr>
        <w:tc>
          <w:tcPr>
            <w:tcW w:w="5080" w:type="dxa"/>
            <w:vAlign w:val="bottom"/>
          </w:tcPr>
          <w:p>
            <w:pPr>
              <w:ind w:left="380"/>
              <w:spacing w:after="0"/>
              <w:rPr>
                <w:sz w:val="20"/>
                <w:szCs w:val="20"/>
                <w:color w:val="auto"/>
              </w:rPr>
            </w:pPr>
            <w:r>
              <w:rPr>
                <w:rFonts w:ascii="Arial" w:cs="Arial" w:eastAsia="Arial" w:hAnsi="Arial"/>
                <w:sz w:val="16"/>
                <w:szCs w:val="16"/>
                <w:color w:val="auto"/>
              </w:rPr>
              <w:t>offering</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2.89</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62"/>
        </w:trPr>
        <w:tc>
          <w:tcPr>
            <w:tcW w:w="5080" w:type="dxa"/>
            <w:vAlign w:val="bottom"/>
          </w:tcPr>
          <w:p>
            <w:pPr>
              <w:spacing w:after="0" w:line="161" w:lineRule="exact"/>
              <w:rPr>
                <w:sz w:val="20"/>
                <w:szCs w:val="20"/>
                <w:color w:val="auto"/>
              </w:rPr>
            </w:pPr>
            <w:r>
              <w:rPr>
                <w:rFonts w:ascii="Arial" w:cs="Arial" w:eastAsia="Arial" w:hAnsi="Arial"/>
                <w:sz w:val="16"/>
                <w:szCs w:val="16"/>
                <w:color w:val="auto"/>
                <w:w w:val="93"/>
              </w:rPr>
              <w:t>Pro forma as adjusted net tangible book value per ordinary share after giving</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6"/>
        </w:trPr>
        <w:tc>
          <w:tcPr>
            <w:tcW w:w="5080" w:type="dxa"/>
            <w:vAlign w:val="bottom"/>
          </w:tcPr>
          <w:p>
            <w:pPr>
              <w:ind w:left="200"/>
              <w:spacing w:after="0"/>
              <w:rPr>
                <w:sz w:val="20"/>
                <w:szCs w:val="20"/>
                <w:color w:val="auto"/>
              </w:rPr>
            </w:pPr>
            <w:r>
              <w:rPr>
                <w:rFonts w:ascii="Arial" w:cs="Arial" w:eastAsia="Arial" w:hAnsi="Arial"/>
                <w:sz w:val="16"/>
                <w:szCs w:val="16"/>
                <w:color w:val="auto"/>
              </w:rPr>
              <w:t>effect to the offering</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198"/>
        </w:trPr>
        <w:tc>
          <w:tcPr>
            <w:tcW w:w="5080" w:type="dxa"/>
            <w:vAlign w:val="bottom"/>
          </w:tcPr>
          <w:p>
            <w:pPr>
              <w:spacing w:after="0"/>
              <w:rPr>
                <w:sz w:val="20"/>
                <w:szCs w:val="20"/>
                <w:color w:val="auto"/>
              </w:rPr>
            </w:pPr>
            <w:r>
              <w:rPr>
                <w:rFonts w:ascii="Arial" w:cs="Arial" w:eastAsia="Arial" w:hAnsi="Arial"/>
                <w:sz w:val="16"/>
                <w:szCs w:val="16"/>
                <w:color w:val="auto"/>
              </w:rPr>
              <w:t>Dilution per ordinary share to new investors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10.23</w:t>
            </w:r>
          </w:p>
        </w:tc>
      </w:tr>
    </w:tbl>
    <w:p>
      <w:pPr>
        <w:spacing w:after="0" w:line="145" w:lineRule="exact"/>
        <w:rPr>
          <w:sz w:val="20"/>
          <w:szCs w:val="20"/>
          <w:color w:val="auto"/>
        </w:rPr>
      </w:pPr>
    </w:p>
    <w:p>
      <w:pPr>
        <w:ind w:left="580" w:right="579" w:firstLine="194"/>
        <w:spacing w:after="0" w:line="278" w:lineRule="auto"/>
        <w:rPr>
          <w:sz w:val="20"/>
          <w:szCs w:val="20"/>
          <w:color w:val="auto"/>
        </w:rPr>
      </w:pPr>
      <w:r>
        <w:rPr>
          <w:rFonts w:ascii="Arial" w:cs="Arial" w:eastAsia="Arial" w:hAnsi="Arial"/>
          <w:sz w:val="15"/>
          <w:szCs w:val="15"/>
          <w:color w:val="auto"/>
        </w:rPr>
        <w:t>A $1.00 increase (decrease) in the assumed initial public offering price of $14.00 per ordinary share would increase (decrease) the consolidated net tangible book value attributable to this offering by $0.23 per ordinary share, the pro forma as adjusted consolidated net tangible book value after giving effect to this offering by $0.23 per ordinary share and the dilution per ordinary share to new investors in this offering by $0.77, assuming that the number of ordinary shares offered, as set forth on the cover page of this prospectus, remains the same and after deducting underwriting discounts and commissions and estimated offering expenses payable by us.</w:t>
      </w:r>
    </w:p>
    <w:p>
      <w:pPr>
        <w:spacing w:after="0" w:line="122" w:lineRule="exact"/>
        <w:rPr>
          <w:sz w:val="20"/>
          <w:szCs w:val="20"/>
          <w:color w:val="auto"/>
        </w:rPr>
      </w:pPr>
    </w:p>
    <w:p>
      <w:pPr>
        <w:ind w:left="580" w:right="599" w:firstLine="194"/>
        <w:spacing w:after="0" w:line="281" w:lineRule="auto"/>
        <w:rPr>
          <w:sz w:val="20"/>
          <w:szCs w:val="20"/>
          <w:color w:val="auto"/>
        </w:rPr>
      </w:pPr>
      <w:r>
        <w:rPr>
          <w:rFonts w:ascii="Arial" w:cs="Arial" w:eastAsia="Arial" w:hAnsi="Arial"/>
          <w:sz w:val="15"/>
          <w:szCs w:val="15"/>
          <w:color w:val="auto"/>
        </w:rPr>
        <w:t>The table below summarizes, as of December 31, 2014, on the pro forma as adjusted basis described above, the differences between the number of ordinary shares purchased from us, the total consideration paid and the weighted average price per ordinary share paid by existing shareholders, on the one hand, and by new investors purchasing our ordinary shares in this offering, on the other hand, at an assumed initial public offering price of $14.00 per ordinary share before deducting underwriting discounts and commissions and estimated offering expenses payable by us.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Average</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2120" w:type="dxa"/>
            <w:vAlign w:val="bottom"/>
            <w:gridSpan w:val="4"/>
          </w:tcPr>
          <w:p>
            <w:pPr>
              <w:jc w:val="right"/>
              <w:ind w:right="620"/>
              <w:spacing w:after="0"/>
              <w:rPr>
                <w:sz w:val="20"/>
                <w:szCs w:val="20"/>
                <w:color w:val="auto"/>
              </w:rPr>
            </w:pPr>
            <w:r>
              <w:rPr>
                <w:rFonts w:ascii="Arial" w:cs="Arial" w:eastAsia="Arial" w:hAnsi="Arial"/>
                <w:sz w:val="15"/>
                <w:szCs w:val="15"/>
                <w:b w:val="1"/>
                <w:bCs w:val="1"/>
                <w:color w:val="auto"/>
              </w:rPr>
              <w:t>Shares Purchased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5"/>
          </w:tcPr>
          <w:p>
            <w:pPr>
              <w:jc w:val="right"/>
              <w:ind w:right="664"/>
              <w:spacing w:after="0"/>
              <w:rPr>
                <w:sz w:val="20"/>
                <w:szCs w:val="20"/>
                <w:color w:val="auto"/>
              </w:rPr>
            </w:pPr>
            <w:r>
              <w:rPr>
                <w:rFonts w:ascii="Arial" w:cs="Arial" w:eastAsia="Arial" w:hAnsi="Arial"/>
                <w:sz w:val="15"/>
                <w:szCs w:val="15"/>
                <w:b w:val="1"/>
                <w:bCs w:val="1"/>
                <w:color w:val="auto"/>
              </w:rPr>
              <w:t>Total Consideration</w:t>
            </w:r>
          </w:p>
        </w:tc>
        <w:tc>
          <w:tcPr>
            <w:tcW w:w="7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7"/>
              </w:rPr>
              <w:t>Price</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b w:val="1"/>
                <w:bCs w:val="1"/>
                <w:color w:val="auto"/>
              </w:rPr>
              <w:t>Number</w:t>
            </w: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5"/>
                <w:szCs w:val="15"/>
                <w:b w:val="1"/>
                <w:bCs w:val="1"/>
                <w:color w:val="auto"/>
              </w:rPr>
              <w:t>Amount</w:t>
            </w:r>
          </w:p>
        </w:tc>
        <w:tc>
          <w:tcPr>
            <w:tcW w:w="8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6"/>
              </w:rPr>
              <w:t>per Share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line="174" w:lineRule="exact"/>
              <w:rPr>
                <w:sz w:val="20"/>
                <w:szCs w:val="20"/>
                <w:color w:val="auto"/>
              </w:rPr>
            </w:pPr>
            <w:r>
              <w:rPr>
                <w:rFonts w:ascii="Arial" w:cs="Arial" w:eastAsia="Arial" w:hAnsi="Arial"/>
                <w:sz w:val="16"/>
                <w:szCs w:val="16"/>
                <w:color w:val="auto"/>
              </w:rPr>
              <w:t>Existing shareholders</w:t>
            </w:r>
          </w:p>
        </w:tc>
        <w:tc>
          <w:tcPr>
            <w:tcW w:w="880" w:type="dxa"/>
            <w:vAlign w:val="bottom"/>
          </w:tcPr>
          <w:p>
            <w:pPr>
              <w:jc w:val="right"/>
              <w:spacing w:after="0" w:line="174" w:lineRule="exact"/>
              <w:rPr>
                <w:sz w:val="20"/>
                <w:szCs w:val="20"/>
                <w:color w:val="auto"/>
              </w:rPr>
            </w:pPr>
            <w:r>
              <w:rPr>
                <w:rFonts w:ascii="Arial" w:cs="Arial" w:eastAsia="Arial" w:hAnsi="Arial"/>
                <w:sz w:val="16"/>
                <w:szCs w:val="16"/>
                <w:color w:val="auto"/>
              </w:rPr>
              <w:t>21,601,965</w:t>
            </w:r>
          </w:p>
        </w:tc>
        <w:tc>
          <w:tcPr>
            <w:tcW w:w="260" w:type="dxa"/>
            <w:vAlign w:val="bottom"/>
          </w:tcPr>
          <w:p>
            <w:pPr>
              <w:spacing w:after="0"/>
              <w:rPr>
                <w:sz w:val="15"/>
                <w:szCs w:val="15"/>
                <w:color w:val="auto"/>
              </w:rPr>
            </w:pPr>
          </w:p>
        </w:tc>
        <w:tc>
          <w:tcPr>
            <w:tcW w:w="980" w:type="dxa"/>
            <w:vAlign w:val="bottom"/>
            <w:gridSpan w:val="2"/>
          </w:tcPr>
          <w:p>
            <w:pPr>
              <w:jc w:val="right"/>
              <w:ind w:right="80"/>
              <w:spacing w:after="0" w:line="174" w:lineRule="exact"/>
              <w:rPr>
                <w:sz w:val="20"/>
                <w:szCs w:val="20"/>
                <w:color w:val="auto"/>
              </w:rPr>
            </w:pPr>
            <w:r>
              <w:rPr>
                <w:rFonts w:ascii="Arial" w:cs="Arial" w:eastAsia="Arial" w:hAnsi="Arial"/>
                <w:sz w:val="16"/>
                <w:szCs w:val="16"/>
                <w:color w:val="auto"/>
              </w:rPr>
              <w:t>75.3%</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line="174" w:lineRule="exact"/>
              <w:rPr>
                <w:sz w:val="20"/>
                <w:szCs w:val="20"/>
                <w:color w:val="auto"/>
              </w:rPr>
            </w:pPr>
            <w:r>
              <w:rPr>
                <w:rFonts w:ascii="Arial" w:cs="Arial" w:eastAsia="Arial" w:hAnsi="Arial"/>
                <w:sz w:val="16"/>
                <w:szCs w:val="16"/>
                <w:color w:val="auto"/>
                <w:w w:val="97"/>
              </w:rPr>
              <w:t>10,734,179</w:t>
            </w:r>
          </w:p>
        </w:tc>
        <w:tc>
          <w:tcPr>
            <w:tcW w:w="1080" w:type="dxa"/>
            <w:vAlign w:val="bottom"/>
            <w:gridSpan w:val="2"/>
          </w:tcPr>
          <w:p>
            <w:pPr>
              <w:jc w:val="right"/>
              <w:ind w:right="83"/>
              <w:spacing w:after="0" w:line="174" w:lineRule="exact"/>
              <w:rPr>
                <w:sz w:val="20"/>
                <w:szCs w:val="20"/>
                <w:color w:val="auto"/>
              </w:rPr>
            </w:pPr>
            <w:r>
              <w:rPr>
                <w:rFonts w:ascii="Arial" w:cs="Arial" w:eastAsia="Arial" w:hAnsi="Arial"/>
                <w:sz w:val="16"/>
                <w:szCs w:val="16"/>
                <w:color w:val="auto"/>
              </w:rPr>
              <w:t>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0.50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New investors</w:t>
            </w:r>
          </w:p>
        </w:tc>
        <w:tc>
          <w:tcPr>
            <w:tcW w:w="880" w:type="dxa"/>
            <w:vAlign w:val="bottom"/>
          </w:tcPr>
          <w:p>
            <w:pPr>
              <w:jc w:val="right"/>
              <w:spacing w:after="0"/>
              <w:rPr>
                <w:sz w:val="20"/>
                <w:szCs w:val="20"/>
                <w:color w:val="auto"/>
              </w:rPr>
            </w:pPr>
            <w:r>
              <w:rPr>
                <w:rFonts w:ascii="Arial" w:cs="Arial" w:eastAsia="Arial" w:hAnsi="Arial"/>
                <w:sz w:val="16"/>
                <w:szCs w:val="16"/>
                <w:color w:val="auto"/>
              </w:rPr>
              <w:t>7,100,000</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w w:val="97"/>
              </w:rPr>
              <w:t>99,400,000</w:t>
            </w:r>
          </w:p>
        </w:tc>
        <w:tc>
          <w:tcPr>
            <w:tcW w:w="800" w:type="dxa"/>
            <w:vAlign w:val="bottom"/>
          </w:tcPr>
          <w:p>
            <w:pPr>
              <w:jc w:val="right"/>
              <w:spacing w:after="0"/>
              <w:rPr>
                <w:sz w:val="20"/>
                <w:szCs w:val="20"/>
                <w:color w:val="auto"/>
              </w:rPr>
            </w:pPr>
            <w:r>
              <w:rPr>
                <w:rFonts w:ascii="Arial" w:cs="Arial" w:eastAsia="Arial" w:hAnsi="Arial"/>
                <w:sz w:val="16"/>
                <w:szCs w:val="16"/>
                <w:color w:val="auto"/>
              </w:rPr>
              <w:t>90.3</w:t>
            </w:r>
          </w:p>
        </w:tc>
        <w:tc>
          <w:tcPr>
            <w:tcW w:w="280" w:type="dxa"/>
            <w:vAlign w:val="bottom"/>
            <w:vMerge w:val="restart"/>
          </w:tcPr>
          <w:p>
            <w:pPr>
              <w:jc w:val="right"/>
              <w:ind w:right="43"/>
              <w:spacing w:after="0"/>
              <w:rPr>
                <w:sz w:val="20"/>
                <w:szCs w:val="20"/>
                <w:color w:val="auto"/>
              </w:rPr>
            </w:pPr>
            <w:r>
              <w:rPr>
                <w:rFonts w:ascii="Arial" w:cs="Arial" w:eastAsia="Arial" w:hAnsi="Arial"/>
                <w:sz w:val="19"/>
                <w:szCs w:val="19"/>
                <w:color w:val="auto"/>
                <w:w w:val="70"/>
              </w:rPr>
              <w:t>%</w:t>
            </w: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48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28,701,965</w:t>
            </w:r>
          </w:p>
        </w:tc>
        <w:tc>
          <w:tcPr>
            <w:tcW w:w="260" w:type="dxa"/>
            <w:vAlign w:val="bottom"/>
            <w:vMerge w:val="continue"/>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c>
          <w:tcPr>
            <w:tcW w:w="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110,134,179</w:t>
            </w:r>
          </w:p>
        </w:tc>
        <w:tc>
          <w:tcPr>
            <w:tcW w:w="2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580" w:right="719" w:firstLine="194"/>
        <w:spacing w:after="0" w:line="281" w:lineRule="auto"/>
        <w:rPr>
          <w:sz w:val="20"/>
          <w:szCs w:val="20"/>
          <w:color w:val="auto"/>
        </w:rPr>
      </w:pPr>
      <w:r>
        <w:rPr>
          <w:rFonts w:ascii="Arial" w:cs="Arial" w:eastAsia="Arial" w:hAnsi="Arial"/>
          <w:sz w:val="16"/>
          <w:szCs w:val="16"/>
          <w:color w:val="auto"/>
        </w:rPr>
        <w:t>The above discussion and tables are based on 28,701,965 ordinary shares issued and outstanding as of December 31, 2014, on a pro forma as adjusted basis as described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34" w:name="page35"/>
    <w:bookmarkEnd w:id="34"/>
    <w:p>
      <w:pPr>
        <w:ind w:left="580" w:right="639" w:firstLine="194"/>
        <w:spacing w:after="0" w:line="262" w:lineRule="auto"/>
        <w:rPr>
          <w:sz w:val="20"/>
          <w:szCs w:val="20"/>
          <w:color w:val="auto"/>
        </w:rPr>
      </w:pPr>
      <w:r>
        <w:rPr>
          <w:rFonts w:ascii="Arial" w:cs="Arial" w:eastAsia="Arial" w:hAnsi="Arial"/>
          <w:sz w:val="16"/>
          <w:szCs w:val="16"/>
          <w:color w:val="auto"/>
        </w:rPr>
        <w:t>The discussion and table above assume no exercise of the underwriters’ option to purchase additional ordinary shares. If the underwriters exercise their option to purchase additional ordinary shares in full, the pro forma number of our ordinary shares held by new investors will increase to 8,165,000, or approximately 27.4%, of the total pro forma number of our ordinary shares outstanding after this offering.</w:t>
      </w:r>
    </w:p>
    <w:p>
      <w:pPr>
        <w:spacing w:after="0" w:line="166" w:lineRule="exact"/>
        <w:rPr>
          <w:sz w:val="20"/>
          <w:szCs w:val="20"/>
          <w:color w:val="auto"/>
        </w:rPr>
      </w:pPr>
    </w:p>
    <w:p>
      <w:pPr>
        <w:jc w:val="both"/>
        <w:ind w:left="580" w:right="699" w:firstLine="194"/>
        <w:spacing w:after="0" w:line="267" w:lineRule="auto"/>
        <w:rPr>
          <w:sz w:val="20"/>
          <w:szCs w:val="20"/>
          <w:color w:val="auto"/>
        </w:rPr>
      </w:pPr>
      <w:r>
        <w:rPr>
          <w:rFonts w:ascii="Arial" w:cs="Arial" w:eastAsia="Arial" w:hAnsi="Arial"/>
          <w:sz w:val="16"/>
          <w:szCs w:val="16"/>
          <w:color w:val="auto"/>
        </w:rPr>
        <w:t>The preceding table excludes 2,640,564 ordinary shares reserved for issuance under our equity incentive plans as of December 31, 2014 in respect of which we had outstanding options to purchase 2,578,328 ordinary shares at a weighted average exercise price of $1.47 per share.</w:t>
      </w:r>
    </w:p>
    <w:p>
      <w:pPr>
        <w:spacing w:after="0" w:line="161" w:lineRule="exact"/>
        <w:rPr>
          <w:sz w:val="20"/>
          <w:szCs w:val="20"/>
          <w:color w:val="auto"/>
        </w:rPr>
      </w:pPr>
    </w:p>
    <w:p>
      <w:pPr>
        <w:ind w:left="580" w:right="579" w:firstLine="194"/>
        <w:spacing w:after="0" w:line="277" w:lineRule="auto"/>
        <w:rPr>
          <w:sz w:val="20"/>
          <w:szCs w:val="20"/>
          <w:color w:val="auto"/>
        </w:rPr>
      </w:pPr>
      <w:r>
        <w:rPr>
          <w:rFonts w:ascii="Arial" w:cs="Arial" w:eastAsia="Arial" w:hAnsi="Arial"/>
          <w:sz w:val="15"/>
          <w:szCs w:val="15"/>
          <w:color w:val="auto"/>
        </w:rPr>
        <w:t>If all of such outstanding options were exercised, pro forma as adjusted consolidated net tangible book value per share would be $3.56, dilution per ordinary share to new investors would be $10.44, the number of shares held by our existing shareholders would increase to 24,180,293, constituting 77.3% of our total issued shares (while new shareholders in this offering would only hold 22.7% of our issued shares), the total consideration amount paid by existing shareholders would increase to $14.5 million, or 12.8% of total consideration received by us for our shares (while the percentage of consideration paid by new shareholders in this offering would decrease to 87.2%) and the average price per share paid by our existing shareholders would instead be $0.60.</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SELECTED CONSOLIDATED FINANCIAL DATA</w:t>
      </w:r>
    </w:p>
    <w:p>
      <w:pPr>
        <w:spacing w:after="0" w:line="208" w:lineRule="exact"/>
        <w:rPr>
          <w:sz w:val="20"/>
          <w:szCs w:val="20"/>
          <w:color w:val="auto"/>
        </w:rPr>
      </w:pPr>
    </w:p>
    <w:p>
      <w:pPr>
        <w:ind w:left="580" w:right="619" w:firstLine="194"/>
        <w:spacing w:after="0" w:line="259" w:lineRule="auto"/>
        <w:rPr>
          <w:sz w:val="20"/>
          <w:szCs w:val="20"/>
          <w:color w:val="auto"/>
        </w:rPr>
      </w:pPr>
      <w:r>
        <w:rPr>
          <w:rFonts w:ascii="Arial" w:cs="Arial" w:eastAsia="Arial" w:hAnsi="Arial"/>
          <w:sz w:val="16"/>
          <w:szCs w:val="16"/>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prospectus, including “Management’s Discussion and Analysis of Financial Condition and Results of Operations” and our consolidated financial statements and the related notes appearing elsewhere in this prospectus.</w:t>
      </w:r>
    </w:p>
    <w:p>
      <w:pPr>
        <w:spacing w:after="0" w:line="170" w:lineRule="exact"/>
        <w:rPr>
          <w:sz w:val="20"/>
          <w:szCs w:val="20"/>
          <w:color w:val="auto"/>
        </w:rPr>
      </w:pPr>
    </w:p>
    <w:p>
      <w:pPr>
        <w:ind w:left="580" w:right="599" w:firstLine="194"/>
        <w:spacing w:after="0" w:line="257" w:lineRule="auto"/>
        <w:rPr>
          <w:sz w:val="20"/>
          <w:szCs w:val="20"/>
          <w:color w:val="auto"/>
        </w:rPr>
      </w:pPr>
      <w:r>
        <w:rPr>
          <w:rFonts w:ascii="Arial" w:cs="Arial" w:eastAsia="Arial" w:hAnsi="Arial"/>
          <w:sz w:val="16"/>
          <w:szCs w:val="16"/>
          <w:color w:val="auto"/>
        </w:rPr>
        <w:t>The selected consolidated statements of income data for the years ended December 31, 2012, 2013 and 2014 and selected consolidated balance sheet data as of December 31, 2013 and 2014 are derived from our audited consolidated financial statements appearing elsewhere in this prospectus. The selected consolidated balance sheet data as of December 31, 2012 has been derived from our audited consolidated financial statements not appearing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w w:val="90"/>
              </w:rPr>
              <w:t>Year Ended December 31,</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2012</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2013</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80" w:type="dxa"/>
            <w:vAlign w:val="bottom"/>
          </w:tcPr>
          <w:p>
            <w:pPr>
              <w:spacing w:after="0"/>
              <w:rPr>
                <w:sz w:val="15"/>
                <w:szCs w:val="15"/>
                <w:color w:val="auto"/>
              </w:rPr>
            </w:pPr>
          </w:p>
        </w:tc>
        <w:tc>
          <w:tcPr>
            <w:tcW w:w="3880" w:type="dxa"/>
            <w:vAlign w:val="bottom"/>
            <w:gridSpan w:val="10"/>
          </w:tcPr>
          <w:p>
            <w:pPr>
              <w:ind w:left="220"/>
              <w:spacing w:after="0"/>
              <w:rPr>
                <w:sz w:val="20"/>
                <w:szCs w:val="20"/>
                <w:color w:val="auto"/>
              </w:rPr>
            </w:pPr>
            <w:r>
              <w:rPr>
                <w:rFonts w:ascii="Arial" w:cs="Arial" w:eastAsia="Arial" w:hAnsi="Arial"/>
                <w:sz w:val="15"/>
                <w:szCs w:val="15"/>
                <w:b w:val="1"/>
                <w:bCs w:val="1"/>
                <w:color w:val="auto"/>
                <w:w w:val="89"/>
              </w:rPr>
              <w:t>(in thousands, except share amounts and per share data)</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39,167</w:t>
            </w:r>
          </w:p>
        </w:tc>
        <w:tc>
          <w:tcPr>
            <w:tcW w:w="5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49,395</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66,364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line="207" w:lineRule="exact"/>
              <w:rPr>
                <w:sz w:val="20"/>
                <w:szCs w:val="20"/>
                <w:color w:val="auto"/>
              </w:rPr>
            </w:pPr>
            <w:r>
              <w:rPr>
                <w:rFonts w:ascii="Arial" w:cs="Arial" w:eastAsia="Arial" w:hAnsi="Arial"/>
                <w:sz w:val="16"/>
                <w:szCs w:val="16"/>
                <w:color w:val="auto"/>
              </w:rPr>
              <w:t>Cost of revenues</w:t>
            </w:r>
            <w:r>
              <w:rPr>
                <w:rFonts w:ascii="Arial" w:cs="Arial" w:eastAsia="Arial" w:hAnsi="Arial"/>
                <w:sz w:val="21"/>
                <w:szCs w:val="21"/>
                <w:b w:val="1"/>
                <w:bCs w:val="1"/>
                <w:color w:val="auto"/>
                <w:vertAlign w:val="superscript"/>
              </w:rPr>
              <w:t>(1)</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22,741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27,953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37,187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Gross profit</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16,426</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21,442</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29,177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line="174" w:lineRule="exact"/>
              <w:rPr>
                <w:sz w:val="20"/>
                <w:szCs w:val="20"/>
                <w:color w:val="auto"/>
              </w:rPr>
            </w:pPr>
            <w:r>
              <w:rPr>
                <w:rFonts w:ascii="Arial" w:cs="Arial" w:eastAsia="Arial" w:hAnsi="Arial"/>
                <w:sz w:val="16"/>
                <w:szCs w:val="16"/>
                <w:color w:val="auto"/>
              </w:rPr>
              <w:t>Operating expenses:</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line="194"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b w:val="1"/>
                <w:bCs w:val="1"/>
                <w:color w:val="auto"/>
                <w:vertAlign w:val="superscript"/>
              </w:rPr>
              <w:t>(1)</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4,839</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7,443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9,475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line="194"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b w:val="1"/>
                <w:bCs w:val="1"/>
                <w:color w:val="auto"/>
                <w:vertAlign w:val="superscript"/>
              </w:rPr>
              <w:t>(1)</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4,668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7,734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10,616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00"/>
              <w:spacing w:after="0" w:line="207"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b w:val="1"/>
                <w:bCs w:val="1"/>
                <w:color w:val="auto"/>
                <w:vertAlign w:val="superscript"/>
              </w:rPr>
              <w:t>(1)</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3,092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3,278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5,266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12,599</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18,455</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25,357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Operating income</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3,827</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3,820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Finance expenses, net</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line="174" w:lineRule="exact"/>
              <w:rPr>
                <w:sz w:val="20"/>
                <w:szCs w:val="20"/>
                <w:color w:val="auto"/>
              </w:rPr>
            </w:pPr>
            <w:r>
              <w:rPr>
                <w:rFonts w:ascii="Arial" w:cs="Arial" w:eastAsia="Arial" w:hAnsi="Arial"/>
                <w:sz w:val="16"/>
                <w:szCs w:val="16"/>
                <w:color w:val="auto"/>
              </w:rPr>
              <w:t>Income before taxes on income</w:t>
            </w:r>
          </w:p>
        </w:tc>
        <w:tc>
          <w:tcPr>
            <w:tcW w:w="8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3,542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2,527</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20"/>
              <w:spacing w:after="0" w:line="174" w:lineRule="exact"/>
              <w:rPr>
                <w:sz w:val="20"/>
                <w:szCs w:val="20"/>
                <w:color w:val="auto"/>
              </w:rPr>
            </w:pPr>
            <w:r>
              <w:rPr>
                <w:rFonts w:ascii="Arial" w:cs="Arial" w:eastAsia="Arial" w:hAnsi="Arial"/>
                <w:sz w:val="16"/>
                <w:szCs w:val="16"/>
                <w:color w:val="auto"/>
              </w:rPr>
              <w:t>3,805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Taxes on income</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1,228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1,393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Net income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210" w:lineRule="exact"/>
              <w:rPr>
                <w:sz w:val="20"/>
                <w:szCs w:val="20"/>
                <w:color w:val="auto"/>
              </w:rPr>
            </w:pPr>
            <w:r>
              <w:rPr>
                <w:rFonts w:ascii="Arial" w:cs="Arial" w:eastAsia="Arial" w:hAnsi="Arial"/>
                <w:sz w:val="16"/>
                <w:szCs w:val="16"/>
                <w:color w:val="auto"/>
              </w:rPr>
              <w:t>Net earnings per ordinary share</w:t>
            </w:r>
            <w:r>
              <w:rPr>
                <w:rFonts w:ascii="Arial" w:cs="Arial" w:eastAsia="Arial" w:hAnsi="Arial"/>
                <w:sz w:val="21"/>
                <w:szCs w:val="21"/>
                <w:b w:val="1"/>
                <w:bCs w:val="1"/>
                <w:color w:val="auto"/>
                <w:vertAlign w:val="superscript"/>
              </w:rPr>
              <w:t>(2)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0.26</w:t>
            </w:r>
          </w:p>
        </w:tc>
        <w:tc>
          <w:tcPr>
            <w:tcW w:w="540" w:type="dxa"/>
            <w:vAlign w:val="bottom"/>
            <w:gridSpan w:val="2"/>
            <w:vMerge w:val="restart"/>
          </w:tcPr>
          <w:p>
            <w:pPr>
              <w:jc w:val="right"/>
              <w:ind w:right="84"/>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0.13</w:t>
            </w:r>
          </w:p>
        </w:tc>
        <w:tc>
          <w:tcPr>
            <w:tcW w:w="220" w:type="dxa"/>
            <w:vAlign w:val="bottom"/>
            <w:gridSpan w:val="2"/>
            <w:vMerge w:val="restart"/>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Basic</w:t>
            </w:r>
          </w:p>
        </w:tc>
        <w:tc>
          <w:tcPr>
            <w:tcW w:w="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0.24</w:t>
            </w:r>
          </w:p>
        </w:tc>
        <w:tc>
          <w:tcPr>
            <w:tcW w:w="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4"/>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0.11</w:t>
            </w:r>
          </w:p>
        </w:tc>
        <w:tc>
          <w:tcPr>
            <w:tcW w:w="3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0.29</w:t>
            </w: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174" w:lineRule="exact"/>
              <w:rPr>
                <w:sz w:val="20"/>
                <w:szCs w:val="20"/>
                <w:color w:val="auto"/>
              </w:rPr>
            </w:pPr>
            <w:r>
              <w:rPr>
                <w:rFonts w:ascii="Arial" w:cs="Arial" w:eastAsia="Arial" w:hAnsi="Arial"/>
                <w:sz w:val="16"/>
                <w:szCs w:val="16"/>
                <w:color w:val="auto"/>
                <w:w w:val="99"/>
              </w:rPr>
              <w:t>Weighted average number of ordinary shares used in</w:t>
            </w: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6"/>
                <w:szCs w:val="16"/>
                <w:color w:val="auto"/>
              </w:rPr>
              <w:t>computing income per ordinary share</w:t>
            </w:r>
            <w:r>
              <w:rPr>
                <w:rFonts w:ascii="Arial" w:cs="Arial" w:eastAsia="Arial" w:hAnsi="Arial"/>
                <w:sz w:val="21"/>
                <w:szCs w:val="21"/>
                <w:b w:val="1"/>
                <w:bCs w:val="1"/>
                <w:color w:val="auto"/>
                <w:vertAlign w:val="superscript"/>
              </w:rPr>
              <w:t>(2)</w:t>
            </w:r>
          </w:p>
        </w:tc>
        <w:tc>
          <w:tcPr>
            <w:tcW w:w="80" w:type="dxa"/>
            <w:vAlign w:val="bottom"/>
          </w:tcPr>
          <w:p>
            <w:pPr>
              <w:spacing w:after="0"/>
              <w:rPr>
                <w:sz w:val="17"/>
                <w:szCs w:val="17"/>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8,953,565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8,953,565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8,969,588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9,649,573</w:t>
            </w:r>
          </w:p>
        </w:tc>
        <w:tc>
          <w:tcPr>
            <w:tcW w:w="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9,880,049</w:t>
            </w: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10,446,353</w:t>
            </w: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210" w:lineRule="exact"/>
              <w:rPr>
                <w:sz w:val="20"/>
                <w:szCs w:val="20"/>
                <w:color w:val="auto"/>
              </w:rPr>
            </w:pPr>
            <w:r>
              <w:rPr>
                <w:rFonts w:ascii="Arial" w:cs="Arial" w:eastAsia="Arial" w:hAnsi="Arial"/>
                <w:sz w:val="16"/>
                <w:szCs w:val="16"/>
                <w:color w:val="auto"/>
              </w:rPr>
              <w:t>Pro forma net earnings per ordinary share</w:t>
            </w:r>
            <w:r>
              <w:rPr>
                <w:rFonts w:ascii="Arial" w:cs="Arial" w:eastAsia="Arial" w:hAnsi="Arial"/>
                <w:sz w:val="21"/>
                <w:szCs w:val="21"/>
                <w:b w:val="1"/>
                <w:bCs w:val="1"/>
                <w:color w:val="auto"/>
                <w:vertAlign w:val="superscript"/>
              </w:rPr>
              <w:t>(3)</w:t>
            </w: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gridSpan w:val="2"/>
            <w:vMerge w:val="restart"/>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0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0.13</w:t>
            </w: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174" w:lineRule="exact"/>
              <w:rPr>
                <w:sz w:val="20"/>
                <w:szCs w:val="20"/>
                <w:color w:val="auto"/>
              </w:rPr>
            </w:pPr>
            <w:r>
              <w:rPr>
                <w:rFonts w:ascii="Arial" w:cs="Arial" w:eastAsia="Arial" w:hAnsi="Arial"/>
                <w:sz w:val="16"/>
                <w:szCs w:val="16"/>
                <w:color w:val="auto"/>
                <w:w w:val="99"/>
              </w:rPr>
              <w:t>Weighted average number of ordinary shares used in</w:t>
            </w: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6"/>
                <w:szCs w:val="16"/>
                <w:color w:val="auto"/>
              </w:rPr>
              <w:t>computing pro forma income per ordinary share</w:t>
            </w:r>
            <w:r>
              <w:rPr>
                <w:rFonts w:ascii="Arial" w:cs="Arial" w:eastAsia="Arial" w:hAnsi="Arial"/>
                <w:sz w:val="21"/>
                <w:szCs w:val="21"/>
                <w:b w:val="1"/>
                <w:bCs w:val="1"/>
                <w:color w:val="auto"/>
                <w:vertAlign w:val="superscript"/>
              </w:rPr>
              <w:t>(3)</w:t>
            </w: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21,598,329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23,075,094</w:t>
            </w: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restart"/>
          </w:tcPr>
          <w:p>
            <w:pPr>
              <w:jc w:val="right"/>
              <w:ind w:right="801"/>
              <w:spacing w:after="0"/>
              <w:rPr>
                <w:sz w:val="20"/>
                <w:szCs w:val="20"/>
                <w:color w:val="auto"/>
              </w:rPr>
            </w:pPr>
            <w:r>
              <w:rPr>
                <w:rFonts w:ascii="Arial" w:cs="Arial" w:eastAsia="Arial" w:hAnsi="Arial"/>
                <w:sz w:val="13"/>
                <w:szCs w:val="13"/>
                <w:color w:val="auto"/>
                <w:w w:val="82"/>
              </w:rPr>
              <w:t>32</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17" w:right="1440" w:bottom="1440" w:gutter="0" w:footer="0" w:header="0"/>
        </w:sectPr>
      </w:pPr>
    </w:p>
    <w:bookmarkStart w:id="36" w:name="page37"/>
    <w:bookmarkEnd w:id="36"/>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6"/>
              </w:rPr>
              <w:t>As of December 31,</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b w:val="1"/>
                <w:bCs w:val="1"/>
                <w:color w:val="auto"/>
              </w:rPr>
              <w:t>2012</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b w:val="1"/>
                <w:bCs w:val="1"/>
                <w:color w:val="auto"/>
                <w:w w:val="89"/>
              </w:rPr>
              <w:t>2013</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Balance Sheet Data:</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203"/>
              <w:spacing w:after="0"/>
              <w:rPr>
                <w:sz w:val="20"/>
                <w:szCs w:val="20"/>
                <w:color w:val="auto"/>
              </w:rPr>
            </w:pPr>
            <w:r>
              <w:rPr>
                <w:rFonts w:ascii="Arial" w:cs="Arial" w:eastAsia="Arial" w:hAnsi="Arial"/>
                <w:sz w:val="15"/>
                <w:szCs w:val="15"/>
                <w:b w:val="1"/>
                <w:bCs w:val="1"/>
                <w:color w:val="auto"/>
                <w:w w:val="85"/>
              </w:rPr>
              <w:t>(in thousands)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4,663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5,329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194"/>
        </w:trPr>
        <w:tc>
          <w:tcPr>
            <w:tcW w:w="3780" w:type="dxa"/>
            <w:vAlign w:val="bottom"/>
          </w:tcPr>
          <w:p>
            <w:pPr>
              <w:spacing w:after="0" w:line="194" w:lineRule="exact"/>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(4)</w:t>
            </w:r>
          </w:p>
        </w:tc>
        <w:tc>
          <w:tcPr>
            <w:tcW w:w="240" w:type="dxa"/>
            <w:vAlign w:val="bottom"/>
          </w:tcPr>
          <w:p>
            <w:pPr>
              <w:spacing w:after="0"/>
              <w:rPr>
                <w:sz w:val="16"/>
                <w:szCs w:val="16"/>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12,193</w:t>
            </w:r>
          </w:p>
        </w:tc>
        <w:tc>
          <w:tcPr>
            <w:tcW w:w="260" w:type="dxa"/>
            <w:vAlign w:val="bottom"/>
          </w:tcPr>
          <w:p>
            <w:pPr>
              <w:spacing w:after="0"/>
              <w:rPr>
                <w:sz w:val="16"/>
                <w:szCs w:val="16"/>
                <w:color w:val="auto"/>
              </w:rPr>
            </w:pP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12,881</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15,186</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16"/>
                <w:szCs w:val="16"/>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24,407</w:t>
            </w:r>
          </w:p>
        </w:tc>
        <w:tc>
          <w:tcPr>
            <w:tcW w:w="260" w:type="dxa"/>
            <w:vAlign w:val="bottom"/>
          </w:tcPr>
          <w:p>
            <w:pPr>
              <w:spacing w:after="0"/>
              <w:rPr>
                <w:sz w:val="16"/>
                <w:szCs w:val="16"/>
                <w:color w:val="auto"/>
              </w:rPr>
            </w:pP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31,627</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34,714</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Total long-term liabilities</w:t>
            </w:r>
          </w:p>
        </w:tc>
        <w:tc>
          <w:tcPr>
            <w:tcW w:w="240" w:type="dxa"/>
            <w:vAlign w:val="bottom"/>
          </w:tcPr>
          <w:p>
            <w:pPr>
              <w:spacing w:after="0"/>
              <w:rPr>
                <w:sz w:val="16"/>
                <w:szCs w:val="16"/>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1,372</w:t>
            </w:r>
          </w:p>
        </w:tc>
        <w:tc>
          <w:tcPr>
            <w:tcW w:w="260" w:type="dxa"/>
            <w:vAlign w:val="bottom"/>
          </w:tcPr>
          <w:p>
            <w:pPr>
              <w:spacing w:after="0"/>
              <w:rPr>
                <w:sz w:val="16"/>
                <w:szCs w:val="16"/>
                <w:color w:val="auto"/>
              </w:rPr>
            </w:pP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1,617</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Total shareholders’ equity</w:t>
            </w:r>
          </w:p>
        </w:tc>
        <w:tc>
          <w:tcPr>
            <w:tcW w:w="240" w:type="dxa"/>
            <w:vAlign w:val="bottom"/>
          </w:tcPr>
          <w:p>
            <w:pPr>
              <w:spacing w:after="0"/>
              <w:rPr>
                <w:sz w:val="17"/>
                <w:szCs w:val="17"/>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14,311</w:t>
            </w:r>
          </w:p>
        </w:tc>
        <w:tc>
          <w:tcPr>
            <w:tcW w:w="260" w:type="dxa"/>
            <w:vAlign w:val="bottom"/>
          </w:tcPr>
          <w:p>
            <w:pPr>
              <w:spacing w:after="0"/>
              <w:rPr>
                <w:sz w:val="17"/>
                <w:szCs w:val="17"/>
                <w:color w:val="auto"/>
              </w:rPr>
            </w:pP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15,608</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19,351</w:t>
            </w:r>
          </w:p>
        </w:tc>
        <w:tc>
          <w:tcPr>
            <w:tcW w:w="0" w:type="dxa"/>
            <w:vAlign w:val="bottom"/>
          </w:tcPr>
          <w:p>
            <w:pPr>
              <w:spacing w:after="0"/>
              <w:rPr>
                <w:sz w:val="1"/>
                <w:szCs w:val="1"/>
                <w:color w:val="auto"/>
              </w:rPr>
            </w:pPr>
          </w:p>
        </w:tc>
      </w:tr>
      <w:tr>
        <w:trPr>
          <w:trHeight w:val="509"/>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center"/>
              <w:ind w:right="203"/>
              <w:spacing w:after="0"/>
              <w:rPr>
                <w:sz w:val="20"/>
                <w:szCs w:val="20"/>
                <w:color w:val="auto"/>
              </w:rPr>
            </w:pPr>
            <w:r>
              <w:rPr>
                <w:rFonts w:ascii="Arial" w:cs="Arial" w:eastAsia="Arial" w:hAnsi="Arial"/>
                <w:sz w:val="15"/>
                <w:szCs w:val="15"/>
                <w:b w:val="1"/>
                <w:bCs w:val="1"/>
                <w:color w:val="auto"/>
                <w:w w:val="87"/>
              </w:rPr>
              <w:t>Year Ended</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b w:val="1"/>
                <w:bCs w:val="1"/>
                <w:color w:val="auto"/>
                <w:w w:val="86"/>
              </w:rPr>
              <w:t>December 31,</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b w:val="1"/>
                <w:bCs w:val="1"/>
                <w:color w:val="auto"/>
              </w:rPr>
              <w:t>2012</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b w:val="1"/>
                <w:bCs w:val="1"/>
                <w:color w:val="auto"/>
                <w:w w:val="89"/>
              </w:rPr>
              <w:t>2013</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Financial Data:</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203"/>
              <w:spacing w:after="0"/>
              <w:rPr>
                <w:sz w:val="20"/>
                <w:szCs w:val="20"/>
                <w:color w:val="auto"/>
              </w:rPr>
            </w:pPr>
            <w:r>
              <w:rPr>
                <w:rFonts w:ascii="Arial" w:cs="Arial" w:eastAsia="Arial" w:hAnsi="Arial"/>
                <w:sz w:val="15"/>
                <w:szCs w:val="15"/>
                <w:b w:val="1"/>
                <w:bCs w:val="1"/>
                <w:color w:val="auto"/>
                <w:w w:val="85"/>
              </w:rPr>
              <w:t>(in thousands)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line="188"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4,690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4,281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6,069</w:t>
            </w: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Arial" w:cs="Arial" w:eastAsia="Arial" w:hAnsi="Arial"/>
                <w:sz w:val="19"/>
                <w:szCs w:val="19"/>
                <w:color w:val="auto"/>
              </w:rPr>
              <w:t>______________</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Arial" w:cs="Arial" w:eastAsia="Arial" w:hAnsi="Arial"/>
          <w:sz w:val="16"/>
          <w:szCs w:val="16"/>
          <w:color w:val="auto"/>
        </w:rPr>
        <w:t>(1) Includes share-based compensation expense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Year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86"/>
              </w:rPr>
              <w:t>December 31,</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8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2012</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89"/>
              </w:rPr>
              <w:t>2013</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Share-based Compensation Expense: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5"/>
              </w:rPr>
              <w:t>(in thousands)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Cost of revenues</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8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Sales and marketing</w:t>
            </w:r>
          </w:p>
        </w:tc>
        <w:tc>
          <w:tcPr>
            <w:tcW w:w="8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8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20"/>
                <w:szCs w:val="20"/>
                <w:color w:val="auto"/>
              </w:rPr>
            </w:pPr>
            <w:r>
              <w:rPr>
                <w:rFonts w:ascii="Arial" w:cs="Arial" w:eastAsia="Arial" w:hAnsi="Arial"/>
                <w:sz w:val="16"/>
                <w:szCs w:val="16"/>
                <w:color w:val="auto"/>
              </w:rPr>
              <w:t>Total share-based compensation expense</w:t>
            </w:r>
          </w:p>
        </w:tc>
        <w:tc>
          <w:tcPr>
            <w:tcW w:w="820" w:type="dxa"/>
            <w:vAlign w:val="bottom"/>
            <w:tcBorders>
              <w:top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-6985</wp:posOffset>
            </wp:positionV>
            <wp:extent cx="249999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9"/>
          <w:szCs w:val="19"/>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-133350</wp:posOffset>
            </wp:positionV>
            <wp:extent cx="249999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ind w:left="860" w:right="919" w:hanging="242"/>
        <w:spacing w:after="0" w:line="283" w:lineRule="auto"/>
        <w:tabs>
          <w:tab w:leader="none" w:pos="838" w:val="left"/>
        </w:tabs>
        <w:numPr>
          <w:ilvl w:val="1"/>
          <w:numId w:val="25"/>
        </w:numPr>
        <w:rPr>
          <w:rFonts w:ascii="Arial" w:cs="Arial" w:eastAsia="Arial" w:hAnsi="Arial"/>
          <w:sz w:val="15"/>
          <w:szCs w:val="15"/>
          <w:color w:val="auto"/>
        </w:rPr>
      </w:pPr>
      <w:r>
        <w:rPr>
          <w:rFonts w:ascii="Arial" w:cs="Arial" w:eastAsia="Arial" w:hAnsi="Arial"/>
          <w:sz w:val="15"/>
          <w:szCs w:val="15"/>
          <w:color w:val="auto"/>
        </w:rPr>
        <w:t>Basic and diluted net earnings per ordinary share is computed based on the basic and diluted weighted average number of ordinary shares outstanding during each period. For additional information, see note 2v and 10 to our consolidated financial statements included elsewhere in this prospectus.</w:t>
      </w:r>
    </w:p>
    <w:p>
      <w:pPr>
        <w:spacing w:after="0" w:line="151" w:lineRule="exact"/>
        <w:rPr>
          <w:rFonts w:ascii="Arial" w:cs="Arial" w:eastAsia="Arial" w:hAnsi="Arial"/>
          <w:sz w:val="15"/>
          <w:szCs w:val="15"/>
          <w:color w:val="auto"/>
        </w:rPr>
      </w:pPr>
    </w:p>
    <w:p>
      <w:pPr>
        <w:ind w:left="860" w:right="759" w:hanging="283"/>
        <w:spacing w:after="0" w:line="259" w:lineRule="auto"/>
        <w:tabs>
          <w:tab w:leader="none" w:pos="8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 forma basic and diluted net earnings per ordinary share and pro forma weighted average shares outstanding assumes the conversion of all of our outstanding preferred shares into ordinary shares, which will occur upon the closing of this offering, but does not give effect to the issuance of shares in connection with this offering. For additional information on the conversion of the preferred shares see note 2c to our consolidated financial statements included elsewhere in this prospectus.</w:t>
      </w:r>
    </w:p>
    <w:p>
      <w:pPr>
        <w:spacing w:after="0" w:line="170" w:lineRule="exact"/>
        <w:rPr>
          <w:rFonts w:ascii="Arial" w:cs="Arial" w:eastAsia="Arial" w:hAnsi="Arial"/>
          <w:sz w:val="16"/>
          <w:szCs w:val="16"/>
          <w:color w:val="auto"/>
        </w:rPr>
      </w:pPr>
    </w:p>
    <w:p>
      <w:pPr>
        <w:ind w:left="880" w:hanging="303"/>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167" w:lineRule="exact"/>
        <w:rPr>
          <w:rFonts w:ascii="Arial" w:cs="Arial" w:eastAsia="Arial" w:hAnsi="Arial"/>
          <w:sz w:val="16"/>
          <w:szCs w:val="16"/>
          <w:color w:val="auto"/>
        </w:rPr>
      </w:pPr>
    </w:p>
    <w:p>
      <w:pPr>
        <w:ind w:left="880" w:hanging="303"/>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table reconciles net income to Adjusted EBITDA for the periods presented:</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6"/>
              </w:rPr>
              <w:t>Year Ended December 31,</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2012</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
              <w:spacing w:after="0"/>
              <w:rPr>
                <w:sz w:val="20"/>
                <w:szCs w:val="20"/>
                <w:color w:val="auto"/>
              </w:rPr>
            </w:pPr>
            <w:r>
              <w:rPr>
                <w:rFonts w:ascii="Arial" w:cs="Arial" w:eastAsia="Arial" w:hAnsi="Arial"/>
                <w:sz w:val="15"/>
                <w:szCs w:val="15"/>
                <w:b w:val="1"/>
                <w:bCs w:val="1"/>
                <w:color w:val="auto"/>
                <w:w w:val="89"/>
              </w:rPr>
              <w:t>2013</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w w:val="98"/>
              </w:rPr>
              <w:t>Reconciliation of Net Income to Adjusted EBITDA:</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5"/>
              </w:rPr>
              <w:t>(in thousands)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Net income</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2,314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1,134</w:t>
            </w:r>
          </w:p>
        </w:tc>
        <w:tc>
          <w:tcPr>
            <w:tcW w:w="2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line="174" w:lineRule="exact"/>
              <w:rPr>
                <w:sz w:val="20"/>
                <w:szCs w:val="20"/>
                <w:color w:val="auto"/>
              </w:rPr>
            </w:pPr>
            <w:r>
              <w:rPr>
                <w:rFonts w:ascii="Arial" w:cs="Arial" w:eastAsia="Arial" w:hAnsi="Arial"/>
                <w:sz w:val="16"/>
                <w:szCs w:val="16"/>
                <w:color w:val="auto"/>
              </w:rPr>
              <w:t>Finance expenses, net</w:t>
            </w:r>
          </w:p>
        </w:tc>
        <w:tc>
          <w:tcPr>
            <w:tcW w:w="7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285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460</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Taxes on income</w:t>
            </w:r>
          </w:p>
        </w:tc>
        <w:tc>
          <w:tcPr>
            <w:tcW w:w="7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1,228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1,393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72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786</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1,168</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126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20"/>
                <w:szCs w:val="20"/>
                <w:color w:val="auto"/>
              </w:rPr>
            </w:pPr>
            <w:r>
              <w:rPr>
                <w:rFonts w:ascii="Arial" w:cs="Arial" w:eastAsia="Arial" w:hAnsi="Arial"/>
                <w:sz w:val="16"/>
                <w:szCs w:val="16"/>
                <w:color w:val="auto"/>
              </w:rPr>
              <w:t>Adjusted EBITDA</w:t>
            </w:r>
          </w:p>
        </w:tc>
        <w:tc>
          <w:tcPr>
            <w:tcW w:w="720" w:type="dxa"/>
            <w:vAlign w:val="bottom"/>
            <w:tcBorders>
              <w:top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4,690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4,281</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7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color w:val="auto"/>
              </w:rPr>
              <w:t>33</w:t>
            </w:r>
          </w:p>
        </w:tc>
        <w:tc>
          <w:tcPr>
            <w:tcW w:w="3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7" w:right="1440" w:bottom="1440" w:gutter="0" w:footer="0" w:header="0"/>
        </w:sectPr>
      </w:pPr>
    </w:p>
    <w:bookmarkStart w:id="37" w:name="page38"/>
    <w:bookmarkEnd w:id="37"/>
    <w:p>
      <w:pPr>
        <w:ind w:left="580" w:right="619" w:firstLine="194"/>
        <w:spacing w:after="0" w:line="274" w:lineRule="auto"/>
        <w:rPr>
          <w:sz w:val="20"/>
          <w:szCs w:val="20"/>
          <w:color w:val="auto"/>
        </w:rPr>
      </w:pPr>
      <w:r>
        <w:rPr>
          <w:rFonts w:ascii="Arial" w:cs="Arial" w:eastAsia="Arial" w:hAnsi="Arial"/>
          <w:sz w:val="15"/>
          <w:szCs w:val="15"/>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75" w:lineRule="exact"/>
        <w:rPr>
          <w:sz w:val="20"/>
          <w:szCs w:val="20"/>
          <w:color w:val="auto"/>
        </w:rPr>
      </w:pPr>
    </w:p>
    <w:p>
      <w:pPr>
        <w:ind w:left="960" w:right="1159" w:hanging="189"/>
        <w:spacing w:after="0" w:line="238" w:lineRule="auto"/>
        <w:tabs>
          <w:tab w:leader="none" w:pos="943" w:val="left"/>
        </w:tabs>
        <w:numPr>
          <w:ilvl w:val="0"/>
          <w:numId w:val="27"/>
        </w:numPr>
        <w:rPr>
          <w:rFonts w:ascii="Arial" w:cs="Arial" w:eastAsia="Arial" w:hAnsi="Arial"/>
          <w:sz w:val="19"/>
          <w:szCs w:val="19"/>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27"/>
        </w:numPr>
        <w:rPr>
          <w:rFonts w:ascii="Arial" w:cs="Arial" w:eastAsia="Arial" w:hAnsi="Arial"/>
          <w:sz w:val="19"/>
          <w:szCs w:val="19"/>
          <w:color w:val="auto"/>
        </w:rPr>
      </w:pPr>
      <w:r>
        <w:rPr>
          <w:rFonts w:ascii="Arial" w:cs="Arial" w:eastAsia="Arial" w:hAnsi="Arial"/>
          <w:sz w:val="16"/>
          <w:szCs w:val="16"/>
          <w:color w:val="auto"/>
        </w:rPr>
        <w:t>Adjusted EBITDA does not reflect changes in, or cash requirements for, our working capital needs; and</w:t>
      </w:r>
    </w:p>
    <w:p>
      <w:pPr>
        <w:spacing w:after="0" w:line="193" w:lineRule="exact"/>
        <w:rPr>
          <w:rFonts w:ascii="Arial" w:cs="Arial" w:eastAsia="Arial" w:hAnsi="Arial"/>
          <w:sz w:val="19"/>
          <w:szCs w:val="19"/>
          <w:color w:val="auto"/>
        </w:rPr>
      </w:pPr>
    </w:p>
    <w:p>
      <w:pPr>
        <w:ind w:left="960" w:right="579" w:hanging="189"/>
        <w:spacing w:after="0" w:line="238" w:lineRule="auto"/>
        <w:tabs>
          <w:tab w:leader="none" w:pos="943" w:val="left"/>
        </w:tabs>
        <w:numPr>
          <w:ilvl w:val="0"/>
          <w:numId w:val="27"/>
        </w:numPr>
        <w:rPr>
          <w:rFonts w:ascii="Arial" w:cs="Arial" w:eastAsia="Arial" w:hAnsi="Arial"/>
          <w:sz w:val="19"/>
          <w:szCs w:val="19"/>
          <w:color w:val="auto"/>
        </w:rPr>
      </w:pPr>
      <w:r>
        <w:rPr>
          <w:rFonts w:ascii="Arial" w:cs="Arial" w:eastAsia="Arial" w:hAnsi="Arial"/>
          <w:sz w:val="16"/>
          <w:szCs w:val="16"/>
          <w:color w:val="auto"/>
        </w:rPr>
        <w:t>Although depreciation is a non-cash charge, the assets being depreciated will often have to be replaced in the future, and Adjusted EBITDA does not reflect any cash requirements for such replacements.</w:t>
      </w:r>
    </w:p>
    <w:p>
      <w:pPr>
        <w:spacing w:after="0" w:line="182" w:lineRule="exact"/>
        <w:rPr>
          <w:sz w:val="20"/>
          <w:szCs w:val="20"/>
          <w:color w:val="auto"/>
        </w:rPr>
      </w:pPr>
    </w:p>
    <w:p>
      <w:pPr>
        <w:ind w:left="580" w:right="579" w:firstLine="194"/>
        <w:spacing w:after="0" w:line="278" w:lineRule="auto"/>
        <w:rPr>
          <w:sz w:val="20"/>
          <w:szCs w:val="20"/>
          <w:color w:val="auto"/>
        </w:rPr>
      </w:pPr>
      <w:r>
        <w:rPr>
          <w:rFonts w:ascii="Arial" w:cs="Arial" w:eastAsia="Arial" w:hAnsi="Arial"/>
          <w:sz w:val="15"/>
          <w:szCs w:val="15"/>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RESULTS OF OPERATIONS</w:t>
      </w:r>
    </w:p>
    <w:p>
      <w:pPr>
        <w:spacing w:after="0" w:line="192" w:lineRule="exact"/>
        <w:rPr>
          <w:sz w:val="20"/>
          <w:szCs w:val="20"/>
          <w:color w:val="auto"/>
        </w:rPr>
      </w:pPr>
    </w:p>
    <w:p>
      <w:pPr>
        <w:ind w:left="580" w:right="599" w:firstLine="194"/>
        <w:spacing w:after="0" w:line="278" w:lineRule="auto"/>
        <w:rPr>
          <w:sz w:val="20"/>
          <w:szCs w:val="20"/>
          <w:color w:val="auto"/>
        </w:rPr>
      </w:pPr>
      <w:r>
        <w:rPr>
          <w:rFonts w:ascii="Arial" w:cs="Arial" w:eastAsia="Arial" w:hAnsi="Arial"/>
          <w:sz w:val="15"/>
          <w:szCs w:val="15"/>
          <w:i w:val="1"/>
          <w:iCs w:val="1"/>
          <w:color w:val="auto"/>
        </w:rPr>
        <w:t>The following discussion should be read in conjunction with our consolidated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Overview</w:t>
      </w:r>
    </w:p>
    <w:p>
      <w:pPr>
        <w:spacing w:after="0" w:line="208" w:lineRule="exact"/>
        <w:rPr>
          <w:sz w:val="20"/>
          <w:szCs w:val="20"/>
          <w:color w:val="auto"/>
        </w:rPr>
      </w:pPr>
    </w:p>
    <w:p>
      <w:pPr>
        <w:ind w:left="580" w:right="579" w:firstLine="194"/>
        <w:spacing w:after="0" w:line="294" w:lineRule="auto"/>
        <w:rPr>
          <w:sz w:val="20"/>
          <w:szCs w:val="20"/>
          <w:color w:val="auto"/>
        </w:rPr>
      </w:pPr>
      <w:r>
        <w:rPr>
          <w:rFonts w:ascii="Arial" w:cs="Arial" w:eastAsia="Arial" w:hAnsi="Arial"/>
          <w:sz w:val="14"/>
          <w:szCs w:val="14"/>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53" w:lineRule="exact"/>
        <w:rPr>
          <w:sz w:val="20"/>
          <w:szCs w:val="20"/>
          <w:color w:val="auto"/>
        </w:rPr>
      </w:pPr>
    </w:p>
    <w:p>
      <w:pPr>
        <w:ind w:left="580" w:right="579" w:firstLine="194"/>
        <w:spacing w:after="0" w:line="297" w:lineRule="auto"/>
        <w:rPr>
          <w:sz w:val="20"/>
          <w:szCs w:val="20"/>
          <w:color w:val="auto"/>
        </w:rPr>
      </w:pPr>
      <w:r>
        <w:rPr>
          <w:rFonts w:ascii="Arial" w:cs="Arial" w:eastAsia="Arial" w:hAnsi="Arial"/>
          <w:sz w:val="14"/>
          <w:szCs w:val="14"/>
          <w:color w:val="auto"/>
        </w:rPr>
        <w:t>Our business is driven by the changing dynamics in the global printed textile industry, which is undergoing a transition from analog to digital printing methods. Recent technological advancements in digital printing technology have enabled printing of high resolution images and designs on textiles in large volumes and at high throughput levels. For example, these capabilities have enabled online businesses, whose business models are tailored to the growing demand for customized and personalized goods, to cater to customers who order single units or small runs of a particular design. We have identified the high throughput segment of the DTG market as a high growth area and have therefore focused our solutions to primarily address that area. We believe our early innovation in digital printing solutions has enabled us to evolve into a company that provides a comprehensive digital printing solution for the growing global printed textile industry and seek to further our presence by penetrating the roll-to-roll, or R2R, market in the next 18 months.</w:t>
      </w:r>
    </w:p>
    <w:p>
      <w:pPr>
        <w:spacing w:after="0" w:line="145" w:lineRule="exact"/>
        <w:rPr>
          <w:sz w:val="20"/>
          <w:szCs w:val="20"/>
          <w:color w:val="auto"/>
        </w:rPr>
      </w:pPr>
    </w:p>
    <w:p>
      <w:pPr>
        <w:ind w:left="580" w:right="679" w:firstLine="194"/>
        <w:spacing w:after="0" w:line="296" w:lineRule="auto"/>
        <w:rPr>
          <w:sz w:val="20"/>
          <w:szCs w:val="20"/>
          <w:color w:val="auto"/>
        </w:rPr>
      </w:pPr>
      <w:r>
        <w:rPr>
          <w:rFonts w:ascii="Arial" w:cs="Arial" w:eastAsia="Arial" w:hAnsi="Arial"/>
          <w:sz w:val="14"/>
          <w:szCs w:val="14"/>
          <w:color w:val="auto"/>
        </w:rPr>
        <w:t>We offer a broad portfolio of digital printing systems for the DTG market. We target customers that manufacture textiles in large quantities with a variety of high throughput digital printing systems. We market our systems to different customers based on their desired throughput level, overall cost of ownership, the allowable space in their manufacturing facilities, the degree of preexisting knowledge they have of printing among other considerations. Most of our sales in recent years have been to high throughput manufacturers, which we believe will continue to grow in the next several years. At the same time, we are seeking to expand our presence into the mass production market with the commercial launch of our Vulcan system, targeted to occur within the next 24 months. Furthermore, we believe that our advanced technology and years of experience in digital textile printing will enable us to penetrate the R2R market after the commercial launch of our Allegro system, which is targeted within the next 18 months. Our solutions also include our proprietary NeoPigment ink and other consumables, associated software and value added services.</w:t>
      </w:r>
    </w:p>
    <w:p>
      <w:pPr>
        <w:spacing w:after="0" w:line="146" w:lineRule="exact"/>
        <w:rPr>
          <w:sz w:val="20"/>
          <w:szCs w:val="20"/>
          <w:color w:val="auto"/>
        </w:rPr>
      </w:pPr>
    </w:p>
    <w:p>
      <w:pPr>
        <w:ind w:left="580" w:right="579" w:firstLine="194"/>
        <w:spacing w:after="0" w:line="276" w:lineRule="auto"/>
        <w:rPr>
          <w:sz w:val="20"/>
          <w:szCs w:val="20"/>
          <w:color w:val="auto"/>
        </w:rPr>
      </w:pPr>
      <w:r>
        <w:rPr>
          <w:rFonts w:ascii="Arial" w:cs="Arial" w:eastAsia="Arial" w:hAnsi="Arial"/>
          <w:sz w:val="15"/>
          <w:szCs w:val="15"/>
          <w:color w:val="auto"/>
        </w:rPr>
        <w:t>We sell the majority of our solutions through a global network of approximately 50 independent distributors and value added resellers that we refer to as our channel partners. Our channel partners, in turn, sell the solutions they purchase from us to customers directly or, in some cases, act as facilitators of our direct sales process. Our independent distributors are generally responsible for identifying potential leads, working with our sales force to convert leads into buying customers and maintaining relationships with our customers. 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39" w:name="page40"/>
    <w:bookmarkEnd w:id="39"/>
    <w:p>
      <w:pPr>
        <w:ind w:left="580" w:right="959" w:firstLine="194"/>
        <w:spacing w:after="0" w:line="292" w:lineRule="auto"/>
        <w:rPr>
          <w:sz w:val="20"/>
          <w:szCs w:val="20"/>
          <w:color w:val="auto"/>
        </w:rPr>
      </w:pPr>
      <w:r>
        <w:rPr>
          <w:rFonts w:ascii="Arial" w:cs="Arial" w:eastAsia="Arial" w:hAnsi="Arial"/>
          <w:sz w:val="15"/>
          <w:szCs w:val="15"/>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46" w:lineRule="exact"/>
        <w:rPr>
          <w:sz w:val="20"/>
          <w:szCs w:val="20"/>
          <w:color w:val="auto"/>
        </w:rPr>
      </w:pPr>
    </w:p>
    <w:p>
      <w:pPr>
        <w:ind w:left="580" w:right="659" w:firstLine="194"/>
        <w:spacing w:after="0" w:line="275" w:lineRule="auto"/>
        <w:rPr>
          <w:sz w:val="20"/>
          <w:szCs w:val="20"/>
          <w:color w:val="auto"/>
        </w:rPr>
      </w:pPr>
      <w:r>
        <w:rPr>
          <w:rFonts w:ascii="Arial" w:cs="Arial" w:eastAsia="Arial" w:hAnsi="Arial"/>
          <w:sz w:val="15"/>
          <w:szCs w:val="15"/>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We plan to accomplish these goals by investing in our direct sales force, developing new applications for existing systems, introducing new solutions and growing our relationships with channel partners. Since sales of our ink and other consumables are directly linked to the number and mix of our systems that are sold, installed and active worldwide, engaging with our customers before and after sales is a key contributor to growth. We intend to drive growth by focusing our efforts on sales of our higher throughput industrial systems, which generally utilize larger amounts of ink and other consumables due to their greater capacity and higher throughput levels.</w:t>
      </w:r>
    </w:p>
    <w:p>
      <w:pPr>
        <w:spacing w:after="0" w:line="159" w:lineRule="exact"/>
        <w:rPr>
          <w:sz w:val="20"/>
          <w:szCs w:val="20"/>
          <w:color w:val="auto"/>
        </w:rPr>
      </w:pPr>
    </w:p>
    <w:p>
      <w:pPr>
        <w:ind w:left="580" w:right="579" w:firstLine="194"/>
        <w:spacing w:after="0" w:line="281" w:lineRule="auto"/>
        <w:rPr>
          <w:sz w:val="20"/>
          <w:szCs w:val="20"/>
          <w:color w:val="auto"/>
        </w:rPr>
      </w:pPr>
      <w:r>
        <w:rPr>
          <w:rFonts w:ascii="Arial" w:cs="Arial" w:eastAsia="Arial" w:hAnsi="Arial"/>
          <w:sz w:val="15"/>
          <w:szCs w:val="15"/>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Revenues</w:t>
      </w:r>
    </w:p>
    <w:p>
      <w:pPr>
        <w:spacing w:after="0" w:line="204"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Systems, Ink and Other Consumables, Value Added Services</w:t>
      </w:r>
    </w:p>
    <w:p>
      <w:pPr>
        <w:spacing w:after="0" w:line="204" w:lineRule="exact"/>
        <w:rPr>
          <w:sz w:val="20"/>
          <w:szCs w:val="20"/>
          <w:color w:val="auto"/>
        </w:rPr>
      </w:pPr>
    </w:p>
    <w:p>
      <w:pPr>
        <w:ind w:left="580" w:right="619" w:firstLine="194"/>
        <w:spacing w:after="0" w:line="276" w:lineRule="auto"/>
        <w:rPr>
          <w:sz w:val="20"/>
          <w:szCs w:val="20"/>
          <w:color w:val="auto"/>
        </w:rPr>
      </w:pPr>
      <w:r>
        <w:rPr>
          <w:rFonts w:ascii="Arial" w:cs="Arial" w:eastAsia="Arial" w:hAnsi="Arial"/>
          <w:sz w:val="15"/>
          <w:szCs w:val="15"/>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do not consider the period to period change in our total installed base to be a helpful metric in assessing our performance because we currently sell a number of different systems that have significantly different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157" w:lineRule="exact"/>
        <w:rPr>
          <w:sz w:val="20"/>
          <w:szCs w:val="20"/>
          <w:color w:val="auto"/>
        </w:rPr>
      </w:pPr>
    </w:p>
    <w:p>
      <w:pPr>
        <w:ind w:left="580" w:right="739" w:firstLine="194"/>
        <w:spacing w:after="0" w:line="292" w:lineRule="auto"/>
        <w:rPr>
          <w:sz w:val="20"/>
          <w:szCs w:val="20"/>
          <w:color w:val="auto"/>
        </w:rPr>
      </w:pPr>
      <w:r>
        <w:rPr>
          <w:rFonts w:ascii="Arial" w:cs="Arial" w:eastAsia="Arial" w:hAnsi="Arial"/>
          <w:sz w:val="15"/>
          <w:szCs w:val="15"/>
          <w:color w:val="auto"/>
        </w:rPr>
        <w:t>We also generate a small portion of our revenues from the provision of spare parts to our distributors and customers, value added services consisting of time and material based support, post-warranty service contracts. In the future, we expect to generate revenues from other professional application development services.</w:t>
      </w:r>
    </w:p>
    <w:p>
      <w:pPr>
        <w:spacing w:after="0" w:line="146" w:lineRule="exact"/>
        <w:rPr>
          <w:sz w:val="20"/>
          <w:szCs w:val="20"/>
          <w:color w:val="auto"/>
        </w:rPr>
      </w:pPr>
    </w:p>
    <w:p>
      <w:pPr>
        <w:ind w:left="580" w:right="739" w:firstLine="194"/>
        <w:spacing w:after="0" w:line="267" w:lineRule="auto"/>
        <w:rPr>
          <w:sz w:val="20"/>
          <w:szCs w:val="20"/>
          <w:color w:val="auto"/>
        </w:rPr>
      </w:pPr>
      <w:r>
        <w:rPr>
          <w:rFonts w:ascii="Arial" w:cs="Arial" w:eastAsia="Arial" w:hAnsi="Arial"/>
          <w:sz w:val="16"/>
          <w:szCs w:val="16"/>
          <w:color w:val="auto"/>
        </w:rPr>
        <w:t>We principally sell our products through independent distributors who resell them to customers. Sales by our distributors accounted for approximately 63% of our revenues in 2013 and approximately 72% in 2014. The balance of our revenues are generated through direct sales.</w:t>
      </w:r>
    </w:p>
    <w:p>
      <w:pPr>
        <w:spacing w:after="0" w:line="161" w:lineRule="exact"/>
        <w:rPr>
          <w:sz w:val="20"/>
          <w:szCs w:val="20"/>
          <w:color w:val="auto"/>
        </w:rPr>
      </w:pPr>
    </w:p>
    <w:p>
      <w:pPr>
        <w:ind w:left="580" w:right="699" w:firstLine="194"/>
        <w:spacing w:after="0" w:line="256" w:lineRule="auto"/>
        <w:rPr>
          <w:sz w:val="20"/>
          <w:szCs w:val="20"/>
          <w:color w:val="auto"/>
        </w:rPr>
      </w:pPr>
      <w:r>
        <w:rPr>
          <w:rFonts w:ascii="Arial" w:cs="Arial" w:eastAsia="Arial" w:hAnsi="Arial"/>
          <w:sz w:val="16"/>
          <w:szCs w:val="16"/>
          <w:color w:val="auto"/>
        </w:rPr>
        <w:t>We recognize revenues from sales of our systems upon installation of the system in the customer’s premises when installation is undertaken by us, provided that the collection of the resulting receivable is probable, there is persuasive evidence of an arrangement, no significant obligations in respect of installation remain and the price is fixed or determinable. This is also the case for sales made through independent distributors unless the independent distributor installs the system in which case we recognize revenues upon shipment to the independent distributor provided all other revenue recognition criteria are met. We recognize revenues net of discounts and returns. Revenues from ink and other consumables are generally recognized upon shipment. Revenues from provision of value added services are generally recognized at the time such support services are provided. See “—Critical Accounting Estimates—Revenue Recognition”.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0" w:name="page41"/>
    <w:bookmarkEnd w:id="40"/>
    <w:p>
      <w:pPr>
        <w:ind w:left="580"/>
        <w:spacing w:after="0"/>
        <w:rPr>
          <w:sz w:val="20"/>
          <w:szCs w:val="20"/>
          <w:color w:val="auto"/>
        </w:rPr>
      </w:pPr>
      <w:r>
        <w:rPr>
          <w:rFonts w:ascii="Arial" w:cs="Arial" w:eastAsia="Arial" w:hAnsi="Arial"/>
          <w:sz w:val="16"/>
          <w:szCs w:val="16"/>
          <w:i w:val="1"/>
          <w:iCs w:val="1"/>
          <w:color w:val="auto"/>
        </w:rPr>
        <w:t>Geographic Breakdown of Revenues</w:t>
      </w:r>
    </w:p>
    <w:p>
      <w:pPr>
        <w:spacing w:after="0" w:line="204" w:lineRule="exact"/>
        <w:rPr>
          <w:sz w:val="20"/>
          <w:szCs w:val="20"/>
          <w:color w:val="auto"/>
        </w:rPr>
      </w:pPr>
    </w:p>
    <w:p>
      <w:pPr>
        <w:ind w:left="580" w:right="799" w:firstLine="194"/>
        <w:spacing w:after="0" w:line="281" w:lineRule="auto"/>
        <w:rPr>
          <w:sz w:val="20"/>
          <w:szCs w:val="20"/>
          <w:color w:val="auto"/>
        </w:rPr>
      </w:pPr>
      <w:r>
        <w:rPr>
          <w:rFonts w:ascii="Arial" w:cs="Arial" w:eastAsia="Arial" w:hAnsi="Arial"/>
          <w:sz w:val="16"/>
          <w:szCs w:val="16"/>
          <w:color w:val="auto"/>
        </w:rPr>
        <w:t>The following table sets forth the geographic breakdown of revenues from sales to customers located in the regions indicated below for the periods indicated:</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5"/>
                <w:szCs w:val="15"/>
                <w:b w:val="1"/>
                <w:bCs w:val="1"/>
                <w:color w:val="auto"/>
                <w:w w:val="86"/>
              </w:rPr>
              <w:t>Year Ended December 31,</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7"/>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2012</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2013</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2014</w:t>
            </w: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74"/>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02"/>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2"/>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b w:val="1"/>
                <w:bCs w:val="1"/>
                <w:color w:val="auto"/>
              </w:rPr>
              <w:t>%</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1"/>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7"/>
          </w:tcPr>
          <w:p>
            <w:pPr>
              <w:jc w:val="right"/>
              <w:ind w:right="99"/>
              <w:spacing w:after="0" w:line="161" w:lineRule="exact"/>
              <w:rPr>
                <w:sz w:val="20"/>
                <w:szCs w:val="20"/>
                <w:color w:val="auto"/>
              </w:rPr>
            </w:pPr>
            <w:r>
              <w:rPr>
                <w:rFonts w:ascii="Arial" w:cs="Arial" w:eastAsia="Arial" w:hAnsi="Arial"/>
                <w:sz w:val="15"/>
                <w:szCs w:val="15"/>
                <w:b w:val="1"/>
                <w:bCs w:val="1"/>
                <w:color w:val="auto"/>
                <w:w w:val="83"/>
              </w:rPr>
              <w:t>(in thousands except percentages)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1480" w:type="dxa"/>
            <w:vAlign w:val="bottom"/>
          </w:tcPr>
          <w:p>
            <w:pPr>
              <w:spacing w:after="0"/>
              <w:rPr>
                <w:sz w:val="20"/>
                <w:szCs w:val="20"/>
                <w:color w:val="auto"/>
              </w:rPr>
            </w:pPr>
            <w:r>
              <w:rPr>
                <w:rFonts w:ascii="Arial" w:cs="Arial" w:eastAsia="Arial" w:hAnsi="Arial"/>
                <w:sz w:val="16"/>
                <w:szCs w:val="16"/>
                <w:color w:val="auto"/>
              </w:rPr>
              <w:t>United States</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16,886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43.1%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22,022</w:t>
            </w:r>
          </w:p>
        </w:tc>
        <w:tc>
          <w:tcPr>
            <w:tcW w:w="140" w:type="dxa"/>
            <w:vAlign w:val="bottom"/>
          </w:tcPr>
          <w:p>
            <w:pPr>
              <w:spacing w:after="0"/>
              <w:rPr>
                <w:sz w:val="16"/>
                <w:szCs w:val="16"/>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44.6%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33,188</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50.0%</w:t>
            </w:r>
          </w:p>
        </w:tc>
      </w:tr>
      <w:tr>
        <w:trPr>
          <w:trHeight w:val="194"/>
        </w:trPr>
        <w:tc>
          <w:tcPr>
            <w:tcW w:w="1480" w:type="dxa"/>
            <w:vAlign w:val="bottom"/>
          </w:tcPr>
          <w:p>
            <w:pPr>
              <w:spacing w:after="0"/>
              <w:rPr>
                <w:sz w:val="20"/>
                <w:szCs w:val="20"/>
                <w:color w:val="auto"/>
              </w:rPr>
            </w:pPr>
            <w:r>
              <w:rPr>
                <w:rFonts w:ascii="Arial" w:cs="Arial" w:eastAsia="Arial" w:hAnsi="Arial"/>
                <w:sz w:val="16"/>
                <w:szCs w:val="16"/>
                <w:color w:val="auto"/>
              </w:rPr>
              <w:t>Americas (non-U.S.)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5,230</w:t>
            </w: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5,732</w:t>
            </w:r>
          </w:p>
        </w:tc>
        <w:tc>
          <w:tcPr>
            <w:tcW w:w="140" w:type="dxa"/>
            <w:vAlign w:val="bottom"/>
          </w:tcPr>
          <w:p>
            <w:pPr>
              <w:spacing w:after="0"/>
              <w:rPr>
                <w:sz w:val="16"/>
                <w:szCs w:val="16"/>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3,564</w:t>
            </w: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1480" w:type="dxa"/>
            <w:vAlign w:val="bottom"/>
          </w:tcPr>
          <w:p>
            <w:pPr>
              <w:spacing w:after="0"/>
              <w:rPr>
                <w:sz w:val="20"/>
                <w:szCs w:val="20"/>
                <w:color w:val="auto"/>
              </w:rPr>
            </w:pPr>
            <w:r>
              <w:rPr>
                <w:rFonts w:ascii="Arial" w:cs="Arial" w:eastAsia="Arial" w:hAnsi="Arial"/>
                <w:sz w:val="16"/>
                <w:szCs w:val="16"/>
                <w:color w:val="auto"/>
              </w:rPr>
              <w:t>EMEA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11,921</w:t>
            </w: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30.4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14,311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18,004</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27.1</w:t>
            </w:r>
          </w:p>
        </w:tc>
      </w:tr>
      <w:tr>
        <w:trPr>
          <w:trHeight w:val="206"/>
        </w:trPr>
        <w:tc>
          <w:tcPr>
            <w:tcW w:w="1480" w:type="dxa"/>
            <w:vAlign w:val="bottom"/>
          </w:tcPr>
          <w:p>
            <w:pPr>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5,130</w:t>
            </w: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7,330</w:t>
            </w:r>
          </w:p>
        </w:tc>
        <w:tc>
          <w:tcPr>
            <w:tcW w:w="140" w:type="dxa"/>
            <w:vAlign w:val="bottom"/>
          </w:tcPr>
          <w:p>
            <w:pPr>
              <w:spacing w:after="0"/>
              <w:rPr>
                <w:sz w:val="17"/>
                <w:szCs w:val="17"/>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11,608</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17.5</w:t>
            </w:r>
          </w:p>
        </w:tc>
      </w:tr>
      <w:tr>
        <w:trPr>
          <w:trHeight w:val="186"/>
        </w:trPr>
        <w:tc>
          <w:tcPr>
            <w:tcW w:w="1480" w:type="dxa"/>
            <w:vAlign w:val="bottom"/>
          </w:tcPr>
          <w:p>
            <w:pPr>
              <w:spacing w:after="0"/>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39,167</w:t>
            </w:r>
          </w:p>
        </w:tc>
        <w:tc>
          <w:tcPr>
            <w:tcW w:w="2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49,395</w:t>
            </w:r>
          </w:p>
        </w:tc>
        <w:tc>
          <w:tcPr>
            <w:tcW w:w="2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w w:val="84"/>
              </w:rPr>
              <w:t>%</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66,364</w:t>
            </w:r>
          </w:p>
        </w:tc>
        <w:tc>
          <w:tcPr>
            <w:tcW w:w="2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Cost of Revenues and Gross Profit</w:t>
      </w:r>
    </w:p>
    <w:p>
      <w:pPr>
        <w:spacing w:after="0" w:line="192" w:lineRule="exact"/>
        <w:rPr>
          <w:sz w:val="20"/>
          <w:szCs w:val="20"/>
          <w:color w:val="auto"/>
        </w:rPr>
      </w:pPr>
    </w:p>
    <w:p>
      <w:pPr>
        <w:ind w:left="580" w:right="659" w:firstLine="194"/>
        <w:spacing w:after="0" w:line="297" w:lineRule="auto"/>
        <w:rPr>
          <w:sz w:val="20"/>
          <w:szCs w:val="20"/>
          <w:color w:val="auto"/>
        </w:rPr>
      </w:pPr>
      <w:r>
        <w:rPr>
          <w:rFonts w:ascii="Arial" w:cs="Arial" w:eastAsia="Arial" w:hAnsi="Arial"/>
          <w:sz w:val="14"/>
          <w:szCs w:val="14"/>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133" w:lineRule="exact"/>
        <w:rPr>
          <w:sz w:val="20"/>
          <w:szCs w:val="20"/>
          <w:color w:val="auto"/>
        </w:rPr>
      </w:pPr>
    </w:p>
    <w:p>
      <w:pPr>
        <w:ind w:left="580" w:right="599" w:firstLine="194"/>
        <w:spacing w:after="0" w:line="258" w:lineRule="auto"/>
        <w:rPr>
          <w:sz w:val="20"/>
          <w:szCs w:val="20"/>
          <w:color w:val="auto"/>
        </w:rPr>
      </w:pPr>
      <w:r>
        <w:rPr>
          <w:rFonts w:ascii="Arial" w:cs="Arial" w:eastAsia="Arial" w:hAnsi="Arial"/>
          <w:sz w:val="16"/>
          <w:szCs w:val="16"/>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w:t>
      </w:r>
    </w:p>
    <w:p>
      <w:pPr>
        <w:spacing w:after="0" w:line="146" w:lineRule="exact"/>
        <w:rPr>
          <w:sz w:val="20"/>
          <w:szCs w:val="20"/>
          <w:color w:val="auto"/>
        </w:rPr>
      </w:pPr>
    </w:p>
    <w:p>
      <w:pPr>
        <w:ind w:left="580" w:right="639" w:firstLine="194"/>
        <w:spacing w:after="0" w:line="296" w:lineRule="auto"/>
        <w:rPr>
          <w:sz w:val="20"/>
          <w:szCs w:val="20"/>
          <w:color w:val="auto"/>
        </w:rPr>
      </w:pPr>
      <w:r>
        <w:rPr>
          <w:rFonts w:ascii="Arial" w:cs="Arial" w:eastAsia="Arial" w:hAnsi="Arial"/>
          <w:sz w:val="14"/>
          <w:szCs w:val="14"/>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since they have historically been focused on serving the one-year warranty that is included in the price of our systems. In the future, we will seek to generate greater revenues from our service offering, and thereby leverage the fixed cost component associated with it, by increasing sales of post-warranty service contracts and providing other professional services.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2" w:lineRule="exact"/>
        <w:rPr>
          <w:sz w:val="20"/>
          <w:szCs w:val="20"/>
          <w:color w:val="auto"/>
        </w:rPr>
      </w:pPr>
    </w:p>
    <w:p>
      <w:pPr>
        <w:ind w:left="580" w:right="579" w:firstLine="194"/>
        <w:spacing w:after="0" w:line="302" w:lineRule="auto"/>
        <w:rPr>
          <w:sz w:val="20"/>
          <w:szCs w:val="20"/>
          <w:color w:val="auto"/>
        </w:rPr>
      </w:pPr>
      <w:r>
        <w:rPr>
          <w:rFonts w:ascii="Arial" w:cs="Arial" w:eastAsia="Arial" w:hAnsi="Arial"/>
          <w:sz w:val="14"/>
          <w:szCs w:val="14"/>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as we hire new employees to support the continued growth of our business. In the medium term, we expect operating expenses to decrease as a percentage of revenues.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1" w:name="page42"/>
    <w:bookmarkEnd w:id="41"/>
    <w:p>
      <w:pPr>
        <w:ind w:left="580" w:right="579" w:firstLine="194"/>
        <w:spacing w:after="0" w:line="274"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The largest component of our research and development expenses is salaries</w:t>
      </w:r>
      <w:r>
        <w:rPr>
          <w:rFonts w:ascii="Arial" w:cs="Arial" w:eastAsia="Arial" w:hAnsi="Arial"/>
          <w:sz w:val="15"/>
          <w:szCs w:val="15"/>
          <w:i w:val="1"/>
          <w:iCs w:val="1"/>
          <w:color w:val="auto"/>
        </w:rPr>
        <w:t xml:space="preserve"> </w:t>
      </w:r>
      <w:r>
        <w:rPr>
          <w:rFonts w:ascii="Arial" w:cs="Arial" w:eastAsia="Arial" w:hAnsi="Arial"/>
          <w:sz w:val="15"/>
          <w:szCs w:val="15"/>
          <w:color w:val="auto"/>
        </w:rPr>
        <w:t>and related personnel expenses for our research and development employees. Research and development expenses also include purchases of laboratory supplies;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and establish new beta sites for additional systems that we develop. Our current research and development efforts are primarily focused on beta testing of our Allegro R2R system, completing the development of our Vulcan DTG printing system, and enhancing our current DTG systems with new features and functionality, improving system reliability and uptime and making our systems even more user-friendly. We are also investing in the development of new ink formulas for our new systems and in order to expand the range of fabrics on which we can print and further improve the quality of our high resolution images and designs.</w:t>
      </w:r>
    </w:p>
    <w:p>
      <w:pPr>
        <w:spacing w:after="0" w:line="123" w:lineRule="exact"/>
        <w:rPr>
          <w:sz w:val="20"/>
          <w:szCs w:val="20"/>
          <w:color w:val="auto"/>
        </w:rPr>
      </w:pPr>
    </w:p>
    <w:p>
      <w:pPr>
        <w:ind w:left="580" w:right="739" w:firstLine="194"/>
        <w:spacing w:after="0" w:line="300" w:lineRule="auto"/>
        <w:rPr>
          <w:sz w:val="20"/>
          <w:szCs w:val="20"/>
          <w:color w:val="auto"/>
        </w:rPr>
      </w:pPr>
      <w:r>
        <w:rPr>
          <w:rFonts w:ascii="Arial" w:cs="Arial" w:eastAsia="Arial" w:hAnsi="Arial"/>
          <w:sz w:val="14"/>
          <w:szCs w:val="14"/>
          <w:i w:val="1"/>
          <w:iCs w:val="1"/>
          <w:color w:val="auto"/>
        </w:rPr>
        <w:t xml:space="preserve">Sales and Marketing Expenses. </w:t>
      </w:r>
      <w:r>
        <w:rPr>
          <w:rFonts w:ascii="Arial" w:cs="Arial" w:eastAsia="Arial" w:hAnsi="Arial"/>
          <w:sz w:val="14"/>
          <w:szCs w:val="14"/>
          <w:color w:val="auto"/>
        </w:rPr>
        <w:t>The largest component of our sales and marketing expenses is salaries and related</w:t>
      </w:r>
      <w:r>
        <w:rPr>
          <w:rFonts w:ascii="Arial" w:cs="Arial" w:eastAsia="Arial" w:hAnsi="Arial"/>
          <w:sz w:val="14"/>
          <w:szCs w:val="14"/>
          <w:i w:val="1"/>
          <w:iCs w:val="1"/>
          <w:color w:val="auto"/>
        </w:rPr>
        <w:t xml:space="preserve"> </w:t>
      </w:r>
      <w:r>
        <w:rPr>
          <w:rFonts w:ascii="Arial" w:cs="Arial" w:eastAsia="Arial" w:hAnsi="Arial"/>
          <w:sz w:val="14"/>
          <w:szCs w:val="14"/>
          <w:color w:val="auto"/>
        </w:rPr>
        <w:t>personnel expenses for our marketing, sales and other sales-support employees. Sales and marketing expenses also include advertising and promotions, including trade shows,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add new distributors as we expand to new territories, and strengthen relationships with existing distributors.</w:t>
      </w:r>
    </w:p>
    <w:p>
      <w:pPr>
        <w:spacing w:after="0" w:line="117" w:lineRule="exact"/>
        <w:rPr>
          <w:sz w:val="20"/>
          <w:szCs w:val="20"/>
          <w:color w:val="auto"/>
        </w:rPr>
      </w:pPr>
    </w:p>
    <w:p>
      <w:pPr>
        <w:ind w:left="580" w:right="579" w:firstLine="194"/>
        <w:spacing w:after="0" w:line="305" w:lineRule="auto"/>
        <w:rPr>
          <w:sz w:val="20"/>
          <w:szCs w:val="20"/>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The largest component of our general and administrative expenses is salaries</w:t>
      </w:r>
      <w:r>
        <w:rPr>
          <w:rFonts w:ascii="Arial" w:cs="Arial" w:eastAsia="Arial" w:hAnsi="Arial"/>
          <w:sz w:val="14"/>
          <w:szCs w:val="14"/>
          <w:i w:val="1"/>
          <w:iCs w:val="1"/>
          <w:color w:val="auto"/>
        </w:rPr>
        <w:t xml:space="preserve"> </w:t>
      </w:r>
      <w:r>
        <w:rPr>
          <w:rFonts w:ascii="Arial" w:cs="Arial" w:eastAsia="Arial" w:hAnsi="Arial"/>
          <w:sz w:val="14"/>
          <w:szCs w:val="14"/>
          <w:color w:val="auto"/>
        </w:rPr>
        <w:t>and related personnel expenses 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as our sales continue to grow and as we begin operating as a public company.</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Finance Expenses, Net</w:t>
      </w:r>
    </w:p>
    <w:p>
      <w:pPr>
        <w:spacing w:after="0" w:line="167" w:lineRule="exact"/>
        <w:rPr>
          <w:sz w:val="20"/>
          <w:szCs w:val="20"/>
          <w:color w:val="auto"/>
        </w:rPr>
      </w:pPr>
    </w:p>
    <w:p>
      <w:pPr>
        <w:ind w:left="580" w:right="739" w:firstLine="194"/>
        <w:spacing w:after="0" w:line="278" w:lineRule="auto"/>
        <w:rPr>
          <w:sz w:val="20"/>
          <w:szCs w:val="20"/>
          <w:color w:val="auto"/>
        </w:rPr>
      </w:pPr>
      <w:r>
        <w:rPr>
          <w:rFonts w:ascii="Arial" w:cs="Arial" w:eastAsia="Arial" w:hAnsi="Arial"/>
          <w:sz w:val="15"/>
          <w:szCs w:val="15"/>
          <w:color w:val="auto"/>
        </w:rPr>
        <w:t>Finance expenses, net consists of foreign currency exchange gains or losses and, to a lesser extent, interest income. Foreign currency exchange changes reflect gains or losses related to changes in the value of our non-U.S. dollar denominated financial assets, primarily cash and cash equivalents, and trade payables and receivables. As of December 31, 2014, we did not have any indebtedness for borrowed amounts. Interest income consists of interest earned on our cash, cash equivalents and short-term bank deposits. We expect interest income to vary depending on our average investment balances and market interest rates during each reporting period.</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Taxes on Income</w:t>
      </w:r>
    </w:p>
    <w:p>
      <w:pPr>
        <w:spacing w:after="0" w:line="167" w:lineRule="exact"/>
        <w:rPr>
          <w:sz w:val="20"/>
          <w:szCs w:val="20"/>
          <w:color w:val="auto"/>
        </w:rPr>
      </w:pPr>
    </w:p>
    <w:p>
      <w:pPr>
        <w:ind w:left="580" w:right="579" w:firstLine="194"/>
        <w:spacing w:after="0" w:line="274" w:lineRule="auto"/>
        <w:rPr>
          <w:sz w:val="20"/>
          <w:szCs w:val="20"/>
          <w:color w:val="auto"/>
        </w:rPr>
      </w:pPr>
      <w:r>
        <w:rPr>
          <w:rFonts w:ascii="Arial" w:cs="Arial" w:eastAsia="Arial" w:hAnsi="Arial"/>
          <w:sz w:val="15"/>
          <w:szCs w:val="15"/>
          <w:color w:val="auto"/>
        </w:rPr>
        <w:t>The standard corporate tax rate in Israel for 2014 and thereafter is 26.5% and was 25.0% in 2012 and 2013. At the parent company level, a small amount of the taxable income of Kornit Digital was taxed prior to 2014 at the 25.0% rate. However, as discussed in greater detail below under “Taxation — Israeli Tax Considerations and Government Programs,” we and our wholly-owned Israeli subsidiary, Kornit Digital Technologies Ltd., or Kornit Technologies, are entitled to various tax benefits under the Israeli Law for the Encouragement of Capital Investments, 1959, or the Investment Law. As a result of these benefits, referred to as “beneficiary enterprise” and “preferred enterprise” status, prior to 2014, substantially all of the income that we generated was exempt from income tax resulting in an overall effective tax rate, on a blended basis, of approximately 5%. Although Kornit Technologies had (and continues to have) net operating loss carryforwards, prior to 2014 we were unable to apply them to offset the amount of Israeli taxable income that we generated. As a result, we were subject to taxes on our taxable income at the parent company level.</w:t>
      </w:r>
    </w:p>
    <w:p>
      <w:pPr>
        <w:spacing w:after="0" w:line="126" w:lineRule="exact"/>
        <w:rPr>
          <w:sz w:val="20"/>
          <w:szCs w:val="20"/>
          <w:color w:val="auto"/>
        </w:rPr>
      </w:pPr>
    </w:p>
    <w:p>
      <w:pPr>
        <w:ind w:left="580" w:right="859" w:firstLine="194"/>
        <w:spacing w:after="0" w:line="297" w:lineRule="auto"/>
        <w:rPr>
          <w:sz w:val="20"/>
          <w:szCs w:val="20"/>
          <w:color w:val="auto"/>
        </w:rPr>
      </w:pPr>
      <w:r>
        <w:rPr>
          <w:rFonts w:ascii="Arial" w:cs="Arial" w:eastAsia="Arial" w:hAnsi="Arial"/>
          <w:sz w:val="14"/>
          <w:szCs w:val="14"/>
          <w:color w:val="auto"/>
        </w:rPr>
        <w:t>Starting from January 1, 2014, we have consolidated the results of our Israeli operations for tax purposes such that future net operating loss carryforwards of Kornit Technologies can be used to offset Israeli taxable income from</w:t>
      </w:r>
    </w:p>
    <w:p>
      <w:pPr>
        <w:spacing w:after="0" w:line="1" w:lineRule="exact"/>
        <w:rPr>
          <w:sz w:val="20"/>
          <w:szCs w:val="20"/>
          <w:color w:val="auto"/>
        </w:rPr>
      </w:pPr>
    </w:p>
    <w:p>
      <w:pPr>
        <w:jc w:val="both"/>
        <w:ind w:left="580" w:right="599"/>
        <w:spacing w:after="0" w:line="313" w:lineRule="auto"/>
        <w:rPr>
          <w:sz w:val="20"/>
          <w:szCs w:val="20"/>
          <w:color w:val="auto"/>
        </w:rPr>
      </w:pPr>
      <w:r>
        <w:rPr>
          <w:rFonts w:ascii="Arial" w:cs="Arial" w:eastAsia="Arial" w:hAnsi="Arial"/>
          <w:sz w:val="14"/>
          <w:szCs w:val="14"/>
          <w:color w:val="auto"/>
        </w:rPr>
        <w:t>us. Kornit Technologies currently generates sufficient net operating loss carryforwards to offset the taxable income of the parent. Accordingly, we were not subject to income tax in Israel in 2014 and our effective tax rate was the blended rate of our Israeli tax obligations and those of our non-Israeli subsidiaries in their respective jurisdictions of organization.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2" w:name="page43"/>
    <w:bookmarkEnd w:id="42"/>
    <w:p>
      <w:pPr>
        <w:ind w:left="580" w:right="699" w:firstLine="194"/>
        <w:spacing w:after="0" w:line="292" w:lineRule="auto"/>
        <w:rPr>
          <w:sz w:val="20"/>
          <w:szCs w:val="20"/>
          <w:color w:val="auto"/>
        </w:rPr>
      </w:pPr>
      <w:r>
        <w:rPr>
          <w:rFonts w:ascii="Arial" w:cs="Arial" w:eastAsia="Arial" w:hAnsi="Arial"/>
          <w:sz w:val="15"/>
          <w:szCs w:val="15"/>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Comparison of Period to Period Results of Operations</w:t>
      </w:r>
    </w:p>
    <w:p>
      <w:pPr>
        <w:spacing w:after="0" w:line="171" w:lineRule="exact"/>
        <w:rPr>
          <w:sz w:val="20"/>
          <w:szCs w:val="20"/>
          <w:color w:val="auto"/>
        </w:rPr>
      </w:pPr>
    </w:p>
    <w:p>
      <w:pPr>
        <w:ind w:left="580" w:right="1019" w:firstLine="194"/>
        <w:spacing w:after="0" w:line="281" w:lineRule="auto"/>
        <w:rPr>
          <w:sz w:val="20"/>
          <w:szCs w:val="20"/>
          <w:color w:val="auto"/>
        </w:rPr>
      </w:pPr>
      <w:r>
        <w:rPr>
          <w:rFonts w:ascii="Arial" w:cs="Arial" w:eastAsia="Arial" w:hAnsi="Arial"/>
          <w:sz w:val="16"/>
          <w:szCs w:val="16"/>
          <w:color w:val="auto"/>
        </w:rPr>
        <w:t>The following tables set forth our results of operations in dollars and as a percentage of revenues for the periods indicated:</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6"/>
              </w:rPr>
              <w:t>Year Ended December 31,</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2013</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5"/>
                <w:szCs w:val="15"/>
                <w:color w:val="auto"/>
              </w:rPr>
            </w:pPr>
          </w:p>
        </w:tc>
      </w:tr>
      <w:tr>
        <w:trPr>
          <w:trHeight w:val="161"/>
        </w:trPr>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80"/>
              <w:spacing w:after="0" w:line="161" w:lineRule="exact"/>
              <w:rPr>
                <w:sz w:val="20"/>
                <w:szCs w:val="20"/>
                <w:color w:val="auto"/>
              </w:rPr>
            </w:pPr>
            <w:r>
              <w:rPr>
                <w:rFonts w:ascii="Arial" w:cs="Arial" w:eastAsia="Arial" w:hAnsi="Arial"/>
                <w:sz w:val="15"/>
                <w:szCs w:val="15"/>
                <w:b w:val="1"/>
                <w:bCs w:val="1"/>
                <w:color w:val="auto"/>
                <w:w w:val="85"/>
              </w:rPr>
              <w:t>(in thousands)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39,167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49,395</w:t>
            </w:r>
          </w:p>
        </w:tc>
        <w:tc>
          <w:tcPr>
            <w:tcW w:w="2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66,364</w:t>
            </w:r>
          </w:p>
        </w:tc>
        <w:tc>
          <w:tcPr>
            <w:tcW w:w="120" w:type="dxa"/>
            <w:vAlign w:val="bottom"/>
          </w:tcPr>
          <w:p>
            <w:pPr>
              <w:spacing w:after="0"/>
              <w:rPr>
                <w:sz w:val="16"/>
                <w:szCs w:val="16"/>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Cost of revenues</w:t>
            </w:r>
          </w:p>
        </w:tc>
        <w:tc>
          <w:tcPr>
            <w:tcW w:w="240" w:type="dxa"/>
            <w:vAlign w:val="bottom"/>
          </w:tcPr>
          <w:p>
            <w:pPr>
              <w:spacing w:after="0"/>
              <w:rPr>
                <w:sz w:val="17"/>
                <w:szCs w:val="17"/>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22,741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27,953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37,187</w:t>
            </w:r>
          </w:p>
        </w:tc>
        <w:tc>
          <w:tcPr>
            <w:tcW w:w="120" w:type="dxa"/>
            <w:vAlign w:val="bottom"/>
          </w:tcPr>
          <w:p>
            <w:pPr>
              <w:spacing w:after="0"/>
              <w:rPr>
                <w:sz w:val="17"/>
                <w:szCs w:val="17"/>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16,426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21,442</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29,177</w:t>
            </w:r>
          </w:p>
        </w:tc>
        <w:tc>
          <w:tcPr>
            <w:tcW w:w="120" w:type="dxa"/>
            <w:vAlign w:val="bottom"/>
          </w:tcPr>
          <w:p>
            <w:pPr>
              <w:spacing w:after="0"/>
              <w:rPr>
                <w:sz w:val="16"/>
                <w:szCs w:val="16"/>
                <w:color w:val="auto"/>
              </w:rPr>
            </w:pPr>
          </w:p>
        </w:tc>
      </w:tr>
      <w:tr>
        <w:trPr>
          <w:trHeight w:val="173"/>
        </w:trPr>
        <w:tc>
          <w:tcPr>
            <w:tcW w:w="3780" w:type="dxa"/>
            <w:vAlign w:val="bottom"/>
          </w:tcPr>
          <w:p>
            <w:pPr>
              <w:spacing w:after="0" w:line="174" w:lineRule="exact"/>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4,839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7,443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9,475</w:t>
            </w:r>
          </w:p>
        </w:tc>
        <w:tc>
          <w:tcPr>
            <w:tcW w:w="120" w:type="dxa"/>
            <w:vAlign w:val="bottom"/>
          </w:tcPr>
          <w:p>
            <w:pPr>
              <w:spacing w:after="0"/>
              <w:rPr>
                <w:sz w:val="16"/>
                <w:szCs w:val="16"/>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6"/>
                <w:szCs w:val="16"/>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4,668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7,734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10,616</w:t>
            </w:r>
          </w:p>
        </w:tc>
        <w:tc>
          <w:tcPr>
            <w:tcW w:w="120" w:type="dxa"/>
            <w:vAlign w:val="bottom"/>
          </w:tcPr>
          <w:p>
            <w:pPr>
              <w:spacing w:after="0"/>
              <w:rPr>
                <w:sz w:val="16"/>
                <w:szCs w:val="16"/>
                <w:color w:val="auto"/>
              </w:rPr>
            </w:pP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3,092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3,278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5,266</w:t>
            </w:r>
          </w:p>
        </w:tc>
        <w:tc>
          <w:tcPr>
            <w:tcW w:w="120" w:type="dxa"/>
            <w:vAlign w:val="bottom"/>
          </w:tcPr>
          <w:p>
            <w:pPr>
              <w:spacing w:after="0"/>
              <w:rPr>
                <w:sz w:val="17"/>
                <w:szCs w:val="17"/>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12,599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18,455</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25,357</w:t>
            </w:r>
          </w:p>
        </w:tc>
        <w:tc>
          <w:tcPr>
            <w:tcW w:w="12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w:t>
            </w:r>
          </w:p>
        </w:tc>
        <w:tc>
          <w:tcPr>
            <w:tcW w:w="12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Finance expenses, net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r>
      <w:tr>
        <w:trPr>
          <w:trHeight w:val="173"/>
        </w:trPr>
        <w:tc>
          <w:tcPr>
            <w:tcW w:w="3780" w:type="dxa"/>
            <w:vAlign w:val="bottom"/>
          </w:tcPr>
          <w:p>
            <w:pPr>
              <w:spacing w:after="0" w:line="174" w:lineRule="exact"/>
              <w:rPr>
                <w:sz w:val="20"/>
                <w:szCs w:val="20"/>
                <w:color w:val="auto"/>
              </w:rPr>
            </w:pPr>
            <w:r>
              <w:rPr>
                <w:rFonts w:ascii="Arial" w:cs="Arial" w:eastAsia="Arial" w:hAnsi="Arial"/>
                <w:sz w:val="16"/>
                <w:szCs w:val="16"/>
                <w:color w:val="auto"/>
              </w:rPr>
              <w:t>Income before taxes on income</w:t>
            </w:r>
          </w:p>
        </w:tc>
        <w:tc>
          <w:tcPr>
            <w:tcW w:w="24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3,542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2,527</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3,805</w:t>
            </w:r>
          </w:p>
        </w:tc>
        <w:tc>
          <w:tcPr>
            <w:tcW w:w="120" w:type="dxa"/>
            <w:vAlign w:val="bottom"/>
          </w:tcPr>
          <w:p>
            <w:pPr>
              <w:spacing w:after="0"/>
              <w:rPr>
                <w:sz w:val="15"/>
                <w:szCs w:val="15"/>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Taxes on income</w:t>
            </w:r>
          </w:p>
        </w:tc>
        <w:tc>
          <w:tcPr>
            <w:tcW w:w="240" w:type="dxa"/>
            <w:vAlign w:val="bottom"/>
          </w:tcPr>
          <w:p>
            <w:pPr>
              <w:spacing w:after="0"/>
              <w:rPr>
                <w:sz w:val="17"/>
                <w:szCs w:val="17"/>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1,228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1,393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7"/>
                <w:szCs w:val="17"/>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16"/>
                <w:szCs w:val="16"/>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4"/>
        </w:trPr>
        <w:tc>
          <w:tcPr>
            <w:tcW w:w="3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6"/>
              </w:rPr>
              <w:t>Year Ended December 31,</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2013</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5"/>
                <w:szCs w:val="15"/>
                <w:color w:val="auto"/>
              </w:rPr>
            </w:pPr>
          </w:p>
        </w:tc>
      </w:tr>
      <w:tr>
        <w:trPr>
          <w:trHeight w:val="161"/>
        </w:trPr>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4"/>
          </w:tcPr>
          <w:p>
            <w:pPr>
              <w:jc w:val="center"/>
              <w:ind w:right="140"/>
              <w:spacing w:after="0" w:line="161" w:lineRule="exact"/>
              <w:rPr>
                <w:sz w:val="20"/>
                <w:szCs w:val="20"/>
                <w:color w:val="auto"/>
              </w:rPr>
            </w:pPr>
            <w:r>
              <w:rPr>
                <w:rFonts w:ascii="Arial" w:cs="Arial" w:eastAsia="Arial" w:hAnsi="Arial"/>
                <w:sz w:val="15"/>
                <w:szCs w:val="15"/>
                <w:b w:val="1"/>
                <w:bCs w:val="1"/>
                <w:color w:val="auto"/>
                <w:w w:val="86"/>
              </w:rPr>
              <w:t>(as a % of revenues)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Cost of revenues</w:t>
            </w:r>
          </w:p>
        </w:tc>
        <w:tc>
          <w:tcPr>
            <w:tcW w:w="240" w:type="dxa"/>
            <w:vAlign w:val="bottom"/>
          </w:tcPr>
          <w:p>
            <w:pPr>
              <w:spacing w:after="0"/>
              <w:rPr>
                <w:sz w:val="17"/>
                <w:szCs w:val="17"/>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58.1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56.6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7"/>
                <w:szCs w:val="17"/>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6"/>
                <w:szCs w:val="16"/>
                <w:color w:val="auto"/>
              </w:rPr>
            </w:pPr>
          </w:p>
        </w:tc>
      </w:tr>
      <w:tr>
        <w:trPr>
          <w:trHeight w:val="173"/>
        </w:trPr>
        <w:tc>
          <w:tcPr>
            <w:tcW w:w="3780" w:type="dxa"/>
            <w:vAlign w:val="bottom"/>
          </w:tcPr>
          <w:p>
            <w:pPr>
              <w:spacing w:after="0" w:line="174" w:lineRule="exact"/>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15.1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6"/>
                <w:szCs w:val="16"/>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6"/>
                <w:szCs w:val="16"/>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15.7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6"/>
                <w:szCs w:val="16"/>
                <w:color w:val="auto"/>
              </w:rPr>
            </w:pP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6.6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Finance expenses, net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6"/>
                <w:szCs w:val="16"/>
                <w:color w:val="auto"/>
              </w:rPr>
            </w:pPr>
          </w:p>
        </w:tc>
      </w:tr>
      <w:tr>
        <w:trPr>
          <w:trHeight w:val="173"/>
        </w:trPr>
        <w:tc>
          <w:tcPr>
            <w:tcW w:w="3780" w:type="dxa"/>
            <w:vAlign w:val="bottom"/>
          </w:tcPr>
          <w:p>
            <w:pPr>
              <w:spacing w:after="0" w:line="174" w:lineRule="exact"/>
              <w:rPr>
                <w:sz w:val="20"/>
                <w:szCs w:val="20"/>
                <w:color w:val="auto"/>
              </w:rPr>
            </w:pPr>
            <w:r>
              <w:rPr>
                <w:rFonts w:ascii="Arial" w:cs="Arial" w:eastAsia="Arial" w:hAnsi="Arial"/>
                <w:sz w:val="16"/>
                <w:szCs w:val="16"/>
                <w:color w:val="auto"/>
              </w:rPr>
              <w:t>Income before taxes on income</w:t>
            </w:r>
          </w:p>
        </w:tc>
        <w:tc>
          <w:tcPr>
            <w:tcW w:w="24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9.0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5.1</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5.8</w:t>
            </w:r>
          </w:p>
        </w:tc>
        <w:tc>
          <w:tcPr>
            <w:tcW w:w="120" w:type="dxa"/>
            <w:vAlign w:val="bottom"/>
          </w:tcPr>
          <w:p>
            <w:pPr>
              <w:spacing w:after="0"/>
              <w:rPr>
                <w:sz w:val="15"/>
                <w:szCs w:val="15"/>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Taxes on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3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Comparison of the Years Ended December 31, 2013 and 2014</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Revenues</w:t>
      </w:r>
    </w:p>
    <w:p>
      <w:pPr>
        <w:spacing w:after="0" w:line="155" w:lineRule="exact"/>
        <w:rPr>
          <w:sz w:val="20"/>
          <w:szCs w:val="20"/>
          <w:color w:val="auto"/>
        </w:rPr>
      </w:pPr>
    </w:p>
    <w:p>
      <w:pPr>
        <w:ind w:left="580" w:right="659" w:firstLine="194"/>
        <w:spacing w:after="0" w:line="274" w:lineRule="auto"/>
        <w:rPr>
          <w:sz w:val="20"/>
          <w:szCs w:val="20"/>
          <w:color w:val="auto"/>
        </w:rPr>
      </w:pPr>
      <w:r>
        <w:rPr>
          <w:rFonts w:ascii="Arial" w:cs="Arial" w:eastAsia="Arial" w:hAnsi="Arial"/>
          <w:sz w:val="15"/>
          <w:szCs w:val="15"/>
          <w:color w:val="auto"/>
        </w:rPr>
        <w:t>Revenues increased by $17.0 million, or 34.4%, to $66.4 million in 2014 from $49.4 million in 2013. Most of the growth in revenues resulted from a 45.5% increase in system and services revenues to $40.6 million in 2014 from $27.9 million in 2013. The growth in revenues also resulted from a 20.0% increase in sales of ink and other consumables to $25.8 million in 2014 from $21.5 million in 2013. The substantial majority of the $12.7 million growth in system and services revenues was attributable to a change in the mix of systems sold, specifically sales of more high throughput systems in this period, which sell for higher average selling prices than our entry level systems. We believe that the increase in sales of high throughput systems was a result of our coordinated marketing efforts following the introduction of a more advanced high throughput system in mid-2013, positive reception of these products and the growing maturity of the web-to-print business model facilitated by high throughput systems. The $4.3 million increase in ink and other consumables revenues was due to higher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3" w:name="page44"/>
    <w:bookmarkEnd w:id="43"/>
    <w:p>
      <w:pPr>
        <w:ind w:left="580" w:right="879"/>
        <w:spacing w:after="0" w:line="292" w:lineRule="auto"/>
        <w:rPr>
          <w:sz w:val="20"/>
          <w:szCs w:val="20"/>
          <w:color w:val="auto"/>
        </w:rPr>
      </w:pPr>
      <w:r>
        <w:rPr>
          <w:rFonts w:ascii="Arial" w:cs="Arial" w:eastAsia="Arial" w:hAnsi="Arial"/>
          <w:sz w:val="15"/>
          <w:szCs w:val="15"/>
          <w:color w:val="auto"/>
        </w:rPr>
        <w:t>sales volumes of ink and other consumables. The absolute and percentage increase in ink and other consumables revenues in 2014 compared to 2013 was smaller than in 2013 compared to 2012 because systems sales were lower in 2013 and accordingly drove a smaller increase in sales of ink and other consumables in 2014.</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Cost of Revenues and Gross Profit</w:t>
      </w:r>
    </w:p>
    <w:p>
      <w:pPr>
        <w:spacing w:after="0" w:line="167" w:lineRule="exact"/>
        <w:rPr>
          <w:sz w:val="20"/>
          <w:szCs w:val="20"/>
          <w:color w:val="auto"/>
        </w:rPr>
      </w:pPr>
    </w:p>
    <w:p>
      <w:pPr>
        <w:ind w:left="580" w:right="599" w:firstLine="194"/>
        <w:spacing w:after="0" w:line="298" w:lineRule="auto"/>
        <w:rPr>
          <w:sz w:val="20"/>
          <w:szCs w:val="20"/>
          <w:color w:val="auto"/>
        </w:rPr>
      </w:pPr>
      <w:r>
        <w:rPr>
          <w:rFonts w:ascii="Arial" w:cs="Arial" w:eastAsia="Arial" w:hAnsi="Arial"/>
          <w:sz w:val="14"/>
          <w:szCs w:val="14"/>
          <w:color w:val="auto"/>
        </w:rPr>
        <w:t>Cost of revenues increased by $9.2 million, or 32.9%, to $37.2 million in 2014 from $28.0 million in 2013. Gross profit increased by $7.8 million, or 36.4%, to $29.2 million in 2014, as compared to $21.4 million in 2013. Gross margin was 44.0% in 2014 compared to 43.4% in 2013. The increase in gross margin is related to a 8.1% increase in systems gross margin partially offset by a 3.0% decrease in gross margin from ink and other consumables in each case compared to the prior year. The increase in system gross margin resulted from an increase in sales of higher margin high throughput systems while the decrease in ink and other consumables gross margin resulted mainly from higher costs of revenues related to increased rent expense due to the expansion of the facility where we manufacture our ink and other consumables and increased headcount expense relating to increased production of ink and other consumables.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Operating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2013</w:t>
            </w:r>
          </w:p>
        </w:tc>
        <w:tc>
          <w:tcPr>
            <w:tcW w:w="7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2014</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5"/>
                <w:szCs w:val="15"/>
                <w:b w:val="1"/>
                <w:bCs w:val="1"/>
                <w:color w:val="auto"/>
              </w:rPr>
              <w:t>Change</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83"/>
              <w:spacing w:after="0" w:line="161" w:lineRule="exact"/>
              <w:rPr>
                <w:sz w:val="20"/>
                <w:szCs w:val="20"/>
                <w:color w:val="auto"/>
              </w:rPr>
            </w:pPr>
            <w:r>
              <w:rPr>
                <w:rFonts w:ascii="Arial" w:cs="Arial" w:eastAsia="Arial" w:hAnsi="Arial"/>
                <w:sz w:val="15"/>
                <w:szCs w:val="15"/>
                <w:b w:val="1"/>
                <w:bCs w:val="1"/>
                <w:color w:val="auto"/>
              </w:rPr>
              <w:t>%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82"/>
              <w:spacing w:after="0" w:line="161" w:lineRule="exact"/>
              <w:rPr>
                <w:sz w:val="20"/>
                <w:szCs w:val="20"/>
                <w:color w:val="auto"/>
              </w:rPr>
            </w:pPr>
            <w:r>
              <w:rPr>
                <w:rFonts w:ascii="Arial" w:cs="Arial" w:eastAsia="Arial" w:hAnsi="Arial"/>
                <w:sz w:val="15"/>
                <w:szCs w:val="15"/>
                <w:b w:val="1"/>
                <w:bCs w:val="1"/>
                <w:color w:val="auto"/>
              </w:rPr>
              <w:t>%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5"/>
                <w:szCs w:val="15"/>
                <w:b w:val="1"/>
                <w:bCs w:val="1"/>
                <w:color w:val="auto"/>
                <w:w w:val="91"/>
              </w:rPr>
              <w:t>Amount</w:t>
            </w:r>
          </w:p>
        </w:tc>
        <w:tc>
          <w:tcPr>
            <w:tcW w:w="10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7"/>
              </w:rPr>
              <w:t>Revenues</w:t>
            </w:r>
          </w:p>
        </w:tc>
        <w:tc>
          <w:tcPr>
            <w:tcW w:w="12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84"/>
              </w:rPr>
              <w:t>Revenues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5"/>
                <w:szCs w:val="15"/>
                <w:b w:val="1"/>
                <w:bCs w:val="1"/>
                <w:color w:val="auto"/>
              </w:rPr>
              <w:t>Amount</w:t>
            </w:r>
          </w:p>
        </w:tc>
        <w:tc>
          <w:tcPr>
            <w:tcW w:w="54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80" w:type="dxa"/>
            <w:vAlign w:val="bottom"/>
            <w:vMerge w:val="restart"/>
          </w:tcPr>
          <w:p>
            <w:pPr>
              <w:spacing w:after="0"/>
              <w:rPr>
                <w:sz w:val="20"/>
                <w:szCs w:val="20"/>
                <w:color w:val="auto"/>
              </w:rPr>
            </w:pPr>
            <w:r>
              <w:rPr>
                <w:rFonts w:ascii="Arial" w:cs="Arial" w:eastAsia="Arial" w:hAnsi="Arial"/>
                <w:sz w:val="16"/>
                <w:szCs w:val="16"/>
                <w:b w:val="1"/>
                <w:bCs w:val="1"/>
                <w:color w:val="auto"/>
                <w:w w:val="98"/>
              </w:rPr>
              <w:t>Operating expenses: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4"/>
          </w:tcPr>
          <w:p>
            <w:pPr>
              <w:jc w:val="center"/>
              <w:ind w:right="42"/>
              <w:spacing w:after="0"/>
              <w:rPr>
                <w:sz w:val="20"/>
                <w:szCs w:val="20"/>
                <w:color w:val="auto"/>
              </w:rPr>
            </w:pPr>
            <w:r>
              <w:rPr>
                <w:rFonts w:ascii="Arial" w:cs="Arial" w:eastAsia="Arial" w:hAnsi="Arial"/>
                <w:sz w:val="15"/>
                <w:szCs w:val="15"/>
                <w:b w:val="1"/>
                <w:bCs w:val="1"/>
                <w:color w:val="auto"/>
                <w:w w:val="86"/>
              </w:rPr>
              <w:t>($ in thousands)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Arial" w:cs="Arial" w:eastAsia="Arial" w:hAnsi="Arial"/>
                <w:sz w:val="16"/>
                <w:szCs w:val="16"/>
                <w:color w:val="auto"/>
              </w:rPr>
              <w:t>Research and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Arial" w:cs="Arial" w:eastAsia="Arial" w:hAnsi="Arial"/>
                <w:sz w:val="16"/>
                <w:szCs w:val="16"/>
                <w:color w:val="auto"/>
              </w:rPr>
              <w:t>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7,443</w:t>
            </w:r>
          </w:p>
        </w:tc>
        <w:tc>
          <w:tcPr>
            <w:tcW w:w="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9,475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14.3%</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2,032</w:t>
            </w:r>
          </w:p>
        </w:tc>
        <w:tc>
          <w:tcPr>
            <w:tcW w:w="180" w:type="dxa"/>
            <w:vAlign w:val="bottom"/>
          </w:tcPr>
          <w:p>
            <w:pPr>
              <w:spacing w:after="0"/>
              <w:rPr>
                <w:sz w:val="16"/>
                <w:szCs w:val="16"/>
                <w:color w:val="auto"/>
              </w:rPr>
            </w:pPr>
          </w:p>
        </w:tc>
        <w:tc>
          <w:tcPr>
            <w:tcW w:w="680" w:type="dxa"/>
            <w:vAlign w:val="bottom"/>
            <w:gridSpan w:val="2"/>
          </w:tcPr>
          <w:p>
            <w:pPr>
              <w:ind w:left="260"/>
              <w:spacing w:after="0"/>
              <w:rPr>
                <w:sz w:val="20"/>
                <w:szCs w:val="20"/>
                <w:color w:val="auto"/>
              </w:rPr>
            </w:pPr>
            <w:r>
              <w:rPr>
                <w:rFonts w:ascii="Arial" w:cs="Arial" w:eastAsia="Arial" w:hAnsi="Arial"/>
                <w:sz w:val="16"/>
                <w:szCs w:val="16"/>
                <w:color w:val="auto"/>
                <w:w w:val="88"/>
              </w:rPr>
              <w:t>27.3%</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7,734</w:t>
            </w:r>
          </w:p>
        </w:tc>
        <w:tc>
          <w:tcPr>
            <w:tcW w:w="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10,616</w:t>
            </w: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2,882</w:t>
            </w:r>
          </w:p>
        </w:tc>
        <w:tc>
          <w:tcPr>
            <w:tcW w:w="180" w:type="dxa"/>
            <w:vAlign w:val="bottom"/>
          </w:tcPr>
          <w:p>
            <w:pPr>
              <w:spacing w:after="0"/>
              <w:rPr>
                <w:sz w:val="16"/>
                <w:szCs w:val="16"/>
                <w:color w:val="auto"/>
              </w:rPr>
            </w:pPr>
          </w:p>
        </w:tc>
        <w:tc>
          <w:tcPr>
            <w:tcW w:w="680" w:type="dxa"/>
            <w:vAlign w:val="bottom"/>
            <w:gridSpan w:val="2"/>
          </w:tcPr>
          <w:p>
            <w:pPr>
              <w:ind w:left="26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Arial" w:cs="Arial" w:eastAsia="Arial" w:hAnsi="Arial"/>
                <w:sz w:val="16"/>
                <w:szCs w:val="16"/>
                <w:color w:val="auto"/>
              </w:rPr>
              <w:t>General and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80" w:type="dxa"/>
            <w:vAlign w:val="bottom"/>
          </w:tcPr>
          <w:p>
            <w:pPr>
              <w:spacing w:after="0"/>
              <w:rPr>
                <w:sz w:val="20"/>
                <w:szCs w:val="20"/>
                <w:color w:val="auto"/>
              </w:rPr>
            </w:pPr>
            <w:r>
              <w:rPr>
                <w:rFonts w:ascii="Arial" w:cs="Arial" w:eastAsia="Arial" w:hAnsi="Arial"/>
                <w:sz w:val="16"/>
                <w:szCs w:val="16"/>
                <w:color w:val="auto"/>
              </w:rPr>
              <w:t>administrative</w:t>
            </w:r>
          </w:p>
        </w:tc>
        <w:tc>
          <w:tcPr>
            <w:tcW w:w="1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3,278</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5,266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1,988</w:t>
            </w:r>
          </w:p>
        </w:tc>
        <w:tc>
          <w:tcPr>
            <w:tcW w:w="18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62"/>
        </w:trPr>
        <w:tc>
          <w:tcPr>
            <w:tcW w:w="1580" w:type="dxa"/>
            <w:vAlign w:val="bottom"/>
          </w:tcPr>
          <w:p>
            <w:pPr>
              <w:spacing w:after="0" w:line="161" w:lineRule="exact"/>
              <w:rPr>
                <w:sz w:val="20"/>
                <w:szCs w:val="20"/>
                <w:color w:val="auto"/>
              </w:rPr>
            </w:pPr>
            <w:r>
              <w:rPr>
                <w:rFonts w:ascii="Arial" w:cs="Arial" w:eastAsia="Arial" w:hAnsi="Arial"/>
                <w:sz w:val="16"/>
                <w:szCs w:val="16"/>
                <w:color w:val="auto"/>
              </w:rPr>
              <w:t>Total operating</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tcPr>
          <w:p>
            <w:pPr>
              <w:spacing w:after="0"/>
              <w:rPr>
                <w:sz w:val="20"/>
                <w:szCs w:val="20"/>
                <w:color w:val="auto"/>
              </w:rPr>
            </w:pPr>
            <w:r>
              <w:rPr>
                <w:rFonts w:ascii="Arial" w:cs="Arial" w:eastAsia="Arial" w:hAnsi="Arial"/>
                <w:sz w:val="16"/>
                <w:szCs w:val="16"/>
                <w:color w:val="auto"/>
              </w:rPr>
              <w:t>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18,455</w:t>
            </w:r>
          </w:p>
        </w:tc>
        <w:tc>
          <w:tcPr>
            <w:tcW w:w="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25,357</w:t>
            </w:r>
          </w:p>
        </w:tc>
        <w:tc>
          <w:tcPr>
            <w:tcW w:w="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38.2%</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6,902</w:t>
            </w:r>
          </w:p>
        </w:tc>
        <w:tc>
          <w:tcPr>
            <w:tcW w:w="18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6"/>
                <w:szCs w:val="16"/>
                <w:color w:val="auto"/>
                <w:w w:val="88"/>
              </w:rPr>
              <w:t>37.4%</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580" w:right="819" w:firstLine="194"/>
        <w:spacing w:after="0" w:line="259"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27.3% in 2014 compared to 2013.</w:t>
      </w:r>
      <w:r>
        <w:rPr>
          <w:rFonts w:ascii="Arial" w:cs="Arial" w:eastAsia="Arial" w:hAnsi="Arial"/>
          <w:sz w:val="16"/>
          <w:szCs w:val="16"/>
          <w:i w:val="1"/>
          <w:iCs w:val="1"/>
          <w:color w:val="auto"/>
        </w:rPr>
        <w:t xml:space="preserve"> </w:t>
      </w:r>
      <w:r>
        <w:rPr>
          <w:rFonts w:ascii="Arial" w:cs="Arial" w:eastAsia="Arial" w:hAnsi="Arial"/>
          <w:sz w:val="16"/>
          <w:szCs w:val="16"/>
          <w:color w:val="auto"/>
        </w:rPr>
        <w:t>This resulted primarily from an increase of $1.3 million in salaries and related personnel expenses due to the hiring of additional personnel. This increase related primarily to an increase in expenses relating to development of our new Vulcan system for the DTG market. As a percentage of total revenues, our research and development expenses slighty decreased in 2014 compared to 2013.</w:t>
      </w:r>
    </w:p>
    <w:p>
      <w:pPr>
        <w:spacing w:after="0" w:line="134" w:lineRule="exact"/>
        <w:rPr>
          <w:sz w:val="20"/>
          <w:szCs w:val="20"/>
          <w:color w:val="auto"/>
        </w:rPr>
      </w:pPr>
    </w:p>
    <w:p>
      <w:pPr>
        <w:ind w:left="580" w:right="579" w:firstLine="194"/>
        <w:spacing w:after="0" w:line="302"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increased by 37.3% in 2014 compared to 2013. This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was primarily due to an increase of $1.8 million in salaries and related personnel expenses due to the hiring of sales and marketing personnel in 2014, an increase of $0.3 million in marketing activities, including trade shows and online marketing activities. As a percentage of total revenues, our sales and marketing expenses rose slightly during this period, from 15.7% in 2013 to 16.0% in 2014. This increase reflects our strategy of continuing to increase our presence in new markets in which we operate and creating increased market awareness of our company from intensified marketing efforts.</w:t>
      </w:r>
    </w:p>
    <w:p>
      <w:pPr>
        <w:spacing w:after="0" w:line="117" w:lineRule="exact"/>
        <w:rPr>
          <w:sz w:val="20"/>
          <w:szCs w:val="20"/>
          <w:color w:val="auto"/>
        </w:rPr>
      </w:pPr>
    </w:p>
    <w:p>
      <w:pPr>
        <w:jc w:val="both"/>
        <w:ind w:left="580" w:right="759" w:firstLine="194"/>
        <w:spacing w:after="0" w:line="259"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60.6% in 2014 compared to 2013.</w:t>
      </w:r>
      <w:r>
        <w:rPr>
          <w:rFonts w:ascii="Arial" w:cs="Arial" w:eastAsia="Arial" w:hAnsi="Arial"/>
          <w:sz w:val="16"/>
          <w:szCs w:val="16"/>
          <w:i w:val="1"/>
          <w:iCs w:val="1"/>
          <w:color w:val="auto"/>
        </w:rPr>
        <w:t xml:space="preserve"> </w:t>
      </w:r>
      <w:r>
        <w:rPr>
          <w:rFonts w:ascii="Arial" w:cs="Arial" w:eastAsia="Arial" w:hAnsi="Arial"/>
          <w:sz w:val="16"/>
          <w:szCs w:val="16"/>
          <w:color w:val="auto"/>
        </w:rPr>
        <w:t>This resulted primarily from an increase of $1.3 million in salaries and related personnel expenses due to the hiring of additional personnel reflecting an increase in headcount compared to the previous year and management changes. As a percentage of our total revenues in those years, such expenses increased, from 6.6% in 2013 to 7.9% in 2014 reflecting the expansion of our management team.</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Finance Expenses, Net</w:t>
      </w:r>
    </w:p>
    <w:p>
      <w:pPr>
        <w:spacing w:after="0" w:line="204" w:lineRule="exact"/>
        <w:rPr>
          <w:sz w:val="20"/>
          <w:szCs w:val="20"/>
          <w:color w:val="auto"/>
        </w:rPr>
      </w:pPr>
    </w:p>
    <w:p>
      <w:pPr>
        <w:ind w:left="580" w:right="639" w:firstLine="194"/>
        <w:spacing w:after="0" w:line="267" w:lineRule="auto"/>
        <w:rPr>
          <w:sz w:val="20"/>
          <w:szCs w:val="20"/>
          <w:color w:val="auto"/>
        </w:rPr>
      </w:pPr>
      <w:r>
        <w:rPr>
          <w:rFonts w:ascii="Arial" w:cs="Arial" w:eastAsia="Arial" w:hAnsi="Arial"/>
          <w:sz w:val="16"/>
          <w:szCs w:val="16"/>
          <w:color w:val="auto"/>
        </w:rPr>
        <w:t>Finance expenses, net decreased from $460,000 in 2013 to $15,000 in 2014. This decrease resulted primarily from the effects of exchange rates on our non-dollar denominated financial assets, specifically the exchange rate of the U.S. dollar to the NIS.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Taxes on Income</w:t>
      </w:r>
    </w:p>
    <w:p>
      <w:pPr>
        <w:spacing w:after="0" w:line="204" w:lineRule="exact"/>
        <w:rPr>
          <w:sz w:val="20"/>
          <w:szCs w:val="20"/>
          <w:color w:val="auto"/>
        </w:rPr>
      </w:pPr>
    </w:p>
    <w:p>
      <w:pPr>
        <w:ind w:left="580" w:right="579" w:firstLine="194"/>
        <w:spacing w:after="0" w:line="262" w:lineRule="auto"/>
        <w:rPr>
          <w:sz w:val="20"/>
          <w:szCs w:val="20"/>
          <w:color w:val="auto"/>
        </w:rPr>
      </w:pPr>
      <w:r>
        <w:rPr>
          <w:rFonts w:ascii="Arial" w:cs="Arial" w:eastAsia="Arial" w:hAnsi="Arial"/>
          <w:sz w:val="16"/>
          <w:szCs w:val="16"/>
          <w:color w:val="auto"/>
        </w:rPr>
        <w:t>Taxes on income decreased from $1.4 million in 2013 to $0.8 million in 2014. Our effective tax rate was 20.6% for 2014 compared to 55.1% for 2013. Our tax rate in 2013 reflected a full valuation allowance applied against the current loss for tax purposes incurred by our Israeli subsidiary, Kornit Technologies, which was not consolidated for tax purposes with our parent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4" w:name="page45"/>
    <w:bookmarkEnd w:id="44"/>
    <w:p>
      <w:pPr>
        <w:ind w:left="580" w:right="759"/>
        <w:spacing w:after="0" w:line="316" w:lineRule="auto"/>
        <w:rPr>
          <w:sz w:val="20"/>
          <w:szCs w:val="20"/>
          <w:color w:val="auto"/>
        </w:rPr>
      </w:pPr>
      <w:r>
        <w:rPr>
          <w:rFonts w:ascii="Arial" w:cs="Arial" w:eastAsia="Arial" w:hAnsi="Arial"/>
          <w:sz w:val="15"/>
          <w:szCs w:val="15"/>
          <w:color w:val="auto"/>
        </w:rPr>
        <w:t>entity, Kornit Digital, which generates taxable income. Starting in 2014, we have consolidated Kornit Technologies for tax purposes resulting in significantly lower taxable income and a correspondingly lower effective tax rate.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Comparison of the Years Ended December 31, 2012 and 2013</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Revenues</w:t>
      </w:r>
    </w:p>
    <w:p>
      <w:pPr>
        <w:spacing w:after="0" w:line="204" w:lineRule="exact"/>
        <w:rPr>
          <w:sz w:val="20"/>
          <w:szCs w:val="20"/>
          <w:color w:val="auto"/>
        </w:rPr>
      </w:pPr>
    </w:p>
    <w:p>
      <w:pPr>
        <w:ind w:left="580" w:right="639" w:firstLine="194"/>
        <w:spacing w:after="0" w:line="277" w:lineRule="auto"/>
        <w:rPr>
          <w:sz w:val="20"/>
          <w:szCs w:val="20"/>
          <w:color w:val="auto"/>
        </w:rPr>
      </w:pPr>
      <w:r>
        <w:rPr>
          <w:rFonts w:ascii="Arial" w:cs="Arial" w:eastAsia="Arial" w:hAnsi="Arial"/>
          <w:sz w:val="15"/>
          <w:szCs w:val="15"/>
          <w:color w:val="auto"/>
        </w:rPr>
        <w:t>Revenues increased by $10.2 million, or 26.0%, to $49.4 million in 2013 from $39.2 million in 2012. Most of the growth in revenues resulted from a 41.4% increase in sales of ink and other consumables to $21.5 million in 2013 from $15.2 million in 2012. The growth in revenues also resulted from a 16.3% increase in sales of systems and services to $27.9 million in 2013 from $24.0 million in 2012. The smaller relative increase in revenues from systems and services compared to inks and other consumables resulted from sales of a fewer number of systems particularly in the first half of the year while the larger relative increase in revenues from ink and other consumables was due to the impact of systems sold in the previous year generating demand for such consumables.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Cost of Revenues and Gross Profit</w:t>
      </w:r>
    </w:p>
    <w:p>
      <w:pPr>
        <w:spacing w:after="0" w:line="204" w:lineRule="exact"/>
        <w:rPr>
          <w:sz w:val="20"/>
          <w:szCs w:val="20"/>
          <w:color w:val="auto"/>
        </w:rPr>
      </w:pPr>
    </w:p>
    <w:p>
      <w:pPr>
        <w:ind w:left="580" w:right="619" w:firstLine="194"/>
        <w:spacing w:after="0" w:line="259" w:lineRule="auto"/>
        <w:rPr>
          <w:sz w:val="20"/>
          <w:szCs w:val="20"/>
          <w:color w:val="auto"/>
        </w:rPr>
      </w:pPr>
      <w:r>
        <w:rPr>
          <w:rFonts w:ascii="Arial" w:cs="Arial" w:eastAsia="Arial" w:hAnsi="Arial"/>
          <w:sz w:val="16"/>
          <w:szCs w:val="16"/>
          <w:color w:val="auto"/>
        </w:rPr>
        <w:t>Cost of revenues increased by $5.3 million, or 23.3%, to $28.0 million in 2013, as compared to $22.7 million in 2012. Gross profit increased by $5.0 million, or 30.5%, to $21.4 million in 2013, as compared to $16.4 million in 2012. Gross margin was 43.4% in 2013 compared to 41.9% in 2012. This increase in gross margin was primarily attributable to a 2.3% increase in gross margin from ink and other consumables partially offset by a 2.8% decrease in systems gross margin, which was primarily due to sales of lower margin systems.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Operating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5"/>
                <w:szCs w:val="15"/>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2012</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2013</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5"/>
                <w:szCs w:val="15"/>
                <w:b w:val="1"/>
                <w:bCs w:val="1"/>
                <w:color w:val="auto"/>
              </w:rPr>
              <w:t>Change</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83"/>
              <w:spacing w:after="0" w:line="161" w:lineRule="exact"/>
              <w:rPr>
                <w:sz w:val="20"/>
                <w:szCs w:val="20"/>
                <w:color w:val="auto"/>
              </w:rPr>
            </w:pPr>
            <w:r>
              <w:rPr>
                <w:rFonts w:ascii="Arial" w:cs="Arial" w:eastAsia="Arial" w:hAnsi="Arial"/>
                <w:sz w:val="15"/>
                <w:szCs w:val="15"/>
                <w:b w:val="1"/>
                <w:bCs w:val="1"/>
                <w:color w:val="auto"/>
              </w:rPr>
              <w:t>%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182"/>
              <w:spacing w:after="0" w:line="161" w:lineRule="exact"/>
              <w:rPr>
                <w:sz w:val="20"/>
                <w:szCs w:val="20"/>
                <w:color w:val="auto"/>
              </w:rPr>
            </w:pPr>
            <w:r>
              <w:rPr>
                <w:rFonts w:ascii="Arial" w:cs="Arial" w:eastAsia="Arial" w:hAnsi="Arial"/>
                <w:sz w:val="15"/>
                <w:szCs w:val="15"/>
                <w:b w:val="1"/>
                <w:bCs w:val="1"/>
                <w:color w:val="auto"/>
              </w:rPr>
              <w:t>%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5"/>
                <w:szCs w:val="15"/>
                <w:b w:val="1"/>
                <w:bCs w:val="1"/>
                <w:color w:val="auto"/>
                <w:w w:val="91"/>
              </w:rPr>
              <w:t>Amount</w:t>
            </w: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5"/>
                <w:szCs w:val="15"/>
                <w:b w:val="1"/>
                <w:bCs w:val="1"/>
                <w:color w:val="auto"/>
                <w:w w:val="95"/>
              </w:rPr>
              <w:t>Revenues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5"/>
                <w:szCs w:val="15"/>
                <w:b w:val="1"/>
                <w:bCs w:val="1"/>
                <w:color w:val="auto"/>
                <w:w w:val="91"/>
              </w:rPr>
              <w:t>Amount</w:t>
            </w: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5"/>
                <w:szCs w:val="15"/>
                <w:b w:val="1"/>
                <w:bCs w:val="1"/>
                <w:color w:val="auto"/>
                <w:w w:val="95"/>
              </w:rPr>
              <w:t>Revenues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Amount</w:t>
            </w:r>
          </w:p>
        </w:tc>
        <w:tc>
          <w:tcPr>
            <w:tcW w:w="54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80" w:type="dxa"/>
            <w:vAlign w:val="bottom"/>
            <w:vMerge w:val="restart"/>
          </w:tcPr>
          <w:p>
            <w:pPr>
              <w:spacing w:after="0"/>
              <w:rPr>
                <w:sz w:val="20"/>
                <w:szCs w:val="20"/>
                <w:color w:val="auto"/>
              </w:rPr>
            </w:pPr>
            <w:r>
              <w:rPr>
                <w:rFonts w:ascii="Arial" w:cs="Arial" w:eastAsia="Arial" w:hAnsi="Arial"/>
                <w:sz w:val="16"/>
                <w:szCs w:val="16"/>
                <w:b w:val="1"/>
                <w:bCs w:val="1"/>
                <w:color w:val="auto"/>
                <w:w w:val="98"/>
              </w:rPr>
              <w:t>Operating expenses: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700"/>
              <w:spacing w:after="0"/>
              <w:rPr>
                <w:sz w:val="20"/>
                <w:szCs w:val="20"/>
                <w:color w:val="auto"/>
              </w:rPr>
            </w:pPr>
            <w:r>
              <w:rPr>
                <w:rFonts w:ascii="Arial" w:cs="Arial" w:eastAsia="Arial" w:hAnsi="Arial"/>
                <w:sz w:val="15"/>
                <w:szCs w:val="15"/>
                <w:b w:val="1"/>
                <w:bCs w:val="1"/>
                <w:color w:val="auto"/>
              </w:rPr>
              <w:t>($ in thousands)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Arial" w:cs="Arial" w:eastAsia="Arial" w:hAnsi="Arial"/>
                <w:sz w:val="16"/>
                <w:szCs w:val="16"/>
                <w:color w:val="auto"/>
              </w:rPr>
              <w:t>Research and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Arial" w:cs="Arial" w:eastAsia="Arial" w:hAnsi="Arial"/>
                <w:sz w:val="16"/>
                <w:szCs w:val="16"/>
                <w:color w:val="auto"/>
              </w:rPr>
              <w:t>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4,839</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7,443</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15.1%</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2,604</w:t>
            </w:r>
          </w:p>
        </w:tc>
        <w:tc>
          <w:tcPr>
            <w:tcW w:w="1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4,668</w:t>
            </w:r>
          </w:p>
        </w:tc>
        <w:tc>
          <w:tcPr>
            <w:tcW w:w="800" w:type="dxa"/>
            <w:vAlign w:val="bottom"/>
          </w:tcPr>
          <w:p>
            <w:pPr>
              <w:jc w:val="right"/>
              <w:spacing w:after="0"/>
              <w:rPr>
                <w:sz w:val="20"/>
                <w:szCs w:val="20"/>
                <w:color w:val="auto"/>
              </w:rPr>
            </w:pPr>
            <w:r>
              <w:rPr>
                <w:rFonts w:ascii="Arial" w:cs="Arial" w:eastAsia="Arial" w:hAnsi="Arial"/>
                <w:sz w:val="16"/>
                <w:szCs w:val="16"/>
                <w:color w:val="auto"/>
              </w:rPr>
              <w:t>11.9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7,734</w:t>
            </w:r>
          </w:p>
        </w:tc>
        <w:tc>
          <w:tcPr>
            <w:tcW w:w="2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3,066</w:t>
            </w:r>
          </w:p>
        </w:tc>
        <w:tc>
          <w:tcPr>
            <w:tcW w:w="1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194"/>
        </w:trPr>
        <w:tc>
          <w:tcPr>
            <w:tcW w:w="1580" w:type="dxa"/>
            <w:vAlign w:val="bottom"/>
          </w:tcPr>
          <w:p>
            <w:pPr>
              <w:spacing w:after="0"/>
              <w:rPr>
                <w:sz w:val="20"/>
                <w:szCs w:val="20"/>
                <w:color w:val="auto"/>
              </w:rPr>
            </w:pPr>
            <w:r>
              <w:rPr>
                <w:rFonts w:ascii="Arial" w:cs="Arial" w:eastAsia="Arial" w:hAnsi="Arial"/>
                <w:sz w:val="16"/>
                <w:szCs w:val="16"/>
                <w:color w:val="auto"/>
              </w:rPr>
              <w:t>General and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80" w:type="dxa"/>
            <w:vAlign w:val="bottom"/>
          </w:tcPr>
          <w:p>
            <w:pPr>
              <w:spacing w:after="0"/>
              <w:rPr>
                <w:sz w:val="20"/>
                <w:szCs w:val="20"/>
                <w:color w:val="auto"/>
              </w:rPr>
            </w:pPr>
            <w:r>
              <w:rPr>
                <w:rFonts w:ascii="Arial" w:cs="Arial" w:eastAsia="Arial" w:hAnsi="Arial"/>
                <w:sz w:val="16"/>
                <w:szCs w:val="16"/>
                <w:color w:val="auto"/>
              </w:rPr>
              <w:t>administrative</w:t>
            </w:r>
          </w:p>
        </w:tc>
        <w:tc>
          <w:tcPr>
            <w:tcW w:w="1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3,092</w:t>
            </w: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3,278</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186</w:t>
            </w: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62"/>
        </w:trPr>
        <w:tc>
          <w:tcPr>
            <w:tcW w:w="1580" w:type="dxa"/>
            <w:vAlign w:val="bottom"/>
          </w:tcPr>
          <w:p>
            <w:pPr>
              <w:spacing w:after="0" w:line="161" w:lineRule="exact"/>
              <w:rPr>
                <w:sz w:val="20"/>
                <w:szCs w:val="20"/>
                <w:color w:val="auto"/>
              </w:rPr>
            </w:pPr>
            <w:r>
              <w:rPr>
                <w:rFonts w:ascii="Arial" w:cs="Arial" w:eastAsia="Arial" w:hAnsi="Arial"/>
                <w:sz w:val="16"/>
                <w:szCs w:val="16"/>
                <w:color w:val="auto"/>
              </w:rPr>
              <w:t>Total operating</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tcPr>
          <w:p>
            <w:pPr>
              <w:spacing w:after="0"/>
              <w:rPr>
                <w:sz w:val="20"/>
                <w:szCs w:val="20"/>
                <w:color w:val="auto"/>
              </w:rPr>
            </w:pPr>
            <w:r>
              <w:rPr>
                <w:rFonts w:ascii="Arial" w:cs="Arial" w:eastAsia="Arial" w:hAnsi="Arial"/>
                <w:sz w:val="16"/>
                <w:szCs w:val="16"/>
                <w:color w:val="auto"/>
              </w:rPr>
              <w:t>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12,599</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18,455</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37.4%</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5,856</w:t>
            </w:r>
          </w:p>
        </w:tc>
        <w:tc>
          <w:tcPr>
            <w:tcW w:w="1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580" w:right="599" w:firstLine="194"/>
        <w:spacing w:after="0" w:line="258"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53.8% in 2013 compared to 2012.</w:t>
      </w:r>
      <w:r>
        <w:rPr>
          <w:rFonts w:ascii="Arial" w:cs="Arial" w:eastAsia="Arial" w:hAnsi="Arial"/>
          <w:sz w:val="16"/>
          <w:szCs w:val="16"/>
          <w:i w:val="1"/>
          <w:iCs w:val="1"/>
          <w:color w:val="auto"/>
        </w:rPr>
        <w:t xml:space="preserve"> </w:t>
      </w:r>
      <w:r>
        <w:rPr>
          <w:rFonts w:ascii="Arial" w:cs="Arial" w:eastAsia="Arial" w:hAnsi="Arial"/>
          <w:sz w:val="16"/>
          <w:szCs w:val="16"/>
          <w:color w:val="auto"/>
        </w:rPr>
        <w:t>This resulted primarily from an increase of $1.1 million in salaries and related personnel expenses, of which $0.3 million was due to currency fluctuations, and an increase of $0.7 million primarily in materials and related costs for our two beta sites in 2013 compared to 2012, in each case, related to the Allegro and Vulcan systems. As a percentage of total revenues, our research and development expenses increased relatively from 12.4% in 2012 to 15.1% in 2013, reflecting our increased focus on development of these new systems.</w:t>
      </w:r>
    </w:p>
    <w:p>
      <w:pPr>
        <w:spacing w:after="0" w:line="170" w:lineRule="exact"/>
        <w:rPr>
          <w:sz w:val="20"/>
          <w:szCs w:val="20"/>
          <w:color w:val="auto"/>
        </w:rPr>
      </w:pPr>
    </w:p>
    <w:p>
      <w:pPr>
        <w:ind w:left="580" w:right="579" w:firstLine="194"/>
        <w:spacing w:after="0" w:line="292" w:lineRule="auto"/>
        <w:rPr>
          <w:sz w:val="20"/>
          <w:szCs w:val="20"/>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Sales and marketing expenses increased by 65.7% in 2013 compared to 2012. This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was primarily due to an increase of $1.6 million in salaries and related personnel costs due to increased recruiting of sales and marketing personnel in 2013 as part of our strategic sales and marketing initiatives, of which $0.1 million was due to currency fluctuations, and an increase of $0.7 million in marketing activities, including trade shows and corporate rebranding in 2013. As a percentage of total revenues, our sales and marketing expenses rose during this period, from</w:t>
      </w:r>
    </w:p>
    <w:p>
      <w:pPr>
        <w:spacing w:after="0" w:line="2" w:lineRule="exact"/>
        <w:rPr>
          <w:sz w:val="20"/>
          <w:szCs w:val="20"/>
          <w:color w:val="auto"/>
        </w:rPr>
      </w:pPr>
    </w:p>
    <w:p>
      <w:pPr>
        <w:ind w:left="580" w:right="659"/>
        <w:spacing w:after="0" w:line="284" w:lineRule="auto"/>
        <w:rPr>
          <w:sz w:val="20"/>
          <w:szCs w:val="20"/>
          <w:color w:val="auto"/>
        </w:rPr>
      </w:pPr>
      <w:r>
        <w:rPr>
          <w:rFonts w:ascii="Arial" w:cs="Arial" w:eastAsia="Arial" w:hAnsi="Arial"/>
          <w:sz w:val="15"/>
          <w:szCs w:val="15"/>
          <w:color w:val="auto"/>
        </w:rPr>
        <w:t>11.9% in 2012 to 15.7% in 2013. This increase reflects our strategic determination to improve our presence in our active territories and deepen relationships with our existing distributors and entering into new markets, while also increasing market awareness of our company by intensifying our marketing efforts and adding distribution channels.</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5" w:name="page46"/>
    <w:bookmarkEnd w:id="45"/>
    <w:p>
      <w:pPr>
        <w:ind w:left="580" w:right="619" w:firstLine="194"/>
        <w:spacing w:after="0" w:line="281"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increased by 6.0% in 2013 compared to 2012,</w:t>
      </w:r>
      <w:r>
        <w:rPr>
          <w:rFonts w:ascii="Arial" w:cs="Arial" w:eastAsia="Arial" w:hAnsi="Arial"/>
          <w:sz w:val="15"/>
          <w:szCs w:val="15"/>
          <w:i w:val="1"/>
          <w:iCs w:val="1"/>
          <w:color w:val="auto"/>
        </w:rPr>
        <w:t xml:space="preserve"> </w:t>
      </w:r>
      <w:r>
        <w:rPr>
          <w:rFonts w:ascii="Arial" w:cs="Arial" w:eastAsia="Arial" w:hAnsi="Arial"/>
          <w:sz w:val="15"/>
          <w:szCs w:val="15"/>
          <w:color w:val="auto"/>
        </w:rPr>
        <w:t>reflecting an increase in headcount generated by increased activity across all areas of our business in each of those years compared to the previous year. Despite the absolute increase in general and administrative expenses in 2013 compared to 2012, as a percentage of our total revenues in those years, such expenses decreased, from 7.9% in 2012 to 6.6% in 2013, reflecting our increased revenues as well as our efforts to manage our expansion efficiently.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Finance Expenses, Net</w:t>
      </w:r>
    </w:p>
    <w:p>
      <w:pPr>
        <w:spacing w:after="0" w:line="179" w:lineRule="exact"/>
        <w:rPr>
          <w:sz w:val="20"/>
          <w:szCs w:val="20"/>
          <w:color w:val="auto"/>
        </w:rPr>
      </w:pPr>
    </w:p>
    <w:p>
      <w:pPr>
        <w:ind w:left="580" w:right="579" w:firstLine="194"/>
        <w:spacing w:after="0" w:line="267" w:lineRule="auto"/>
        <w:rPr>
          <w:sz w:val="20"/>
          <w:szCs w:val="20"/>
          <w:color w:val="auto"/>
        </w:rPr>
      </w:pPr>
      <w:r>
        <w:rPr>
          <w:rFonts w:ascii="Arial" w:cs="Arial" w:eastAsia="Arial" w:hAnsi="Arial"/>
          <w:sz w:val="16"/>
          <w:szCs w:val="16"/>
          <w:color w:val="auto"/>
        </w:rPr>
        <w:t>Finance expenses increased from $0.3 million in 2012 to $0.5 million in 2013. This increase was primarily attributable to expenses arising from foreign currency fluctuations in 2013, as changes in the U.S. dollar in relation to the NIS and other currencies resulted in foreign currency exchange losses.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Taxes on Income</w:t>
      </w:r>
    </w:p>
    <w:p>
      <w:pPr>
        <w:spacing w:after="0" w:line="167" w:lineRule="exact"/>
        <w:rPr>
          <w:sz w:val="20"/>
          <w:szCs w:val="20"/>
          <w:color w:val="auto"/>
        </w:rPr>
      </w:pPr>
    </w:p>
    <w:p>
      <w:pPr>
        <w:ind w:left="580" w:right="619" w:firstLine="194"/>
        <w:spacing w:after="0" w:line="262" w:lineRule="auto"/>
        <w:rPr>
          <w:sz w:val="20"/>
          <w:szCs w:val="20"/>
          <w:color w:val="auto"/>
        </w:rPr>
      </w:pPr>
      <w:r>
        <w:rPr>
          <w:rFonts w:ascii="Arial" w:cs="Arial" w:eastAsia="Arial" w:hAnsi="Arial"/>
          <w:sz w:val="16"/>
          <w:szCs w:val="16"/>
          <w:color w:val="auto"/>
        </w:rPr>
        <w:t>Taxes on income increased from $1.2 million in 2012 to $1.4 million in 2013. This increase was primarily attributable to the change in our subsidiaries operating on a cost-plus basis to a low-cost distributor basis. This was due to a decision to expand the functions performed by the subsidiaries to include sales and marketing activities, which resulted in the subsidiaries generating more taxable income.</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Quarterly Results of Operations and Seasonality</w:t>
      </w:r>
    </w:p>
    <w:p>
      <w:pPr>
        <w:spacing w:after="0" w:line="171" w:lineRule="exact"/>
        <w:rPr>
          <w:sz w:val="20"/>
          <w:szCs w:val="20"/>
          <w:color w:val="auto"/>
        </w:rPr>
      </w:pPr>
    </w:p>
    <w:p>
      <w:pPr>
        <w:ind w:left="580" w:right="619" w:firstLine="194"/>
        <w:spacing w:after="0" w:line="285" w:lineRule="auto"/>
        <w:rPr>
          <w:sz w:val="20"/>
          <w:szCs w:val="20"/>
          <w:color w:val="auto"/>
        </w:rPr>
      </w:pPr>
      <w:r>
        <w:rPr>
          <w:rFonts w:ascii="Arial" w:cs="Arial" w:eastAsia="Arial" w:hAnsi="Arial"/>
          <w:sz w:val="15"/>
          <w:szCs w:val="15"/>
          <w:color w:val="auto"/>
        </w:rPr>
        <w:t>The following tables present our unaudited condensed consolidated quarterly results of operations in dollars and as a percentage of revenues for the periods indicated. This information should be read in conjunction with our consolidated financial statements and related notes included elsewhere in this prospectus. The historical quarterly results presented are not necessarily indicative of the results that may be expected for any future quarters or periods.</w:t>
      </w:r>
    </w:p>
    <w:p>
      <w:pPr>
        <w:spacing w:after="0" w:line="113" w:lineRule="exact"/>
        <w:rPr>
          <w:sz w:val="20"/>
          <w:szCs w:val="20"/>
          <w:color w:val="auto"/>
        </w:rPr>
      </w:pPr>
    </w:p>
    <w:p>
      <w:pPr>
        <w:ind w:left="580" w:right="879" w:firstLine="194"/>
        <w:spacing w:after="0" w:line="285" w:lineRule="auto"/>
        <w:rPr>
          <w:sz w:val="20"/>
          <w:szCs w:val="20"/>
          <w:color w:val="auto"/>
        </w:rPr>
      </w:pPr>
      <w:r>
        <w:rPr>
          <w:rFonts w:ascii="Arial" w:cs="Arial" w:eastAsia="Arial" w:hAnsi="Arial"/>
          <w:sz w:val="15"/>
          <w:szCs w:val="15"/>
          <w:color w:val="auto"/>
        </w:rPr>
        <w:t>The quarterly supplemental financial measures below include quarterly Adjusted EBITDA, which is a non-GAAP financial measure. See “Summary—Summary Consolidated Financial Data” for a description of how we calculate Adjusted EBITDA. A reconciliation of this non-GAAP financial measure to the most directly comparable GAAP measure and a discussion about the limitations of this non-GAAP financial measure is provided below.</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1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5"/>
                <w:szCs w:val="15"/>
                <w:b w:val="1"/>
                <w:bCs w:val="1"/>
                <w:color w:val="auto"/>
                <w:w w:val="88"/>
              </w:rPr>
              <w:t>Three Months Ended</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43"/>
              <w:spacing w:after="0" w:line="165" w:lineRule="exact"/>
              <w:rPr>
                <w:sz w:val="20"/>
                <w:szCs w:val="20"/>
                <w:color w:val="auto"/>
              </w:rPr>
            </w:pPr>
            <w:r>
              <w:rPr>
                <w:rFonts w:ascii="Arial" w:cs="Arial" w:eastAsia="Arial" w:hAnsi="Arial"/>
                <w:sz w:val="15"/>
                <w:szCs w:val="15"/>
                <w:b w:val="1"/>
                <w:bCs w:val="1"/>
                <w:color w:val="auto"/>
                <w:w w:val="96"/>
              </w:rPr>
              <w:t>June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02"/>
              <w:spacing w:after="0"/>
              <w:rPr>
                <w:sz w:val="20"/>
                <w:szCs w:val="20"/>
                <w:color w:val="auto"/>
              </w:rPr>
            </w:pPr>
            <w:r>
              <w:rPr>
                <w:rFonts w:ascii="Arial" w:cs="Arial" w:eastAsia="Arial" w:hAnsi="Arial"/>
                <w:sz w:val="15"/>
                <w:szCs w:val="15"/>
                <w:b w:val="1"/>
                <w:bCs w:val="1"/>
                <w:color w:val="auto"/>
                <w:w w:val="97"/>
              </w:rPr>
              <w:t>Mar.</w:t>
            </w:r>
          </w:p>
        </w:tc>
        <w:tc>
          <w:tcPr>
            <w:tcW w:w="180" w:type="dxa"/>
            <w:vAlign w:val="bottom"/>
          </w:tcPr>
          <w:p>
            <w:pPr>
              <w:spacing w:after="0"/>
              <w:rPr>
                <w:sz w:val="15"/>
                <w:szCs w:val="15"/>
                <w:color w:val="auto"/>
              </w:rPr>
            </w:pPr>
          </w:p>
        </w:tc>
        <w:tc>
          <w:tcPr>
            <w:tcW w:w="680" w:type="dxa"/>
            <w:vAlign w:val="bottom"/>
          </w:tcPr>
          <w:p>
            <w:pPr>
              <w:jc w:val="right"/>
              <w:ind w:right="303"/>
              <w:spacing w:after="0"/>
              <w:rPr>
                <w:sz w:val="20"/>
                <w:szCs w:val="20"/>
                <w:color w:val="auto"/>
              </w:rPr>
            </w:pPr>
            <w:r>
              <w:rPr>
                <w:rFonts w:ascii="Arial" w:cs="Arial" w:eastAsia="Arial" w:hAnsi="Arial"/>
                <w:sz w:val="15"/>
                <w:szCs w:val="15"/>
                <w:b w:val="1"/>
                <w:bCs w:val="1"/>
                <w:color w:val="auto"/>
              </w:rPr>
              <w:t>30,</w:t>
            </w:r>
          </w:p>
        </w:tc>
        <w:tc>
          <w:tcPr>
            <w:tcW w:w="880" w:type="dxa"/>
            <w:vAlign w:val="bottom"/>
            <w:gridSpan w:val="2"/>
          </w:tcPr>
          <w:p>
            <w:pPr>
              <w:jc w:val="right"/>
              <w:ind w:right="161"/>
              <w:spacing w:after="0"/>
              <w:rPr>
                <w:sz w:val="20"/>
                <w:szCs w:val="20"/>
                <w:color w:val="auto"/>
              </w:rPr>
            </w:pPr>
            <w:r>
              <w:rPr>
                <w:rFonts w:ascii="Arial" w:cs="Arial" w:eastAsia="Arial" w:hAnsi="Arial"/>
                <w:sz w:val="15"/>
                <w:szCs w:val="15"/>
                <w:b w:val="1"/>
                <w:bCs w:val="1"/>
                <w:color w:val="auto"/>
              </w:rPr>
              <w:t>Sep. 30,</w:t>
            </w:r>
          </w:p>
        </w:tc>
        <w:tc>
          <w:tcPr>
            <w:tcW w:w="86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w w:val="88"/>
              </w:rPr>
              <w:t>Dec. 31,</w:t>
            </w:r>
          </w:p>
        </w:tc>
        <w:tc>
          <w:tcPr>
            <w:tcW w:w="200" w:type="dxa"/>
            <w:vAlign w:val="bottom"/>
          </w:tcPr>
          <w:p>
            <w:pPr>
              <w:spacing w:after="0"/>
              <w:rPr>
                <w:sz w:val="15"/>
                <w:szCs w:val="15"/>
                <w:color w:val="auto"/>
              </w:rPr>
            </w:pPr>
          </w:p>
        </w:tc>
        <w:tc>
          <w:tcPr>
            <w:tcW w:w="680" w:type="dxa"/>
            <w:vAlign w:val="bottom"/>
          </w:tcPr>
          <w:p>
            <w:pPr>
              <w:jc w:val="right"/>
              <w:ind w:right="262"/>
              <w:spacing w:after="0"/>
              <w:rPr>
                <w:sz w:val="20"/>
                <w:szCs w:val="20"/>
                <w:color w:val="auto"/>
              </w:rPr>
            </w:pPr>
            <w:r>
              <w:rPr>
                <w:rFonts w:ascii="Arial" w:cs="Arial" w:eastAsia="Arial" w:hAnsi="Arial"/>
                <w:sz w:val="15"/>
                <w:szCs w:val="15"/>
                <w:b w:val="1"/>
                <w:bCs w:val="1"/>
                <w:color w:val="auto"/>
              </w:rPr>
              <w:t>Mar.</w:t>
            </w:r>
          </w:p>
        </w:tc>
        <w:tc>
          <w:tcPr>
            <w:tcW w:w="180" w:type="dxa"/>
            <w:vAlign w:val="bottom"/>
          </w:tcPr>
          <w:p>
            <w:pPr>
              <w:spacing w:after="0"/>
              <w:rPr>
                <w:sz w:val="15"/>
                <w:szCs w:val="15"/>
                <w:color w:val="auto"/>
              </w:rPr>
            </w:pPr>
          </w:p>
        </w:tc>
        <w:tc>
          <w:tcPr>
            <w:tcW w:w="680" w:type="dxa"/>
            <w:vAlign w:val="bottom"/>
          </w:tcPr>
          <w:p>
            <w:pPr>
              <w:jc w:val="right"/>
              <w:ind w:right="242"/>
              <w:spacing w:after="0"/>
              <w:rPr>
                <w:sz w:val="20"/>
                <w:szCs w:val="20"/>
                <w:color w:val="auto"/>
              </w:rPr>
            </w:pPr>
            <w:r>
              <w:rPr>
                <w:rFonts w:ascii="Arial" w:cs="Arial" w:eastAsia="Arial" w:hAnsi="Arial"/>
                <w:sz w:val="15"/>
                <w:szCs w:val="15"/>
                <w:b w:val="1"/>
                <w:bCs w:val="1"/>
                <w:color w:val="auto"/>
                <w:w w:val="96"/>
              </w:rPr>
              <w:t>June</w:t>
            </w:r>
          </w:p>
        </w:tc>
        <w:tc>
          <w:tcPr>
            <w:tcW w:w="880" w:type="dxa"/>
            <w:vAlign w:val="bottom"/>
            <w:gridSpan w:val="2"/>
          </w:tcPr>
          <w:p>
            <w:pPr>
              <w:jc w:val="right"/>
              <w:ind w:right="161"/>
              <w:spacing w:after="0"/>
              <w:rPr>
                <w:sz w:val="20"/>
                <w:szCs w:val="20"/>
                <w:color w:val="auto"/>
              </w:rPr>
            </w:pPr>
            <w:r>
              <w:rPr>
                <w:rFonts w:ascii="Arial" w:cs="Arial" w:eastAsia="Arial" w:hAnsi="Arial"/>
                <w:sz w:val="15"/>
                <w:szCs w:val="15"/>
                <w:b w:val="1"/>
                <w:bCs w:val="1"/>
                <w:color w:val="auto"/>
              </w:rPr>
              <w:t>Sep. 30,</w:t>
            </w:r>
          </w:p>
        </w:tc>
        <w:tc>
          <w:tcPr>
            <w:tcW w:w="84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84"/>
              </w:rPr>
              <w:t>Dec. 31,</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780" w:type="dxa"/>
            <w:vAlign w:val="bottom"/>
            <w:tcBorders>
              <w:bottom w:val="single" w:sz="8" w:color="auto"/>
            </w:tcBorders>
            <w:gridSpan w:val="3"/>
          </w:tcPr>
          <w:p>
            <w:pPr>
              <w:jc w:val="center"/>
              <w:ind w:right="102"/>
              <w:spacing w:after="0"/>
              <w:rPr>
                <w:sz w:val="20"/>
                <w:szCs w:val="20"/>
                <w:color w:val="auto"/>
              </w:rPr>
            </w:pPr>
            <w:r>
              <w:rPr>
                <w:rFonts w:ascii="Arial" w:cs="Arial" w:eastAsia="Arial" w:hAnsi="Arial"/>
                <w:sz w:val="15"/>
                <w:szCs w:val="15"/>
                <w:b w:val="1"/>
                <w:bCs w:val="1"/>
                <w:color w:val="auto"/>
                <w:w w:val="88"/>
              </w:rPr>
              <w:t>31, 2013</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2013</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5"/>
                <w:szCs w:val="15"/>
                <w:b w:val="1"/>
                <w:bCs w:val="1"/>
                <w:color w:val="auto"/>
              </w:rPr>
              <w:t>2013</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b w:val="1"/>
                <w:bCs w:val="1"/>
                <w:color w:val="auto"/>
                <w:w w:val="89"/>
              </w:rPr>
              <w:t>2013</w:t>
            </w:r>
          </w:p>
        </w:tc>
        <w:tc>
          <w:tcPr>
            <w:tcW w:w="88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5"/>
                <w:szCs w:val="15"/>
                <w:b w:val="1"/>
                <w:bCs w:val="1"/>
                <w:color w:val="auto"/>
              </w:rPr>
              <w:t>31, 2014</w:t>
            </w:r>
          </w:p>
        </w:tc>
        <w:tc>
          <w:tcPr>
            <w:tcW w:w="86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5"/>
                <w:szCs w:val="15"/>
                <w:b w:val="1"/>
                <w:bCs w:val="1"/>
                <w:color w:val="auto"/>
              </w:rPr>
              <w:t>30, 2014</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2014</w:t>
            </w: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b w:val="1"/>
                <w:bCs w:val="1"/>
                <w:color w:val="auto"/>
                <w:w w:val="95"/>
              </w:rPr>
              <w:t>2014</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rPr>
              <w:t>Consolidated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jc w:val="center"/>
              <w:ind w:right="162"/>
              <w:spacing w:after="0"/>
              <w:rPr>
                <w:sz w:val="20"/>
                <w:szCs w:val="20"/>
                <w:color w:val="auto"/>
              </w:rPr>
            </w:pPr>
            <w:r>
              <w:rPr>
                <w:rFonts w:ascii="Arial" w:cs="Arial" w:eastAsia="Arial" w:hAnsi="Arial"/>
                <w:sz w:val="15"/>
                <w:szCs w:val="15"/>
                <w:b w:val="1"/>
                <w:bCs w:val="1"/>
                <w:color w:val="auto"/>
                <w:w w:val="87"/>
              </w:rPr>
              <w:t>(in thousands)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b w:val="1"/>
                <w:bCs w:val="1"/>
                <w:color w:val="auto"/>
              </w:rPr>
              <w:t>Statements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b w:val="1"/>
                <w:bCs w:val="1"/>
                <w:color w:val="auto"/>
              </w:rPr>
              <w:t>of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6"/>
                <w:szCs w:val="16"/>
                <w:b w:val="1"/>
                <w:bCs w:val="1"/>
                <w:color w:val="auto"/>
              </w:rPr>
              <w:t>Data: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02"/>
              <w:spacing w:after="0"/>
              <w:rPr>
                <w:sz w:val="20"/>
                <w:szCs w:val="20"/>
                <w:color w:val="auto"/>
              </w:rPr>
            </w:pPr>
            <w:r>
              <w:rPr>
                <w:rFonts w:ascii="Arial" w:cs="Arial" w:eastAsia="Arial" w:hAnsi="Arial"/>
                <w:sz w:val="16"/>
                <w:szCs w:val="16"/>
                <w:color w:val="auto"/>
              </w:rPr>
              <w:t>8,478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3"/>
              <w:spacing w:after="0"/>
              <w:rPr>
                <w:sz w:val="20"/>
                <w:szCs w:val="20"/>
                <w:color w:val="auto"/>
              </w:rPr>
            </w:pPr>
            <w:r>
              <w:rPr>
                <w:rFonts w:ascii="Arial" w:cs="Arial" w:eastAsia="Arial" w:hAnsi="Arial"/>
                <w:sz w:val="16"/>
                <w:szCs w:val="16"/>
                <w:color w:val="auto"/>
                <w:w w:val="98"/>
              </w:rPr>
              <w:t>11,807</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01"/>
              <w:spacing w:after="0"/>
              <w:rPr>
                <w:sz w:val="20"/>
                <w:szCs w:val="20"/>
                <w:color w:val="auto"/>
              </w:rPr>
            </w:pPr>
            <w:r>
              <w:rPr>
                <w:rFonts w:ascii="Arial" w:cs="Arial" w:eastAsia="Arial" w:hAnsi="Arial"/>
                <w:sz w:val="16"/>
                <w:szCs w:val="16"/>
                <w:color w:val="auto"/>
              </w:rPr>
              <w:t>13,900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15,210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2"/>
              <w:spacing w:after="0"/>
              <w:rPr>
                <w:sz w:val="20"/>
                <w:szCs w:val="20"/>
                <w:color w:val="auto"/>
              </w:rPr>
            </w:pPr>
            <w:r>
              <w:rPr>
                <w:rFonts w:ascii="Arial" w:cs="Arial" w:eastAsia="Arial" w:hAnsi="Arial"/>
                <w:sz w:val="16"/>
                <w:szCs w:val="16"/>
                <w:color w:val="auto"/>
                <w:w w:val="98"/>
              </w:rPr>
              <w:t>13,262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15,739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01"/>
              <w:spacing w:after="0"/>
              <w:rPr>
                <w:sz w:val="20"/>
                <w:szCs w:val="20"/>
                <w:color w:val="auto"/>
              </w:rPr>
            </w:pPr>
            <w:r>
              <w:rPr>
                <w:rFonts w:ascii="Arial" w:cs="Arial" w:eastAsia="Arial" w:hAnsi="Arial"/>
                <w:sz w:val="16"/>
                <w:szCs w:val="16"/>
                <w:color w:val="auto"/>
                <w:w w:val="98"/>
              </w:rPr>
              <w:t>18,494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w w:val="98"/>
              </w:rPr>
              <w:t>18,869</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02"/>
              <w:spacing w:after="0"/>
              <w:rPr>
                <w:sz w:val="20"/>
                <w:szCs w:val="20"/>
                <w:color w:val="auto"/>
              </w:rPr>
            </w:pPr>
            <w:r>
              <w:rPr>
                <w:rFonts w:ascii="Arial" w:cs="Arial" w:eastAsia="Arial" w:hAnsi="Arial"/>
                <w:sz w:val="16"/>
                <w:szCs w:val="16"/>
                <w:color w:val="auto"/>
              </w:rPr>
              <w:t>3,014</w:t>
            </w:r>
          </w:p>
        </w:tc>
        <w:tc>
          <w:tcPr>
            <w:tcW w:w="180" w:type="dxa"/>
            <w:vAlign w:val="bottom"/>
          </w:tcPr>
          <w:p>
            <w:pPr>
              <w:spacing w:after="0"/>
              <w:rPr>
                <w:sz w:val="16"/>
                <w:szCs w:val="16"/>
                <w:color w:val="auto"/>
              </w:rPr>
            </w:pPr>
          </w:p>
        </w:tc>
        <w:tc>
          <w:tcPr>
            <w:tcW w:w="680" w:type="dxa"/>
            <w:vAlign w:val="bottom"/>
          </w:tcPr>
          <w:p>
            <w:pPr>
              <w:jc w:val="right"/>
              <w:ind w:right="103"/>
              <w:spacing w:after="0"/>
              <w:rPr>
                <w:sz w:val="20"/>
                <w:szCs w:val="20"/>
                <w:color w:val="auto"/>
              </w:rPr>
            </w:pPr>
            <w:r>
              <w:rPr>
                <w:rFonts w:ascii="Arial" w:cs="Arial" w:eastAsia="Arial" w:hAnsi="Arial"/>
                <w:sz w:val="16"/>
                <w:szCs w:val="16"/>
                <w:color w:val="auto"/>
              </w:rPr>
              <w:t>5,574</w:t>
            </w:r>
          </w:p>
        </w:tc>
        <w:tc>
          <w:tcPr>
            <w:tcW w:w="180" w:type="dxa"/>
            <w:vAlign w:val="bottom"/>
          </w:tcPr>
          <w:p>
            <w:pPr>
              <w:spacing w:after="0"/>
              <w:rPr>
                <w:sz w:val="16"/>
                <w:szCs w:val="16"/>
                <w:color w:val="auto"/>
              </w:rPr>
            </w:pPr>
          </w:p>
        </w:tc>
        <w:tc>
          <w:tcPr>
            <w:tcW w:w="700" w:type="dxa"/>
            <w:vAlign w:val="bottom"/>
          </w:tcPr>
          <w:p>
            <w:pPr>
              <w:jc w:val="right"/>
              <w:ind w:right="101"/>
              <w:spacing w:after="0"/>
              <w:rPr>
                <w:sz w:val="20"/>
                <w:szCs w:val="20"/>
                <w:color w:val="auto"/>
              </w:rPr>
            </w:pPr>
            <w:r>
              <w:rPr>
                <w:rFonts w:ascii="Arial" w:cs="Arial" w:eastAsia="Arial" w:hAnsi="Arial"/>
                <w:sz w:val="16"/>
                <w:szCs w:val="16"/>
                <w:color w:val="auto"/>
              </w:rPr>
              <w:t>5,945</w:t>
            </w:r>
          </w:p>
        </w:tc>
        <w:tc>
          <w:tcPr>
            <w:tcW w:w="160" w:type="dxa"/>
            <w:vAlign w:val="bottom"/>
          </w:tcPr>
          <w:p>
            <w:pPr>
              <w:spacing w:after="0"/>
              <w:rPr>
                <w:sz w:val="16"/>
                <w:szCs w:val="16"/>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6,909</w:t>
            </w:r>
          </w:p>
        </w:tc>
        <w:tc>
          <w:tcPr>
            <w:tcW w:w="200" w:type="dxa"/>
            <w:vAlign w:val="bottom"/>
          </w:tcPr>
          <w:p>
            <w:pPr>
              <w:spacing w:after="0"/>
              <w:rPr>
                <w:sz w:val="16"/>
                <w:szCs w:val="16"/>
                <w:color w:val="auto"/>
              </w:rPr>
            </w:pP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4,499</w:t>
            </w:r>
          </w:p>
        </w:tc>
        <w:tc>
          <w:tcPr>
            <w:tcW w:w="18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6,843</w:t>
            </w:r>
          </w:p>
        </w:tc>
        <w:tc>
          <w:tcPr>
            <w:tcW w:w="20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6"/>
                <w:szCs w:val="16"/>
                <w:color w:val="auto"/>
              </w:rPr>
              <w:t>9,298</w:t>
            </w:r>
          </w:p>
        </w:tc>
        <w:tc>
          <w:tcPr>
            <w:tcW w:w="2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8,537</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Operating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(539)</w:t>
            </w:r>
          </w:p>
        </w:tc>
        <w:tc>
          <w:tcPr>
            <w:tcW w:w="180" w:type="dxa"/>
            <w:vAlign w:val="bottom"/>
          </w:tcPr>
          <w:p>
            <w:pPr>
              <w:spacing w:after="0"/>
              <w:rPr>
                <w:sz w:val="16"/>
                <w:szCs w:val="16"/>
                <w:color w:val="auto"/>
              </w:rPr>
            </w:pPr>
          </w:p>
        </w:tc>
        <w:tc>
          <w:tcPr>
            <w:tcW w:w="680" w:type="dxa"/>
            <w:vAlign w:val="bottom"/>
          </w:tcPr>
          <w:p>
            <w:pPr>
              <w:jc w:val="right"/>
              <w:ind w:right="103"/>
              <w:spacing w:after="0"/>
              <w:rPr>
                <w:sz w:val="20"/>
                <w:szCs w:val="20"/>
                <w:color w:val="auto"/>
              </w:rPr>
            </w:pPr>
            <w:r>
              <w:rPr>
                <w:rFonts w:ascii="Arial" w:cs="Arial" w:eastAsia="Arial" w:hAnsi="Arial"/>
                <w:sz w:val="16"/>
                <w:szCs w:val="16"/>
                <w:color w:val="auto"/>
              </w:rPr>
              <w:t>1,031</w:t>
            </w:r>
          </w:p>
        </w:tc>
        <w:tc>
          <w:tcPr>
            <w:tcW w:w="180" w:type="dxa"/>
            <w:vAlign w:val="bottom"/>
          </w:tcPr>
          <w:p>
            <w:pPr>
              <w:spacing w:after="0"/>
              <w:rPr>
                <w:sz w:val="16"/>
                <w:szCs w:val="16"/>
                <w:color w:val="auto"/>
              </w:rPr>
            </w:pPr>
          </w:p>
        </w:tc>
        <w:tc>
          <w:tcPr>
            <w:tcW w:w="700" w:type="dxa"/>
            <w:vAlign w:val="bottom"/>
          </w:tcPr>
          <w:p>
            <w:pPr>
              <w:jc w:val="right"/>
              <w:ind w:right="101"/>
              <w:spacing w:after="0"/>
              <w:rPr>
                <w:sz w:val="20"/>
                <w:szCs w:val="20"/>
                <w:color w:val="auto"/>
              </w:rPr>
            </w:pPr>
            <w:r>
              <w:rPr>
                <w:rFonts w:ascii="Arial" w:cs="Arial" w:eastAsia="Arial" w:hAnsi="Arial"/>
                <w:sz w:val="16"/>
                <w:szCs w:val="16"/>
                <w:color w:val="auto"/>
              </w:rPr>
              <w:t>1,440</w:t>
            </w:r>
          </w:p>
        </w:tc>
        <w:tc>
          <w:tcPr>
            <w:tcW w:w="160" w:type="dxa"/>
            <w:vAlign w:val="bottom"/>
          </w:tcPr>
          <w:p>
            <w:pPr>
              <w:spacing w:after="0"/>
              <w:rPr>
                <w:sz w:val="16"/>
                <w:szCs w:val="16"/>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1,055</w:t>
            </w:r>
          </w:p>
        </w:tc>
        <w:tc>
          <w:tcPr>
            <w:tcW w:w="20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(1,586)</w:t>
            </w:r>
          </w:p>
        </w:tc>
        <w:tc>
          <w:tcPr>
            <w:tcW w:w="18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643</w:t>
            </w:r>
          </w:p>
        </w:tc>
        <w:tc>
          <w:tcPr>
            <w:tcW w:w="200" w:type="dxa"/>
            <w:vAlign w:val="bottom"/>
          </w:tcPr>
          <w:p>
            <w:pPr>
              <w:spacing w:after="0"/>
              <w:rPr>
                <w:sz w:val="16"/>
                <w:szCs w:val="16"/>
                <w:color w:val="auto"/>
              </w:rPr>
            </w:pPr>
          </w:p>
        </w:tc>
        <w:tc>
          <w:tcPr>
            <w:tcW w:w="680" w:type="dxa"/>
            <w:vAlign w:val="bottom"/>
          </w:tcPr>
          <w:p>
            <w:pPr>
              <w:jc w:val="right"/>
              <w:ind w:right="101"/>
              <w:spacing w:after="0"/>
              <w:rPr>
                <w:sz w:val="20"/>
                <w:szCs w:val="20"/>
                <w:color w:val="auto"/>
              </w:rPr>
            </w:pPr>
            <w:r>
              <w:rPr>
                <w:rFonts w:ascii="Arial" w:cs="Arial" w:eastAsia="Arial" w:hAnsi="Arial"/>
                <w:sz w:val="16"/>
                <w:szCs w:val="16"/>
                <w:color w:val="auto"/>
              </w:rPr>
              <w:t>3,447</w:t>
            </w:r>
          </w:p>
        </w:tc>
        <w:tc>
          <w:tcPr>
            <w:tcW w:w="20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6"/>
                <w:szCs w:val="16"/>
                <w:color w:val="auto"/>
              </w:rPr>
              <w:t>(loss)</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(1,091)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03"/>
              <w:spacing w:after="0"/>
              <w:rPr>
                <w:sz w:val="20"/>
                <w:szCs w:val="20"/>
                <w:color w:val="auto"/>
              </w:rPr>
            </w:pPr>
            <w:r>
              <w:rPr>
                <w:rFonts w:ascii="Arial" w:cs="Arial" w:eastAsia="Arial" w:hAnsi="Arial"/>
                <w:sz w:val="16"/>
                <w:szCs w:val="16"/>
                <w:color w:val="auto"/>
              </w:rPr>
              <w:t>683</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01"/>
              <w:spacing w:after="0"/>
              <w:rPr>
                <w:sz w:val="20"/>
                <w:szCs w:val="20"/>
                <w:color w:val="auto"/>
              </w:rPr>
            </w:pPr>
            <w:r>
              <w:rPr>
                <w:rFonts w:ascii="Arial" w:cs="Arial" w:eastAsia="Arial" w:hAnsi="Arial"/>
                <w:sz w:val="16"/>
                <w:szCs w:val="16"/>
                <w:color w:val="auto"/>
              </w:rPr>
              <w:t>994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548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(1,713)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372</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01"/>
              <w:spacing w:after="0"/>
              <w:rPr>
                <w:sz w:val="20"/>
                <w:szCs w:val="20"/>
                <w:color w:val="auto"/>
              </w:rPr>
            </w:pPr>
            <w:r>
              <w:rPr>
                <w:rFonts w:ascii="Arial" w:cs="Arial" w:eastAsia="Arial" w:hAnsi="Arial"/>
                <w:sz w:val="16"/>
                <w:szCs w:val="16"/>
                <w:color w:val="auto"/>
              </w:rPr>
              <w:t>3,170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518"/>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22"/>
              <w:spacing w:after="0"/>
              <w:rPr>
                <w:sz w:val="20"/>
                <w:szCs w:val="20"/>
                <w:color w:val="auto"/>
              </w:rPr>
            </w:pPr>
            <w:r>
              <w:rPr>
                <w:rFonts w:ascii="Arial" w:cs="Arial" w:eastAsia="Arial" w:hAnsi="Arial"/>
                <w:sz w:val="15"/>
                <w:szCs w:val="15"/>
                <w:b w:val="1"/>
                <w:bCs w:val="1"/>
                <w:color w:val="auto"/>
                <w:w w:val="88"/>
              </w:rPr>
              <w:t>Three Months Ended</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42"/>
              <w:spacing w:after="0" w:line="165" w:lineRule="exact"/>
              <w:rPr>
                <w:sz w:val="20"/>
                <w:szCs w:val="20"/>
                <w:color w:val="auto"/>
              </w:rPr>
            </w:pPr>
            <w:r>
              <w:rPr>
                <w:rFonts w:ascii="Arial" w:cs="Arial" w:eastAsia="Arial" w:hAnsi="Arial"/>
                <w:sz w:val="15"/>
                <w:szCs w:val="15"/>
                <w:b w:val="1"/>
                <w:bCs w:val="1"/>
                <w:color w:val="auto"/>
                <w:w w:val="97"/>
              </w:rPr>
              <w:t>Mar.</w:t>
            </w:r>
          </w:p>
        </w:tc>
        <w:tc>
          <w:tcPr>
            <w:tcW w:w="180" w:type="dxa"/>
            <w:vAlign w:val="bottom"/>
          </w:tcPr>
          <w:p>
            <w:pPr>
              <w:spacing w:after="0"/>
              <w:rPr>
                <w:sz w:val="14"/>
                <w:szCs w:val="14"/>
                <w:color w:val="auto"/>
              </w:rPr>
            </w:pPr>
          </w:p>
        </w:tc>
        <w:tc>
          <w:tcPr>
            <w:tcW w:w="680" w:type="dxa"/>
            <w:vAlign w:val="bottom"/>
          </w:tcPr>
          <w:p>
            <w:pPr>
              <w:jc w:val="right"/>
              <w:ind w:right="283"/>
              <w:spacing w:after="0" w:line="165" w:lineRule="exact"/>
              <w:rPr>
                <w:sz w:val="20"/>
                <w:szCs w:val="20"/>
                <w:color w:val="auto"/>
              </w:rPr>
            </w:pPr>
            <w:r>
              <w:rPr>
                <w:rFonts w:ascii="Arial" w:cs="Arial" w:eastAsia="Arial" w:hAnsi="Arial"/>
                <w:sz w:val="15"/>
                <w:szCs w:val="15"/>
                <w:b w:val="1"/>
                <w:bCs w:val="1"/>
                <w:color w:val="auto"/>
                <w:w w:val="85"/>
              </w:rPr>
              <w:t>June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302"/>
              <w:spacing w:after="0" w:line="165" w:lineRule="exact"/>
              <w:rPr>
                <w:sz w:val="20"/>
                <w:szCs w:val="20"/>
                <w:color w:val="auto"/>
              </w:rPr>
            </w:pPr>
            <w:r>
              <w:rPr>
                <w:rFonts w:ascii="Arial" w:cs="Arial" w:eastAsia="Arial" w:hAnsi="Arial"/>
                <w:sz w:val="15"/>
                <w:szCs w:val="15"/>
                <w:b w:val="1"/>
                <w:bCs w:val="1"/>
                <w:color w:val="auto"/>
                <w:w w:val="90"/>
              </w:rPr>
              <w:t>Mar.</w:t>
            </w:r>
          </w:p>
        </w:tc>
        <w:tc>
          <w:tcPr>
            <w:tcW w:w="180" w:type="dxa"/>
            <w:vAlign w:val="bottom"/>
          </w:tcPr>
          <w:p>
            <w:pPr>
              <w:spacing w:after="0"/>
              <w:rPr>
                <w:sz w:val="14"/>
                <w:szCs w:val="14"/>
                <w:color w:val="auto"/>
              </w:rPr>
            </w:pPr>
          </w:p>
        </w:tc>
        <w:tc>
          <w:tcPr>
            <w:tcW w:w="680" w:type="dxa"/>
            <w:vAlign w:val="bottom"/>
          </w:tcPr>
          <w:p>
            <w:pPr>
              <w:jc w:val="right"/>
              <w:ind w:right="282"/>
              <w:spacing w:after="0" w:line="165" w:lineRule="exact"/>
              <w:rPr>
                <w:sz w:val="20"/>
                <w:szCs w:val="20"/>
                <w:color w:val="auto"/>
              </w:rPr>
            </w:pPr>
            <w:r>
              <w:rPr>
                <w:rFonts w:ascii="Arial" w:cs="Arial" w:eastAsia="Arial" w:hAnsi="Arial"/>
                <w:sz w:val="15"/>
                <w:szCs w:val="15"/>
                <w:b w:val="1"/>
                <w:bCs w:val="1"/>
                <w:color w:val="auto"/>
                <w:w w:val="85"/>
              </w:rPr>
              <w:t>June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322"/>
              <w:spacing w:after="0"/>
              <w:rPr>
                <w:sz w:val="20"/>
                <w:szCs w:val="20"/>
                <w:color w:val="auto"/>
              </w:rPr>
            </w:pPr>
            <w:r>
              <w:rPr>
                <w:rFonts w:ascii="Arial" w:cs="Arial" w:eastAsia="Arial" w:hAnsi="Arial"/>
                <w:sz w:val="15"/>
                <w:szCs w:val="15"/>
                <w:b w:val="1"/>
                <w:bCs w:val="1"/>
                <w:color w:val="auto"/>
              </w:rPr>
              <w:t>31,</w:t>
            </w:r>
          </w:p>
        </w:tc>
        <w:tc>
          <w:tcPr>
            <w:tcW w:w="180" w:type="dxa"/>
            <w:vAlign w:val="bottom"/>
          </w:tcPr>
          <w:p>
            <w:pPr>
              <w:spacing w:after="0"/>
              <w:rPr>
                <w:sz w:val="15"/>
                <w:szCs w:val="15"/>
                <w:color w:val="auto"/>
              </w:rPr>
            </w:pPr>
          </w:p>
        </w:tc>
        <w:tc>
          <w:tcPr>
            <w:tcW w:w="680" w:type="dxa"/>
            <w:vAlign w:val="bottom"/>
          </w:tcPr>
          <w:p>
            <w:pPr>
              <w:jc w:val="right"/>
              <w:ind w:right="343"/>
              <w:spacing w:after="0"/>
              <w:rPr>
                <w:sz w:val="20"/>
                <w:szCs w:val="20"/>
                <w:color w:val="auto"/>
              </w:rPr>
            </w:pPr>
            <w:r>
              <w:rPr>
                <w:rFonts w:ascii="Arial" w:cs="Arial" w:eastAsia="Arial" w:hAnsi="Arial"/>
                <w:sz w:val="15"/>
                <w:szCs w:val="15"/>
                <w:b w:val="1"/>
                <w:bCs w:val="1"/>
                <w:color w:val="auto"/>
              </w:rPr>
              <w:t>30,</w:t>
            </w:r>
          </w:p>
        </w:tc>
        <w:tc>
          <w:tcPr>
            <w:tcW w:w="88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 30,</w:t>
            </w:r>
          </w:p>
        </w:tc>
        <w:tc>
          <w:tcPr>
            <w:tcW w:w="86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 31,</w:t>
            </w:r>
          </w:p>
        </w:tc>
        <w:tc>
          <w:tcPr>
            <w:tcW w:w="200" w:type="dxa"/>
            <w:vAlign w:val="bottom"/>
          </w:tcPr>
          <w:p>
            <w:pPr>
              <w:spacing w:after="0"/>
              <w:rPr>
                <w:sz w:val="15"/>
                <w:szCs w:val="15"/>
                <w:color w:val="auto"/>
              </w:rPr>
            </w:pPr>
          </w:p>
        </w:tc>
        <w:tc>
          <w:tcPr>
            <w:tcW w:w="680" w:type="dxa"/>
            <w:vAlign w:val="bottom"/>
          </w:tcPr>
          <w:p>
            <w:pPr>
              <w:jc w:val="right"/>
              <w:ind w:right="362"/>
              <w:spacing w:after="0"/>
              <w:rPr>
                <w:sz w:val="20"/>
                <w:szCs w:val="20"/>
                <w:color w:val="auto"/>
              </w:rPr>
            </w:pPr>
            <w:r>
              <w:rPr>
                <w:rFonts w:ascii="Arial" w:cs="Arial" w:eastAsia="Arial" w:hAnsi="Arial"/>
                <w:sz w:val="15"/>
                <w:szCs w:val="15"/>
                <w:b w:val="1"/>
                <w:bCs w:val="1"/>
                <w:color w:val="auto"/>
              </w:rPr>
              <w:t>31,</w:t>
            </w:r>
          </w:p>
        </w:tc>
        <w:tc>
          <w:tcPr>
            <w:tcW w:w="180" w:type="dxa"/>
            <w:vAlign w:val="bottom"/>
          </w:tcPr>
          <w:p>
            <w:pPr>
              <w:spacing w:after="0"/>
              <w:rPr>
                <w:sz w:val="15"/>
                <w:szCs w:val="15"/>
                <w:color w:val="auto"/>
              </w:rPr>
            </w:pPr>
          </w:p>
        </w:tc>
        <w:tc>
          <w:tcPr>
            <w:tcW w:w="680" w:type="dxa"/>
            <w:vAlign w:val="bottom"/>
          </w:tcPr>
          <w:p>
            <w:pPr>
              <w:jc w:val="right"/>
              <w:ind w:right="342"/>
              <w:spacing w:after="0"/>
              <w:rPr>
                <w:sz w:val="20"/>
                <w:szCs w:val="20"/>
                <w:color w:val="auto"/>
              </w:rPr>
            </w:pPr>
            <w:r>
              <w:rPr>
                <w:rFonts w:ascii="Arial" w:cs="Arial" w:eastAsia="Arial" w:hAnsi="Arial"/>
                <w:sz w:val="15"/>
                <w:szCs w:val="15"/>
                <w:b w:val="1"/>
                <w:bCs w:val="1"/>
                <w:color w:val="auto"/>
              </w:rPr>
              <w:t>30,</w:t>
            </w:r>
          </w:p>
        </w:tc>
        <w:tc>
          <w:tcPr>
            <w:tcW w:w="88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 30,</w:t>
            </w:r>
          </w:p>
        </w:tc>
        <w:tc>
          <w:tcPr>
            <w:tcW w:w="84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84"/>
              </w:rPr>
              <w:t>Dec. 31,</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5"/>
                <w:szCs w:val="15"/>
                <w:b w:val="1"/>
                <w:bCs w:val="1"/>
                <w:color w:val="auto"/>
                <w:w w:val="89"/>
              </w:rPr>
              <w:t>2013</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89"/>
              </w:rPr>
              <w:t>2013</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w w:val="89"/>
              </w:rPr>
              <w:t>2013</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w w:val="89"/>
              </w:rPr>
              <w:t>2013</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02"/>
              <w:spacing w:after="0"/>
              <w:rPr>
                <w:sz w:val="20"/>
                <w:szCs w:val="20"/>
                <w:color w:val="auto"/>
              </w:rPr>
            </w:pPr>
            <w:r>
              <w:rPr>
                <w:rFonts w:ascii="Arial" w:cs="Arial" w:eastAsia="Arial" w:hAnsi="Arial"/>
                <w:sz w:val="15"/>
                <w:szCs w:val="15"/>
                <w:b w:val="1"/>
                <w:bCs w:val="1"/>
                <w:color w:val="auto"/>
                <w:w w:val="83"/>
              </w:rPr>
              <w:t>2014</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2"/>
              <w:spacing w:after="0"/>
              <w:rPr>
                <w:sz w:val="20"/>
                <w:szCs w:val="20"/>
                <w:color w:val="auto"/>
              </w:rPr>
            </w:pPr>
            <w:r>
              <w:rPr>
                <w:rFonts w:ascii="Arial" w:cs="Arial" w:eastAsia="Arial" w:hAnsi="Arial"/>
                <w:sz w:val="15"/>
                <w:szCs w:val="15"/>
                <w:b w:val="1"/>
                <w:bCs w:val="1"/>
                <w:color w:val="auto"/>
                <w:w w:val="89"/>
              </w:rPr>
              <w:t>2014</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w w:val="83"/>
              </w:rPr>
              <w:t>2014</w:t>
            </w: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w w:val="83"/>
              </w:rPr>
              <w:t>2014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rPr>
              <w:t>Consolidated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jc w:val="center"/>
              <w:ind w:right="202"/>
              <w:spacing w:after="0"/>
              <w:rPr>
                <w:sz w:val="20"/>
                <w:szCs w:val="20"/>
                <w:color w:val="auto"/>
              </w:rPr>
            </w:pPr>
            <w:r>
              <w:rPr>
                <w:rFonts w:ascii="Arial" w:cs="Arial" w:eastAsia="Arial" w:hAnsi="Arial"/>
                <w:sz w:val="15"/>
                <w:szCs w:val="15"/>
                <w:b w:val="1"/>
                <w:bCs w:val="1"/>
                <w:color w:val="auto"/>
                <w:w w:val="86"/>
              </w:rPr>
              <w:t>(as a % of revenues)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b w:val="1"/>
                <w:bCs w:val="1"/>
                <w:color w:val="auto"/>
              </w:rPr>
              <w:t>Statements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b w:val="1"/>
                <w:bCs w:val="1"/>
                <w:color w:val="auto"/>
              </w:rPr>
              <w:t>of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6"/>
                <w:szCs w:val="16"/>
                <w:b w:val="1"/>
                <w:bCs w:val="1"/>
                <w:color w:val="auto"/>
              </w:rPr>
              <w:t>Data: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Revenues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6"/>
                <w:szCs w:val="16"/>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6"/>
                <w:szCs w:val="16"/>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6"/>
                <w:szCs w:val="16"/>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6"/>
                <w:szCs w:val="16"/>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6"/>
                <w:szCs w:val="16"/>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42"/>
              <w:spacing w:after="0"/>
              <w:rPr>
                <w:sz w:val="20"/>
                <w:szCs w:val="20"/>
                <w:color w:val="auto"/>
              </w:rPr>
            </w:pPr>
            <w:r>
              <w:rPr>
                <w:rFonts w:ascii="Arial" w:cs="Arial" w:eastAsia="Arial" w:hAnsi="Arial"/>
                <w:sz w:val="16"/>
                <w:szCs w:val="16"/>
                <w:color w:val="auto"/>
              </w:rPr>
              <w:t>35.6</w:t>
            </w:r>
          </w:p>
        </w:tc>
        <w:tc>
          <w:tcPr>
            <w:tcW w:w="180" w:type="dxa"/>
            <w:vAlign w:val="bottom"/>
          </w:tcPr>
          <w:p>
            <w:pPr>
              <w:spacing w:after="0"/>
              <w:rPr>
                <w:sz w:val="16"/>
                <w:szCs w:val="16"/>
                <w:color w:val="auto"/>
              </w:rPr>
            </w:pPr>
          </w:p>
        </w:tc>
        <w:tc>
          <w:tcPr>
            <w:tcW w:w="680" w:type="dxa"/>
            <w:vAlign w:val="bottom"/>
          </w:tcPr>
          <w:p>
            <w:pPr>
              <w:jc w:val="right"/>
              <w:ind w:right="143"/>
              <w:spacing w:after="0"/>
              <w:rPr>
                <w:sz w:val="20"/>
                <w:szCs w:val="20"/>
                <w:color w:val="auto"/>
              </w:rPr>
            </w:pPr>
            <w:r>
              <w:rPr>
                <w:rFonts w:ascii="Arial" w:cs="Arial" w:eastAsia="Arial" w:hAnsi="Arial"/>
                <w:sz w:val="16"/>
                <w:szCs w:val="16"/>
                <w:color w:val="auto"/>
              </w:rPr>
              <w:t>47.2</w:t>
            </w:r>
          </w:p>
        </w:tc>
        <w:tc>
          <w:tcPr>
            <w:tcW w:w="180" w:type="dxa"/>
            <w:vAlign w:val="bottom"/>
          </w:tcPr>
          <w:p>
            <w:pPr>
              <w:spacing w:after="0"/>
              <w:rPr>
                <w:sz w:val="16"/>
                <w:szCs w:val="16"/>
                <w:color w:val="auto"/>
              </w:rPr>
            </w:pPr>
          </w:p>
        </w:tc>
        <w:tc>
          <w:tcPr>
            <w:tcW w:w="700" w:type="dxa"/>
            <w:vAlign w:val="bottom"/>
          </w:tcPr>
          <w:p>
            <w:pPr>
              <w:jc w:val="right"/>
              <w:ind w:right="161"/>
              <w:spacing w:after="0"/>
              <w:rPr>
                <w:sz w:val="20"/>
                <w:szCs w:val="20"/>
                <w:color w:val="auto"/>
              </w:rPr>
            </w:pPr>
            <w:r>
              <w:rPr>
                <w:rFonts w:ascii="Arial" w:cs="Arial" w:eastAsia="Arial" w:hAnsi="Arial"/>
                <w:sz w:val="16"/>
                <w:szCs w:val="16"/>
                <w:color w:val="auto"/>
              </w:rPr>
              <w:t>42.8</w:t>
            </w:r>
          </w:p>
        </w:tc>
        <w:tc>
          <w:tcPr>
            <w:tcW w:w="160" w:type="dxa"/>
            <w:vAlign w:val="bottom"/>
          </w:tcPr>
          <w:p>
            <w:pPr>
              <w:spacing w:after="0"/>
              <w:rPr>
                <w:sz w:val="16"/>
                <w:szCs w:val="16"/>
                <w:color w:val="auto"/>
              </w:rPr>
            </w:pPr>
          </w:p>
        </w:tc>
        <w:tc>
          <w:tcPr>
            <w:tcW w:w="700" w:type="dxa"/>
            <w:vAlign w:val="bottom"/>
          </w:tcPr>
          <w:p>
            <w:pPr>
              <w:jc w:val="right"/>
              <w:ind w:right="143"/>
              <w:spacing w:after="0"/>
              <w:rPr>
                <w:sz w:val="20"/>
                <w:szCs w:val="20"/>
                <w:color w:val="auto"/>
              </w:rPr>
            </w:pPr>
            <w:r>
              <w:rPr>
                <w:rFonts w:ascii="Arial" w:cs="Arial" w:eastAsia="Arial" w:hAnsi="Arial"/>
                <w:sz w:val="16"/>
                <w:szCs w:val="16"/>
                <w:color w:val="auto"/>
              </w:rPr>
              <w:t>45.4</w:t>
            </w:r>
          </w:p>
        </w:tc>
        <w:tc>
          <w:tcPr>
            <w:tcW w:w="200" w:type="dxa"/>
            <w:vAlign w:val="bottom"/>
          </w:tcPr>
          <w:p>
            <w:pPr>
              <w:spacing w:after="0"/>
              <w:rPr>
                <w:sz w:val="16"/>
                <w:szCs w:val="16"/>
                <w:color w:val="auto"/>
              </w:rPr>
            </w:pPr>
          </w:p>
        </w:tc>
        <w:tc>
          <w:tcPr>
            <w:tcW w:w="680" w:type="dxa"/>
            <w:vAlign w:val="bottom"/>
          </w:tcPr>
          <w:p>
            <w:pPr>
              <w:jc w:val="right"/>
              <w:ind w:right="142"/>
              <w:spacing w:after="0"/>
              <w:rPr>
                <w:sz w:val="20"/>
                <w:szCs w:val="20"/>
                <w:color w:val="auto"/>
              </w:rPr>
            </w:pPr>
            <w:r>
              <w:rPr>
                <w:rFonts w:ascii="Arial" w:cs="Arial" w:eastAsia="Arial" w:hAnsi="Arial"/>
                <w:sz w:val="16"/>
                <w:szCs w:val="16"/>
                <w:color w:val="auto"/>
              </w:rPr>
              <w:t>33.9</w:t>
            </w:r>
          </w:p>
        </w:tc>
        <w:tc>
          <w:tcPr>
            <w:tcW w:w="180" w:type="dxa"/>
            <w:vAlign w:val="bottom"/>
          </w:tcPr>
          <w:p>
            <w:pPr>
              <w:spacing w:after="0"/>
              <w:rPr>
                <w:sz w:val="16"/>
                <w:szCs w:val="16"/>
                <w:color w:val="auto"/>
              </w:rPr>
            </w:pPr>
          </w:p>
        </w:tc>
        <w:tc>
          <w:tcPr>
            <w:tcW w:w="680" w:type="dxa"/>
            <w:vAlign w:val="bottom"/>
          </w:tcPr>
          <w:p>
            <w:pPr>
              <w:jc w:val="right"/>
              <w:ind w:right="142"/>
              <w:spacing w:after="0"/>
              <w:rPr>
                <w:sz w:val="20"/>
                <w:szCs w:val="20"/>
                <w:color w:val="auto"/>
              </w:rPr>
            </w:pPr>
            <w:r>
              <w:rPr>
                <w:rFonts w:ascii="Arial" w:cs="Arial" w:eastAsia="Arial" w:hAnsi="Arial"/>
                <w:sz w:val="16"/>
                <w:szCs w:val="16"/>
                <w:color w:val="auto"/>
              </w:rPr>
              <w:t>43.5</w:t>
            </w:r>
          </w:p>
        </w:tc>
        <w:tc>
          <w:tcPr>
            <w:tcW w:w="200" w:type="dxa"/>
            <w:vAlign w:val="bottom"/>
          </w:tcPr>
          <w:p>
            <w:pPr>
              <w:spacing w:after="0"/>
              <w:rPr>
                <w:sz w:val="16"/>
                <w:szCs w:val="16"/>
                <w:color w:val="auto"/>
              </w:rPr>
            </w:pPr>
          </w:p>
        </w:tc>
        <w:tc>
          <w:tcPr>
            <w:tcW w:w="680" w:type="dxa"/>
            <w:vAlign w:val="bottom"/>
          </w:tcPr>
          <w:p>
            <w:pPr>
              <w:jc w:val="right"/>
              <w:ind w:right="141"/>
              <w:spacing w:after="0"/>
              <w:rPr>
                <w:sz w:val="20"/>
                <w:szCs w:val="20"/>
                <w:color w:val="auto"/>
              </w:rPr>
            </w:pPr>
            <w:r>
              <w:rPr>
                <w:rFonts w:ascii="Arial" w:cs="Arial" w:eastAsia="Arial" w:hAnsi="Arial"/>
                <w:sz w:val="16"/>
                <w:szCs w:val="16"/>
                <w:color w:val="auto"/>
              </w:rPr>
              <w:t>50.3</w:t>
            </w:r>
          </w:p>
        </w:tc>
        <w:tc>
          <w:tcPr>
            <w:tcW w:w="20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45.2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Operating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6"/>
                <w:szCs w:val="16"/>
                <w:color w:val="auto"/>
              </w:rPr>
            </w:pPr>
          </w:p>
        </w:tc>
        <w:tc>
          <w:tcPr>
            <w:tcW w:w="680" w:type="dxa"/>
            <w:vAlign w:val="bottom"/>
          </w:tcPr>
          <w:p>
            <w:pPr>
              <w:jc w:val="right"/>
              <w:ind w:right="143"/>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6"/>
                <w:szCs w:val="16"/>
                <w:color w:val="auto"/>
              </w:rPr>
            </w:pPr>
          </w:p>
        </w:tc>
        <w:tc>
          <w:tcPr>
            <w:tcW w:w="700" w:type="dxa"/>
            <w:vAlign w:val="bottom"/>
          </w:tcPr>
          <w:p>
            <w:pPr>
              <w:jc w:val="right"/>
              <w:ind w:right="161"/>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6"/>
                <w:szCs w:val="16"/>
                <w:color w:val="auto"/>
              </w:rPr>
            </w:pPr>
          </w:p>
        </w:tc>
        <w:tc>
          <w:tcPr>
            <w:tcW w:w="700" w:type="dxa"/>
            <w:vAlign w:val="bottom"/>
          </w:tcPr>
          <w:p>
            <w:pPr>
              <w:jc w:val="right"/>
              <w:ind w:right="143"/>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16"/>
                <w:szCs w:val="16"/>
                <w:color w:val="auto"/>
              </w:rPr>
            </w:pP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16"/>
                <w:szCs w:val="16"/>
                <w:color w:val="auto"/>
              </w:rPr>
            </w:pPr>
          </w:p>
        </w:tc>
        <w:tc>
          <w:tcPr>
            <w:tcW w:w="680" w:type="dxa"/>
            <w:vAlign w:val="bottom"/>
          </w:tcPr>
          <w:p>
            <w:pPr>
              <w:jc w:val="right"/>
              <w:ind w:right="142"/>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6"/>
                <w:szCs w:val="16"/>
                <w:color w:val="auto"/>
              </w:rPr>
            </w:pPr>
          </w:p>
        </w:tc>
        <w:tc>
          <w:tcPr>
            <w:tcW w:w="680" w:type="dxa"/>
            <w:vAlign w:val="bottom"/>
          </w:tcPr>
          <w:p>
            <w:pPr>
              <w:jc w:val="right"/>
              <w:ind w:right="141"/>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6"/>
                <w:szCs w:val="16"/>
                <w:color w:val="auto"/>
              </w:rPr>
              <w:t>(loss)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82"/>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7"/>
                <w:szCs w:val="17"/>
                <w:color w:val="auto"/>
              </w:rPr>
            </w:pPr>
          </w:p>
        </w:tc>
        <w:tc>
          <w:tcPr>
            <w:tcW w:w="680" w:type="dxa"/>
            <w:vAlign w:val="bottom"/>
          </w:tcPr>
          <w:p>
            <w:pPr>
              <w:jc w:val="right"/>
              <w:ind w:right="143"/>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7"/>
                <w:szCs w:val="17"/>
                <w:color w:val="auto"/>
              </w:rPr>
            </w:pPr>
          </w:p>
        </w:tc>
        <w:tc>
          <w:tcPr>
            <w:tcW w:w="700" w:type="dxa"/>
            <w:vAlign w:val="bottom"/>
          </w:tcPr>
          <w:p>
            <w:pPr>
              <w:jc w:val="right"/>
              <w:ind w:right="161"/>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7"/>
                <w:szCs w:val="17"/>
                <w:color w:val="auto"/>
              </w:rPr>
            </w:pPr>
          </w:p>
        </w:tc>
        <w:tc>
          <w:tcPr>
            <w:tcW w:w="700" w:type="dxa"/>
            <w:vAlign w:val="bottom"/>
          </w:tcPr>
          <w:p>
            <w:pPr>
              <w:jc w:val="right"/>
              <w:ind w:right="143"/>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7"/>
                <w:szCs w:val="17"/>
                <w:color w:val="auto"/>
              </w:rPr>
            </w:pP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7"/>
                <w:szCs w:val="17"/>
                <w:color w:val="auto"/>
              </w:rPr>
            </w:pPr>
          </w:p>
        </w:tc>
        <w:tc>
          <w:tcPr>
            <w:tcW w:w="680" w:type="dxa"/>
            <w:vAlign w:val="bottom"/>
          </w:tcPr>
          <w:p>
            <w:pPr>
              <w:jc w:val="right"/>
              <w:ind w:right="142"/>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7"/>
                <w:szCs w:val="17"/>
                <w:color w:val="auto"/>
              </w:rPr>
            </w:pPr>
          </w:p>
        </w:tc>
        <w:tc>
          <w:tcPr>
            <w:tcW w:w="680" w:type="dxa"/>
            <w:vAlign w:val="bottom"/>
          </w:tcPr>
          <w:p>
            <w:pPr>
              <w:jc w:val="right"/>
              <w:ind w:right="141"/>
              <w:spacing w:after="0"/>
              <w:rPr>
                <w:sz w:val="20"/>
                <w:szCs w:val="20"/>
                <w:color w:val="auto"/>
              </w:rPr>
            </w:pPr>
            <w:r>
              <w:rPr>
                <w:rFonts w:ascii="Arial" w:cs="Arial" w:eastAsia="Arial" w:hAnsi="Arial"/>
                <w:sz w:val="16"/>
                <w:szCs w:val="16"/>
                <w:color w:val="auto"/>
              </w:rPr>
              <w:t>17.1</w:t>
            </w:r>
          </w:p>
        </w:tc>
        <w:tc>
          <w:tcPr>
            <w:tcW w:w="20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203"/>
              <w:spacing w:after="0"/>
              <w:rPr>
                <w:sz w:val="20"/>
                <w:szCs w:val="20"/>
                <w:color w:val="auto"/>
              </w:rPr>
            </w:pPr>
            <w:r>
              <w:rPr>
                <w:rFonts w:ascii="Arial" w:cs="Arial" w:eastAsia="Arial" w:hAnsi="Arial"/>
                <w:sz w:val="13"/>
                <w:szCs w:val="13"/>
                <w:color w:val="auto"/>
                <w:w w:val="96"/>
              </w:rPr>
              <w:t>42</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7" w:right="1440" w:bottom="1440" w:gutter="0" w:footer="0" w:header="0"/>
        </w:sectPr>
      </w:pPr>
    </w:p>
    <w:bookmarkStart w:id="46" w:name="page47"/>
    <w:bookmarkEnd w:id="46"/>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5"/>
                <w:szCs w:val="15"/>
                <w:b w:val="1"/>
                <w:bCs w:val="1"/>
                <w:color w:val="auto"/>
                <w:w w:val="91"/>
              </w:rPr>
              <w:t>Three Months Ended</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80"/>
              <w:spacing w:after="0" w:line="168" w:lineRule="exact"/>
              <w:rPr>
                <w:sz w:val="20"/>
                <w:szCs w:val="20"/>
                <w:color w:val="auto"/>
              </w:rPr>
            </w:pPr>
            <w:r>
              <w:rPr>
                <w:rFonts w:ascii="Arial" w:cs="Arial" w:eastAsia="Arial" w:hAnsi="Arial"/>
                <w:sz w:val="15"/>
                <w:szCs w:val="15"/>
                <w:b w:val="1"/>
                <w:bCs w:val="1"/>
                <w:color w:val="auto"/>
                <w:w w:val="85"/>
              </w:rPr>
              <w:t>June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60"/>
              <w:spacing w:after="0" w:line="168" w:lineRule="exact"/>
              <w:rPr>
                <w:sz w:val="20"/>
                <w:szCs w:val="20"/>
                <w:color w:val="auto"/>
              </w:rPr>
            </w:pPr>
            <w:r>
              <w:rPr>
                <w:rFonts w:ascii="Arial" w:cs="Arial" w:eastAsia="Arial" w:hAnsi="Arial"/>
                <w:sz w:val="15"/>
                <w:szCs w:val="15"/>
                <w:b w:val="1"/>
                <w:bCs w:val="1"/>
                <w:color w:val="auto"/>
              </w:rPr>
              <w:t>Dec.</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80"/>
              <w:spacing w:after="0" w:line="168" w:lineRule="exact"/>
              <w:rPr>
                <w:sz w:val="20"/>
                <w:szCs w:val="20"/>
                <w:color w:val="auto"/>
              </w:rPr>
            </w:pPr>
            <w:r>
              <w:rPr>
                <w:rFonts w:ascii="Arial" w:cs="Arial" w:eastAsia="Arial" w:hAnsi="Arial"/>
                <w:sz w:val="15"/>
                <w:szCs w:val="15"/>
                <w:b w:val="1"/>
                <w:bCs w:val="1"/>
                <w:color w:val="auto"/>
                <w:w w:val="85"/>
              </w:rPr>
              <w:t>June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82"/>
              <w:spacing w:after="0" w:line="168" w:lineRule="exact"/>
              <w:rPr>
                <w:sz w:val="20"/>
                <w:szCs w:val="20"/>
                <w:color w:val="auto"/>
              </w:rPr>
            </w:pPr>
            <w:r>
              <w:rPr>
                <w:rFonts w:ascii="Arial" w:cs="Arial" w:eastAsia="Arial" w:hAnsi="Arial"/>
                <w:sz w:val="15"/>
                <w:szCs w:val="15"/>
                <w:b w:val="1"/>
                <w:bCs w:val="1"/>
                <w:color w:val="auto"/>
                <w:w w:val="94"/>
              </w:rPr>
              <w:t>Dec.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Mar.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122"/>
              <w:spacing w:after="0"/>
              <w:rPr>
                <w:sz w:val="20"/>
                <w:szCs w:val="20"/>
                <w:color w:val="auto"/>
              </w:rPr>
            </w:pPr>
            <w:r>
              <w:rPr>
                <w:rFonts w:ascii="Arial" w:cs="Arial" w:eastAsia="Arial" w:hAnsi="Arial"/>
                <w:sz w:val="15"/>
                <w:szCs w:val="15"/>
                <w:b w:val="1"/>
                <w:bCs w:val="1"/>
                <w:color w:val="auto"/>
              </w:rPr>
              <w:t>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4"/>
              </w:rPr>
              <w:t>Sep. 30,</w:t>
            </w:r>
          </w:p>
        </w:tc>
        <w:tc>
          <w:tcPr>
            <w:tcW w:w="100" w:type="dxa"/>
            <w:vAlign w:val="bottom"/>
          </w:tcPr>
          <w:p>
            <w:pPr>
              <w:spacing w:after="0"/>
              <w:rPr>
                <w:sz w:val="15"/>
                <w:szCs w:val="15"/>
                <w:color w:val="auto"/>
              </w:rPr>
            </w:pPr>
          </w:p>
        </w:tc>
        <w:tc>
          <w:tcPr>
            <w:tcW w:w="480" w:type="dxa"/>
            <w:vAlign w:val="bottom"/>
          </w:tcPr>
          <w:p>
            <w:pPr>
              <w:jc w:val="right"/>
              <w:ind w:right="122"/>
              <w:spacing w:after="0"/>
              <w:rPr>
                <w:sz w:val="20"/>
                <w:szCs w:val="20"/>
                <w:color w:val="auto"/>
              </w:rPr>
            </w:pPr>
            <w:r>
              <w:rPr>
                <w:rFonts w:ascii="Arial" w:cs="Arial" w:eastAsia="Arial" w:hAnsi="Arial"/>
                <w:sz w:val="15"/>
                <w:szCs w:val="15"/>
                <w:b w:val="1"/>
                <w:bCs w:val="1"/>
                <w:color w:val="auto"/>
              </w:rPr>
              <w:t>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rPr>
              <w:t>Mar. 31,</w:t>
            </w:r>
          </w:p>
        </w:tc>
        <w:tc>
          <w:tcPr>
            <w:tcW w:w="120" w:type="dxa"/>
            <w:vAlign w:val="bottom"/>
          </w:tcPr>
          <w:p>
            <w:pPr>
              <w:spacing w:after="0"/>
              <w:rPr>
                <w:sz w:val="15"/>
                <w:szCs w:val="15"/>
                <w:color w:val="auto"/>
              </w:rPr>
            </w:pPr>
          </w:p>
        </w:tc>
        <w:tc>
          <w:tcPr>
            <w:tcW w:w="460" w:type="dxa"/>
            <w:vAlign w:val="bottom"/>
          </w:tcPr>
          <w:p>
            <w:pPr>
              <w:jc w:val="right"/>
              <w:ind w:right="122"/>
              <w:spacing w:after="0"/>
              <w:rPr>
                <w:sz w:val="20"/>
                <w:szCs w:val="20"/>
                <w:color w:val="auto"/>
              </w:rPr>
            </w:pPr>
            <w:r>
              <w:rPr>
                <w:rFonts w:ascii="Arial" w:cs="Arial" w:eastAsia="Arial" w:hAnsi="Arial"/>
                <w:sz w:val="15"/>
                <w:szCs w:val="15"/>
                <w:b w:val="1"/>
                <w:bCs w:val="1"/>
                <w:color w:val="auto"/>
              </w:rPr>
              <w:t>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4"/>
              </w:rPr>
              <w:t>Sep. 30,</w:t>
            </w:r>
          </w:p>
        </w:tc>
        <w:tc>
          <w:tcPr>
            <w:tcW w:w="100" w:type="dxa"/>
            <w:vAlign w:val="bottom"/>
          </w:tcPr>
          <w:p>
            <w:pPr>
              <w:spacing w:after="0"/>
              <w:rPr>
                <w:sz w:val="15"/>
                <w:szCs w:val="15"/>
                <w:color w:val="auto"/>
              </w:rPr>
            </w:pPr>
          </w:p>
        </w:tc>
        <w:tc>
          <w:tcPr>
            <w:tcW w:w="480" w:type="dxa"/>
            <w:vAlign w:val="bottom"/>
          </w:tcPr>
          <w:p>
            <w:pPr>
              <w:jc w:val="right"/>
              <w:ind w:right="122"/>
              <w:spacing w:after="0"/>
              <w:rPr>
                <w:sz w:val="20"/>
                <w:szCs w:val="20"/>
                <w:color w:val="auto"/>
              </w:rPr>
            </w:pPr>
            <w:r>
              <w:rPr>
                <w:rFonts w:ascii="Arial" w:cs="Arial" w:eastAsia="Arial" w:hAnsi="Arial"/>
                <w:sz w:val="15"/>
                <w:szCs w:val="15"/>
                <w:b w:val="1"/>
                <w:bCs w:val="1"/>
                <w:color w:val="auto"/>
              </w:rPr>
              <w:t>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w w:val="95"/>
              </w:rPr>
              <w:t>2013</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b w:val="1"/>
                <w:bCs w:val="1"/>
                <w:color w:val="auto"/>
                <w:w w:val="89"/>
              </w:rPr>
              <w:t>2013</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89"/>
              </w:rPr>
              <w:t>2013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b w:val="1"/>
                <w:bCs w:val="1"/>
                <w:color w:val="auto"/>
                <w:w w:val="95"/>
              </w:rPr>
              <w:t>2013</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w w:val="95"/>
              </w:rPr>
              <w:t>2014</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b w:val="1"/>
                <w:bCs w:val="1"/>
                <w:color w:val="auto"/>
                <w:w w:val="89"/>
              </w:rPr>
              <w:t>2014</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89"/>
              </w:rPr>
              <w:t>2014</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b w:val="1"/>
                <w:bCs w:val="1"/>
                <w:color w:val="auto"/>
                <w:w w:val="95"/>
              </w:rPr>
              <w:t>2014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60" w:type="dxa"/>
            <w:vAlign w:val="bottom"/>
            <w:vMerge w:val="restart"/>
          </w:tcPr>
          <w:p>
            <w:pPr>
              <w:spacing w:after="0"/>
              <w:rPr>
                <w:sz w:val="20"/>
                <w:szCs w:val="20"/>
                <w:color w:val="auto"/>
              </w:rPr>
            </w:pPr>
            <w:r>
              <w:rPr>
                <w:rFonts w:ascii="Arial" w:cs="Arial" w:eastAsia="Arial" w:hAnsi="Arial"/>
                <w:sz w:val="16"/>
                <w:szCs w:val="16"/>
                <w:b w:val="1"/>
                <w:bCs w:val="1"/>
                <w:color w:val="auto"/>
                <w:w w:val="99"/>
              </w:rPr>
              <w:t>Supplemental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6"/>
          </w:tcPr>
          <w:p>
            <w:pPr>
              <w:jc w:val="right"/>
              <w:ind w:right="580"/>
              <w:spacing w:after="0"/>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b w:val="1"/>
                <w:bCs w:val="1"/>
                <w:color w:val="auto"/>
              </w:rPr>
              <w:t>Financial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6"/>
                <w:szCs w:val="16"/>
                <w:b w:val="1"/>
                <w:bCs w:val="1"/>
                <w:color w:val="auto"/>
              </w:rPr>
              <w:t>Data: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Adjusted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tcPr>
          <w:p>
            <w:pPr>
              <w:spacing w:after="0"/>
              <w:rPr>
                <w:sz w:val="20"/>
                <w:szCs w:val="20"/>
                <w:color w:val="auto"/>
              </w:rPr>
            </w:pPr>
            <w:r>
              <w:rPr>
                <w:rFonts w:ascii="Arial" w:cs="Arial" w:eastAsia="Arial" w:hAnsi="Arial"/>
                <w:sz w:val="16"/>
                <w:szCs w:val="16"/>
                <w:color w:val="auto"/>
              </w:rPr>
              <w:t>EBITDA</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(199)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1,378</w:t>
            </w:r>
          </w:p>
        </w:tc>
        <w:tc>
          <w:tcPr>
            <w:tcW w:w="1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1,736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1,366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(1,201)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1,164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4,058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b w:val="1"/>
                <w:bCs w:val="1"/>
                <w:color w:val="auto"/>
                <w:w w:val="95"/>
              </w:rPr>
              <w:t>Reconciliation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b w:val="1"/>
                <w:bCs w:val="1"/>
                <w:color w:val="auto"/>
                <w:w w:val="99"/>
              </w:rPr>
              <w:t>of net income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b w:val="1"/>
                <w:bCs w:val="1"/>
                <w:color w:val="auto"/>
              </w:rPr>
              <w:t>(loss) to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b w:val="1"/>
                <w:bCs w:val="1"/>
                <w:color w:val="auto"/>
              </w:rPr>
              <w:t>Adjusted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6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(loss)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(1,091)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683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994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548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(1,713)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162"/>
        </w:trPr>
        <w:tc>
          <w:tcPr>
            <w:tcW w:w="1060" w:type="dxa"/>
            <w:vAlign w:val="bottom"/>
          </w:tcPr>
          <w:p>
            <w:pPr>
              <w:spacing w:after="0" w:line="161" w:lineRule="exact"/>
              <w:rPr>
                <w:sz w:val="20"/>
                <w:szCs w:val="20"/>
                <w:color w:val="auto"/>
              </w:rPr>
            </w:pPr>
            <w:r>
              <w:rPr>
                <w:rFonts w:ascii="Arial" w:cs="Arial" w:eastAsia="Arial" w:hAnsi="Arial"/>
                <w:sz w:val="16"/>
                <w:szCs w:val="16"/>
                <w:color w:val="auto"/>
              </w:rPr>
              <w:t>Finance</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expenses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(income), net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Taxes 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income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Depreciation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amortization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Share-based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20"/>
                <w:szCs w:val="20"/>
                <w:color w:val="auto"/>
              </w:rPr>
            </w:pPr>
            <w:r>
              <w:rPr>
                <w:rFonts w:ascii="Arial" w:cs="Arial" w:eastAsia="Arial" w:hAnsi="Arial"/>
                <w:sz w:val="16"/>
                <w:szCs w:val="16"/>
                <w:color w:val="auto"/>
              </w:rPr>
              <w:t>compensation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expense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62"/>
        </w:trPr>
        <w:tc>
          <w:tcPr>
            <w:tcW w:w="1060" w:type="dxa"/>
            <w:vAlign w:val="bottom"/>
          </w:tcPr>
          <w:p>
            <w:pPr>
              <w:spacing w:after="0" w:line="161" w:lineRule="exact"/>
              <w:rPr>
                <w:sz w:val="20"/>
                <w:szCs w:val="20"/>
                <w:color w:val="auto"/>
              </w:rPr>
            </w:pPr>
            <w:r>
              <w:rPr>
                <w:rFonts w:ascii="Arial" w:cs="Arial" w:eastAsia="Arial" w:hAnsi="Arial"/>
                <w:sz w:val="16"/>
                <w:szCs w:val="16"/>
                <w:color w:val="auto"/>
              </w:rPr>
              <w:t>Adjusted</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EBITDA</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(199)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1,378</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1,736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1,366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(1,201)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1,164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4,058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580" w:right="599" w:firstLine="194"/>
        <w:spacing w:after="0" w:line="274" w:lineRule="auto"/>
        <w:rPr>
          <w:sz w:val="20"/>
          <w:szCs w:val="20"/>
          <w:color w:val="auto"/>
        </w:rPr>
      </w:pPr>
      <w:r>
        <w:rPr>
          <w:rFonts w:ascii="Arial" w:cs="Arial" w:eastAsia="Arial" w:hAnsi="Arial"/>
          <w:sz w:val="15"/>
          <w:szCs w:val="15"/>
          <w:i w:val="1"/>
          <w:iCs w:val="1"/>
          <w:color w:val="auto"/>
        </w:rPr>
        <w:t xml:space="preserve">Quarterly Revenue Trends. </w:t>
      </w:r>
      <w:r>
        <w:rPr>
          <w:rFonts w:ascii="Arial" w:cs="Arial" w:eastAsia="Arial" w:hAnsi="Arial"/>
          <w:sz w:val="15"/>
          <w:szCs w:val="15"/>
          <w:color w:val="auto"/>
        </w:rPr>
        <w:t>Our quarterly revenues increased year-over-year for all periods presented due to</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increased sales of our systems, particularly increased sales of our industrial systems, and increased sales of ink and other consumables due to our growing installed base. Comparisons of our year-over-year total quarterly revenues are more meaningful than comparisons of our sequential results due to seasonality in sales of our solutions. Our fourth quarter has historically been our strongest quarter for sales due to increased sales of ink and other consumables to our customers in response to increased demand from consumers around the holiday season. As a result, the first quarter is generally our weakest quarter due to lower sales of ink and other consumables. While we believe that these seasonal trends have affected and will continue to affect our quarterly results, our growth has largely mitigated seasonal trends to date. We do not know whether our business will become more seasonal in the future. Historical patterns in our business may therefore not be a reliable indicator of our future sales activity or performance.</w:t>
      </w:r>
    </w:p>
    <w:p>
      <w:pPr>
        <w:spacing w:after="0" w:line="163" w:lineRule="exact"/>
        <w:rPr>
          <w:sz w:val="20"/>
          <w:szCs w:val="20"/>
          <w:color w:val="auto"/>
        </w:rPr>
      </w:pPr>
    </w:p>
    <w:p>
      <w:pPr>
        <w:ind w:left="580" w:right="739" w:firstLine="194"/>
        <w:spacing w:after="0" w:line="285" w:lineRule="auto"/>
        <w:rPr>
          <w:sz w:val="20"/>
          <w:szCs w:val="20"/>
          <w:color w:val="auto"/>
        </w:rPr>
      </w:pPr>
      <w:r>
        <w:rPr>
          <w:rFonts w:ascii="Arial" w:cs="Arial" w:eastAsia="Arial" w:hAnsi="Arial"/>
          <w:sz w:val="15"/>
          <w:szCs w:val="15"/>
          <w:i w:val="1"/>
          <w:iCs w:val="1"/>
          <w:color w:val="auto"/>
        </w:rPr>
        <w:t>Quarterly Gross Profit and Margin Trends</w:t>
      </w:r>
      <w:r>
        <w:rPr>
          <w:rFonts w:ascii="Arial" w:cs="Arial" w:eastAsia="Arial" w:hAnsi="Arial"/>
          <w:sz w:val="15"/>
          <w:szCs w:val="15"/>
          <w:color w:val="auto"/>
        </w:rPr>
        <w:t>. Our quarterly gross profit increased year-over-year for all periods</w:t>
      </w:r>
      <w:r>
        <w:rPr>
          <w:rFonts w:ascii="Arial" w:cs="Arial" w:eastAsia="Arial" w:hAnsi="Arial"/>
          <w:sz w:val="15"/>
          <w:szCs w:val="15"/>
          <w:i w:val="1"/>
          <w:iCs w:val="1"/>
          <w:color w:val="auto"/>
        </w:rPr>
        <w:t xml:space="preserve"> </w:t>
      </w:r>
      <w:r>
        <w:rPr>
          <w:rFonts w:ascii="Arial" w:cs="Arial" w:eastAsia="Arial" w:hAnsi="Arial"/>
          <w:sz w:val="15"/>
          <w:szCs w:val="15"/>
          <w:color w:val="auto"/>
        </w:rPr>
        <w:t>presented. Our quarterly gross margin has fluctuated over the periods presented due to lower sales of higher margin ink and other consumables in the first quarter. In addition, in the first quarter of 2014, gross profit was also impacted by pricing strategies implemented during 2013 to increase sales of entry level systems.</w:t>
      </w:r>
    </w:p>
    <w:p>
      <w:pPr>
        <w:spacing w:after="0" w:line="150" w:lineRule="exact"/>
        <w:rPr>
          <w:sz w:val="20"/>
          <w:szCs w:val="20"/>
          <w:color w:val="auto"/>
        </w:rPr>
      </w:pPr>
    </w:p>
    <w:p>
      <w:pPr>
        <w:ind w:left="580" w:right="599" w:firstLine="194"/>
        <w:spacing w:after="0" w:line="274" w:lineRule="auto"/>
        <w:rPr>
          <w:sz w:val="20"/>
          <w:szCs w:val="20"/>
          <w:color w:val="auto"/>
        </w:rPr>
      </w:pPr>
      <w:r>
        <w:rPr>
          <w:rFonts w:ascii="Arial" w:cs="Arial" w:eastAsia="Arial" w:hAnsi="Arial"/>
          <w:sz w:val="15"/>
          <w:szCs w:val="15"/>
          <w:i w:val="1"/>
          <w:iCs w:val="1"/>
          <w:color w:val="auto"/>
        </w:rPr>
        <w:t xml:space="preserve">Quarterly Operating Expense Trends. </w:t>
      </w:r>
      <w:r>
        <w:rPr>
          <w:rFonts w:ascii="Arial" w:cs="Arial" w:eastAsia="Arial" w:hAnsi="Arial"/>
          <w:sz w:val="15"/>
          <w:szCs w:val="15"/>
          <w:color w:val="auto"/>
        </w:rPr>
        <w:t>Our quarterly operating expenses increased year-over-year for all periods</w:t>
      </w:r>
      <w:r>
        <w:rPr>
          <w:rFonts w:ascii="Arial" w:cs="Arial" w:eastAsia="Arial" w:hAnsi="Arial"/>
          <w:sz w:val="15"/>
          <w:szCs w:val="15"/>
          <w:i w:val="1"/>
          <w:iCs w:val="1"/>
          <w:color w:val="auto"/>
        </w:rPr>
        <w:t xml:space="preserve"> </w:t>
      </w:r>
      <w:r>
        <w:rPr>
          <w:rFonts w:ascii="Arial" w:cs="Arial" w:eastAsia="Arial" w:hAnsi="Arial"/>
          <w:sz w:val="15"/>
          <w:szCs w:val="15"/>
          <w:color w:val="auto"/>
        </w:rPr>
        <w:t>presented primarily due to the addition of personnel in connection with the expansion of our business. Research and development expenses generally increased sequentially over the periods as we increased our headcount to support continued investment in our future solutions, increased expenditures relating to beta sites and increased overhead allocations. Sales and marketing expenses increased significantly over the periods as we incurred costs associated with commission expenses to sales people, personnel costs associated with increases in headcount and an increase in overhead allocations. In addition, sales and marketing expenses vary from quarter to quarter based on timing of trade shows, which generally occur in the second and fourth quarters. General and administrative expenses increased over the periods primarily due to an increase in personnel costs, legal expenses and professional services fees related to preparing to be a public company.</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Liquidity and Capital Resources</w:t>
      </w:r>
    </w:p>
    <w:p>
      <w:pPr>
        <w:spacing w:after="0" w:line="208" w:lineRule="exact"/>
        <w:rPr>
          <w:sz w:val="20"/>
          <w:szCs w:val="20"/>
          <w:color w:val="auto"/>
        </w:rPr>
      </w:pPr>
    </w:p>
    <w:p>
      <w:pPr>
        <w:jc w:val="both"/>
        <w:ind w:left="580" w:right="599" w:firstLine="194"/>
        <w:spacing w:after="0" w:line="267" w:lineRule="auto"/>
        <w:rPr>
          <w:sz w:val="20"/>
          <w:szCs w:val="20"/>
          <w:color w:val="auto"/>
        </w:rPr>
      </w:pPr>
      <w:r>
        <w:rPr>
          <w:rFonts w:ascii="Arial" w:cs="Arial" w:eastAsia="Arial" w:hAnsi="Arial"/>
          <w:sz w:val="16"/>
          <w:szCs w:val="16"/>
          <w:color w:val="auto"/>
        </w:rPr>
        <w:t>We had $5.0 million of cash and cash equivalents as of December 31, 2014 and $5.3 million as of December 31, 2013. We fund our operations with cash generated from operating activities. In the past, we have also raised capital through the sale of equity securities to investors in private placements.</w:t>
      </w:r>
    </w:p>
    <w:p>
      <w:pPr>
        <w:spacing w:after="0" w:line="161" w:lineRule="exact"/>
        <w:rPr>
          <w:sz w:val="20"/>
          <w:szCs w:val="20"/>
          <w:color w:val="auto"/>
        </w:rPr>
      </w:pPr>
    </w:p>
    <w:p>
      <w:pPr>
        <w:ind w:left="580" w:right="619" w:firstLine="194"/>
        <w:spacing w:after="0" w:line="257" w:lineRule="auto"/>
        <w:rPr>
          <w:sz w:val="20"/>
          <w:szCs w:val="20"/>
          <w:color w:val="auto"/>
        </w:rPr>
      </w:pPr>
      <w:r>
        <w:rPr>
          <w:rFonts w:ascii="Arial" w:cs="Arial" w:eastAsia="Arial" w:hAnsi="Arial"/>
          <w:sz w:val="16"/>
          <w:szCs w:val="16"/>
          <w:color w:val="auto"/>
        </w:rPr>
        <w:t>Our cash requirements have principally been for working capital and, to a lesser extent, capital expenditures. Our working capital requirements reflect the growth in our business and its seasonality. Historically, we have funded our working capital (primarily inventory) and capital expenditures from cash flows provided by our operating activities, investments in our equity securities and cash and cash equivalents on hand. Our capital expenditures relate primarily to our manufacturing facility for the production and bottling of our ink and other consumables in Kiryat Gat, Israel, as well as investment in our research and development labs in Rosh Ha’ayin, Israel. In addition to investments in those facilities, our capital investments have</w:t>
      </w:r>
    </w:p>
    <w:p>
      <w:pPr>
        <w:sectPr>
          <w:pgSz w:w="11900" w:h="16838" w:orient="portrait"/>
          <w:cols w:equalWidth="0" w:num="1">
            <w:col w:w="9019"/>
          </w:cols>
          <w:pgMar w:left="1440" w:top="127"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6985</wp:posOffset>
            </wp:positionV>
            <wp:extent cx="49993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47" w:name="page48"/>
    <w:bookmarkEnd w:id="47"/>
    <w:p>
      <w:pPr>
        <w:ind w:left="580" w:right="759"/>
        <w:spacing w:after="0" w:line="281" w:lineRule="auto"/>
        <w:rPr>
          <w:sz w:val="20"/>
          <w:szCs w:val="20"/>
          <w:color w:val="auto"/>
        </w:rPr>
      </w:pPr>
      <w:r>
        <w:rPr>
          <w:rFonts w:ascii="Arial" w:cs="Arial" w:eastAsia="Arial" w:hAnsi="Arial"/>
          <w:sz w:val="16"/>
          <w:szCs w:val="16"/>
          <w:color w:val="auto"/>
        </w:rPr>
        <w:t>included improvements and expansion of our distribution and corporate facilities to support our growth and investment and improvements in our information technology.</w:t>
      </w:r>
    </w:p>
    <w:p>
      <w:pPr>
        <w:spacing w:after="0" w:line="151" w:lineRule="exact"/>
        <w:rPr>
          <w:sz w:val="20"/>
          <w:szCs w:val="20"/>
          <w:color w:val="auto"/>
        </w:rPr>
      </w:pPr>
    </w:p>
    <w:p>
      <w:pPr>
        <w:ind w:left="580" w:right="619" w:firstLine="194"/>
        <w:spacing w:after="0" w:line="277" w:lineRule="auto"/>
        <w:rPr>
          <w:sz w:val="20"/>
          <w:szCs w:val="20"/>
          <w:color w:val="auto"/>
        </w:rPr>
      </w:pPr>
      <w:r>
        <w:rPr>
          <w:rFonts w:ascii="Arial" w:cs="Arial" w:eastAsia="Arial" w:hAnsi="Arial"/>
          <w:sz w:val="15"/>
          <w:szCs w:val="15"/>
          <w:color w:val="auto"/>
        </w:rPr>
        <w:t>The most significant element of our working capital requirements is for inventory. We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We are in the process of implementing changes to our inventory and manufacturing practices in order to better control our components inventory. Based on these initiatives, we expect inventory to continue to increase in the short term, but at a lower rate than the rate of revenue growth.</w:t>
      </w:r>
    </w:p>
    <w:p>
      <w:pPr>
        <w:spacing w:after="0" w:line="169" w:lineRule="exact"/>
        <w:rPr>
          <w:sz w:val="20"/>
          <w:szCs w:val="20"/>
          <w:color w:val="auto"/>
        </w:rPr>
      </w:pPr>
    </w:p>
    <w:p>
      <w:pPr>
        <w:ind w:left="580" w:right="619" w:firstLine="194"/>
        <w:spacing w:after="0" w:line="294" w:lineRule="auto"/>
        <w:rPr>
          <w:sz w:val="20"/>
          <w:szCs w:val="20"/>
          <w:color w:val="auto"/>
        </w:rPr>
      </w:pPr>
      <w:r>
        <w:rPr>
          <w:rFonts w:ascii="Arial" w:cs="Arial" w:eastAsia="Arial" w:hAnsi="Arial"/>
          <w:sz w:val="14"/>
          <w:szCs w:val="14"/>
          <w:color w:val="auto"/>
        </w:rPr>
        <w:t>As of December 31, 2014, we had two lines of credit with Israeli banks for total borrowings of up to $3.0 million, all of which was undrawn. These lines of credit are unsecured and available subject to our maintenance of a 30% ratio of total shareholders' equity to total assets. One line of credit also requires our maintenance of a minimum of $1.0 million cash and cash equivalents at the end of each fiscal quarter. Interest rates across our credit lines varied from 2.2% to 5.3% as of December 31, 2014. Each line of credit prohibits us and our subsidiaries from encumbering our assets and requires that we obtain the consent of the bank, or repay any amounts borrowed, in the event that we undergo a change of control. Specifically, we would typically be considered to be in default under one of our lines of credit if our controlling shareholder, Fortissimo Capital, ceases to control us. However, we do not expect to be considered in default for such a cease of control that occurs as a result of this offering because the agreement provides an exception for changes of control that occur as a result of a listing on a stock exchange, such as the NASDAQ. Following the completion of this offering, any borrowings under our second line of credit would become repayable if Fortissimo Capital ceases to hold 25.0% or more of our issued and outstanding shares and no longer has the right to appoint 25% or more of our directors.</w:t>
      </w:r>
    </w:p>
    <w:p>
      <w:pPr>
        <w:spacing w:after="0" w:line="177" w:lineRule="exact"/>
        <w:rPr>
          <w:sz w:val="20"/>
          <w:szCs w:val="20"/>
          <w:color w:val="auto"/>
        </w:rPr>
      </w:pPr>
    </w:p>
    <w:p>
      <w:pPr>
        <w:ind w:left="580" w:right="639" w:firstLine="194"/>
        <w:spacing w:after="0" w:line="257" w:lineRule="auto"/>
        <w:rPr>
          <w:sz w:val="20"/>
          <w:szCs w:val="20"/>
          <w:color w:val="auto"/>
        </w:rPr>
      </w:pPr>
      <w:r>
        <w:rPr>
          <w:rFonts w:ascii="Arial" w:cs="Arial" w:eastAsia="Arial" w:hAnsi="Arial"/>
          <w:sz w:val="16"/>
          <w:szCs w:val="16"/>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the net proceeds from this offering. Our future capital requirements will depend on many factors, including our rate of revenue growth, the expansion of our sales and marketing activities and expansion into new geographic locations, the timing and extent of spending to support product development efforts, the timing of introductions of new solutions and the continuing market acceptance of our solutions as well as other business development efforts.</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presents the major components of net cash flows for the periods presented:</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85"/>
              </w:rPr>
              <w:t>Year Ended December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5"/>
                <w:szCs w:val="15"/>
                <w:b w:val="1"/>
                <w:bCs w:val="1"/>
                <w:color w:val="auto"/>
              </w:rPr>
              <w:t>2012</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5"/>
                <w:szCs w:val="15"/>
                <w:b w:val="1"/>
                <w:bCs w:val="1"/>
                <w:color w:val="auto"/>
              </w:rPr>
              <w:t>2013</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160" w:type="dxa"/>
            <w:vAlign w:val="bottom"/>
            <w:tcBorders>
              <w:bottom w:val="single" w:sz="8" w:color="auto"/>
            </w:tcBorders>
          </w:tcPr>
          <w:p>
            <w:pPr>
              <w:spacing w:after="0"/>
              <w:rPr>
                <w:sz w:val="15"/>
                <w:szCs w:val="15"/>
                <w:color w:val="auto"/>
              </w:rPr>
            </w:pPr>
          </w:p>
        </w:tc>
      </w:tr>
      <w:tr>
        <w:trPr>
          <w:trHeight w:val="161"/>
        </w:trPr>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242"/>
              <w:spacing w:after="0" w:line="161" w:lineRule="exact"/>
              <w:rPr>
                <w:sz w:val="20"/>
                <w:szCs w:val="20"/>
                <w:color w:val="auto"/>
              </w:rPr>
            </w:pPr>
            <w:r>
              <w:rPr>
                <w:rFonts w:ascii="Arial" w:cs="Arial" w:eastAsia="Arial" w:hAnsi="Arial"/>
                <w:sz w:val="15"/>
                <w:szCs w:val="15"/>
                <w:b w:val="1"/>
                <w:bCs w:val="1"/>
                <w:color w:val="auto"/>
                <w:w w:val="88"/>
              </w:rPr>
              <w:t>(in thousands)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2"/>
              <w:spacing w:after="0"/>
              <w:rPr>
                <w:sz w:val="20"/>
                <w:szCs w:val="20"/>
                <w:color w:val="auto"/>
              </w:rPr>
            </w:pPr>
            <w:r>
              <w:rPr>
                <w:rFonts w:ascii="Arial" w:cs="Arial" w:eastAsia="Arial" w:hAnsi="Arial"/>
                <w:sz w:val="16"/>
                <w:szCs w:val="16"/>
                <w:color w:val="auto"/>
              </w:rPr>
              <w:t>2,738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(337)</w:t>
            </w: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(3,121)</w:t>
            </w:r>
          </w:p>
        </w:tc>
        <w:tc>
          <w:tcPr>
            <w:tcW w:w="380" w:type="dxa"/>
            <w:vAlign w:val="bottom"/>
          </w:tcPr>
          <w:p>
            <w:pPr>
              <w:spacing w:after="0"/>
              <w:rPr>
                <w:sz w:val="16"/>
                <w:szCs w:val="16"/>
                <w:color w:val="auto"/>
              </w:rPr>
            </w:pP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(2,103)</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738</w:t>
            </w: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6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(655)</w:t>
            </w:r>
          </w:p>
        </w:tc>
      </w:tr>
    </w:tbl>
    <w:p>
      <w:pPr>
        <w:spacing w:after="0" w:line="1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Net Cash Provided by (Used in) Operating Activities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Year Ended December 31, 2014</w:t>
      </w:r>
    </w:p>
    <w:p>
      <w:pPr>
        <w:spacing w:after="0" w:line="1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Net cash used in operating activities in 2014 was $0.3 million.</w:t>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Net cash used in operating activities consisted of a net income of $3.0 million and a decrease of approximately</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$1.6 million in trade payables from the year ended December 31, 2013 to the year ended December 31, 2014. This was</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primarily due to the mix of products sold in 2014, which led to a shift of production to a third-party manufacturer with</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shorter payment terms as well as obtaining components from suppliers with shorter payment terms.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8" w:name="page49"/>
    <w:bookmarkEnd w:id="48"/>
    <w:p>
      <w:pPr>
        <w:ind w:left="580" w:right="579" w:firstLine="194"/>
        <w:spacing w:after="0" w:line="276" w:lineRule="auto"/>
        <w:rPr>
          <w:sz w:val="20"/>
          <w:szCs w:val="20"/>
          <w:color w:val="auto"/>
        </w:rPr>
      </w:pPr>
      <w:r>
        <w:rPr>
          <w:rFonts w:ascii="Arial" w:cs="Arial" w:eastAsia="Arial" w:hAnsi="Arial"/>
          <w:sz w:val="15"/>
          <w:szCs w:val="15"/>
          <w:color w:val="auto"/>
        </w:rPr>
        <w:t>During the same period, we experienced an increase of $4.4 million in trade receivables due to the growth in our business. Our days sales’ outstanding, or DSO, for the year ended December 31, 2014 was 54 compared to 42 for the year ended December 31, 2013.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the year ended December 31, 2014 reflected the increased activity in the fourth quarter of that year compared to the previous year.</w:t>
      </w:r>
    </w:p>
    <w:p>
      <w:pPr>
        <w:spacing w:after="0" w:line="169" w:lineRule="exact"/>
        <w:rPr>
          <w:sz w:val="20"/>
          <w:szCs w:val="20"/>
          <w:color w:val="auto"/>
        </w:rPr>
      </w:pPr>
    </w:p>
    <w:p>
      <w:pPr>
        <w:ind w:left="580" w:right="659" w:firstLine="194"/>
        <w:spacing w:after="0" w:line="281" w:lineRule="auto"/>
        <w:rPr>
          <w:sz w:val="20"/>
          <w:szCs w:val="20"/>
          <w:color w:val="auto"/>
        </w:rPr>
      </w:pPr>
      <w:r>
        <w:rPr>
          <w:rFonts w:ascii="Arial" w:cs="Arial" w:eastAsia="Arial" w:hAnsi="Arial"/>
          <w:sz w:val="16"/>
          <w:szCs w:val="16"/>
          <w:color w:val="auto"/>
        </w:rPr>
        <w:t>Our operating cash flows to fund the above activities were driven by our net income of $3.0 million (adjusted upward to reflect $2.2 million of non-cash expenses).</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Year ended December 31, 2013</w:t>
      </w:r>
    </w:p>
    <w:p>
      <w:pPr>
        <w:spacing w:after="0" w:line="20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Net cash provided by operating activities during 2013 was $2.7 million.</w:t>
      </w:r>
    </w:p>
    <w:p>
      <w:pPr>
        <w:spacing w:after="0" w:line="204" w:lineRule="exact"/>
        <w:rPr>
          <w:sz w:val="20"/>
          <w:szCs w:val="20"/>
          <w:color w:val="auto"/>
        </w:rPr>
      </w:pPr>
    </w:p>
    <w:p>
      <w:pPr>
        <w:ind w:left="580" w:right="679" w:firstLine="194"/>
        <w:spacing w:after="0" w:line="259" w:lineRule="auto"/>
        <w:rPr>
          <w:sz w:val="20"/>
          <w:szCs w:val="20"/>
          <w:color w:val="auto"/>
        </w:rPr>
      </w:pPr>
      <w:r>
        <w:rPr>
          <w:rFonts w:ascii="Arial" w:cs="Arial" w:eastAsia="Arial" w:hAnsi="Arial"/>
          <w:sz w:val="16"/>
          <w:szCs w:val="16"/>
          <w:color w:val="auto"/>
        </w:rPr>
        <w:t>Our inventory balance on December 31, 2013 was $12 million, representing a $3.4 million increase in inventory compared to December 31, 2012, due to continued implementation of our strategy to grow inventory to support increased sales of parts and systems. In particular, during 2013, we accumulated inventory of our ink and other consumables outside of Israel and increased our inventory of parts and assembled systems to facilitate the flexibility to meet short lead time demands from our customers.</w:t>
      </w:r>
    </w:p>
    <w:p>
      <w:pPr>
        <w:spacing w:after="0" w:line="170" w:lineRule="exact"/>
        <w:rPr>
          <w:sz w:val="20"/>
          <w:szCs w:val="20"/>
          <w:color w:val="auto"/>
        </w:rPr>
      </w:pPr>
    </w:p>
    <w:p>
      <w:pPr>
        <w:ind w:left="580" w:right="579" w:firstLine="194"/>
        <w:spacing w:after="0" w:line="275" w:lineRule="auto"/>
        <w:rPr>
          <w:sz w:val="20"/>
          <w:szCs w:val="20"/>
          <w:color w:val="auto"/>
        </w:rPr>
      </w:pPr>
      <w:r>
        <w:rPr>
          <w:rFonts w:ascii="Arial" w:cs="Arial" w:eastAsia="Arial" w:hAnsi="Arial"/>
          <w:sz w:val="15"/>
          <w:szCs w:val="15"/>
          <w:color w:val="auto"/>
        </w:rPr>
        <w:t>Primarily as a result of the increase in inventory, trade payables increased by $2.8 million from December 31, 2012 to December 31, 2013 due to the timing of purchases for such inventory. During the same period, we experienced an increase of only $1.2 million in trade receivables despite the growth in our business. Our DSO for the year ended December 31, 2013 was 42 compared to 41 for the year ended December 31, 2012. As indicated above,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2013 reflected the increased activity in the fourth quarter of that year compared to with the previous year.</w:t>
      </w:r>
    </w:p>
    <w:p>
      <w:pPr>
        <w:spacing w:after="0" w:line="159" w:lineRule="exact"/>
        <w:rPr>
          <w:sz w:val="20"/>
          <w:szCs w:val="20"/>
          <w:color w:val="auto"/>
        </w:rPr>
      </w:pPr>
    </w:p>
    <w:p>
      <w:pPr>
        <w:jc w:val="both"/>
        <w:ind w:left="580" w:right="659" w:firstLine="194"/>
        <w:spacing w:after="0" w:line="311" w:lineRule="auto"/>
        <w:rPr>
          <w:sz w:val="20"/>
          <w:szCs w:val="20"/>
          <w:color w:val="auto"/>
        </w:rPr>
      </w:pPr>
      <w:r>
        <w:rPr>
          <w:rFonts w:ascii="Arial" w:cs="Arial" w:eastAsia="Arial" w:hAnsi="Arial"/>
          <w:sz w:val="14"/>
          <w:szCs w:val="14"/>
          <w:color w:val="auto"/>
        </w:rPr>
        <w:t>Our operating cash flows to fund the above activities were driven by our net income of $1.1 million (adjusted upward to reflect $1.3 million of non-cash expenses) as well as a $1.2 million increase in deferred revenues. The increase in our deferred revenues in 2013 compared to 2012 primarily reflected strong product orders during the fourth quarter of 2013 resulting in a significant increase in the number of orders shipped in 2013 for which we received payment in 2014.</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Net Cash Provided by (Used in) Investing Activities</w:t>
      </w:r>
    </w:p>
    <w:p>
      <w:pPr>
        <w:spacing w:after="0" w:line="204" w:lineRule="exact"/>
        <w:rPr>
          <w:sz w:val="20"/>
          <w:szCs w:val="20"/>
          <w:color w:val="auto"/>
        </w:rPr>
      </w:pPr>
    </w:p>
    <w:p>
      <w:pPr>
        <w:ind w:left="580" w:right="599" w:firstLine="194"/>
        <w:spacing w:after="0" w:line="281" w:lineRule="auto"/>
        <w:rPr>
          <w:sz w:val="20"/>
          <w:szCs w:val="20"/>
          <w:color w:val="auto"/>
        </w:rPr>
      </w:pPr>
      <w:r>
        <w:rPr>
          <w:rFonts w:ascii="Arial" w:cs="Arial" w:eastAsia="Arial" w:hAnsi="Arial"/>
          <w:sz w:val="15"/>
          <w:szCs w:val="15"/>
          <w:color w:val="auto"/>
        </w:rPr>
        <w:t>Net cash provided by investing activities was $0.7 million in 2014, which was primarily attributable to the redemption of short-term bank deposits of $2.6 million offset by the purchase of property and equipment of $1.9 million. Net cash used in investing activities was $2.1 million in 2013, the majority of which consisted of purchase of property and equipment, and investments in short-term deposits as well as the purchase of a license to a digital R2R printer and all related technology, software and other intellectual property related to the printer from a third party.</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04" w:lineRule="exact"/>
        <w:rPr>
          <w:sz w:val="20"/>
          <w:szCs w:val="20"/>
          <w:color w:val="auto"/>
        </w:rPr>
      </w:pPr>
    </w:p>
    <w:p>
      <w:pPr>
        <w:ind w:left="580" w:right="619" w:firstLine="194"/>
        <w:spacing w:after="0" w:line="281" w:lineRule="auto"/>
        <w:rPr>
          <w:sz w:val="20"/>
          <w:szCs w:val="20"/>
          <w:color w:val="auto"/>
        </w:rPr>
      </w:pPr>
      <w:r>
        <w:rPr>
          <w:rFonts w:ascii="Arial" w:cs="Arial" w:eastAsia="Arial" w:hAnsi="Arial"/>
          <w:sz w:val="16"/>
          <w:szCs w:val="16"/>
          <w:color w:val="auto"/>
        </w:rPr>
        <w:t>Net cash used in financing activities was $0.7 million in 2014, which was attributable to payment of deferred issuance cost.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9" w:name="page50"/>
    <w:bookmarkEnd w:id="49"/>
    <w:p>
      <w:pPr>
        <w:ind w:left="580"/>
        <w:spacing w:after="0"/>
        <w:rPr>
          <w:sz w:val="20"/>
          <w:szCs w:val="20"/>
          <w:color w:val="auto"/>
        </w:rPr>
      </w:pPr>
      <w:r>
        <w:rPr>
          <w:rFonts w:ascii="Arial" w:cs="Arial" w:eastAsia="Arial" w:hAnsi="Arial"/>
          <w:sz w:val="16"/>
          <w:szCs w:val="16"/>
          <w:b w:val="1"/>
          <w:bCs w:val="1"/>
          <w:color w:val="auto"/>
        </w:rPr>
        <w:t>Contractual Obligations</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Our contractual obligations as of December 31, 2014 are summarized in the following table:</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5"/>
                <w:szCs w:val="15"/>
                <w:b w:val="1"/>
                <w:bCs w:val="1"/>
                <w:color w:val="auto"/>
                <w:w w:val="86"/>
              </w:rPr>
              <w:t>Payments Due by Period</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1"/>
              <w:spacing w:after="0" w:line="168" w:lineRule="exact"/>
              <w:rPr>
                <w:sz w:val="20"/>
                <w:szCs w:val="20"/>
                <w:color w:val="auto"/>
              </w:rPr>
            </w:pPr>
            <w:r>
              <w:rPr>
                <w:rFonts w:ascii="Arial" w:cs="Arial" w:eastAsia="Arial" w:hAnsi="Arial"/>
                <w:sz w:val="15"/>
                <w:szCs w:val="15"/>
                <w:b w:val="1"/>
                <w:bCs w:val="1"/>
                <w:color w:val="auto"/>
                <w:w w:val="87"/>
              </w:rPr>
              <w:t>2019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spacing w:after="0"/>
              <w:rPr>
                <w:sz w:val="20"/>
                <w:szCs w:val="20"/>
                <w:color w:val="auto"/>
              </w:rPr>
            </w:pPr>
            <w:r>
              <w:rPr>
                <w:rFonts w:ascii="Arial" w:cs="Arial" w:eastAsia="Arial" w:hAnsi="Arial"/>
                <w:sz w:val="16"/>
                <w:szCs w:val="16"/>
                <w:color w:val="auto"/>
              </w:rPr>
              <w:t>Operating lease</w:t>
            </w:r>
          </w:p>
        </w:tc>
        <w:tc>
          <w:tcPr>
            <w:tcW w:w="180" w:type="dxa"/>
            <w:vAlign w:val="bottom"/>
          </w:tcPr>
          <w:p>
            <w:pPr>
              <w:spacing w:after="0"/>
              <w:rPr>
                <w:sz w:val="16"/>
                <w:szCs w:val="16"/>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c>
          <w:tcPr>
            <w:tcW w:w="16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61"/>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After</w:t>
            </w:r>
          </w:p>
        </w:tc>
        <w:tc>
          <w:tcPr>
            <w:tcW w:w="0" w:type="dxa"/>
            <w:vAlign w:val="bottom"/>
          </w:tcPr>
          <w:p>
            <w:pPr>
              <w:spacing w:after="0"/>
              <w:rPr>
                <w:sz w:val="1"/>
                <w:szCs w:val="1"/>
                <w:color w:val="auto"/>
              </w:rPr>
            </w:pPr>
          </w:p>
        </w:tc>
      </w:tr>
      <w:tr>
        <w:trPr>
          <w:trHeight w:val="165"/>
        </w:trPr>
        <w:tc>
          <w:tcPr>
            <w:tcW w:w="1660" w:type="dxa"/>
            <w:vAlign w:val="bottom"/>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60" w:type="dxa"/>
            <w:vAlign w:val="bottom"/>
          </w:tcPr>
          <w:p>
            <w:pPr>
              <w:spacing w:after="0" w:line="194" w:lineRule="exact"/>
              <w:rPr>
                <w:sz w:val="20"/>
                <w:szCs w:val="20"/>
                <w:color w:val="auto"/>
              </w:rPr>
            </w:pPr>
            <w:r>
              <w:rPr>
                <w:rFonts w:ascii="Arial" w:cs="Arial" w:eastAsia="Arial" w:hAnsi="Arial"/>
                <w:sz w:val="16"/>
                <w:szCs w:val="16"/>
                <w:color w:val="auto"/>
              </w:rPr>
              <w:t>obligations</w:t>
            </w:r>
            <w:r>
              <w:rPr>
                <w:rFonts w:ascii="Arial" w:cs="Arial" w:eastAsia="Arial" w:hAnsi="Arial"/>
                <w:sz w:val="21"/>
                <w:szCs w:val="21"/>
                <w:color w:val="auto"/>
                <w:vertAlign w:val="superscript"/>
              </w:rPr>
              <w:t>(1)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2,982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1,215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985</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619</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163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tcPr>
          <w:p>
            <w:pPr>
              <w:spacing w:after="0"/>
              <w:rPr>
                <w:sz w:val="20"/>
                <w:szCs w:val="20"/>
                <w:color w:val="auto"/>
              </w:rPr>
            </w:pPr>
            <w:r>
              <w:rPr>
                <w:rFonts w:ascii="Arial" w:cs="Arial" w:eastAsia="Arial" w:hAnsi="Arial"/>
                <w:sz w:val="16"/>
                <w:szCs w:val="16"/>
                <w:color w:val="auto"/>
              </w:rPr>
              <w:t>Uncertain tax</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60" w:type="dxa"/>
            <w:vAlign w:val="bottom"/>
          </w:tcPr>
          <w:p>
            <w:pPr>
              <w:spacing w:after="0" w:line="194" w:lineRule="exact"/>
              <w:rPr>
                <w:sz w:val="20"/>
                <w:szCs w:val="20"/>
                <w:color w:val="auto"/>
              </w:rPr>
            </w:pPr>
            <w:r>
              <w:rPr>
                <w:rFonts w:ascii="Arial" w:cs="Arial" w:eastAsia="Arial" w:hAnsi="Arial"/>
                <w:sz w:val="16"/>
                <w:szCs w:val="16"/>
                <w:color w:val="auto"/>
              </w:rPr>
              <w:t>positions</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1,187</w:t>
            </w: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tcPr>
          <w:p>
            <w:pPr>
              <w:spacing w:after="0"/>
              <w:rPr>
                <w:sz w:val="20"/>
                <w:szCs w:val="20"/>
                <w:color w:val="auto"/>
              </w:rPr>
            </w:pPr>
            <w:r>
              <w:rPr>
                <w:rFonts w:ascii="Arial" w:cs="Arial" w:eastAsia="Arial" w:hAnsi="Arial"/>
                <w:sz w:val="16"/>
                <w:szCs w:val="16"/>
                <w:color w:val="auto"/>
              </w:rPr>
              <w:t>Purchase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60" w:type="dxa"/>
            <w:vAlign w:val="bottom"/>
          </w:tcPr>
          <w:p>
            <w:pPr>
              <w:spacing w:after="0" w:line="194" w:lineRule="exact"/>
              <w:rPr>
                <w:sz w:val="20"/>
                <w:szCs w:val="20"/>
                <w:color w:val="auto"/>
              </w:rPr>
            </w:pPr>
            <w:r>
              <w:rPr>
                <w:rFonts w:ascii="Arial" w:cs="Arial" w:eastAsia="Arial" w:hAnsi="Arial"/>
                <w:sz w:val="16"/>
                <w:szCs w:val="16"/>
                <w:color w:val="auto"/>
              </w:rPr>
              <w:t>commitments</w:t>
            </w:r>
            <w:r>
              <w:rPr>
                <w:rFonts w:ascii="Arial" w:cs="Arial" w:eastAsia="Arial" w:hAnsi="Arial"/>
                <w:sz w:val="21"/>
                <w:szCs w:val="21"/>
                <w:color w:val="auto"/>
                <w:vertAlign w:val="superscript"/>
              </w:rPr>
              <w:t>(3)</w:t>
            </w: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8,859</w:t>
            </w: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8,859</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tcPr>
          <w:p>
            <w:pPr>
              <w:spacing w:after="0" w:line="194" w:lineRule="exact"/>
              <w:rPr>
                <w:sz w:val="20"/>
                <w:szCs w:val="20"/>
                <w:color w:val="auto"/>
              </w:rPr>
            </w:pPr>
            <w:r>
              <w:rPr>
                <w:rFonts w:ascii="Arial" w:cs="Arial" w:eastAsia="Arial" w:hAnsi="Arial"/>
                <w:sz w:val="16"/>
                <w:szCs w:val="16"/>
                <w:color w:val="auto"/>
              </w:rPr>
              <w:t>Severance payment</w:t>
            </w:r>
            <w:r>
              <w:rPr>
                <w:rFonts w:ascii="Arial" w:cs="Arial" w:eastAsia="Arial" w:hAnsi="Arial"/>
                <w:sz w:val="21"/>
                <w:szCs w:val="21"/>
                <w:color w:val="auto"/>
                <w:vertAlign w:val="superscript"/>
              </w:rPr>
              <w:t>(4)</w:t>
            </w:r>
          </w:p>
        </w:tc>
        <w:tc>
          <w:tcPr>
            <w:tcW w:w="18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1,903</w:t>
            </w: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660" w:type="dxa"/>
            <w:vAlign w:val="bottom"/>
          </w:tcPr>
          <w:p>
            <w:pPr>
              <w:spacing w:after="0"/>
              <w:rPr>
                <w:sz w:val="20"/>
                <w:szCs w:val="20"/>
                <w:color w:val="auto"/>
              </w:rPr>
            </w:pPr>
            <w:r>
              <w:rPr>
                <w:rFonts w:ascii="Arial" w:cs="Arial" w:eastAsia="Arial" w:hAnsi="Arial"/>
                <w:sz w:val="16"/>
                <w:szCs w:val="16"/>
                <w:color w:val="auto"/>
              </w:rPr>
              <w:t>Management services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60" w:type="dxa"/>
            <w:vAlign w:val="bottom"/>
          </w:tcPr>
          <w:p>
            <w:pPr>
              <w:spacing w:after="0" w:line="207" w:lineRule="exact"/>
              <w:rPr>
                <w:sz w:val="20"/>
                <w:szCs w:val="20"/>
                <w:color w:val="auto"/>
              </w:rPr>
            </w:pPr>
            <w:r>
              <w:rPr>
                <w:rFonts w:ascii="Arial" w:cs="Arial" w:eastAsia="Arial" w:hAnsi="Arial"/>
                <w:sz w:val="16"/>
                <w:szCs w:val="16"/>
                <w:color w:val="auto"/>
              </w:rPr>
              <w:t>fees</w:t>
            </w:r>
            <w:r>
              <w:rPr>
                <w:rFonts w:ascii="Arial" w:cs="Arial" w:eastAsia="Arial" w:hAnsi="Arial"/>
                <w:sz w:val="21"/>
                <w:szCs w:val="21"/>
                <w:color w:val="auto"/>
                <w:vertAlign w:val="superscript"/>
              </w:rPr>
              <w:t>(5)</w:t>
            </w:r>
          </w:p>
        </w:tc>
        <w:tc>
          <w:tcPr>
            <w:tcW w:w="1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67"/>
        </w:trPr>
        <w:tc>
          <w:tcPr>
            <w:tcW w:w="1660" w:type="dxa"/>
            <w:vAlign w:val="bottom"/>
          </w:tcPr>
          <w:p>
            <w:pPr>
              <w:spacing w:after="0" w:line="167" w:lineRule="exact"/>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ind w:right="24"/>
              <w:spacing w:after="0" w:line="167"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15,531</w:t>
            </w:r>
          </w:p>
        </w:tc>
        <w:tc>
          <w:tcPr>
            <w:tcW w:w="280" w:type="dxa"/>
            <w:vAlign w:val="bottom"/>
          </w:tcPr>
          <w:p>
            <w:pPr>
              <w:spacing w:after="0"/>
              <w:rPr>
                <w:sz w:val="14"/>
                <w:szCs w:val="14"/>
                <w:color w:val="auto"/>
              </w:rPr>
            </w:pPr>
          </w:p>
        </w:tc>
        <w:tc>
          <w:tcPr>
            <w:tcW w:w="160" w:type="dxa"/>
            <w:vAlign w:val="bottom"/>
            <w:tcBorders>
              <w:top w:val="single" w:sz="8" w:color="auto"/>
            </w:tcBorders>
          </w:tcPr>
          <w:p>
            <w:pPr>
              <w:jc w:val="right"/>
              <w:ind w:right="4"/>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10,194</w:t>
            </w:r>
          </w:p>
        </w:tc>
        <w:tc>
          <w:tcPr>
            <w:tcW w:w="260" w:type="dxa"/>
            <w:vAlign w:val="bottom"/>
          </w:tcPr>
          <w:p>
            <w:pPr>
              <w:spacing w:after="0"/>
              <w:rPr>
                <w:sz w:val="14"/>
                <w:szCs w:val="14"/>
                <w:color w:val="auto"/>
              </w:rPr>
            </w:pPr>
          </w:p>
        </w:tc>
        <w:tc>
          <w:tcPr>
            <w:tcW w:w="1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1,105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4"/>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739</w:t>
            </w:r>
          </w:p>
        </w:tc>
        <w:tc>
          <w:tcPr>
            <w:tcW w:w="260" w:type="dxa"/>
            <w:vAlign w:val="bottom"/>
          </w:tcPr>
          <w:p>
            <w:pPr>
              <w:spacing w:after="0"/>
              <w:rPr>
                <w:sz w:val="14"/>
                <w:szCs w:val="14"/>
                <w:color w:val="auto"/>
              </w:rPr>
            </w:pPr>
          </w:p>
        </w:tc>
        <w:tc>
          <w:tcPr>
            <w:tcW w:w="160" w:type="dxa"/>
            <w:vAlign w:val="bottom"/>
            <w:tcBorders>
              <w:top w:val="single" w:sz="8" w:color="auto"/>
            </w:tcBorders>
          </w:tcPr>
          <w:p>
            <w:pPr>
              <w:jc w:val="right"/>
              <w:ind w:right="4"/>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283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r>
              <w:rPr>
                <w:rFonts w:ascii="Arial" w:cs="Arial" w:eastAsia="Arial" w:hAnsi="Arial"/>
                <w:sz w:val="19"/>
                <w:szCs w:val="19"/>
                <w:color w:val="auto"/>
              </w:rPr>
              <w:t>______________</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hanging="223"/>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Operating lease obligations consist of our contractual rental expenses under operating leases of facilities and vehicles.</w:t>
      </w:r>
    </w:p>
    <w:p>
      <w:pPr>
        <w:spacing w:after="0" w:line="79" w:lineRule="exact"/>
        <w:rPr>
          <w:rFonts w:ascii="Arial" w:cs="Arial" w:eastAsia="Arial" w:hAnsi="Arial"/>
          <w:sz w:val="14"/>
          <w:szCs w:val="14"/>
          <w:color w:val="auto"/>
        </w:rPr>
      </w:pPr>
    </w:p>
    <w:p>
      <w:pPr>
        <w:ind w:left="860" w:right="619" w:hanging="283"/>
        <w:spacing w:after="0" w:line="246" w:lineRule="auto"/>
        <w:tabs>
          <w:tab w:leader="none" w:pos="866" w:val="left"/>
        </w:tabs>
        <w:numPr>
          <w:ilvl w:val="0"/>
          <w:numId w:val="28"/>
        </w:numPr>
        <w:rPr>
          <w:rFonts w:ascii="Arial" w:cs="Arial" w:eastAsia="Arial" w:hAnsi="Arial"/>
          <w:sz w:val="27"/>
          <w:szCs w:val="27"/>
          <w:color w:val="auto"/>
          <w:vertAlign w:val="superscript"/>
        </w:rPr>
      </w:pPr>
      <w:r>
        <w:rPr>
          <w:rFonts w:ascii="Arial" w:cs="Arial" w:eastAsia="Arial" w:hAnsi="Arial"/>
          <w:sz w:val="14"/>
          <w:szCs w:val="14"/>
          <w:color w:val="auto"/>
        </w:rPr>
        <w:t>Consists of accruals for certain income tax positions under ASC 740 that are paid upon settlement, and for which we are unable to reasonably estimate the ultimate amount and timing of settlement. See Note 11(h) to our consolidated financial statements included elsewhere in this prospectus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2" w:lineRule="exact"/>
        <w:rPr>
          <w:rFonts w:ascii="Arial" w:cs="Arial" w:eastAsia="Arial" w:hAnsi="Arial"/>
          <w:sz w:val="27"/>
          <w:szCs w:val="27"/>
          <w:color w:val="auto"/>
          <w:vertAlign w:val="superscript"/>
        </w:rPr>
      </w:pPr>
    </w:p>
    <w:p>
      <w:pPr>
        <w:ind w:left="880" w:hanging="303"/>
        <w:spacing w:after="0" w:line="183" w:lineRule="auto"/>
        <w:tabs>
          <w:tab w:leader="none" w:pos="880" w:val="left"/>
        </w:tabs>
        <w:numPr>
          <w:ilvl w:val="0"/>
          <w:numId w:val="28"/>
        </w:numPr>
        <w:rPr>
          <w:rFonts w:ascii="Arial" w:cs="Arial" w:eastAsia="Arial" w:hAnsi="Arial"/>
          <w:sz w:val="29"/>
          <w:szCs w:val="29"/>
          <w:color w:val="auto"/>
          <w:vertAlign w:val="superscript"/>
        </w:rPr>
      </w:pPr>
      <w:r>
        <w:rPr>
          <w:rFonts w:ascii="Arial" w:cs="Arial" w:eastAsia="Arial" w:hAnsi="Arial"/>
          <w:sz w:val="15"/>
          <w:szCs w:val="15"/>
          <w:color w:val="auto"/>
        </w:rPr>
        <w:t>Consists of commitments to purchase inventory through the end of 2015.</w:t>
      </w:r>
    </w:p>
    <w:p>
      <w:pPr>
        <w:spacing w:after="0" w:line="62" w:lineRule="exact"/>
        <w:rPr>
          <w:rFonts w:ascii="Arial" w:cs="Arial" w:eastAsia="Arial" w:hAnsi="Arial"/>
          <w:sz w:val="29"/>
          <w:szCs w:val="29"/>
          <w:color w:val="auto"/>
          <w:vertAlign w:val="superscript"/>
        </w:rPr>
      </w:pPr>
    </w:p>
    <w:p>
      <w:pPr>
        <w:ind w:left="860" w:right="619" w:hanging="283"/>
        <w:spacing w:after="0" w:line="201" w:lineRule="auto"/>
        <w:tabs>
          <w:tab w:leader="none" w:pos="866" w:val="left"/>
        </w:tabs>
        <w:numPr>
          <w:ilvl w:val="0"/>
          <w:numId w:val="28"/>
        </w:numPr>
        <w:rPr>
          <w:rFonts w:ascii="Arial" w:cs="Arial" w:eastAsia="Arial" w:hAnsi="Arial"/>
          <w:sz w:val="32"/>
          <w:szCs w:val="32"/>
          <w:color w:val="auto"/>
          <w:vertAlign w:val="superscript"/>
        </w:rPr>
      </w:pPr>
      <w:r>
        <w:rPr>
          <w:rFonts w:ascii="Arial" w:cs="Arial" w:eastAsia="Arial" w:hAnsi="Arial"/>
          <w:sz w:val="16"/>
          <w:szCs w:val="16"/>
          <w:color w:val="auto"/>
        </w:rPr>
        <w:t>Severance payments of $1.9 million are payable only upon termination, retirement or death of our employees. Of this amount, $0.7 million is unfunded as of December 31, 2014. Since we are unable to reasonably estimate the timing of settlement, the timing of such payments is not specified in the table. See also Note 2(s) to our consolidated financial statements appearing elsewhere in this prospectus.</w:t>
      </w:r>
    </w:p>
    <w:p>
      <w:pPr>
        <w:spacing w:after="0" w:line="2" w:lineRule="exact"/>
        <w:rPr>
          <w:rFonts w:ascii="Arial" w:cs="Arial" w:eastAsia="Arial" w:hAnsi="Arial"/>
          <w:sz w:val="32"/>
          <w:szCs w:val="32"/>
          <w:color w:val="auto"/>
          <w:vertAlign w:val="superscript"/>
        </w:rPr>
      </w:pPr>
    </w:p>
    <w:p>
      <w:pPr>
        <w:ind w:left="860" w:right="699" w:hanging="283"/>
        <w:spacing w:after="0" w:line="255" w:lineRule="auto"/>
        <w:tabs>
          <w:tab w:leader="none" w:pos="866"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management services fees payable to Fortissimo Capital pursuant to a management services agreement. The amount payable annually is $120,000 plus the amount by which 5% of our net income, as defined in the management services agreement, exceeds this management fee, up to a maximum of $250,000 per year in the aggregate. Since we cannot know the amount that would be payable in the future, we have assumed the minimum amount is payable through 2019. We and Fortissimo Capital have agreed to terminate the management services agreement upon the consummation of this offering.</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8" w:lineRule="exact"/>
        <w:rPr>
          <w:sz w:val="20"/>
          <w:szCs w:val="20"/>
          <w:color w:val="auto"/>
        </w:rPr>
      </w:pPr>
    </w:p>
    <w:p>
      <w:pPr>
        <w:jc w:val="both"/>
        <w:ind w:left="580" w:right="639" w:firstLine="194"/>
        <w:spacing w:after="0" w:line="294" w:lineRule="auto"/>
        <w:rPr>
          <w:sz w:val="20"/>
          <w:szCs w:val="20"/>
          <w:color w:val="auto"/>
        </w:rPr>
      </w:pPr>
      <w:r>
        <w:rPr>
          <w:rFonts w:ascii="Arial" w:cs="Arial" w:eastAsia="Arial" w:hAnsi="Arial"/>
          <w:sz w:val="14"/>
          <w:szCs w:val="14"/>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prospectus and require us to make certain estimates, judgments and assumptions.</w:t>
      </w:r>
    </w:p>
    <w:p>
      <w:pPr>
        <w:spacing w:after="0" w:line="2" w:lineRule="exact"/>
        <w:rPr>
          <w:sz w:val="20"/>
          <w:szCs w:val="20"/>
          <w:color w:val="auto"/>
        </w:rPr>
      </w:pPr>
    </w:p>
    <w:p>
      <w:pPr>
        <w:ind w:left="580" w:right="679"/>
        <w:spacing w:after="0" w:line="272" w:lineRule="auto"/>
        <w:rPr>
          <w:sz w:val="20"/>
          <w:szCs w:val="20"/>
          <w:color w:val="auto"/>
        </w:rPr>
      </w:pPr>
      <w:r>
        <w:rPr>
          <w:rFonts w:ascii="Arial" w:cs="Arial" w:eastAsia="Arial" w:hAnsi="Arial"/>
          <w:sz w:val="15"/>
          <w:szCs w:val="15"/>
          <w:color w:val="auto"/>
        </w:rPr>
        <w:t>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4" w:lineRule="exact"/>
        <w:rPr>
          <w:sz w:val="20"/>
          <w:szCs w:val="20"/>
          <w:color w:val="auto"/>
        </w:rPr>
      </w:pPr>
    </w:p>
    <w:p>
      <w:pPr>
        <w:ind w:left="580" w:right="639" w:firstLine="194"/>
        <w:spacing w:after="0" w:line="316" w:lineRule="auto"/>
        <w:rPr>
          <w:sz w:val="20"/>
          <w:szCs w:val="20"/>
          <w:color w:val="auto"/>
        </w:rPr>
      </w:pPr>
      <w:r>
        <w:rPr>
          <w:rFonts w:ascii="Arial" w:cs="Arial" w:eastAsia="Arial" w:hAnsi="Arial"/>
          <w:sz w:val="15"/>
          <w:szCs w:val="15"/>
          <w:color w:val="auto"/>
        </w:rPr>
        <w:t>We generate revenues from the sale of our systems, ink and other consumables and value added services. We generate revenues from sale of our solutions directly to customers and indirectly through independent distributors.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704" w:right="1440" w:bottom="1440" w:gutter="0" w:footer="0" w:header="0"/>
        </w:sectPr>
      </w:pPr>
    </w:p>
    <w:bookmarkStart w:id="50" w:name="page51"/>
    <w:bookmarkEnd w:id="50"/>
    <w:p>
      <w:pPr>
        <w:ind w:left="580" w:right="659" w:firstLine="194"/>
        <w:spacing w:after="0" w:line="305" w:lineRule="auto"/>
        <w:rPr>
          <w:sz w:val="20"/>
          <w:szCs w:val="20"/>
          <w:color w:val="auto"/>
        </w:rPr>
      </w:pPr>
      <w:r>
        <w:rPr>
          <w:rFonts w:ascii="Arial" w:cs="Arial" w:eastAsia="Arial" w:hAnsi="Arial"/>
          <w:sz w:val="14"/>
          <w:szCs w:val="14"/>
          <w:color w:val="auto"/>
        </w:rPr>
        <w:t>We recognize revenue when (1) persuasive evidence of a final agreement exists, (2) delivery has occurred or services have been rendered, (3) the selling price is fixed or determinable, and (4) collectability is reasonably assured. In respect of sale of products, installation of our systems and training, we consider the element in the arrangement to be a single unit of accounting. In accordance with ASC 605, we have concluded that our arrangements are generally consistent with the indicators suggesting that installation and training are essential to the functionality of our systems.</w:t>
      </w:r>
    </w:p>
    <w:p>
      <w:pPr>
        <w:spacing w:after="0" w:line="140" w:lineRule="exact"/>
        <w:rPr>
          <w:sz w:val="20"/>
          <w:szCs w:val="20"/>
          <w:color w:val="auto"/>
        </w:rPr>
      </w:pPr>
    </w:p>
    <w:p>
      <w:pPr>
        <w:ind w:left="580" w:right="599" w:firstLine="194"/>
        <w:spacing w:after="0" w:line="278" w:lineRule="auto"/>
        <w:rPr>
          <w:sz w:val="20"/>
          <w:szCs w:val="20"/>
          <w:color w:val="auto"/>
        </w:rPr>
      </w:pPr>
      <w:r>
        <w:rPr>
          <w:rFonts w:ascii="Arial" w:cs="Arial" w:eastAsia="Arial" w:hAnsi="Arial"/>
          <w:sz w:val="15"/>
          <w:szCs w:val="15"/>
          <w:color w:val="auto"/>
        </w:rPr>
        <w:t>When an independent distributor is responsible for installation of our systems at customer sites, revenues from sales to the independent distributor are generally recognized upon shipment and when title and risk of loss have been transferred to the independent distributor. We account for such sales on a net basis since we are not the primary obligor in the arrangement. Products and services sold directly by us to customers are recognized based on the gross amount as we are the primary obligor in the arrangement, retain inventory risk for physical products, establish the price for our products, and assume the credit risk for amounts billed to its customers.</w:t>
      </w:r>
    </w:p>
    <w:p>
      <w:pPr>
        <w:spacing w:after="0" w:line="146" w:lineRule="exact"/>
        <w:rPr>
          <w:sz w:val="20"/>
          <w:szCs w:val="20"/>
          <w:color w:val="auto"/>
        </w:rPr>
      </w:pPr>
    </w:p>
    <w:p>
      <w:pPr>
        <w:ind w:left="580" w:right="559" w:firstLine="194"/>
        <w:spacing w:after="0" w:line="281" w:lineRule="auto"/>
        <w:rPr>
          <w:sz w:val="20"/>
          <w:szCs w:val="20"/>
          <w:color w:val="auto"/>
        </w:rPr>
      </w:pPr>
      <w:r>
        <w:rPr>
          <w:rFonts w:ascii="Arial" w:cs="Arial" w:eastAsia="Arial" w:hAnsi="Arial"/>
          <w:sz w:val="16"/>
          <w:szCs w:val="16"/>
          <w:color w:val="auto"/>
        </w:rPr>
        <w:t>Revenues from ink and other consumable products are generally recognized upon shipment assuming all other revenue recognition criteria have been met.</w:t>
      </w:r>
    </w:p>
    <w:p>
      <w:pPr>
        <w:spacing w:after="0" w:line="126" w:lineRule="exact"/>
        <w:rPr>
          <w:sz w:val="20"/>
          <w:szCs w:val="20"/>
          <w:color w:val="auto"/>
        </w:rPr>
      </w:pPr>
    </w:p>
    <w:p>
      <w:pPr>
        <w:ind w:left="580" w:right="659" w:firstLine="194"/>
        <w:spacing w:after="0" w:line="281" w:lineRule="auto"/>
        <w:rPr>
          <w:sz w:val="20"/>
          <w:szCs w:val="20"/>
          <w:color w:val="auto"/>
        </w:rPr>
      </w:pPr>
      <w:r>
        <w:rPr>
          <w:rFonts w:ascii="Arial" w:cs="Arial" w:eastAsia="Arial" w:hAnsi="Arial"/>
          <w:sz w:val="16"/>
          <w:szCs w:val="16"/>
          <w:color w:val="auto"/>
        </w:rPr>
        <w:t>In cases in which old systems are traded in as part of sales of new printers, the fair value of the old printer is recorded as inventory, provided that such value can be determined.</w:t>
      </w:r>
    </w:p>
    <w:p>
      <w:pPr>
        <w:spacing w:after="0" w:line="138" w:lineRule="exact"/>
        <w:rPr>
          <w:sz w:val="20"/>
          <w:szCs w:val="20"/>
          <w:color w:val="auto"/>
        </w:rPr>
      </w:pPr>
    </w:p>
    <w:p>
      <w:pPr>
        <w:ind w:left="580" w:right="639" w:firstLine="194"/>
        <w:spacing w:after="0" w:line="259" w:lineRule="auto"/>
        <w:rPr>
          <w:sz w:val="20"/>
          <w:szCs w:val="20"/>
          <w:color w:val="auto"/>
        </w:rPr>
      </w:pPr>
      <w:r>
        <w:rPr>
          <w:rFonts w:ascii="Arial" w:cs="Arial" w:eastAsia="Arial" w:hAnsi="Arial"/>
          <w:sz w:val="16"/>
          <w:szCs w:val="16"/>
          <w:color w:val="auto"/>
        </w:rPr>
        <w:t>Our systems include a one-year warranty.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158" w:lineRule="exact"/>
        <w:rPr>
          <w:sz w:val="20"/>
          <w:szCs w:val="20"/>
          <w:color w:val="auto"/>
        </w:rPr>
      </w:pPr>
    </w:p>
    <w:p>
      <w:pPr>
        <w:ind w:left="580" w:right="639" w:firstLine="194"/>
        <w:spacing w:after="0" w:line="262" w:lineRule="auto"/>
        <w:rPr>
          <w:sz w:val="20"/>
          <w:szCs w:val="20"/>
          <w:color w:val="auto"/>
        </w:rPr>
      </w:pPr>
      <w:r>
        <w:rPr>
          <w:rFonts w:ascii="Arial" w:cs="Arial" w:eastAsia="Arial" w:hAnsi="Arial"/>
          <w:sz w:val="16"/>
          <w:szCs w:val="16"/>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Inventories</w:t>
      </w:r>
    </w:p>
    <w:p>
      <w:pPr>
        <w:spacing w:after="0" w:line="192" w:lineRule="exact"/>
        <w:rPr>
          <w:sz w:val="20"/>
          <w:szCs w:val="20"/>
          <w:color w:val="auto"/>
        </w:rPr>
      </w:pPr>
    </w:p>
    <w:p>
      <w:pPr>
        <w:ind w:left="580" w:right="579" w:firstLine="194"/>
        <w:spacing w:after="0" w:line="285" w:lineRule="auto"/>
        <w:rPr>
          <w:sz w:val="20"/>
          <w:szCs w:val="20"/>
          <w:color w:val="auto"/>
        </w:rPr>
      </w:pPr>
      <w:r>
        <w:rPr>
          <w:rFonts w:ascii="Arial" w:cs="Arial" w:eastAsia="Arial" w:hAnsi="Arial"/>
          <w:sz w:val="15"/>
          <w:szCs w:val="15"/>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market value based on assumptions about future demand and historical sales patterns.</w:t>
      </w:r>
    </w:p>
    <w:p>
      <w:pPr>
        <w:spacing w:after="0" w:line="138" w:lineRule="exact"/>
        <w:rPr>
          <w:sz w:val="20"/>
          <w:szCs w:val="20"/>
          <w:color w:val="auto"/>
        </w:rPr>
      </w:pPr>
    </w:p>
    <w:p>
      <w:pPr>
        <w:ind w:left="580" w:right="699" w:firstLine="194"/>
        <w:spacing w:after="0" w:line="262" w:lineRule="auto"/>
        <w:rPr>
          <w:sz w:val="20"/>
          <w:szCs w:val="20"/>
          <w:color w:val="auto"/>
        </w:rPr>
      </w:pPr>
      <w:r>
        <w:rPr>
          <w:rFonts w:ascii="Arial" w:cs="Arial" w:eastAsia="Arial" w:hAnsi="Arial"/>
          <w:sz w:val="16"/>
          <w:szCs w:val="16"/>
          <w:color w:val="auto"/>
        </w:rPr>
        <w:t>As of December 31, 2014, we had $12.0 million of inventory of which $6.4 million consisted of raw materials and components and $5.6 million consisted of completed systems, ink and other consumables. We recorded inventory write-offs in a total amount of $0.1 million, $0.4 million and $0.3 million for the years ended December 31, 2012, 2013 and 2014, respectively.</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Option Valuations</w:t>
      </w:r>
    </w:p>
    <w:p>
      <w:pPr>
        <w:spacing w:after="0" w:line="192" w:lineRule="exact"/>
        <w:rPr>
          <w:sz w:val="20"/>
          <w:szCs w:val="20"/>
          <w:color w:val="auto"/>
        </w:rPr>
      </w:pPr>
    </w:p>
    <w:p>
      <w:pPr>
        <w:ind w:left="580" w:right="699" w:firstLine="194"/>
        <w:spacing w:after="0" w:line="267" w:lineRule="auto"/>
        <w:rPr>
          <w:sz w:val="20"/>
          <w:szCs w:val="20"/>
          <w:color w:val="auto"/>
        </w:rPr>
      </w:pPr>
      <w:r>
        <w:rPr>
          <w:rFonts w:ascii="Arial" w:cs="Arial" w:eastAsia="Arial" w:hAnsi="Arial"/>
          <w:sz w:val="16"/>
          <w:szCs w:val="16"/>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137" w:lineRule="exact"/>
        <w:rPr>
          <w:sz w:val="20"/>
          <w:szCs w:val="20"/>
          <w:color w:val="auto"/>
        </w:rPr>
      </w:pPr>
    </w:p>
    <w:p>
      <w:pPr>
        <w:ind w:left="580" w:right="579" w:firstLine="194"/>
        <w:spacing w:after="0" w:line="259" w:lineRule="auto"/>
        <w:rPr>
          <w:sz w:val="20"/>
          <w:szCs w:val="20"/>
          <w:color w:val="auto"/>
        </w:rPr>
      </w:pPr>
      <w:r>
        <w:rPr>
          <w:rFonts w:ascii="Arial" w:cs="Arial" w:eastAsia="Arial" w:hAnsi="Arial"/>
          <w:sz w:val="16"/>
          <w:szCs w:val="16"/>
          <w:color w:val="auto"/>
        </w:rPr>
        <w:t>We selected the binomial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158" w:lineRule="exact"/>
        <w:rPr>
          <w:sz w:val="20"/>
          <w:szCs w:val="20"/>
          <w:color w:val="auto"/>
        </w:rPr>
      </w:pPr>
    </w:p>
    <w:p>
      <w:pPr>
        <w:ind w:left="580" w:right="899" w:firstLine="194"/>
        <w:spacing w:after="0" w:line="267" w:lineRule="auto"/>
        <w:rPr>
          <w:sz w:val="20"/>
          <w:szCs w:val="20"/>
          <w:color w:val="auto"/>
        </w:rPr>
      </w:pPr>
      <w:r>
        <w:rPr>
          <w:rFonts w:ascii="Arial" w:cs="Arial" w:eastAsia="Arial" w:hAnsi="Arial"/>
          <w:sz w:val="16"/>
          <w:szCs w:val="16"/>
          <w:color w:val="auto"/>
        </w:rPr>
        <w:t>The determination of the grant date fair value of options using the binomial option pricing model is affected by estimates and assumptions regarding a number of complex and subjective variables. These variables are estimated as follows:</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51" w:name="page52"/>
    <w:bookmarkEnd w:id="51"/>
    <w:p>
      <w:pPr>
        <w:ind w:left="960" w:right="639" w:hanging="189"/>
        <w:spacing w:after="0" w:line="238" w:lineRule="auto"/>
        <w:tabs>
          <w:tab w:leader="none" w:pos="943" w:val="left"/>
        </w:tabs>
        <w:numPr>
          <w:ilvl w:val="0"/>
          <w:numId w:val="29"/>
        </w:numPr>
        <w:rPr>
          <w:rFonts w:ascii="Arial" w:cs="Arial" w:eastAsia="Arial" w:hAnsi="Arial"/>
          <w:sz w:val="19"/>
          <w:szCs w:val="19"/>
          <w:i w:val="1"/>
          <w:iCs w:val="1"/>
          <w:color w:val="auto"/>
        </w:rPr>
      </w:pPr>
      <w:r>
        <w:rPr>
          <w:rFonts w:ascii="Arial" w:cs="Arial" w:eastAsia="Arial" w:hAnsi="Arial"/>
          <w:sz w:val="16"/>
          <w:szCs w:val="16"/>
          <w:i w:val="1"/>
          <w:iCs w:val="1"/>
          <w:color w:val="auto"/>
        </w:rPr>
        <w:t>Fair Value of our Ordinary Shares</w:t>
      </w:r>
      <w:r>
        <w:rPr>
          <w:rFonts w:ascii="Arial" w:cs="Arial" w:eastAsia="Arial" w:hAnsi="Arial"/>
          <w:sz w:val="16"/>
          <w:szCs w:val="16"/>
          <w:color w:val="auto"/>
        </w:rPr>
        <w:t>. Because our shares are not publicly traded, we must estimate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as discussed in “—Ordinary Share Valuations” below.</w:t>
      </w:r>
    </w:p>
    <w:p>
      <w:pPr>
        <w:spacing w:after="0" w:line="194" w:lineRule="exact"/>
        <w:rPr>
          <w:rFonts w:ascii="Arial" w:cs="Arial" w:eastAsia="Arial" w:hAnsi="Arial"/>
          <w:sz w:val="19"/>
          <w:szCs w:val="19"/>
          <w:i w:val="1"/>
          <w:iCs w:val="1"/>
          <w:color w:val="auto"/>
        </w:rPr>
      </w:pPr>
    </w:p>
    <w:p>
      <w:pPr>
        <w:jc w:val="both"/>
        <w:ind w:left="960" w:right="779" w:hanging="189"/>
        <w:spacing w:after="0" w:line="246" w:lineRule="auto"/>
        <w:tabs>
          <w:tab w:leader="none" w:pos="943" w:val="left"/>
        </w:tabs>
        <w:numPr>
          <w:ilvl w:val="0"/>
          <w:numId w:val="29"/>
        </w:numPr>
        <w:rPr>
          <w:rFonts w:ascii="Arial" w:cs="Arial" w:eastAsia="Arial" w:hAnsi="Arial"/>
          <w:sz w:val="19"/>
          <w:szCs w:val="19"/>
          <w:i w:val="1"/>
          <w:iCs w:val="1"/>
          <w:color w:val="auto"/>
        </w:rPr>
      </w:pPr>
      <w:r>
        <w:rPr>
          <w:rFonts w:ascii="Arial" w:cs="Arial" w:eastAsia="Arial" w:hAnsi="Arial"/>
          <w:sz w:val="16"/>
          <w:szCs w:val="16"/>
          <w:i w:val="1"/>
          <w:iCs w:val="1"/>
          <w:color w:val="auto"/>
        </w:rPr>
        <w:t>Sub-Optimal Exercise Multiple</w:t>
      </w:r>
      <w:r>
        <w:rPr>
          <w:rFonts w:ascii="Arial" w:cs="Arial" w:eastAsia="Arial" w:hAnsi="Arial"/>
          <w:sz w:val="16"/>
          <w:szCs w:val="16"/>
          <w:color w:val="auto"/>
        </w:rPr>
        <w:t>. The sub-optimal exercise multiple represents an estimate of the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the fair value of our shares over the exercise price of the options at the date of expected exercise. We base this estimate on empirical studies of comparable third parties due to the lack of relevant exercise history for our company.</w:t>
      </w:r>
    </w:p>
    <w:p>
      <w:pPr>
        <w:spacing w:after="0" w:line="191" w:lineRule="exact"/>
        <w:rPr>
          <w:rFonts w:ascii="Arial" w:cs="Arial" w:eastAsia="Arial" w:hAnsi="Arial"/>
          <w:sz w:val="19"/>
          <w:szCs w:val="19"/>
          <w:i w:val="1"/>
          <w:iCs w:val="1"/>
          <w:color w:val="auto"/>
        </w:rPr>
      </w:pPr>
    </w:p>
    <w:p>
      <w:pPr>
        <w:ind w:left="960" w:right="879" w:hanging="189"/>
        <w:spacing w:after="0" w:line="238" w:lineRule="auto"/>
        <w:tabs>
          <w:tab w:leader="none" w:pos="943" w:val="left"/>
        </w:tabs>
        <w:numPr>
          <w:ilvl w:val="0"/>
          <w:numId w:val="29"/>
        </w:numPr>
        <w:rPr>
          <w:rFonts w:ascii="Arial" w:cs="Arial" w:eastAsia="Arial" w:hAnsi="Arial"/>
          <w:sz w:val="19"/>
          <w:szCs w:val="19"/>
          <w:i w:val="1"/>
          <w:iCs w:val="1"/>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 The risk-free interest rate is based on the yield from U.S. Treasury zero-coupon bonds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term equivalent to the contractual life of the options.</w:t>
      </w:r>
    </w:p>
    <w:p>
      <w:pPr>
        <w:spacing w:after="0" w:line="194" w:lineRule="exact"/>
        <w:rPr>
          <w:rFonts w:ascii="Arial" w:cs="Arial" w:eastAsia="Arial" w:hAnsi="Arial"/>
          <w:sz w:val="19"/>
          <w:szCs w:val="19"/>
          <w:i w:val="1"/>
          <w:iCs w:val="1"/>
          <w:color w:val="auto"/>
        </w:rPr>
      </w:pPr>
    </w:p>
    <w:p>
      <w:pPr>
        <w:ind w:left="960" w:right="599" w:hanging="189"/>
        <w:spacing w:after="0" w:line="238" w:lineRule="auto"/>
        <w:tabs>
          <w:tab w:leader="none" w:pos="943" w:val="left"/>
        </w:tabs>
        <w:numPr>
          <w:ilvl w:val="0"/>
          <w:numId w:val="29"/>
        </w:numPr>
        <w:rPr>
          <w:rFonts w:ascii="Arial" w:cs="Arial" w:eastAsia="Arial" w:hAnsi="Arial"/>
          <w:sz w:val="19"/>
          <w:szCs w:val="19"/>
          <w:i w:val="1"/>
          <w:iCs w:val="1"/>
          <w:color w:val="auto"/>
        </w:rPr>
      </w:pPr>
      <w:r>
        <w:rPr>
          <w:rFonts w:ascii="Arial" w:cs="Arial" w:eastAsia="Arial" w:hAnsi="Arial"/>
          <w:sz w:val="16"/>
          <w:szCs w:val="16"/>
          <w:i w:val="1"/>
          <w:iCs w:val="1"/>
          <w:color w:val="auto"/>
        </w:rPr>
        <w:t>Volatility</w:t>
      </w:r>
      <w:r>
        <w:rPr>
          <w:rFonts w:ascii="Arial" w:cs="Arial" w:eastAsia="Arial" w:hAnsi="Arial"/>
          <w:sz w:val="16"/>
          <w:szCs w:val="16"/>
          <w:color w:val="auto"/>
        </w:rPr>
        <w:t>. The expected share price volatility was based on the historical equity volatility of the ordinary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companies that are publicly traded with adjustments to reflect our capital structure.</w:t>
      </w:r>
    </w:p>
    <w:p>
      <w:pPr>
        <w:spacing w:after="0" w:line="194" w:lineRule="exact"/>
        <w:rPr>
          <w:rFonts w:ascii="Arial" w:cs="Arial" w:eastAsia="Arial" w:hAnsi="Arial"/>
          <w:sz w:val="19"/>
          <w:szCs w:val="19"/>
          <w:i w:val="1"/>
          <w:iCs w:val="1"/>
          <w:color w:val="auto"/>
        </w:rPr>
      </w:pPr>
    </w:p>
    <w:p>
      <w:pPr>
        <w:ind w:left="960" w:right="1179" w:hanging="189"/>
        <w:spacing w:after="0" w:line="268" w:lineRule="auto"/>
        <w:tabs>
          <w:tab w:leader="none" w:pos="943" w:val="left"/>
        </w:tabs>
        <w:numPr>
          <w:ilvl w:val="0"/>
          <w:numId w:val="29"/>
        </w:numPr>
        <w:rPr>
          <w:rFonts w:ascii="Arial" w:cs="Arial" w:eastAsia="Arial" w:hAnsi="Arial"/>
          <w:sz w:val="18"/>
          <w:szCs w:val="18"/>
          <w:i w:val="1"/>
          <w:iCs w:val="1"/>
          <w:color w:val="auto"/>
        </w:rPr>
      </w:pPr>
      <w:r>
        <w:rPr>
          <w:rFonts w:ascii="Arial" w:cs="Arial" w:eastAsia="Arial" w:hAnsi="Arial"/>
          <w:sz w:val="15"/>
          <w:szCs w:val="15"/>
          <w:i w:val="1"/>
          <w:iCs w:val="1"/>
          <w:color w:val="auto"/>
        </w:rPr>
        <w:t>Dividend Yield</w:t>
      </w:r>
      <w:r>
        <w:rPr>
          <w:rFonts w:ascii="Arial" w:cs="Arial" w:eastAsia="Arial" w:hAnsi="Arial"/>
          <w:sz w:val="15"/>
          <w:szCs w:val="15"/>
          <w:color w:val="auto"/>
        </w:rPr>
        <w:t>. We have never declared or paid any cash dividends and do not presently plan to pay cash</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dividends in the foreseeable future. Consequently, we used an expected dividend yield of zero.</w:t>
      </w:r>
    </w:p>
    <w:p>
      <w:pPr>
        <w:spacing w:after="0" w:line="169" w:lineRule="exact"/>
        <w:rPr>
          <w:rFonts w:ascii="Arial" w:cs="Arial" w:eastAsia="Arial" w:hAnsi="Arial"/>
          <w:sz w:val="18"/>
          <w:szCs w:val="18"/>
          <w:i w:val="1"/>
          <w:iCs w:val="1"/>
          <w:color w:val="auto"/>
        </w:rPr>
      </w:pPr>
    </w:p>
    <w:p>
      <w:pPr>
        <w:ind w:left="940" w:hanging="169"/>
        <w:spacing w:after="0"/>
        <w:tabs>
          <w:tab w:leader="none" w:pos="940" w:val="left"/>
        </w:tabs>
        <w:numPr>
          <w:ilvl w:val="0"/>
          <w:numId w:val="29"/>
        </w:numPr>
        <w:rPr>
          <w:rFonts w:ascii="Arial" w:cs="Arial" w:eastAsia="Arial" w:hAnsi="Arial"/>
          <w:sz w:val="17"/>
          <w:szCs w:val="17"/>
          <w:i w:val="1"/>
          <w:iCs w:val="1"/>
          <w:color w:val="auto"/>
        </w:rPr>
      </w:pPr>
      <w:r>
        <w:rPr>
          <w:rFonts w:ascii="Arial" w:cs="Arial" w:eastAsia="Arial" w:hAnsi="Arial"/>
          <w:sz w:val="14"/>
          <w:szCs w:val="14"/>
          <w:i w:val="1"/>
          <w:iCs w:val="1"/>
          <w:color w:val="auto"/>
        </w:rPr>
        <w:t>Expected forfeiture rates</w:t>
      </w:r>
      <w:r>
        <w:rPr>
          <w:rFonts w:ascii="Arial" w:cs="Arial" w:eastAsia="Arial" w:hAnsi="Arial"/>
          <w:sz w:val="14"/>
          <w:szCs w:val="14"/>
          <w:color w:val="auto"/>
        </w:rPr>
        <w:t>.  The expected forfeiture rates were based on an analysis of our historical forfeiture rates.</w:t>
      </w:r>
    </w:p>
    <w:p>
      <w:pPr>
        <w:spacing w:after="0" w:line="168" w:lineRule="exact"/>
        <w:rPr>
          <w:sz w:val="20"/>
          <w:szCs w:val="20"/>
          <w:color w:val="auto"/>
        </w:rPr>
      </w:pPr>
    </w:p>
    <w:p>
      <w:pPr>
        <w:ind w:left="580" w:right="759" w:firstLine="194"/>
        <w:spacing w:after="0" w:line="281" w:lineRule="auto"/>
        <w:rPr>
          <w:sz w:val="20"/>
          <w:szCs w:val="20"/>
          <w:color w:val="auto"/>
        </w:rPr>
      </w:pPr>
      <w:r>
        <w:rPr>
          <w:rFonts w:ascii="Arial" w:cs="Arial" w:eastAsia="Arial" w:hAnsi="Arial"/>
          <w:sz w:val="16"/>
          <w:szCs w:val="16"/>
          <w:color w:val="auto"/>
        </w:rPr>
        <w:t>If any of the assumptions used in the binomial option pricing model change significantly, share-based compensation for future awards may differ materially compared with the awards granted previously.</w:t>
      </w:r>
    </w:p>
    <w:p>
      <w:pPr>
        <w:spacing w:after="0" w:line="151" w:lineRule="exact"/>
        <w:rPr>
          <w:sz w:val="20"/>
          <w:szCs w:val="20"/>
          <w:color w:val="auto"/>
        </w:rPr>
      </w:pPr>
    </w:p>
    <w:p>
      <w:pPr>
        <w:ind w:left="580" w:right="779" w:firstLine="194"/>
        <w:spacing w:after="0" w:line="355" w:lineRule="auto"/>
        <w:rPr>
          <w:sz w:val="20"/>
          <w:szCs w:val="20"/>
          <w:color w:val="auto"/>
        </w:rPr>
      </w:pPr>
      <w:r>
        <w:rPr>
          <w:rFonts w:ascii="Arial" w:cs="Arial" w:eastAsia="Arial" w:hAnsi="Arial"/>
          <w:sz w:val="14"/>
          <w:szCs w:val="14"/>
          <w:color w:val="auto"/>
        </w:rPr>
        <w:t>The following table presents the weighted-average assumptions used to estimate the fair value of options granted to employees during the periods presented. The number of options granted to non-employees was immaterial.</w:t>
      </w:r>
    </w:p>
    <w:p>
      <w:pPr>
        <w:spacing w:after="0" w:line="105"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7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w w:val="90"/>
              </w:rPr>
              <w:t>Year Ended December 31,</w:t>
            </w:r>
          </w:p>
        </w:tc>
        <w:tc>
          <w:tcPr>
            <w:tcW w:w="1100" w:type="dxa"/>
            <w:vAlign w:val="bottom"/>
            <w:tcBorders>
              <w:bottom w:val="single" w:sz="8" w:color="auto"/>
            </w:tcBorders>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2013</w:t>
            </w:r>
          </w:p>
        </w:tc>
        <w:tc>
          <w:tcPr>
            <w:tcW w:w="320" w:type="dxa"/>
            <w:vAlign w:val="bottom"/>
          </w:tcPr>
          <w:p>
            <w:pPr>
              <w:spacing w:after="0"/>
              <w:rPr>
                <w:sz w:val="15"/>
                <w:szCs w:val="15"/>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r>
      <w:tr>
        <w:trPr>
          <w:trHeight w:val="355"/>
        </w:trPr>
        <w:tc>
          <w:tcPr>
            <w:tcW w:w="3780" w:type="dxa"/>
            <w:vAlign w:val="bottom"/>
          </w:tcPr>
          <w:p>
            <w:pPr>
              <w:spacing w:after="0"/>
              <w:rPr>
                <w:sz w:val="20"/>
                <w:szCs w:val="20"/>
                <w:color w:val="auto"/>
              </w:rPr>
            </w:pPr>
            <w:r>
              <w:rPr>
                <w:rFonts w:ascii="Arial" w:cs="Arial" w:eastAsia="Arial" w:hAnsi="Arial"/>
                <w:sz w:val="16"/>
                <w:szCs w:val="16"/>
                <w:color w:val="auto"/>
              </w:rPr>
              <w:t>Sub-optimal exercise multiple</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3.0-3.5</w:t>
            </w:r>
          </w:p>
        </w:tc>
        <w:tc>
          <w:tcPr>
            <w:tcW w:w="1720" w:type="dxa"/>
            <w:vAlign w:val="bottom"/>
            <w:gridSpan w:val="3"/>
          </w:tcPr>
          <w:p>
            <w:pPr>
              <w:jc w:val="right"/>
              <w:ind w:right="320"/>
              <w:spacing w:after="0"/>
              <w:rPr>
                <w:sz w:val="20"/>
                <w:szCs w:val="20"/>
                <w:color w:val="auto"/>
              </w:rPr>
            </w:pPr>
            <w:r>
              <w:rPr>
                <w:rFonts w:ascii="Arial" w:cs="Arial" w:eastAsia="Arial" w:hAnsi="Arial"/>
                <w:sz w:val="16"/>
                <w:szCs w:val="16"/>
                <w:color w:val="auto"/>
              </w:rPr>
              <w:t>3.0-10.0</w:t>
            </w:r>
          </w:p>
        </w:tc>
        <w:tc>
          <w:tcPr>
            <w:tcW w:w="1100" w:type="dxa"/>
            <w:vAlign w:val="bottom"/>
          </w:tcPr>
          <w:p>
            <w:pPr>
              <w:jc w:val="right"/>
              <w:spacing w:after="0"/>
              <w:rPr>
                <w:sz w:val="20"/>
                <w:szCs w:val="20"/>
                <w:color w:val="auto"/>
              </w:rPr>
            </w:pPr>
            <w:r>
              <w:rPr>
                <w:rFonts w:ascii="Arial" w:cs="Arial" w:eastAsia="Arial" w:hAnsi="Arial"/>
                <w:sz w:val="16"/>
                <w:szCs w:val="16"/>
                <w:color w:val="auto"/>
              </w:rPr>
              <w:t>2.0-10.0</w:t>
            </w: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0.1%-1.8%</w:t>
            </w:r>
          </w:p>
        </w:tc>
        <w:tc>
          <w:tcPr>
            <w:tcW w:w="1720" w:type="dxa"/>
            <w:vAlign w:val="bottom"/>
            <w:gridSpan w:val="3"/>
          </w:tcPr>
          <w:p>
            <w:pPr>
              <w:jc w:val="right"/>
              <w:ind w:right="320"/>
              <w:spacing w:after="0"/>
              <w:rPr>
                <w:sz w:val="20"/>
                <w:szCs w:val="20"/>
                <w:color w:val="auto"/>
              </w:rPr>
            </w:pPr>
            <w:r>
              <w:rPr>
                <w:rFonts w:ascii="Arial" w:cs="Arial" w:eastAsia="Arial" w:hAnsi="Arial"/>
                <w:sz w:val="16"/>
                <w:szCs w:val="16"/>
                <w:color w:val="auto"/>
              </w:rPr>
              <w:t>0.1%-2.5 %</w:t>
            </w:r>
          </w:p>
        </w:tc>
        <w:tc>
          <w:tcPr>
            <w:tcW w:w="1100" w:type="dxa"/>
            <w:vAlign w:val="bottom"/>
          </w:tcPr>
          <w:p>
            <w:pPr>
              <w:jc w:val="right"/>
              <w:spacing w:after="0"/>
              <w:rPr>
                <w:sz w:val="20"/>
                <w:szCs w:val="20"/>
                <w:color w:val="auto"/>
              </w:rPr>
            </w:pPr>
            <w:r>
              <w:rPr>
                <w:rFonts w:ascii="Arial" w:cs="Arial" w:eastAsia="Arial" w:hAnsi="Arial"/>
                <w:sz w:val="16"/>
                <w:szCs w:val="16"/>
                <w:color w:val="auto"/>
              </w:rPr>
              <w:t>0.1%-2.5%</w:t>
            </w: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Volatility</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55%-71%</w:t>
            </w:r>
          </w:p>
        </w:tc>
        <w:tc>
          <w:tcPr>
            <w:tcW w:w="1720" w:type="dxa"/>
            <w:vAlign w:val="bottom"/>
            <w:gridSpan w:val="3"/>
          </w:tcPr>
          <w:p>
            <w:pPr>
              <w:jc w:val="right"/>
              <w:ind w:right="320"/>
              <w:spacing w:after="0"/>
              <w:rPr>
                <w:sz w:val="20"/>
                <w:szCs w:val="20"/>
                <w:color w:val="auto"/>
              </w:rPr>
            </w:pPr>
            <w:r>
              <w:rPr>
                <w:rFonts w:ascii="Arial" w:cs="Arial" w:eastAsia="Arial" w:hAnsi="Arial"/>
                <w:sz w:val="16"/>
                <w:szCs w:val="16"/>
                <w:color w:val="auto"/>
              </w:rPr>
              <w:t>50-55%</w:t>
            </w:r>
          </w:p>
        </w:tc>
        <w:tc>
          <w:tcPr>
            <w:tcW w:w="1100" w:type="dxa"/>
            <w:vAlign w:val="bottom"/>
          </w:tcPr>
          <w:p>
            <w:pPr>
              <w:jc w:val="right"/>
              <w:spacing w:after="0"/>
              <w:rPr>
                <w:sz w:val="20"/>
                <w:szCs w:val="20"/>
                <w:color w:val="auto"/>
              </w:rPr>
            </w:pPr>
            <w:r>
              <w:rPr>
                <w:rFonts w:ascii="Arial" w:cs="Arial" w:eastAsia="Arial" w:hAnsi="Arial"/>
                <w:sz w:val="16"/>
                <w:szCs w:val="16"/>
                <w:color w:val="auto"/>
              </w:rPr>
              <w:t>50%-55%</w:t>
            </w: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1720" w:type="dxa"/>
            <w:vAlign w:val="bottom"/>
            <w:gridSpan w:val="3"/>
          </w:tcPr>
          <w:p>
            <w:pPr>
              <w:jc w:val="right"/>
              <w:ind w:right="320"/>
              <w:spacing w:after="0"/>
              <w:rPr>
                <w:sz w:val="20"/>
                <w:szCs w:val="20"/>
                <w:color w:val="auto"/>
              </w:rPr>
            </w:pPr>
            <w:r>
              <w:rPr>
                <w:rFonts w:ascii="Arial" w:cs="Arial" w:eastAsia="Arial" w:hAnsi="Arial"/>
                <w:sz w:val="16"/>
                <w:szCs w:val="16"/>
                <w:color w:val="auto"/>
              </w:rPr>
              <w:t>0%</w:t>
            </w:r>
          </w:p>
        </w:tc>
        <w:tc>
          <w:tcPr>
            <w:tcW w:w="110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Ordinary Share Valuations</w:t>
      </w:r>
    </w:p>
    <w:p>
      <w:pPr>
        <w:spacing w:after="0" w:line="179" w:lineRule="exact"/>
        <w:rPr>
          <w:sz w:val="20"/>
          <w:szCs w:val="20"/>
          <w:color w:val="auto"/>
        </w:rPr>
      </w:pPr>
    </w:p>
    <w:p>
      <w:pPr>
        <w:ind w:left="580" w:right="799" w:firstLine="194"/>
        <w:spacing w:after="0" w:line="281" w:lineRule="auto"/>
        <w:rPr>
          <w:sz w:val="20"/>
          <w:szCs w:val="20"/>
          <w:color w:val="auto"/>
        </w:rPr>
      </w:pPr>
      <w:r>
        <w:rPr>
          <w:rFonts w:ascii="Arial" w:cs="Arial" w:eastAsia="Arial" w:hAnsi="Arial"/>
          <w:sz w:val="16"/>
          <w:szCs w:val="16"/>
          <w:color w:val="auto"/>
        </w:rPr>
        <w:t>The following table presents the share options grants made between January 1, 2014 and the date of this prospectus and the related exercise price and estimated fair value per ordinary share at the grant date:</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Number of</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Estimated Fair</w:t>
            </w: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4"/>
              </w:rPr>
              <w:t>Shares Subject</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7"/>
              </w:rPr>
              <w:t>Value Per</w:t>
            </w: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5"/>
              </w:rPr>
              <w:t>to Awards</w:t>
            </w:r>
          </w:p>
        </w:tc>
        <w:tc>
          <w:tcPr>
            <w:tcW w:w="8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Exercise Price</w:t>
            </w:r>
          </w:p>
        </w:tc>
        <w:tc>
          <w:tcPr>
            <w:tcW w:w="11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2"/>
              </w:rPr>
              <w:t>Ordinary Share</w:t>
            </w:r>
          </w:p>
        </w:tc>
      </w:tr>
      <w:tr>
        <w:trPr>
          <w:trHeight w:val="188"/>
        </w:trPr>
        <w:tc>
          <w:tcPr>
            <w:tcW w:w="3780" w:type="dxa"/>
            <w:vAlign w:val="bottom"/>
            <w:gridSpan w:val="3"/>
          </w:tcPr>
          <w:p>
            <w:pPr>
              <w:spacing w:after="0"/>
              <w:rPr>
                <w:sz w:val="20"/>
                <w:szCs w:val="20"/>
                <w:color w:val="auto"/>
              </w:rPr>
            </w:pPr>
            <w:r>
              <w:rPr>
                <w:rFonts w:ascii="Arial" w:cs="Arial" w:eastAsia="Arial" w:hAnsi="Arial"/>
                <w:sz w:val="15"/>
                <w:szCs w:val="15"/>
                <w:b w:val="1"/>
                <w:bCs w:val="1"/>
                <w:color w:val="auto"/>
              </w:rPr>
              <w:t>Date of Grant</w:t>
            </w: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Granted</w:t>
            </w:r>
          </w:p>
        </w:tc>
        <w:tc>
          <w:tcPr>
            <w:tcW w:w="8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Per Share</w:t>
            </w:r>
          </w:p>
        </w:tc>
        <w:tc>
          <w:tcPr>
            <w:tcW w:w="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at Grant Date</w:t>
            </w:r>
          </w:p>
        </w:tc>
      </w:tr>
      <w:tr>
        <w:trPr>
          <w:trHeight w:val="180"/>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January 2014</w:t>
            </w:r>
          </w:p>
        </w:tc>
        <w:tc>
          <w:tcPr>
            <w:tcW w:w="160" w:type="dxa"/>
            <w:vAlign w:val="bottom"/>
          </w:tcPr>
          <w:p>
            <w:pPr>
              <w:spacing w:after="0"/>
              <w:rPr>
                <w:sz w:val="15"/>
                <w:szCs w:val="15"/>
                <w:color w:val="auto"/>
              </w:rPr>
            </w:pPr>
          </w:p>
        </w:tc>
        <w:tc>
          <w:tcPr>
            <w:tcW w:w="11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203,147</w:t>
            </w:r>
          </w:p>
        </w:tc>
        <w:tc>
          <w:tcPr>
            <w:tcW w:w="3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1.60</w:t>
            </w:r>
          </w:p>
        </w:tc>
        <w:tc>
          <w:tcPr>
            <w:tcW w:w="3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4.08</w:t>
            </w:r>
          </w:p>
        </w:tc>
        <w:tc>
          <w:tcPr>
            <w:tcW w:w="20" w:type="dxa"/>
            <w:vAlign w:val="bottom"/>
          </w:tcPr>
          <w:p>
            <w:pPr>
              <w:spacing w:after="0"/>
              <w:rPr>
                <w:sz w:val="15"/>
                <w:szCs w:val="15"/>
                <w:color w:val="auto"/>
              </w:rPr>
            </w:pP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April 2014</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650,992</w:t>
            </w:r>
          </w:p>
        </w:tc>
        <w:tc>
          <w:tcPr>
            <w:tcW w:w="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4.86</w:t>
            </w: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July 2014</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106,435</w:t>
            </w:r>
          </w:p>
        </w:tc>
        <w:tc>
          <w:tcPr>
            <w:tcW w:w="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6.31</w:t>
            </w: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October 2014</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141,927</w:t>
            </w:r>
          </w:p>
        </w:tc>
        <w:tc>
          <w:tcPr>
            <w:tcW w:w="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8.29</w:t>
            </w: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November 2014</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248,109</w:t>
            </w:r>
          </w:p>
        </w:tc>
        <w:tc>
          <w:tcPr>
            <w:tcW w:w="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9.31</w:t>
            </w: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February 2015</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60,436</w:t>
            </w:r>
          </w:p>
        </w:tc>
        <w:tc>
          <w:tcPr>
            <w:tcW w:w="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9.97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9.97</w:t>
            </w:r>
          </w:p>
        </w:tc>
      </w:tr>
      <w:tr>
        <w:trPr>
          <w:trHeight w:val="206"/>
        </w:trPr>
        <w:tc>
          <w:tcPr>
            <w:tcW w:w="3780" w:type="dxa"/>
            <w:vAlign w:val="bottom"/>
            <w:gridSpan w:val="3"/>
          </w:tcPr>
          <w:p>
            <w:pPr>
              <w:spacing w:after="0"/>
              <w:rPr>
                <w:sz w:val="20"/>
                <w:szCs w:val="20"/>
                <w:color w:val="auto"/>
              </w:rPr>
            </w:pPr>
            <w:r>
              <w:rPr>
                <w:rFonts w:ascii="Arial" w:cs="Arial" w:eastAsia="Arial" w:hAnsi="Arial"/>
                <w:sz w:val="16"/>
                <w:szCs w:val="16"/>
                <w:color w:val="auto"/>
              </w:rPr>
              <w:t>March 2015</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153,972</w:t>
            </w:r>
          </w:p>
        </w:tc>
        <w:tc>
          <w:tcPr>
            <w:tcW w:w="8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9.97</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14.00</w:t>
            </w:r>
          </w:p>
        </w:tc>
      </w:tr>
    </w:tbl>
    <w:p>
      <w:pPr>
        <w:spacing w:after="0" w:line="145" w:lineRule="exact"/>
        <w:rPr>
          <w:sz w:val="20"/>
          <w:szCs w:val="20"/>
          <w:color w:val="auto"/>
        </w:rPr>
      </w:pPr>
    </w:p>
    <w:p>
      <w:pPr>
        <w:ind w:left="580" w:right="599" w:firstLine="194"/>
        <w:spacing w:after="0" w:line="322" w:lineRule="auto"/>
        <w:rPr>
          <w:sz w:val="20"/>
          <w:szCs w:val="20"/>
          <w:color w:val="auto"/>
        </w:rPr>
      </w:pPr>
      <w:r>
        <w:rPr>
          <w:rFonts w:ascii="Arial" w:cs="Arial" w:eastAsia="Arial" w:hAnsi="Arial"/>
          <w:sz w:val="14"/>
          <w:szCs w:val="14"/>
          <w:color w:val="auto"/>
        </w:rPr>
        <w:t>Based on the initial public offering price of $14.00 per share, the midpoint of the estimated initial public offering price range, set forth on the cover page of this prospectus, the intrinsic value of the awards outstanding as of December 31, 2014 was $21.9 million, of which $9.4 million related to vested options and $12.5 million related to unvested options.</w:t>
      </w:r>
    </w:p>
    <w:p>
      <w:pPr>
        <w:spacing w:after="0" w:line="127" w:lineRule="exact"/>
        <w:rPr>
          <w:sz w:val="20"/>
          <w:szCs w:val="20"/>
          <w:color w:val="auto"/>
        </w:rPr>
      </w:pPr>
    </w:p>
    <w:p>
      <w:pPr>
        <w:ind w:left="580" w:right="799" w:firstLine="194"/>
        <w:spacing w:after="0" w:line="262" w:lineRule="auto"/>
        <w:rPr>
          <w:sz w:val="20"/>
          <w:szCs w:val="20"/>
          <w:color w:val="auto"/>
        </w:rPr>
      </w:pPr>
      <w:r>
        <w:rPr>
          <w:rFonts w:ascii="Arial" w:cs="Arial" w:eastAsia="Arial" w:hAnsi="Arial"/>
          <w:sz w:val="16"/>
          <w:szCs w:val="16"/>
          <w:color w:val="auto"/>
        </w:rPr>
        <w:t xml:space="preserve">In the absence of a public trading market for our ordinary shares, with respect to each grant date, we develop an estimate of the fair value of our ordinary shares in order to determine an exercise price for each share-based award. We have determined the fair value of our ordinary shares using methodologies, approaches and assumptions consistent with the </w:t>
      </w:r>
      <w:r>
        <w:rPr>
          <w:rFonts w:ascii="Arial" w:cs="Arial" w:eastAsia="Arial" w:hAnsi="Arial"/>
          <w:sz w:val="16"/>
          <w:szCs w:val="16"/>
          <w:i w:val="1"/>
          <w:iCs w:val="1"/>
          <w:color w:val="auto"/>
        </w:rPr>
        <w:t>American Institute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52" w:name="page53"/>
    <w:bookmarkEnd w:id="52"/>
    <w:p>
      <w:pPr>
        <w:ind w:left="580" w:right="619"/>
        <w:spacing w:after="0" w:line="258" w:lineRule="auto"/>
        <w:rPr>
          <w:sz w:val="20"/>
          <w:szCs w:val="20"/>
          <w:color w:val="auto"/>
        </w:rPr>
      </w:pPr>
      <w:r>
        <w:rPr>
          <w:rFonts w:ascii="Arial" w:cs="Arial" w:eastAsia="Arial" w:hAnsi="Arial"/>
          <w:sz w:val="16"/>
          <w:szCs w:val="16"/>
          <w:i w:val="1"/>
          <w:iCs w:val="1"/>
          <w:color w:val="auto"/>
        </w:rPr>
        <w:t xml:space="preserve">of Certified Public Accountants Practice Aid, Valuation of Privately-Held-Company Equity Securities Issued as Compensation. </w:t>
      </w:r>
      <w:r>
        <w:rPr>
          <w:rFonts w:ascii="Arial" w:cs="Arial" w:eastAsia="Arial" w:hAnsi="Arial"/>
          <w:sz w:val="16"/>
          <w:szCs w:val="16"/>
          <w:color w:val="auto"/>
        </w:rPr>
        <w:t>Our board of directors exercised judgment and considered a number of objective and subjective factors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best estimate of the fair value of our ordinary shares, including contemporaneous and retrospective valuations of our ordinary shares performed by an unrelated valuation specialist, valuations of comparable peer companies, operating and financial performance, the lack of liquidity of our share capital, and general and industry specific economic outlook.</w:t>
      </w:r>
    </w:p>
    <w:p>
      <w:pPr>
        <w:spacing w:after="0" w:line="134" w:lineRule="exact"/>
        <w:rPr>
          <w:sz w:val="20"/>
          <w:szCs w:val="20"/>
          <w:color w:val="auto"/>
        </w:rPr>
      </w:pPr>
    </w:p>
    <w:p>
      <w:pPr>
        <w:ind w:left="580" w:right="599" w:firstLine="194"/>
        <w:spacing w:after="0" w:line="275" w:lineRule="auto"/>
        <w:rPr>
          <w:sz w:val="20"/>
          <w:szCs w:val="20"/>
          <w:color w:val="auto"/>
        </w:rPr>
      </w:pPr>
      <w:r>
        <w:rPr>
          <w:rFonts w:ascii="Arial" w:cs="Arial" w:eastAsia="Arial" w:hAnsi="Arial"/>
          <w:sz w:val="15"/>
          <w:szCs w:val="15"/>
          <w:color w:val="auto"/>
        </w:rPr>
        <w:t>For our valuations performed with respect to grants made after January 1, 2014, the fair value of our ordinary shares was estimated using an income approach. The income approach estimates the aggregate enterprise value of our company based on the present value of future estimated cash flows. Cash flows are estimated for future periods based on projected revenue and costs. These future cash flows are discounted to their present values using an appropriate discount rate. The discounted projected cash flows and a terminal value are summed together to arrive at an indicated aggregate enterprise value under the income approach. In applying the income approach, we derived the discount rate from an analysis of the weighted-average cost of capital of a group of seven comparable public company industry peers as of each valuation date and adjusted it to reflect the risks inherent in our business cash flows. We derived the terminal multiple from an estimate of our normalized cash flow and estimated growth rate after five years.</w:t>
      </w:r>
    </w:p>
    <w:p>
      <w:pPr>
        <w:spacing w:after="0" w:line="159" w:lineRule="exact"/>
        <w:rPr>
          <w:sz w:val="20"/>
          <w:szCs w:val="20"/>
          <w:color w:val="auto"/>
        </w:rPr>
      </w:pPr>
    </w:p>
    <w:p>
      <w:pPr>
        <w:ind w:left="580" w:right="579" w:firstLine="194"/>
        <w:spacing w:after="0" w:line="275" w:lineRule="auto"/>
        <w:rPr>
          <w:sz w:val="20"/>
          <w:szCs w:val="20"/>
          <w:color w:val="auto"/>
        </w:rPr>
      </w:pPr>
      <w:r>
        <w:rPr>
          <w:rFonts w:ascii="Arial" w:cs="Arial" w:eastAsia="Arial" w:hAnsi="Arial"/>
          <w:sz w:val="15"/>
          <w:szCs w:val="15"/>
          <w:color w:val="auto"/>
        </w:rPr>
        <w:t>We allocated the estimated enterprise value among different classes of our shares by applying an option pricing method, or OPM. 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Black-Scholes-Merton option-pricing model. The OPM method requires significant assumptions; in particular, the time until investors in our company would experience an exit event and the volatility of our shares (which we determined based on the same public companies with business and financial risks comparable to our own).</w:t>
      </w:r>
    </w:p>
    <w:p>
      <w:pPr>
        <w:spacing w:after="0" w:line="159" w:lineRule="exact"/>
        <w:rPr>
          <w:sz w:val="20"/>
          <w:szCs w:val="20"/>
          <w:color w:val="auto"/>
        </w:rPr>
      </w:pPr>
    </w:p>
    <w:p>
      <w:pPr>
        <w:ind w:left="580" w:right="799" w:firstLine="194"/>
        <w:spacing w:after="0" w:line="267" w:lineRule="auto"/>
        <w:rPr>
          <w:sz w:val="20"/>
          <w:szCs w:val="20"/>
          <w:color w:val="auto"/>
        </w:rPr>
      </w:pPr>
      <w:r>
        <w:rPr>
          <w:rFonts w:ascii="Arial" w:cs="Arial" w:eastAsia="Arial" w:hAnsi="Arial"/>
          <w:sz w:val="16"/>
          <w:szCs w:val="16"/>
          <w:color w:val="auto"/>
        </w:rPr>
        <w:t>We applied a discount to the resulting valuation due to the lack of marketability of our ordinary shares. We calculated this using a put option model based on the Finnerty model. The significant assumptions involved were the same as described above.</w:t>
      </w:r>
    </w:p>
    <w:p>
      <w:pPr>
        <w:spacing w:after="0" w:line="161" w:lineRule="exact"/>
        <w:rPr>
          <w:sz w:val="20"/>
          <w:szCs w:val="20"/>
          <w:color w:val="auto"/>
        </w:rPr>
      </w:pPr>
    </w:p>
    <w:p>
      <w:pPr>
        <w:ind w:left="580" w:right="599" w:firstLine="194"/>
        <w:spacing w:after="0" w:line="259" w:lineRule="auto"/>
        <w:rPr>
          <w:sz w:val="20"/>
          <w:szCs w:val="20"/>
          <w:color w:val="auto"/>
        </w:rPr>
      </w:pPr>
      <w:r>
        <w:rPr>
          <w:rFonts w:ascii="Arial" w:cs="Arial" w:eastAsia="Arial" w:hAnsi="Arial"/>
          <w:sz w:val="16"/>
          <w:szCs w:val="16"/>
          <w:color w:val="auto"/>
        </w:rPr>
        <w:t>The dates of our valuations did not always coincide with the dates of our share-based compensation grants. In such instances, management’s estimates were based on the most recent valuation of our ordinary shares. For grants occurring between valuation dates, for financial reporting purposes, we applied a straight-line calculation considering the preceding and subsequent valuations and our assessment of additional objective and subjective factors we believed were relevant as of the grant date.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231F20"/>
        </w:rPr>
        <w:t>Anticipated Offering Price</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5"/>
          <w:szCs w:val="15"/>
          <w:color w:val="231F20"/>
        </w:rPr>
        <w:t>In March 2015, in consultation with the underwriters, we determined our offering price range to be $13.00 to</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4"/>
          <w:szCs w:val="14"/>
          <w:color w:val="231F20"/>
        </w:rPr>
        <w:t>$15.00 per share. As of the date of our most recent option grant in March 2015, we had determined the fair value of our</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6"/>
          <w:szCs w:val="16"/>
          <w:color w:val="231F20"/>
        </w:rPr>
        <w:t>ordinary shares to be $9.97 per share.</w:t>
      </w:r>
    </w:p>
    <w:p>
      <w:pPr>
        <w:spacing w:after="0" w:line="192" w:lineRule="exact"/>
        <w:rPr>
          <w:sz w:val="20"/>
          <w:szCs w:val="20"/>
          <w:color w:val="auto"/>
        </w:rPr>
      </w:pPr>
    </w:p>
    <w:p>
      <w:pPr>
        <w:ind w:left="580" w:right="639" w:firstLine="393"/>
        <w:spacing w:after="0" w:line="294" w:lineRule="auto"/>
        <w:rPr>
          <w:sz w:val="20"/>
          <w:szCs w:val="20"/>
          <w:color w:val="auto"/>
        </w:rPr>
      </w:pPr>
      <w:r>
        <w:rPr>
          <w:rFonts w:ascii="Arial" w:cs="Arial" w:eastAsia="Arial" w:hAnsi="Arial"/>
          <w:sz w:val="14"/>
          <w:szCs w:val="14"/>
          <w:color w:val="231F20"/>
        </w:rPr>
        <w:t xml:space="preserve">The most significant reason for the increase in the fair value of our ordinary shares from February 18, 2015 to the current date is the greater certainty of an IPO. Specifically, the fair value of our ordinary shares in February 2015 considered an IPO scenario (assigning a 50% probability) and a scenario in which we remained a private company (assigning a 50% probability). With the IPO scenario being assigned a 100% probability, the fair value of our ordinary shares before any discount for lack of marketability would have been $12.57 per share. The IPO scenario used the guideline public company method to determine our value because it more closely reflected how we would be valued in connection with an IPO. Conversely, the scenario in which we remained a private company used a discounted cash flow methodology. In addition, the valuation methodology used to determine our offering price range considered multiples of our 2016 projected revenues which were higher than the 2015 projected revenues that were used in part to determine the fair value of our ordinary shares in connection with February 2015 grants. This use of 2016 projected revenues contributed to a higher overall valuation. Finally, the average revenue multiples of the comparable companies identified by the underwriters of this offering to determine the preliminary price range increased by approximately 10% between February 20, 2015 and March 10, 2015. </w:t>
      </w:r>
      <w:r>
        <w:rPr>
          <w:rFonts w:ascii="Arial" w:cs="Arial" w:eastAsia="Arial" w:hAnsi="Arial"/>
          <w:sz w:val="14"/>
          <w:szCs w:val="14"/>
          <w:color w:val="000000"/>
        </w:rPr>
        <w:t>These factors together explain the difference between the fair value of our</w:t>
      </w:r>
      <w:r>
        <w:rPr>
          <w:rFonts w:ascii="Arial" w:cs="Arial" w:eastAsia="Arial" w:hAnsi="Arial"/>
          <w:sz w:val="14"/>
          <w:szCs w:val="14"/>
          <w:color w:val="231F20"/>
        </w:rPr>
        <w:t xml:space="preserve"> </w:t>
      </w:r>
      <w:r>
        <w:rPr>
          <w:rFonts w:ascii="Arial" w:cs="Arial" w:eastAsia="Arial" w:hAnsi="Arial"/>
          <w:sz w:val="14"/>
          <w:szCs w:val="14"/>
          <w:color w:val="000000"/>
        </w:rPr>
        <w:t>ordinary shares as of February 18, 2015 and as of the date on which the proposed offering range was determined.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53" w:name="page54"/>
    <w:bookmarkEnd w:id="53"/>
    <w:p>
      <w:pPr>
        <w:jc w:val="both"/>
        <w:ind w:left="580" w:right="759" w:firstLine="387"/>
        <w:spacing w:after="0" w:line="267" w:lineRule="auto"/>
        <w:rPr>
          <w:sz w:val="20"/>
          <w:szCs w:val="20"/>
          <w:color w:val="auto"/>
        </w:rPr>
      </w:pPr>
      <w:r>
        <w:rPr>
          <w:rFonts w:ascii="Arial" w:cs="Arial" w:eastAsia="Arial" w:hAnsi="Arial"/>
          <w:sz w:val="16"/>
          <w:szCs w:val="16"/>
          <w:color w:val="231F20"/>
        </w:rPr>
        <w:t>Although we believe that it is reasonable to expect that the completion of our IPO will add value to our ordinary shares for the reasons described above, and because they will have increased liquidity and marketability, the amount of additional value cannot be measured with absolute precision or certainty.</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Taxes</w:t>
      </w:r>
    </w:p>
    <w:p>
      <w:pPr>
        <w:spacing w:after="0" w:line="204" w:lineRule="exact"/>
        <w:rPr>
          <w:sz w:val="20"/>
          <w:szCs w:val="20"/>
          <w:color w:val="auto"/>
        </w:rPr>
      </w:pPr>
    </w:p>
    <w:p>
      <w:pPr>
        <w:ind w:left="580" w:right="579" w:firstLine="194"/>
        <w:spacing w:after="0" w:line="274" w:lineRule="auto"/>
        <w:rPr>
          <w:sz w:val="20"/>
          <w:szCs w:val="20"/>
          <w:color w:val="auto"/>
        </w:rPr>
      </w:pPr>
      <w:r>
        <w:rPr>
          <w:rFonts w:ascii="Arial" w:cs="Arial" w:eastAsia="Arial" w:hAnsi="Arial"/>
          <w:sz w:val="15"/>
          <w:szCs w:val="15"/>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63" w:lineRule="exact"/>
        <w:rPr>
          <w:sz w:val="20"/>
          <w:szCs w:val="20"/>
          <w:color w:val="auto"/>
        </w:rPr>
      </w:pPr>
    </w:p>
    <w:p>
      <w:pPr>
        <w:ind w:left="580" w:right="679" w:firstLine="194"/>
        <w:spacing w:after="0" w:line="302" w:lineRule="auto"/>
        <w:rPr>
          <w:sz w:val="20"/>
          <w:szCs w:val="20"/>
          <w:color w:val="auto"/>
        </w:rPr>
      </w:pPr>
      <w:r>
        <w:rPr>
          <w:rFonts w:ascii="Arial" w:cs="Arial" w:eastAsia="Arial" w:hAnsi="Arial"/>
          <w:sz w:val="14"/>
          <w:szCs w:val="14"/>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41" w:lineRule="exact"/>
        <w:rPr>
          <w:sz w:val="20"/>
          <w:szCs w:val="20"/>
          <w:color w:val="auto"/>
        </w:rPr>
      </w:pPr>
    </w:p>
    <w:p>
      <w:pPr>
        <w:ind w:left="580" w:right="639" w:firstLine="194"/>
        <w:spacing w:after="0" w:line="277" w:lineRule="auto"/>
        <w:rPr>
          <w:sz w:val="20"/>
          <w:szCs w:val="20"/>
          <w:color w:val="auto"/>
        </w:rPr>
      </w:pPr>
      <w:r>
        <w:rPr>
          <w:rFonts w:ascii="Arial" w:cs="Arial" w:eastAsia="Arial" w:hAnsi="Arial"/>
          <w:sz w:val="15"/>
          <w:szCs w:val="15"/>
          <w:color w:val="auto"/>
        </w:rPr>
        <w:t>While we believe the resulting tax balances as of December 31, 2012, 2013 and 2014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208" w:lineRule="exact"/>
        <w:rPr>
          <w:sz w:val="20"/>
          <w:szCs w:val="20"/>
          <w:color w:val="auto"/>
        </w:rPr>
      </w:pPr>
    </w:p>
    <w:p>
      <w:pPr>
        <w:ind w:left="580" w:right="719" w:firstLine="194"/>
        <w:spacing w:after="0" w:line="267" w:lineRule="auto"/>
        <w:rPr>
          <w:sz w:val="20"/>
          <w:szCs w:val="20"/>
          <w:color w:val="auto"/>
        </w:rPr>
      </w:pPr>
      <w:r>
        <w:rPr>
          <w:rFonts w:ascii="Arial" w:cs="Arial" w:eastAsia="Arial" w:hAnsi="Arial"/>
          <w:sz w:val="16"/>
          <w:szCs w:val="16"/>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204" w:lineRule="exact"/>
        <w:rPr>
          <w:sz w:val="20"/>
          <w:szCs w:val="20"/>
          <w:color w:val="auto"/>
        </w:rPr>
      </w:pPr>
    </w:p>
    <w:p>
      <w:pPr>
        <w:ind w:left="580" w:right="699" w:firstLine="194"/>
        <w:spacing w:after="0" w:line="257" w:lineRule="auto"/>
        <w:rPr>
          <w:sz w:val="20"/>
          <w:szCs w:val="20"/>
          <w:color w:val="auto"/>
        </w:rPr>
      </w:pPr>
      <w:r>
        <w:rPr>
          <w:rFonts w:ascii="Arial" w:cs="Arial" w:eastAsia="Arial" w:hAnsi="Arial"/>
          <w:sz w:val="16"/>
          <w:szCs w:val="16"/>
          <w:color w:val="auto"/>
        </w:rPr>
        <w:t>Due to our international operations, currency exchange rates impact our financial performance. In 2014, approximately 85% of our revenues were denominated in U.S. dollars and 15% of our revenues were denominated in Euros. Conversely, in 2014, approximately 78%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The following table presents information about the changes in the exchange rates of the NIS and the Euro against the</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U.S. dollar:</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w w:val="92"/>
              </w:rPr>
              <w:t>Change in Average Exchange Rate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top w:val="single" w:sz="8" w:color="auto"/>
            </w:tcBorders>
            <w:gridSpan w:val="2"/>
          </w:tcPr>
          <w:p>
            <w:pPr>
              <w:jc w:val="center"/>
              <w:ind w:right="340"/>
              <w:spacing w:after="0" w:line="168" w:lineRule="exact"/>
              <w:rPr>
                <w:sz w:val="20"/>
                <w:szCs w:val="20"/>
                <w:color w:val="auto"/>
              </w:rPr>
            </w:pPr>
            <w:r>
              <w:rPr>
                <w:rFonts w:ascii="Arial" w:cs="Arial" w:eastAsia="Arial" w:hAnsi="Arial"/>
                <w:sz w:val="15"/>
                <w:szCs w:val="15"/>
                <w:b w:val="1"/>
                <w:bCs w:val="1"/>
                <w:color w:val="auto"/>
                <w:w w:val="94"/>
              </w:rPr>
              <w:t>U.S. Dollar</w:t>
            </w:r>
          </w:p>
        </w:tc>
        <w:tc>
          <w:tcPr>
            <w:tcW w:w="110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w w:val="89"/>
              </w:rPr>
              <w:t>U.S. Dollar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against the NIS</w:t>
            </w:r>
          </w:p>
        </w:tc>
        <w:tc>
          <w:tcPr>
            <w:tcW w:w="12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5"/>
              </w:rPr>
              <w:t>against the</w:t>
            </w:r>
          </w:p>
        </w:tc>
        <w:tc>
          <w:tcPr>
            <w:tcW w:w="0" w:type="dxa"/>
            <w:vAlign w:val="bottom"/>
          </w:tcPr>
          <w:p>
            <w:pPr>
              <w:spacing w:after="0"/>
              <w:rPr>
                <w:sz w:val="1"/>
                <w:szCs w:val="1"/>
                <w:color w:val="auto"/>
              </w:rPr>
            </w:pPr>
          </w:p>
        </w:tc>
      </w:tr>
      <w:tr>
        <w:trPr>
          <w:trHeight w:val="188"/>
        </w:trPr>
        <w:tc>
          <w:tcPr>
            <w:tcW w:w="2140" w:type="dxa"/>
            <w:vAlign w:val="bottom"/>
            <w:gridSpan w:val="2"/>
          </w:tcPr>
          <w:p>
            <w:pPr>
              <w:spacing w:after="0"/>
              <w:rPr>
                <w:sz w:val="20"/>
                <w:szCs w:val="20"/>
                <w:color w:val="auto"/>
              </w:rPr>
            </w:pPr>
            <w:r>
              <w:rPr>
                <w:rFonts w:ascii="Arial" w:cs="Arial" w:eastAsia="Arial" w:hAnsi="Arial"/>
                <w:sz w:val="15"/>
                <w:szCs w:val="15"/>
                <w:b w:val="1"/>
                <w:bCs w:val="1"/>
                <w:color w:val="auto"/>
              </w:rPr>
              <w:t>Period</w:t>
            </w:r>
          </w:p>
        </w:tc>
        <w:tc>
          <w:tcPr>
            <w:tcW w:w="4160" w:type="dxa"/>
            <w:vAlign w:val="bottom"/>
            <w:gridSpan w:val="3"/>
          </w:tcPr>
          <w:p>
            <w:pPr>
              <w:jc w:val="center"/>
              <w:ind w:left="2965"/>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7"/>
              </w:rPr>
              <w:t>Euro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20" w:type="dxa"/>
            <w:vAlign w:val="bottom"/>
          </w:tcPr>
          <w:p>
            <w:pPr>
              <w:spacing w:after="0" w:line="180" w:lineRule="exact"/>
              <w:rPr>
                <w:sz w:val="20"/>
                <w:szCs w:val="20"/>
                <w:color w:val="auto"/>
              </w:rPr>
            </w:pPr>
            <w:r>
              <w:rPr>
                <w:rFonts w:ascii="Arial" w:cs="Arial" w:eastAsia="Arial" w:hAnsi="Arial"/>
                <w:sz w:val="16"/>
                <w:szCs w:val="16"/>
                <w:color w:val="auto"/>
              </w:rPr>
              <w:t>2012</w:t>
            </w:r>
          </w:p>
        </w:tc>
        <w:tc>
          <w:tcPr>
            <w:tcW w:w="29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7.8</w:t>
            </w:r>
          </w:p>
        </w:tc>
        <w:tc>
          <w:tcPr>
            <w:tcW w:w="320" w:type="dxa"/>
            <w:vAlign w:val="bottom"/>
            <w:vMerge w:val="continue"/>
          </w:tcPr>
          <w:p>
            <w:pPr>
              <w:spacing w:after="0"/>
              <w:rPr>
                <w:sz w:val="15"/>
                <w:szCs w:val="15"/>
                <w:color w:val="auto"/>
              </w:rPr>
            </w:pPr>
          </w:p>
        </w:tc>
        <w:tc>
          <w:tcPr>
            <w:tcW w:w="12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4"/>
        </w:trPr>
        <w:tc>
          <w:tcPr>
            <w:tcW w:w="2140" w:type="dxa"/>
            <w:vAlign w:val="bottom"/>
            <w:gridSpan w:val="2"/>
          </w:tcPr>
          <w:p>
            <w:pPr>
              <w:spacing w:after="0"/>
              <w:rPr>
                <w:sz w:val="20"/>
                <w:szCs w:val="20"/>
                <w:color w:val="auto"/>
              </w:rPr>
            </w:pPr>
            <w:r>
              <w:rPr>
                <w:rFonts w:ascii="Arial" w:cs="Arial" w:eastAsia="Arial" w:hAnsi="Arial"/>
                <w:sz w:val="16"/>
                <w:szCs w:val="16"/>
                <w:color w:val="auto"/>
              </w:rPr>
              <w:t>2013</w:t>
            </w:r>
          </w:p>
        </w:tc>
        <w:tc>
          <w:tcPr>
            <w:tcW w:w="4480" w:type="dxa"/>
            <w:vAlign w:val="bottom"/>
            <w:gridSpan w:val="4"/>
          </w:tcPr>
          <w:p>
            <w:pPr>
              <w:jc w:val="right"/>
              <w:ind w:right="280"/>
              <w:spacing w:after="0"/>
              <w:rPr>
                <w:sz w:val="20"/>
                <w:szCs w:val="20"/>
                <w:color w:val="auto"/>
              </w:rPr>
            </w:pPr>
            <w:r>
              <w:rPr>
                <w:rFonts w:ascii="Arial" w:cs="Arial" w:eastAsia="Arial" w:hAnsi="Arial"/>
                <w:sz w:val="16"/>
                <w:szCs w:val="16"/>
                <w:color w:val="auto"/>
              </w:rPr>
              <w:t>(6.4)</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6"/>
        </w:trPr>
        <w:tc>
          <w:tcPr>
            <w:tcW w:w="2140" w:type="dxa"/>
            <w:vAlign w:val="bottom"/>
            <w:gridSpan w:val="2"/>
          </w:tcPr>
          <w:p>
            <w:pPr>
              <w:spacing w:after="0"/>
              <w:rPr>
                <w:sz w:val="20"/>
                <w:szCs w:val="20"/>
                <w:color w:val="auto"/>
              </w:rPr>
            </w:pPr>
            <w:r>
              <w:rPr>
                <w:rFonts w:ascii="Arial" w:cs="Arial" w:eastAsia="Arial" w:hAnsi="Arial"/>
                <w:sz w:val="16"/>
                <w:szCs w:val="16"/>
                <w:color w:val="auto"/>
              </w:rPr>
              <w:t>2014</w:t>
            </w:r>
          </w:p>
        </w:tc>
        <w:tc>
          <w:tcPr>
            <w:tcW w:w="4480" w:type="dxa"/>
            <w:vAlign w:val="bottom"/>
            <w:gridSpan w:val="4"/>
          </w:tcPr>
          <w:p>
            <w:pPr>
              <w:jc w:val="right"/>
              <w:ind w:right="280"/>
              <w:spacing w:after="0"/>
              <w:rPr>
                <w:sz w:val="20"/>
                <w:szCs w:val="20"/>
                <w:color w:val="auto"/>
              </w:rPr>
            </w:pPr>
            <w:r>
              <w:rPr>
                <w:rFonts w:ascii="Arial" w:cs="Arial" w:eastAsia="Arial" w:hAnsi="Arial"/>
                <w:sz w:val="16"/>
                <w:szCs w:val="16"/>
                <w:color w:val="auto"/>
              </w:rPr>
              <w:t>(0.9)</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tcPr>
          <w:p>
            <w:pPr>
              <w:jc w:val="right"/>
              <w:ind w:right="965"/>
              <w:spacing w:after="0"/>
              <w:rPr>
                <w:sz w:val="20"/>
                <w:szCs w:val="20"/>
                <w:color w:val="auto"/>
              </w:rPr>
            </w:pPr>
            <w:r>
              <w:rPr>
                <w:rFonts w:ascii="Arial" w:cs="Arial" w:eastAsia="Arial" w:hAnsi="Arial"/>
                <w:sz w:val="13"/>
                <w:szCs w:val="13"/>
                <w:color w:val="auto"/>
              </w:rPr>
              <w:t>50</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7" w:right="1440" w:bottom="1440" w:gutter="0" w:footer="0" w:header="0"/>
        </w:sectPr>
      </w:pPr>
    </w:p>
    <w:bookmarkStart w:id="54" w:name="page55"/>
    <w:bookmarkEnd w:id="54"/>
    <w:p>
      <w:pPr>
        <w:ind w:left="580" w:right="579" w:firstLine="194"/>
        <w:spacing w:after="0" w:line="257" w:lineRule="auto"/>
        <w:rPr>
          <w:sz w:val="20"/>
          <w:szCs w:val="20"/>
          <w:color w:val="auto"/>
        </w:rPr>
      </w:pPr>
      <w:r>
        <w:rPr>
          <w:rFonts w:ascii="Arial" w:cs="Arial" w:eastAsia="Arial" w:hAnsi="Arial"/>
          <w:sz w:val="16"/>
          <w:szCs w:val="16"/>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A 10% increase or decrease in the value of the NIS against the U.S. dollar would have decreased or increased our net income by approximately $2.8 million in 2013 and by approximately $3.6 million in 2014. A 10% increase or decrease in the value of the Euro against the U.S. dollar would have decreased or increased our net income by approximately $0.6 million in 2013 and by approximately $1.1 million in 2014.</w:t>
      </w:r>
    </w:p>
    <w:p>
      <w:pPr>
        <w:spacing w:after="0" w:line="171" w:lineRule="exact"/>
        <w:rPr>
          <w:sz w:val="20"/>
          <w:szCs w:val="20"/>
          <w:color w:val="auto"/>
        </w:rPr>
      </w:pPr>
    </w:p>
    <w:p>
      <w:pPr>
        <w:ind w:left="580" w:right="699" w:firstLine="194"/>
        <w:spacing w:after="0" w:line="262" w:lineRule="auto"/>
        <w:rPr>
          <w:sz w:val="20"/>
          <w:szCs w:val="20"/>
          <w:color w:val="auto"/>
        </w:rPr>
      </w:pPr>
      <w:r>
        <w:rPr>
          <w:rFonts w:ascii="Arial" w:cs="Arial" w:eastAsia="Arial" w:hAnsi="Arial"/>
          <w:sz w:val="16"/>
          <w:szCs w:val="16"/>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66" w:lineRule="exact"/>
        <w:rPr>
          <w:sz w:val="20"/>
          <w:szCs w:val="20"/>
          <w:color w:val="auto"/>
        </w:rPr>
      </w:pPr>
    </w:p>
    <w:p>
      <w:pPr>
        <w:ind w:left="580" w:right="659" w:firstLine="194"/>
        <w:spacing w:after="0" w:line="278" w:lineRule="auto"/>
        <w:rPr>
          <w:sz w:val="20"/>
          <w:szCs w:val="20"/>
          <w:color w:val="auto"/>
        </w:rPr>
      </w:pPr>
      <w:r>
        <w:rPr>
          <w:rFonts w:ascii="Arial" w:cs="Arial" w:eastAsia="Arial" w:hAnsi="Arial"/>
          <w:sz w:val="15"/>
          <w:szCs w:val="15"/>
          <w:color w:val="auto"/>
        </w:rPr>
        <w:t>Although we have not hedged against these risks formally in the past, in 2013 we converted U.S. dollars to NIS a few weeks in advance of anticipated large NIS expense payments (such as payroll expenses) to hedge against the potential devaluation of the U.S. dollar relative to the NIS prior to the dates for such payments. We will continue to monitor exposure to currency fluctuations.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58" w:lineRule="exact"/>
        <w:rPr>
          <w:sz w:val="20"/>
          <w:szCs w:val="20"/>
          <w:color w:val="auto"/>
        </w:rPr>
      </w:pPr>
    </w:p>
    <w:p>
      <w:pPr>
        <w:ind w:left="580" w:right="699" w:firstLine="194"/>
        <w:spacing w:after="0" w:line="256" w:lineRule="auto"/>
        <w:rPr>
          <w:sz w:val="20"/>
          <w:szCs w:val="20"/>
          <w:color w:val="auto"/>
        </w:rPr>
      </w:pPr>
      <w:r>
        <w:rPr>
          <w:rFonts w:ascii="Arial" w:cs="Arial" w:eastAsia="Arial" w:hAnsi="Arial"/>
          <w:sz w:val="16"/>
          <w:szCs w:val="16"/>
          <w:color w:val="auto"/>
        </w:rPr>
        <w:t>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once implemented,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Other Market Risks</w:t>
      </w:r>
    </w:p>
    <w:p>
      <w:pPr>
        <w:spacing w:after="0" w:line="204" w:lineRule="exact"/>
        <w:rPr>
          <w:sz w:val="20"/>
          <w:szCs w:val="20"/>
          <w:color w:val="auto"/>
        </w:rPr>
      </w:pPr>
    </w:p>
    <w:p>
      <w:pPr>
        <w:ind w:left="580" w:right="1099" w:firstLine="194"/>
        <w:spacing w:after="0" w:line="281" w:lineRule="auto"/>
        <w:rPr>
          <w:sz w:val="20"/>
          <w:szCs w:val="20"/>
          <w:color w:val="auto"/>
        </w:rPr>
      </w:pPr>
      <w:r>
        <w:rPr>
          <w:rFonts w:ascii="Arial" w:cs="Arial" w:eastAsia="Arial" w:hAnsi="Arial"/>
          <w:sz w:val="16"/>
          <w:szCs w:val="16"/>
          <w:color w:val="auto"/>
        </w:rPr>
        <w:t>We do not believe that we have material exposure to interest rate risk due to the fact that we have no long-term borrowings.</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 do not believe that we have any material exposure to inflationary risks.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Off-Balance Sheet Arrangements</w:t>
      </w:r>
    </w:p>
    <w:p>
      <w:pPr>
        <w:spacing w:after="0" w:line="208" w:lineRule="exact"/>
        <w:rPr>
          <w:sz w:val="20"/>
          <w:szCs w:val="20"/>
          <w:color w:val="auto"/>
        </w:rPr>
      </w:pPr>
    </w:p>
    <w:p>
      <w:pPr>
        <w:jc w:val="both"/>
        <w:ind w:left="580" w:right="619" w:firstLine="194"/>
        <w:spacing w:after="0" w:line="355" w:lineRule="auto"/>
        <w:rPr>
          <w:sz w:val="20"/>
          <w:szCs w:val="20"/>
          <w:color w:val="auto"/>
        </w:rPr>
      </w:pPr>
      <w:r>
        <w:rPr>
          <w:rFonts w:ascii="Arial" w:cs="Arial" w:eastAsia="Arial" w:hAnsi="Arial"/>
          <w:sz w:val="14"/>
          <w:szCs w:val="14"/>
          <w:color w:val="auto"/>
        </w:rPr>
        <w:t>Since our inception, except for standard operating leases, we have not engaged in any off-balance sheet arrangements, such as the use of unconsolidated subsidiaries, structured finance, special purpose entities or variable interest entities.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New and Revised Financial Accounting Standards</w:t>
      </w:r>
    </w:p>
    <w:p>
      <w:pPr>
        <w:spacing w:after="0" w:line="208" w:lineRule="exact"/>
        <w:rPr>
          <w:sz w:val="20"/>
          <w:szCs w:val="20"/>
          <w:color w:val="auto"/>
        </w:rPr>
      </w:pPr>
    </w:p>
    <w:p>
      <w:pPr>
        <w:jc w:val="both"/>
        <w:ind w:left="580" w:right="639" w:firstLine="194"/>
        <w:spacing w:after="0" w:line="262" w:lineRule="auto"/>
        <w:rPr>
          <w:sz w:val="20"/>
          <w:szCs w:val="20"/>
          <w:color w:val="auto"/>
        </w:rPr>
      </w:pPr>
      <w:r>
        <w:rPr>
          <w:rFonts w:ascii="Arial" w:cs="Arial" w:eastAsia="Arial" w:hAnsi="Arial"/>
          <w:sz w:val="16"/>
          <w:szCs w:val="16"/>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Recently Issued and Adopted Accounting Pronouncements</w:t>
      </w:r>
    </w:p>
    <w:p>
      <w:pPr>
        <w:spacing w:after="0" w:line="208" w:lineRule="exact"/>
        <w:rPr>
          <w:sz w:val="20"/>
          <w:szCs w:val="20"/>
          <w:color w:val="auto"/>
        </w:rPr>
      </w:pPr>
    </w:p>
    <w:p>
      <w:pPr>
        <w:ind w:left="580" w:right="639" w:firstLine="194"/>
        <w:spacing w:after="0" w:line="277" w:lineRule="auto"/>
        <w:rPr>
          <w:sz w:val="20"/>
          <w:szCs w:val="20"/>
          <w:color w:val="auto"/>
        </w:rPr>
      </w:pPr>
      <w:r>
        <w:rPr>
          <w:rFonts w:ascii="Arial" w:cs="Arial" w:eastAsia="Arial" w:hAnsi="Arial"/>
          <w:sz w:val="15"/>
          <w:szCs w:val="15"/>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We are currently in the process of evaluating the impact of the adoption of ASU 2014-09 on our consolidated financial statements.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INDUSTRY</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Overview</w:t>
      </w:r>
    </w:p>
    <w:p>
      <w:pPr>
        <w:spacing w:after="0" w:line="208" w:lineRule="exact"/>
        <w:rPr>
          <w:sz w:val="20"/>
          <w:szCs w:val="20"/>
          <w:color w:val="auto"/>
        </w:rPr>
      </w:pPr>
    </w:p>
    <w:p>
      <w:pPr>
        <w:ind w:left="580" w:right="579" w:firstLine="194"/>
        <w:spacing w:after="0" w:line="258" w:lineRule="auto"/>
        <w:rPr>
          <w:sz w:val="20"/>
          <w:szCs w:val="20"/>
          <w:color w:val="auto"/>
        </w:rPr>
      </w:pPr>
      <w:r>
        <w:rPr>
          <w:rFonts w:ascii="Arial" w:cs="Arial" w:eastAsia="Arial" w:hAnsi="Arial"/>
          <w:sz w:val="16"/>
          <w:szCs w:val="16"/>
          <w:color w:val="auto"/>
        </w:rPr>
        <w:t>The retail value of the global textile industry was over $1 trillion in 2013 and is projected to grow between 2% and 5% annually through 2018, according to a November 2014 report published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34" w:lineRule="exact"/>
        <w:rPr>
          <w:sz w:val="20"/>
          <w:szCs w:val="20"/>
          <w:color w:val="auto"/>
        </w:rPr>
      </w:pPr>
    </w:p>
    <w:p>
      <w:pPr>
        <w:ind w:left="580" w:right="599" w:firstLine="194"/>
        <w:spacing w:after="0" w:line="302" w:lineRule="auto"/>
        <w:rPr>
          <w:sz w:val="20"/>
          <w:szCs w:val="20"/>
          <w:color w:val="auto"/>
        </w:rPr>
      </w:pPr>
      <w:r>
        <w:rPr>
          <w:rFonts w:ascii="Arial" w:cs="Arial" w:eastAsia="Arial" w:hAnsi="Arial"/>
          <w:sz w:val="14"/>
          <w:szCs w:val="14"/>
          <w:color w:val="auto"/>
        </w:rPr>
        <w:t>There is a diverse ecosystem of businesses that utilize textile printing processes, such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17" w:lineRule="exact"/>
        <w:rPr>
          <w:sz w:val="20"/>
          <w:szCs w:val="20"/>
          <w:color w:val="auto"/>
        </w:rPr>
      </w:pPr>
    </w:p>
    <w:p>
      <w:pPr>
        <w:ind w:left="580" w:right="599" w:firstLine="194"/>
        <w:spacing w:after="0" w:line="293" w:lineRule="auto"/>
        <w:rPr>
          <w:sz w:val="20"/>
          <w:szCs w:val="20"/>
          <w:color w:val="auto"/>
        </w:rPr>
      </w:pPr>
      <w:r>
        <w:rPr>
          <w:rFonts w:ascii="Arial" w:cs="Arial" w:eastAsia="Arial" w:hAnsi="Arial"/>
          <w:sz w:val="14"/>
          <w:szCs w:val="14"/>
          <w:color w:val="auto"/>
        </w:rPr>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initial growth rates in the digital textile printing market were more than 45% between 2004 and 2009, declining to an average compound annual growth rate of 25.0% between 2009 and 2012 and an average compound annual growth rate of 19.4% between 2012 and 2014 as the market became more mature and, in part, due to the impact of the global economic slowdown. Digital textile printing output is forecasted to grow at approximately 20% per year globally for the foreseeable future driven by projected compound annual growth rates from 2014 to 2019 of approximately 15% in North America, 20% in Western Europe, 20% in Eastern Europe and 21% in Asia according to the Pira report. Within digital textile printing, clothing applications represent the greatest amount of digital printed textile output and are projected to grow at a faster rate than household, technical and display applications.</w:t>
      </w:r>
    </w:p>
    <w:p>
      <w:pPr>
        <w:spacing w:after="0" w:line="114" w:lineRule="exact"/>
        <w:rPr>
          <w:sz w:val="20"/>
          <w:szCs w:val="20"/>
          <w:color w:val="auto"/>
        </w:rPr>
      </w:pPr>
    </w:p>
    <w:p>
      <w:pPr>
        <w:ind w:left="580" w:right="679" w:firstLine="194"/>
        <w:spacing w:after="0" w:line="262" w:lineRule="auto"/>
        <w:rPr>
          <w:sz w:val="20"/>
          <w:szCs w:val="20"/>
          <w:color w:val="auto"/>
        </w:rPr>
      </w:pPr>
      <w:r>
        <w:rPr>
          <w:rFonts w:ascii="Arial" w:cs="Arial" w:eastAsia="Arial" w:hAnsi="Arial"/>
          <w:sz w:val="16"/>
          <w:szCs w:val="16"/>
          <w:color w:val="auto"/>
        </w:rPr>
        <w:t>We estimate that global revenue from digital textile printing equipment and ink will grow at a 17% compound annual growth rate between 2014 and 2019 based on the estimate of such revenue for 2014 and the projection for 2019, in each case, contained in the Pira report. There is currently a global installed base of approximately 35,000 digital textile printers.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Trends in the Textile Printing Market</w:t>
      </w:r>
    </w:p>
    <w:p>
      <w:pPr>
        <w:spacing w:after="0" w:line="208" w:lineRule="exact"/>
        <w:rPr>
          <w:sz w:val="20"/>
          <w:szCs w:val="20"/>
          <w:color w:val="auto"/>
        </w:rPr>
      </w:pPr>
    </w:p>
    <w:p>
      <w:pPr>
        <w:ind w:left="580" w:right="959" w:firstLine="194"/>
        <w:spacing w:after="0" w:line="311" w:lineRule="auto"/>
        <w:rPr>
          <w:sz w:val="20"/>
          <w:szCs w:val="20"/>
          <w:color w:val="auto"/>
        </w:rPr>
      </w:pPr>
      <w:r>
        <w:rPr>
          <w:rFonts w:ascii="Arial" w:cs="Arial" w:eastAsia="Arial" w:hAnsi="Arial"/>
          <w:sz w:val="14"/>
          <w:szCs w:val="14"/>
          <w:color w:val="auto"/>
        </w:rPr>
        <w:t>Textile printing is most commonly conducted using an analog printing method known as screen printing, which includes rotary screen printing and manual or automated carousel screen printing techniques. Rotary screen printing involves passing rolls of fabric through rotating cylinders that are engraved with the image or design to be printed, whereas carousel screen printing involves squeezing ink onto fabric through purpose-built mesh stencils.</w:t>
      </w:r>
    </w:p>
    <w:p>
      <w:pPr>
        <w:spacing w:after="0" w:line="110" w:lineRule="exact"/>
        <w:rPr>
          <w:sz w:val="20"/>
          <w:szCs w:val="20"/>
          <w:color w:val="auto"/>
        </w:rPr>
      </w:pPr>
    </w:p>
    <w:p>
      <w:pPr>
        <w:ind w:left="580" w:right="699" w:firstLine="194"/>
        <w:spacing w:after="0" w:line="257" w:lineRule="auto"/>
        <w:rPr>
          <w:sz w:val="20"/>
          <w:szCs w:val="20"/>
          <w:color w:val="auto"/>
        </w:rPr>
      </w:pPr>
      <w:r>
        <w:rPr>
          <w:rFonts w:ascii="Arial" w:cs="Arial" w:eastAsia="Arial" w:hAnsi="Arial"/>
          <w:sz w:val="16"/>
          <w:szCs w:val="16"/>
          <w:color w:val="auto"/>
        </w:rPr>
        <w:t>Digital printing, which uses specially engineered inkjet heads to print designs and patterns directly onto fabrics, currently represents a small, but rapidly growing, portion of the global printed textile industry. Digital textile printing allows a full image or design to be printed on a garment or cut fabric in one manufacturing step compared to multiple steps in an analog printing process. Digital textile printing gives manufacturers the ability to print small runs in a cost-effective manner with a minimum order quantity of one unit. Demand for digital equipment and consumables is expanding due to the increasing acceptance of digital textile printing processes among industry participants and in order to respond to the following trends:</w:t>
      </w:r>
    </w:p>
    <w:p>
      <w:pPr>
        <w:spacing w:after="0" w:line="147" w:lineRule="exact"/>
        <w:rPr>
          <w:sz w:val="20"/>
          <w:szCs w:val="20"/>
          <w:color w:val="auto"/>
        </w:rPr>
      </w:pPr>
    </w:p>
    <w:p>
      <w:pPr>
        <w:ind w:left="960" w:right="579" w:hanging="189"/>
        <w:spacing w:after="0" w:line="244" w:lineRule="auto"/>
        <w:tabs>
          <w:tab w:leader="none" w:pos="943" w:val="left"/>
        </w:tabs>
        <w:numPr>
          <w:ilvl w:val="0"/>
          <w:numId w:val="30"/>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 xml:space="preserve">Increased demand for variety and complexity of images and designs. </w:t>
      </w:r>
      <w:r>
        <w:rPr>
          <w:rFonts w:ascii="Arial" w:cs="Arial" w:eastAsia="Arial" w:hAnsi="Arial"/>
          <w:sz w:val="16"/>
          <w:szCs w:val="16"/>
          <w:color w:val="auto"/>
        </w:rPr>
        <w:t>In order to distinguish themselves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masses, consumers demand, and brand owners seek to supply, a wide range of styles that are innovative and diverse.</w:t>
      </w:r>
    </w:p>
    <w:p>
      <w:pPr>
        <w:spacing w:after="0" w:line="191" w:lineRule="exact"/>
        <w:rPr>
          <w:rFonts w:ascii="Arial" w:cs="Arial" w:eastAsia="Arial" w:hAnsi="Arial"/>
          <w:sz w:val="19"/>
          <w:szCs w:val="19"/>
          <w:b w:val="1"/>
          <w:bCs w:val="1"/>
          <w:i w:val="1"/>
          <w:iCs w:val="1"/>
          <w:color w:val="auto"/>
        </w:rPr>
      </w:pPr>
    </w:p>
    <w:p>
      <w:pPr>
        <w:ind w:left="960" w:right="619" w:hanging="189"/>
        <w:spacing w:after="0" w:line="244" w:lineRule="auto"/>
        <w:tabs>
          <w:tab w:leader="none" w:pos="943" w:val="left"/>
        </w:tabs>
        <w:numPr>
          <w:ilvl w:val="0"/>
          <w:numId w:val="30"/>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 xml:space="preserve">Mass customization and personalization. </w:t>
      </w:r>
      <w:r>
        <w:rPr>
          <w:rFonts w:ascii="Arial" w:cs="Arial" w:eastAsia="Arial" w:hAnsi="Arial"/>
          <w:sz w:val="16"/>
          <w:szCs w:val="16"/>
          <w:color w:val="auto"/>
        </w:rPr>
        <w:t>We believe consumers are increasingly seeking the ability to customize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by choosing preferred features from a menu of options, or the ability to personalize products by adding an individualized pattern.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56" w:name="page57"/>
    <w:bookmarkEnd w:id="56"/>
    <w:p>
      <w:pPr>
        <w:ind w:left="960" w:right="779" w:hanging="189"/>
        <w:spacing w:after="0" w:line="244" w:lineRule="auto"/>
        <w:tabs>
          <w:tab w:leader="none" w:pos="943" w:val="left"/>
        </w:tabs>
        <w:numPr>
          <w:ilvl w:val="0"/>
          <w:numId w:val="31"/>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Reduced time between design and production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digital textile printing process allows for samples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quickly produced, evaluated, and modified, which permits brand owners to increase the frequency and variety of replenishment cycles in response to fashion trends.</w:t>
      </w:r>
    </w:p>
    <w:p>
      <w:pPr>
        <w:spacing w:after="0" w:line="191" w:lineRule="exact"/>
        <w:rPr>
          <w:rFonts w:ascii="Arial" w:cs="Arial" w:eastAsia="Arial" w:hAnsi="Arial"/>
          <w:sz w:val="19"/>
          <w:szCs w:val="19"/>
          <w:b w:val="1"/>
          <w:bCs w:val="1"/>
          <w:i w:val="1"/>
          <w:iCs w:val="1"/>
          <w:color w:val="auto"/>
        </w:rPr>
      </w:pPr>
    </w:p>
    <w:p>
      <w:pPr>
        <w:ind w:left="960" w:right="599" w:hanging="189"/>
        <w:spacing w:after="0" w:line="246" w:lineRule="auto"/>
        <w:tabs>
          <w:tab w:leader="none" w:pos="943" w:val="left"/>
        </w:tabs>
        <w:numPr>
          <w:ilvl w:val="0"/>
          <w:numId w:val="31"/>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 xml:space="preserve">Focus on reducing risk of excess inventory. </w:t>
      </w:r>
      <w:r>
        <w:rPr>
          <w:rFonts w:ascii="Arial" w:cs="Arial" w:eastAsia="Arial" w:hAnsi="Arial"/>
          <w:sz w:val="16"/>
          <w:szCs w:val="16"/>
          <w:color w:val="auto"/>
        </w:rPr>
        <w:t>The costly and time-consuming upfront setup required in analog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methods is avoided when using digital printing technologies. Therefore, digital printing enables the cost efficient production of a smaller quantity of garments which mitigates excess inventory risk and improves profitability.</w:t>
      </w:r>
    </w:p>
    <w:p>
      <w:pPr>
        <w:spacing w:after="0" w:line="155" w:lineRule="exact"/>
        <w:rPr>
          <w:rFonts w:ascii="Arial" w:cs="Arial" w:eastAsia="Arial" w:hAnsi="Arial"/>
          <w:sz w:val="19"/>
          <w:szCs w:val="19"/>
          <w:b w:val="1"/>
          <w:bCs w:val="1"/>
          <w:i w:val="1"/>
          <w:iCs w:val="1"/>
          <w:color w:val="auto"/>
        </w:rPr>
      </w:pPr>
    </w:p>
    <w:p>
      <w:pPr>
        <w:ind w:left="960" w:right="639" w:hanging="189"/>
        <w:spacing w:after="0" w:line="268" w:lineRule="auto"/>
        <w:tabs>
          <w:tab w:leader="none" w:pos="943"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5"/>
          <w:szCs w:val="15"/>
          <w:b w:val="1"/>
          <w:bCs w:val="1"/>
          <w:i w:val="1"/>
          <w:iCs w:val="1"/>
          <w:color w:val="auto"/>
        </w:rPr>
        <w:t>Environmentally friendly production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Regulatory bodies and consumers are increasingly focused on social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51" w:lineRule="exact"/>
        <w:rPr>
          <w:rFonts w:ascii="Arial" w:cs="Arial" w:eastAsia="Arial" w:hAnsi="Arial"/>
          <w:sz w:val="18"/>
          <w:szCs w:val="18"/>
          <w:b w:val="1"/>
          <w:bCs w:val="1"/>
          <w:i w:val="1"/>
          <w:iCs w:val="1"/>
          <w:color w:val="auto"/>
        </w:rPr>
      </w:pPr>
    </w:p>
    <w:p>
      <w:pPr>
        <w:ind w:left="960" w:right="679" w:hanging="189"/>
        <w:spacing w:after="0" w:line="268" w:lineRule="auto"/>
        <w:tabs>
          <w:tab w:leader="none" w:pos="943"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5"/>
          <w:szCs w:val="15"/>
          <w:b w:val="1"/>
          <w:bCs w:val="1"/>
          <w:i w:val="1"/>
          <w:iCs w:val="1"/>
          <w:color w:val="auto"/>
        </w:rPr>
        <w:t xml:space="preserve">Reduced labor and physical space requirements. </w:t>
      </w:r>
      <w:r>
        <w:rPr>
          <w:rFonts w:ascii="Arial" w:cs="Arial" w:eastAsia="Arial" w:hAnsi="Arial"/>
          <w:sz w:val="15"/>
          <w:szCs w:val="15"/>
          <w:color w:val="auto"/>
        </w:rPr>
        <w:t>Digital textile printing requires significantly less labor to print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Overview of Textile Printing Processes</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989965</wp:posOffset>
            </wp:positionH>
            <wp:positionV relativeFrom="paragraph">
              <wp:posOffset>121920</wp:posOffset>
            </wp:positionV>
            <wp:extent cx="3753485" cy="1538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53485"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Analog Printing Processes</w:t>
      </w:r>
    </w:p>
    <w:p>
      <w:pPr>
        <w:spacing w:after="0" w:line="204" w:lineRule="exact"/>
        <w:rPr>
          <w:sz w:val="20"/>
          <w:szCs w:val="20"/>
          <w:color w:val="auto"/>
        </w:rPr>
      </w:pPr>
    </w:p>
    <w:p>
      <w:pPr>
        <w:ind w:left="580" w:right="699" w:firstLine="194"/>
        <w:spacing w:after="0" w:line="281" w:lineRule="auto"/>
        <w:rPr>
          <w:sz w:val="20"/>
          <w:szCs w:val="20"/>
          <w:color w:val="auto"/>
        </w:rPr>
      </w:pPr>
      <w:r>
        <w:rPr>
          <w:rFonts w:ascii="Arial" w:cs="Arial" w:eastAsia="Arial" w:hAnsi="Arial"/>
          <w:sz w:val="16"/>
          <w:szCs w:val="16"/>
          <w:color w:val="auto"/>
        </w:rPr>
        <w:t>Screen printing is the most commonly used printing process for textiles. The two primary methods of screen printing are rotary screen printing and automated carousel screen printing.</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137160</wp:posOffset>
            </wp:positionV>
            <wp:extent cx="5014595" cy="676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1459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60" w:right="759" w:hanging="189"/>
        <w:spacing w:after="0" w:line="304" w:lineRule="auto"/>
        <w:tabs>
          <w:tab w:leader="none" w:pos="943"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4"/>
          <w:szCs w:val="14"/>
          <w:b w:val="1"/>
          <w:bCs w:val="1"/>
          <w:i w:val="1"/>
          <w:iCs w:val="1"/>
          <w:color w:val="auto"/>
        </w:rPr>
        <w:t xml:space="preserve">Rotary screen printing. </w:t>
      </w:r>
      <w:r>
        <w:rPr>
          <w:rFonts w:ascii="Arial" w:cs="Arial" w:eastAsia="Arial" w:hAnsi="Arial"/>
          <w:sz w:val="14"/>
          <w:szCs w:val="14"/>
          <w:color w:val="auto"/>
        </w:rPr>
        <w:t>Rotary screen printing is commonly used to print on outerwear, underwear, sportswear,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upholstery and linens. It involves multiple, time-consuming process steps. Rolls of fabric pass through rotating</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7" w:name="page58"/>
    <w:bookmarkEnd w:id="57"/>
    <w:p>
      <w:pPr>
        <w:ind w:left="960" w:right="619"/>
        <w:spacing w:after="0" w:line="257" w:lineRule="auto"/>
        <w:rPr>
          <w:sz w:val="20"/>
          <w:szCs w:val="20"/>
          <w:color w:val="auto"/>
        </w:rPr>
      </w:pPr>
      <w:r>
        <w:rPr>
          <w:rFonts w:ascii="Arial" w:cs="Arial" w:eastAsia="Arial" w:hAnsi="Arial"/>
          <w:sz w:val="16"/>
          <w:szCs w:val="16"/>
          <w:color w:val="auto"/>
        </w:rPr>
        <w:t>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137160</wp:posOffset>
            </wp:positionV>
            <wp:extent cx="1561465" cy="1453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61465" cy="145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60" w:right="579" w:hanging="189"/>
        <w:spacing w:after="0" w:line="269" w:lineRule="auto"/>
        <w:tabs>
          <w:tab w:leader="none" w:pos="945"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5"/>
          <w:szCs w:val="15"/>
          <w:b w:val="1"/>
          <w:bCs w:val="1"/>
          <w:i w:val="1"/>
          <w:iCs w:val="1"/>
          <w:color w:val="auto"/>
        </w:rPr>
        <w:t>Automated carousel screen printing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Automated carousel screen printing is commonly used to print on t-shirts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jeans.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137160</wp:posOffset>
            </wp:positionV>
            <wp:extent cx="1484630" cy="17691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84630" cy="176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58" w:name="page59"/>
    <w:bookmarkEnd w:id="58"/>
    <w:p>
      <w:pPr>
        <w:ind w:left="580"/>
        <w:spacing w:after="0"/>
        <w:rPr>
          <w:sz w:val="20"/>
          <w:szCs w:val="20"/>
          <w:color w:val="auto"/>
        </w:rPr>
      </w:pPr>
      <w:r>
        <w:rPr>
          <w:rFonts w:ascii="Arial" w:cs="Arial" w:eastAsia="Arial" w:hAnsi="Arial"/>
          <w:sz w:val="16"/>
          <w:szCs w:val="16"/>
          <w:b w:val="1"/>
          <w:bCs w:val="1"/>
          <w:i w:val="1"/>
          <w:iCs w:val="1"/>
          <w:color w:val="auto"/>
        </w:rPr>
        <w:t>Digital Printing Processes</w:t>
      </w:r>
    </w:p>
    <w:p>
      <w:pPr>
        <w:spacing w:after="0" w:line="204" w:lineRule="exact"/>
        <w:rPr>
          <w:sz w:val="20"/>
          <w:szCs w:val="20"/>
          <w:color w:val="auto"/>
        </w:rPr>
      </w:pPr>
    </w:p>
    <w:p>
      <w:pPr>
        <w:jc w:val="both"/>
        <w:ind w:left="580" w:right="719" w:firstLine="194"/>
        <w:spacing w:after="0" w:line="262" w:lineRule="auto"/>
        <w:rPr>
          <w:sz w:val="20"/>
          <w:szCs w:val="20"/>
          <w:color w:val="auto"/>
        </w:rPr>
      </w:pPr>
      <w:r>
        <w:rPr>
          <w:rFonts w:ascii="Arial" w:cs="Arial" w:eastAsia="Arial" w:hAnsi="Arial"/>
          <w:sz w:val="16"/>
          <w:szCs w:val="16"/>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66" w:lineRule="exact"/>
        <w:rPr>
          <w:sz w:val="20"/>
          <w:szCs w:val="20"/>
          <w:color w:val="auto"/>
        </w:rPr>
      </w:pPr>
    </w:p>
    <w:p>
      <w:pPr>
        <w:ind w:left="580" w:right="639" w:firstLine="194"/>
        <w:spacing w:after="0" w:line="259" w:lineRule="auto"/>
        <w:rPr>
          <w:sz w:val="20"/>
          <w:szCs w:val="20"/>
          <w:color w:val="auto"/>
        </w:rPr>
      </w:pPr>
      <w:r>
        <w:rPr>
          <w:rFonts w:ascii="Arial" w:cs="Arial" w:eastAsia="Arial" w:hAnsi="Arial"/>
          <w:sz w:val="16"/>
          <w:szCs w:val="16"/>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digital textile printing market principally includes two types of printing processes:</w:t>
      </w:r>
    </w:p>
    <w:p>
      <w:pPr>
        <w:spacing w:after="0" w:line="216" w:lineRule="exact"/>
        <w:rPr>
          <w:sz w:val="20"/>
          <w:szCs w:val="20"/>
          <w:color w:val="auto"/>
        </w:rPr>
      </w:pPr>
    </w:p>
    <w:p>
      <w:pPr>
        <w:ind w:left="980" w:right="699" w:hanging="205"/>
        <w:spacing w:after="0" w:line="244" w:lineRule="auto"/>
        <w:tabs>
          <w:tab w:leader="none" w:pos="993" w:val="left"/>
        </w:tabs>
        <w:numPr>
          <w:ilvl w:val="0"/>
          <w:numId w:val="34"/>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 xml:space="preserve">Direct-to-Garment (DTG). </w:t>
      </w:r>
      <w:r>
        <w:rPr>
          <w:rFonts w:ascii="Arial" w:cs="Arial" w:eastAsia="Arial" w:hAnsi="Arial"/>
          <w:sz w:val="16"/>
          <w:szCs w:val="16"/>
          <w:color w:val="auto"/>
        </w:rPr>
        <w:t>In DTG printing, an inkjet printer prints directly on the textile. DTG printing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19"/>
          <w:szCs w:val="19"/>
          <w:b w:val="1"/>
          <w:bCs w:val="1"/>
          <w:i w:val="1"/>
          <w:iCs w:val="1"/>
          <w:color w:val="auto"/>
        </w:rPr>
      </w:pPr>
    </w:p>
    <w:p>
      <w:pPr>
        <w:spacing w:after="0" w:line="200" w:lineRule="exact"/>
        <w:rPr>
          <w:rFonts w:ascii="Arial" w:cs="Arial" w:eastAsia="Arial" w:hAnsi="Arial"/>
          <w:sz w:val="19"/>
          <w:szCs w:val="19"/>
          <w:b w:val="1"/>
          <w:bCs w:val="1"/>
          <w:i w:val="1"/>
          <w:iCs w:val="1"/>
          <w:color w:val="auto"/>
        </w:rPr>
      </w:pPr>
    </w:p>
    <w:p>
      <w:pPr>
        <w:spacing w:after="0" w:line="200" w:lineRule="exact"/>
        <w:rPr>
          <w:rFonts w:ascii="Arial" w:cs="Arial" w:eastAsia="Arial" w:hAnsi="Arial"/>
          <w:sz w:val="19"/>
          <w:szCs w:val="19"/>
          <w:b w:val="1"/>
          <w:bCs w:val="1"/>
          <w:i w:val="1"/>
          <w:iCs w:val="1"/>
          <w:color w:val="auto"/>
        </w:rPr>
      </w:pPr>
    </w:p>
    <w:p>
      <w:pPr>
        <w:spacing w:after="0" w:line="200" w:lineRule="exact"/>
        <w:rPr>
          <w:rFonts w:ascii="Arial" w:cs="Arial" w:eastAsia="Arial" w:hAnsi="Arial"/>
          <w:sz w:val="19"/>
          <w:szCs w:val="19"/>
          <w:b w:val="1"/>
          <w:bCs w:val="1"/>
          <w:i w:val="1"/>
          <w:iCs w:val="1"/>
          <w:color w:val="auto"/>
        </w:rPr>
      </w:pPr>
    </w:p>
    <w:p>
      <w:pPr>
        <w:spacing w:after="0" w:line="214" w:lineRule="exact"/>
        <w:rPr>
          <w:rFonts w:ascii="Arial" w:cs="Arial" w:eastAsia="Arial" w:hAnsi="Arial"/>
          <w:sz w:val="19"/>
          <w:szCs w:val="19"/>
          <w:b w:val="1"/>
          <w:bCs w:val="1"/>
          <w:i w:val="1"/>
          <w:iCs w:val="1"/>
          <w:color w:val="auto"/>
        </w:rPr>
      </w:pPr>
    </w:p>
    <w:p>
      <w:pPr>
        <w:jc w:val="both"/>
        <w:ind w:left="980" w:right="959" w:hanging="205"/>
        <w:spacing w:after="0" w:line="244" w:lineRule="auto"/>
        <w:tabs>
          <w:tab w:leader="none" w:pos="993" w:val="left"/>
        </w:tabs>
        <w:numPr>
          <w:ilvl w:val="0"/>
          <w:numId w:val="34"/>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 xml:space="preserve">Roll-to-Roll (R2R). </w:t>
      </w:r>
      <w:r>
        <w:rPr>
          <w:rFonts w:ascii="Arial" w:cs="Arial" w:eastAsia="Arial" w:hAnsi="Arial"/>
          <w:sz w:val="16"/>
          <w:szCs w:val="16"/>
          <w:color w:val="auto"/>
        </w:rPr>
        <w:t>In R2R printing, rolls of fabric pass in-line through wide-format inkjet printers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utilized 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-901065</wp:posOffset>
            </wp:positionV>
            <wp:extent cx="2722880" cy="400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22880" cy="40005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121285</wp:posOffset>
            </wp:positionV>
            <wp:extent cx="3284220" cy="400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8422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80" w:right="599" w:firstLine="194"/>
        <w:spacing w:after="0" w:line="276" w:lineRule="auto"/>
        <w:rPr>
          <w:sz w:val="20"/>
          <w:szCs w:val="20"/>
          <w:color w:val="auto"/>
        </w:rPr>
      </w:pPr>
      <w:r>
        <w:rPr>
          <w:rFonts w:ascii="Arial" w:cs="Arial" w:eastAsia="Arial" w:hAnsi="Arial"/>
          <w:sz w:val="15"/>
          <w:szCs w:val="15"/>
          <w:color w:val="auto"/>
        </w:rPr>
        <w:t>Recent technological developments in digital printing have supported the adoption of digital printing by the global printed textile industry, including by leading fashion designers, apparel brands, and contract manufacturers. Digital printing systems are now capable of printing increasingly large volumes of textiles with complex, customized images and designs at high throughput levels, which have enabled the global printed textile industry to harness the advantages of digital textile printing in a cost-effective manner. Additionally, the growth of e-commerce has given rise to many online apparel and home décor vendors who are unencumbered by legacy manufacturing processes and who rely primarily on digital printing systems to serve their large customer bases. As a result of these trends, we believe that the global printed textile industry offers a significant and rapidly growing market for digital printing solutions.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BUSINESS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Overview</w:t>
      </w:r>
    </w:p>
    <w:p>
      <w:pPr>
        <w:spacing w:after="0" w:line="208" w:lineRule="exact"/>
        <w:rPr>
          <w:sz w:val="20"/>
          <w:szCs w:val="20"/>
          <w:color w:val="auto"/>
        </w:rPr>
      </w:pPr>
    </w:p>
    <w:p>
      <w:pPr>
        <w:ind w:left="580" w:right="619" w:firstLine="194"/>
        <w:spacing w:after="0" w:line="294" w:lineRule="auto"/>
        <w:rPr>
          <w:sz w:val="20"/>
          <w:szCs w:val="20"/>
          <w:color w:val="auto"/>
        </w:rPr>
      </w:pPr>
      <w:r>
        <w:rPr>
          <w:rFonts w:ascii="Arial" w:cs="Arial" w:eastAsia="Arial" w:hAnsi="Arial"/>
          <w:sz w:val="14"/>
          <w:szCs w:val="14"/>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53" w:lineRule="exact"/>
        <w:rPr>
          <w:sz w:val="20"/>
          <w:szCs w:val="20"/>
          <w:color w:val="auto"/>
        </w:rPr>
      </w:pPr>
    </w:p>
    <w:p>
      <w:pPr>
        <w:ind w:left="580" w:right="659" w:firstLine="194"/>
        <w:spacing w:after="0" w:line="275" w:lineRule="auto"/>
        <w:rPr>
          <w:sz w:val="20"/>
          <w:szCs w:val="20"/>
          <w:color w:val="auto"/>
        </w:rPr>
      </w:pPr>
      <w:r>
        <w:rPr>
          <w:rFonts w:ascii="Arial" w:cs="Arial" w:eastAsia="Arial" w:hAnsi="Arial"/>
          <w:sz w:val="15"/>
          <w:szCs w:val="15"/>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59" w:lineRule="exact"/>
        <w:rPr>
          <w:sz w:val="20"/>
          <w:szCs w:val="20"/>
          <w:color w:val="auto"/>
        </w:rPr>
      </w:pPr>
    </w:p>
    <w:p>
      <w:pPr>
        <w:ind w:left="580" w:right="579" w:firstLine="194"/>
        <w:spacing w:after="0" w:line="273" w:lineRule="auto"/>
        <w:rPr>
          <w:sz w:val="20"/>
          <w:szCs w:val="20"/>
          <w:color w:val="auto"/>
        </w:rPr>
      </w:pPr>
      <w:r>
        <w:rPr>
          <w:rFonts w:ascii="Arial" w:cs="Arial" w:eastAsia="Arial" w:hAnsi="Arial"/>
          <w:sz w:val="15"/>
          <w:szCs w:val="15"/>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40 to 300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and value added services aimed at optimizing the use of our systems.</w:t>
      </w:r>
    </w:p>
    <w:p>
      <w:pPr>
        <w:spacing w:after="0" w:line="165" w:lineRule="exact"/>
        <w:rPr>
          <w:sz w:val="20"/>
          <w:szCs w:val="20"/>
          <w:color w:val="auto"/>
        </w:rPr>
      </w:pPr>
    </w:p>
    <w:p>
      <w:pPr>
        <w:ind w:left="580" w:right="639" w:firstLine="194"/>
        <w:spacing w:after="0" w:line="296" w:lineRule="auto"/>
        <w:rPr>
          <w:sz w:val="20"/>
          <w:szCs w:val="20"/>
          <w:color w:val="auto"/>
        </w:rPr>
      </w:pPr>
      <w:r>
        <w:rPr>
          <w:rFonts w:ascii="Arial" w:cs="Arial" w:eastAsia="Arial" w:hAnsi="Arial"/>
          <w:sz w:val="14"/>
          <w:szCs w:val="14"/>
          <w:color w:val="auto"/>
        </w:rPr>
        <w:t>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 While the DTG market generally involves printing on finished garments, the R2R market is focused on printing on fabrics that are subsequently converted into finished garments. Our R2R solution utilizes our proprietary wet-on-wet printing methodology and houses an integrated dryer within the system. We believe it will be the first single-step, stand-alone R2R digital textile printing solution available on the market. We plan to market our R2R solution, the Allegro, to online businesses that require large variety and limited quantity orders and to fabric converters, who source large quantities of fabric and convert untreated fabrics into finished materials to be sold to garment and home décor manufacturers. We are targeting the commercial launch of the Allegro in the next 18 months and believe it will offer us a significant opportunity for growth.</w:t>
      </w:r>
    </w:p>
    <w:p>
      <w:pPr>
        <w:spacing w:after="0" w:line="146" w:lineRule="exact"/>
        <w:rPr>
          <w:sz w:val="20"/>
          <w:szCs w:val="20"/>
          <w:color w:val="auto"/>
        </w:rPr>
      </w:pPr>
    </w:p>
    <w:p>
      <w:pPr>
        <w:ind w:left="580" w:right="679" w:firstLine="194"/>
        <w:spacing w:after="0" w:line="258" w:lineRule="auto"/>
        <w:rPr>
          <w:sz w:val="20"/>
          <w:szCs w:val="20"/>
          <w:color w:val="auto"/>
        </w:rPr>
      </w:pPr>
      <w:r>
        <w:rPr>
          <w:rFonts w:ascii="Arial" w:cs="Arial" w:eastAsia="Arial" w:hAnsi="Arial"/>
          <w:sz w:val="16"/>
          <w:szCs w:val="16"/>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60" w:name="page61"/>
    <w:bookmarkEnd w:id="60"/>
    <w:p>
      <w:pPr>
        <w:ind w:left="580"/>
        <w:spacing w:after="0"/>
        <w:rPr>
          <w:sz w:val="20"/>
          <w:szCs w:val="20"/>
          <w:color w:val="auto"/>
        </w:rPr>
      </w:pPr>
      <w:r>
        <w:rPr>
          <w:rFonts w:ascii="Arial" w:cs="Arial" w:eastAsia="Arial" w:hAnsi="Arial"/>
          <w:sz w:val="16"/>
          <w:szCs w:val="16"/>
          <w:b w:val="1"/>
          <w:bCs w:val="1"/>
          <w:color w:val="auto"/>
        </w:rPr>
        <w:t>Our Competitive Strengths</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are our key competitive strengths:</w:t>
      </w:r>
    </w:p>
    <w:p>
      <w:pPr>
        <w:spacing w:after="0" w:line="212" w:lineRule="exact"/>
        <w:rPr>
          <w:sz w:val="20"/>
          <w:szCs w:val="20"/>
          <w:color w:val="auto"/>
        </w:rPr>
      </w:pPr>
    </w:p>
    <w:p>
      <w:pPr>
        <w:ind w:left="960" w:right="579" w:hanging="189"/>
        <w:spacing w:after="0" w:line="290" w:lineRule="auto"/>
        <w:tabs>
          <w:tab w:leader="none" w:pos="943" w:val="left"/>
        </w:tabs>
        <w:numPr>
          <w:ilvl w:val="0"/>
          <w:numId w:val="35"/>
        </w:numPr>
        <w:rPr>
          <w:rFonts w:ascii="Arial" w:cs="Arial" w:eastAsia="Arial" w:hAnsi="Arial"/>
          <w:sz w:val="17"/>
          <w:szCs w:val="17"/>
          <w:b w:val="1"/>
          <w:bCs w:val="1"/>
          <w:color w:val="auto"/>
        </w:rPr>
      </w:pPr>
      <w:r>
        <w:rPr>
          <w:rFonts w:ascii="Arial" w:cs="Arial" w:eastAsia="Arial" w:hAnsi="Arial"/>
          <w:sz w:val="14"/>
          <w:szCs w:val="14"/>
          <w:b w:val="1"/>
          <w:bCs w:val="1"/>
          <w:color w:val="auto"/>
        </w:rPr>
        <w:t>Leading player in fast-growing digital DTG printing market</w:t>
      </w:r>
      <w:r>
        <w:rPr>
          <w:rFonts w:ascii="Arial" w:cs="Arial" w:eastAsia="Arial" w:hAnsi="Arial"/>
          <w:sz w:val="14"/>
          <w:szCs w:val="14"/>
          <w:color w:val="auto"/>
        </w:rPr>
        <w:t>. We are a leading player in the fast-growing</w:t>
      </w:r>
      <w:r>
        <w:rPr>
          <w:rFonts w:ascii="Arial" w:cs="Arial" w:eastAsia="Arial" w:hAnsi="Arial"/>
          <w:sz w:val="14"/>
          <w:szCs w:val="14"/>
          <w:b w:val="1"/>
          <w:bCs w:val="1"/>
          <w:color w:val="auto"/>
        </w:rPr>
        <w:t xml:space="preserve"> </w:t>
      </w:r>
      <w:r>
        <w:rPr>
          <w:rFonts w:ascii="Arial" w:cs="Arial" w:eastAsia="Arial" w:hAnsi="Arial"/>
          <w:sz w:val="14"/>
          <w:szCs w:val="14"/>
          <w:color w:val="auto"/>
        </w:rPr>
        <w:t>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In 2013, we grew our revenues 26.0% compared to 2012 and, in 2014, we grew our revenues 34.4% compared to 2013.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157" w:lineRule="exact"/>
        <w:rPr>
          <w:rFonts w:ascii="Arial" w:cs="Arial" w:eastAsia="Arial" w:hAnsi="Arial"/>
          <w:sz w:val="17"/>
          <w:szCs w:val="17"/>
          <w:b w:val="1"/>
          <w:bCs w:val="1"/>
          <w:color w:val="auto"/>
        </w:rPr>
      </w:pPr>
    </w:p>
    <w:p>
      <w:pPr>
        <w:ind w:left="960" w:right="599" w:hanging="189"/>
        <w:spacing w:after="0" w:line="269" w:lineRule="auto"/>
        <w:tabs>
          <w:tab w:leader="none" w:pos="948" w:val="left"/>
        </w:tabs>
        <w:numPr>
          <w:ilvl w:val="0"/>
          <w:numId w:val="35"/>
        </w:numPr>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Disruptive technology that enables our customers to adopt new or improve existing business models.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flexibility that our digital printing solutions provide to our customers, including custom decorators, online businesses, brand owners and contract printers, enable them to develop new or improve their existing business models. Custom decorators utilize our solutions to produce short to medium runs of high-quality customized garments quickly and efficiently, enabling them to increase average selling prices compared to screen printed garments. For online businesses, our solutions facilitate the creation of “produce to order” garment production with minimum order quantities of one unit, at high average selling prices, while achieving significant margins. Brand owners benefit from our solutions’ streamlined pre- and post-treatment processes that allow them to handle production needs in house as they reduce labor, physical space requirements, industrial water consumption and eliminate the need for waste water clearing mechanisms. Our solutions also benefit high-volume contract printers that provide printing services to brand owners and high-end garment manufacturers by allowing them to print high resolution images and designs at qualities that meet high fashion standards.</w:t>
      </w:r>
    </w:p>
    <w:p>
      <w:pPr>
        <w:spacing w:after="0" w:line="172" w:lineRule="exact"/>
        <w:rPr>
          <w:rFonts w:ascii="Arial" w:cs="Arial" w:eastAsia="Arial" w:hAnsi="Arial"/>
          <w:sz w:val="18"/>
          <w:szCs w:val="18"/>
          <w:b w:val="1"/>
          <w:bCs w:val="1"/>
          <w:color w:val="auto"/>
        </w:rPr>
      </w:pPr>
    </w:p>
    <w:p>
      <w:pPr>
        <w:ind w:left="960" w:right="599" w:hanging="189"/>
        <w:spacing w:after="0" w:line="269" w:lineRule="auto"/>
        <w:tabs>
          <w:tab w:leader="none" w:pos="943" w:val="left"/>
        </w:tabs>
        <w:numPr>
          <w:ilvl w:val="0"/>
          <w:numId w:val="35"/>
        </w:numPr>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Attractive business model. </w:t>
      </w:r>
      <w:r>
        <w:rPr>
          <w:rFonts w:ascii="Arial" w:cs="Arial" w:eastAsia="Arial" w:hAnsi="Arial"/>
          <w:sz w:val="15"/>
          <w:szCs w:val="15"/>
          <w:color w:val="auto"/>
        </w:rPr>
        <w:t>We currently offer a broad portfolio of differentiated digital printing solutions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digital DTG market. Our existing and growing installed base of systems results in recurring sales of ink and other consumables, which are specially formulated to enable our systems to operate at the highest throughput level.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 our ability to provide value added services to our customers.</w:t>
      </w:r>
    </w:p>
    <w:p>
      <w:pPr>
        <w:spacing w:after="0" w:line="170" w:lineRule="exact"/>
        <w:rPr>
          <w:rFonts w:ascii="Arial" w:cs="Arial" w:eastAsia="Arial" w:hAnsi="Arial"/>
          <w:sz w:val="18"/>
          <w:szCs w:val="18"/>
          <w:b w:val="1"/>
          <w:bCs w:val="1"/>
          <w:color w:val="auto"/>
        </w:rPr>
      </w:pPr>
    </w:p>
    <w:p>
      <w:pPr>
        <w:ind w:left="960" w:right="659" w:hanging="189"/>
        <w:spacing w:after="0" w:line="250" w:lineRule="auto"/>
        <w:tabs>
          <w:tab w:leader="none" w:pos="943" w:val="left"/>
        </w:tabs>
        <w:numPr>
          <w:ilvl w:val="0"/>
          <w:numId w:val="35"/>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Robust intellectual property portfolio driven by an innovation-based culture. </w:t>
      </w:r>
      <w:r>
        <w:rPr>
          <w:rFonts w:ascii="Arial" w:cs="Arial" w:eastAsia="Arial" w:hAnsi="Arial"/>
          <w:sz w:val="16"/>
          <w:szCs w:val="16"/>
          <w:color w:val="auto"/>
        </w:rPr>
        <w:t>Our intellectual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portfolio reflects over a decade of significant investments in digital textile printing, which we believe creates significant barriers to entry. We have developed a strong base of technology know-how, backed by our portfolio of intellectual property, featuring 17 issued patents and seven pending patent applications, covering wet-on-wet printing methodology, ink formulations, printing processes and related methods and systems. Our team of over 50 researchers and developers, including chemists, electrical engineers, system engineers and mechanical engineers, ensures that our systems remain technologically advanced, and are well engineered, user-friendly and highly reliable.</w:t>
      </w:r>
    </w:p>
    <w:p>
      <w:pPr>
        <w:spacing w:after="0" w:line="187" w:lineRule="exact"/>
        <w:rPr>
          <w:rFonts w:ascii="Arial" w:cs="Arial" w:eastAsia="Arial" w:hAnsi="Arial"/>
          <w:sz w:val="19"/>
          <w:szCs w:val="19"/>
          <w:b w:val="1"/>
          <w:bCs w:val="1"/>
          <w:color w:val="auto"/>
        </w:rPr>
      </w:pPr>
    </w:p>
    <w:p>
      <w:pPr>
        <w:ind w:left="960" w:right="639" w:hanging="189"/>
        <w:spacing w:after="0" w:line="290" w:lineRule="auto"/>
        <w:tabs>
          <w:tab w:leader="none" w:pos="943" w:val="left"/>
        </w:tabs>
        <w:numPr>
          <w:ilvl w:val="0"/>
          <w:numId w:val="35"/>
        </w:numPr>
        <w:rPr>
          <w:rFonts w:ascii="Arial" w:cs="Arial" w:eastAsia="Arial" w:hAnsi="Arial"/>
          <w:sz w:val="17"/>
          <w:szCs w:val="17"/>
          <w:b w:val="1"/>
          <w:bCs w:val="1"/>
          <w:color w:val="auto"/>
        </w:rPr>
      </w:pPr>
      <w:r>
        <w:rPr>
          <w:rFonts w:ascii="Arial" w:cs="Arial" w:eastAsia="Arial" w:hAnsi="Arial"/>
          <w:sz w:val="14"/>
          <w:szCs w:val="14"/>
          <w:b w:val="1"/>
          <w:bCs w:val="1"/>
          <w:color w:val="auto"/>
        </w:rPr>
        <w:t xml:space="preserve">Extensive product portfolio and strong new product pipeline. </w:t>
      </w:r>
      <w:r>
        <w:rPr>
          <w:rFonts w:ascii="Arial" w:cs="Arial" w:eastAsia="Arial" w:hAnsi="Arial"/>
          <w:sz w:val="14"/>
          <w:szCs w:val="14"/>
          <w:color w:val="auto"/>
        </w:rPr>
        <w:t>With throughputs ranging from 40 to 300</w:t>
      </w:r>
      <w:r>
        <w:rPr>
          <w:rFonts w:ascii="Arial" w:cs="Arial" w:eastAsia="Arial" w:hAnsi="Arial"/>
          <w:sz w:val="14"/>
          <w:szCs w:val="14"/>
          <w:b w:val="1"/>
          <w:bCs w:val="1"/>
          <w:color w:val="auto"/>
        </w:rPr>
        <w:t xml:space="preserve"> </w:t>
      </w:r>
      <w:r>
        <w:rPr>
          <w:rFonts w:ascii="Arial" w:cs="Arial" w:eastAsia="Arial" w:hAnsi="Arial"/>
          <w:sz w:val="14"/>
          <w:szCs w:val="14"/>
          <w:color w:val="auto"/>
        </w:rPr>
        <w:t>garments per hour, our DTG systems are suited for smaller commercial operators with limited budgets, as well as mass producers with mature operations and complex needs. In addition, we plan to introduce two new solutions to market: the Allegro and the Vulcan. We are targeting a commercial launch of our Allegro system, a one-step, integrated R2R printing and drying system, in the next 18 months. We are also targeting a commercial launch of our Vulcan system, a cost-effective digital substitution for carousel screen printing that enables mass production of customized garments for the DTG market, in the next 24 months. We believe both solutions will offer capabilities that no other player in the global printed textile industry currently offers and will further strengthen our leading position in the digital printed textile market as well as provide additional growth opportunities for our business.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1" w:name="page62"/>
    <w:bookmarkEnd w:id="61"/>
    <w:p>
      <w:pPr>
        <w:ind w:left="960" w:right="639" w:hanging="189"/>
        <w:spacing w:after="0" w:line="269" w:lineRule="auto"/>
        <w:tabs>
          <w:tab w:leader="none" w:pos="943" w:val="left"/>
        </w:tabs>
        <w:numPr>
          <w:ilvl w:val="0"/>
          <w:numId w:val="36"/>
        </w:numPr>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Environmentally friendly printing processes. </w:t>
      </w:r>
      <w:r>
        <w:rPr>
          <w:rFonts w:ascii="Arial" w:cs="Arial" w:eastAsia="Arial" w:hAnsi="Arial"/>
          <w:sz w:val="15"/>
          <w:szCs w:val="15"/>
          <w:color w:val="auto"/>
        </w:rPr>
        <w:t>A significant portion of global industrial water pollution comes</w:t>
      </w:r>
      <w:r>
        <w:rPr>
          <w:rFonts w:ascii="Arial" w:cs="Arial" w:eastAsia="Arial" w:hAnsi="Arial"/>
          <w:sz w:val="15"/>
          <w:szCs w:val="15"/>
          <w:b w:val="1"/>
          <w:bCs w:val="1"/>
          <w:color w:val="auto"/>
        </w:rPr>
        <w:t xml:space="preserve"> </w:t>
      </w:r>
      <w:r>
        <w:rPr>
          <w:rFonts w:ascii="Arial" w:cs="Arial" w:eastAsia="Arial" w:hAnsi="Arial"/>
          <w:sz w:val="15"/>
          <w:szCs w:val="15"/>
          <w:color w:val="auto"/>
        </w:rPr>
        <w:t>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72" w:lineRule="exact"/>
        <w:rPr>
          <w:rFonts w:ascii="Arial" w:cs="Arial" w:eastAsia="Arial" w:hAnsi="Arial"/>
          <w:sz w:val="18"/>
          <w:szCs w:val="18"/>
          <w:b w:val="1"/>
          <w:bCs w:val="1"/>
          <w:color w:val="auto"/>
        </w:rPr>
      </w:pPr>
    </w:p>
    <w:p>
      <w:pPr>
        <w:ind w:left="960" w:right="679" w:hanging="189"/>
        <w:spacing w:after="0" w:line="269" w:lineRule="auto"/>
        <w:tabs>
          <w:tab w:leader="none" w:pos="943" w:val="left"/>
        </w:tabs>
        <w:numPr>
          <w:ilvl w:val="0"/>
          <w:numId w:val="36"/>
        </w:numPr>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Experienced management team. </w:t>
      </w:r>
      <w:r>
        <w:rPr>
          <w:rFonts w:ascii="Arial" w:cs="Arial" w:eastAsia="Arial" w:hAnsi="Arial"/>
          <w:sz w:val="15"/>
          <w:szCs w:val="15"/>
          <w:color w:val="auto"/>
        </w:rPr>
        <w:t>We believe that our management team’s industry expertise, long history with</w:t>
      </w:r>
      <w:r>
        <w:rPr>
          <w:rFonts w:ascii="Arial" w:cs="Arial" w:eastAsia="Arial" w:hAnsi="Arial"/>
          <w:sz w:val="15"/>
          <w:szCs w:val="15"/>
          <w:b w:val="1"/>
          <w:bCs w:val="1"/>
          <w:color w:val="auto"/>
        </w:rPr>
        <w:t xml:space="preserve"> </w:t>
      </w:r>
      <w:r>
        <w:rPr>
          <w:rFonts w:ascii="Arial" w:cs="Arial" w:eastAsia="Arial" w:hAnsi="Arial"/>
          <w:sz w:val="15"/>
          <w:szCs w:val="15"/>
          <w:color w:val="auto"/>
        </w:rPr>
        <w:t>our company and extensive experience in running global publicly traded companies will enable us to execute our growth strategy. Our Chief Executive Officer, Gabi Seligsohn, was the President and Chief Executive Officer of Nova Measuring Instruments (NASDAQ:NVMI) for seven years prior to joining our company. Our Chief Financial Officer, Guy Avidan, was most recently the Chief Financial Officer of Audiocodes (NASDAQ:AUDC). Mr. Seligsohn and Mr. Avidan bring extensive experience of managing publicly traded companies. Our founder and Chief Technology Officer, Ofer Ben-Zur, has over 20 years of digital printing experience. Our Executive Vice President of Sales, Sarel Ashkenazy joined our company in 2004 and together with Mr. Ben-Zur, have helped us to develop into a strong global player.</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Our Strategy</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are the key elements of our growth strategy:</w:t>
      </w:r>
    </w:p>
    <w:p>
      <w:pPr>
        <w:spacing w:after="0" w:line="212" w:lineRule="exact"/>
        <w:rPr>
          <w:sz w:val="20"/>
          <w:szCs w:val="20"/>
          <w:color w:val="auto"/>
        </w:rPr>
      </w:pPr>
    </w:p>
    <w:p>
      <w:pPr>
        <w:ind w:left="960" w:right="579" w:hanging="189"/>
        <w:spacing w:after="0" w:line="269" w:lineRule="auto"/>
        <w:tabs>
          <w:tab w:leader="none" w:pos="943" w:val="left"/>
        </w:tabs>
        <w:numPr>
          <w:ilvl w:val="0"/>
          <w:numId w:val="37"/>
        </w:numPr>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Capitalize on the continued growth of the digital DTG market. </w:t>
      </w:r>
      <w:r>
        <w:rPr>
          <w:rFonts w:ascii="Arial" w:cs="Arial" w:eastAsia="Arial" w:hAnsi="Arial"/>
          <w:sz w:val="15"/>
          <w:szCs w:val="15"/>
          <w:color w:val="auto"/>
        </w:rPr>
        <w:t>We believe there is an opportunity to expand</w:t>
      </w:r>
      <w:r>
        <w:rPr>
          <w:rFonts w:ascii="Arial" w:cs="Arial" w:eastAsia="Arial" w:hAnsi="Arial"/>
          <w:sz w:val="15"/>
          <w:szCs w:val="15"/>
          <w:b w:val="1"/>
          <w:bCs w:val="1"/>
          <w:color w:val="auto"/>
        </w:rPr>
        <w:t xml:space="preserve"> </w:t>
      </w:r>
      <w:r>
        <w:rPr>
          <w:rFonts w:ascii="Arial" w:cs="Arial" w:eastAsia="Arial" w:hAnsi="Arial"/>
          <w:sz w:val="15"/>
          <w:szCs w:val="15"/>
          <w:color w:val="auto"/>
        </w:rPr>
        <w:t>our presence in the growing digital DTG market by increasing sales to existing customers, gaining new customers, introducing new applications, developing new features and functionality, improving system reliability and expanding customer know how in order to drive increased utilization of our systems. In order to achieve these goals, we plan to extend and deepen our presence in the geographies we currently serve as well as align our product roadmap with these opportunities. We also intend to further invest in our direct sales and marketing teams and application development professionals in order to better inform customers and prospective customers about the benefits of digital textile printing and the capabilities of our solutions, through direct communication as well as participation in trade shows and online advertising.</w:t>
      </w:r>
    </w:p>
    <w:p>
      <w:pPr>
        <w:spacing w:after="0" w:line="171" w:lineRule="exact"/>
        <w:rPr>
          <w:rFonts w:ascii="Arial" w:cs="Arial" w:eastAsia="Arial" w:hAnsi="Arial"/>
          <w:sz w:val="18"/>
          <w:szCs w:val="18"/>
          <w:b w:val="1"/>
          <w:bCs w:val="1"/>
          <w:color w:val="auto"/>
        </w:rPr>
      </w:pPr>
    </w:p>
    <w:p>
      <w:pPr>
        <w:ind w:left="960" w:right="619" w:hanging="189"/>
        <w:spacing w:after="0" w:line="250" w:lineRule="auto"/>
        <w:tabs>
          <w:tab w:leader="none" w:pos="943" w:val="left"/>
        </w:tabs>
        <w:numPr>
          <w:ilvl w:val="0"/>
          <w:numId w:val="37"/>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Focus on fast-growing web-to-print businesses. </w:t>
      </w:r>
      <w:r>
        <w:rPr>
          <w:rFonts w:ascii="Arial" w:cs="Arial" w:eastAsia="Arial" w:hAnsi="Arial"/>
          <w:sz w:val="16"/>
          <w:szCs w:val="16"/>
          <w:color w:val="auto"/>
        </w:rPr>
        <w:t>We are increasingly focusing our marketing efforts on online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whose business models are focused on mass customization and personalization. We already serve dozens of established web-to-print customers throughout the world, some of whom are expanding their businesses at exponential rates. In order to continue to do so, we intend to increase our direct sales force and, with our channel partners, identify strategic accounts that offer the opportunity for long-term business partnerships. We believe our technology is ideally suited for web-to-print businesses because it efficiently allows manufacturers the ability to print on-demand, small runs in a cost-effective manner and with excellent quality, starting with a minimum order quantity of one unit.</w:t>
      </w:r>
    </w:p>
    <w:p>
      <w:pPr>
        <w:spacing w:after="0" w:line="187" w:lineRule="exact"/>
        <w:rPr>
          <w:rFonts w:ascii="Arial" w:cs="Arial" w:eastAsia="Arial" w:hAnsi="Arial"/>
          <w:sz w:val="19"/>
          <w:szCs w:val="19"/>
          <w:b w:val="1"/>
          <w:bCs w:val="1"/>
          <w:color w:val="auto"/>
        </w:rPr>
      </w:pPr>
    </w:p>
    <w:p>
      <w:pPr>
        <w:ind w:left="960" w:right="599" w:hanging="189"/>
        <w:spacing w:after="0" w:line="290" w:lineRule="auto"/>
        <w:tabs>
          <w:tab w:leader="none" w:pos="943" w:val="left"/>
        </w:tabs>
        <w:numPr>
          <w:ilvl w:val="0"/>
          <w:numId w:val="37"/>
        </w:numPr>
        <w:rPr>
          <w:rFonts w:ascii="Arial" w:cs="Arial" w:eastAsia="Arial" w:hAnsi="Arial"/>
          <w:sz w:val="17"/>
          <w:szCs w:val="17"/>
          <w:b w:val="1"/>
          <w:bCs w:val="1"/>
          <w:color w:val="auto"/>
        </w:rPr>
      </w:pPr>
      <w:r>
        <w:rPr>
          <w:rFonts w:ascii="Arial" w:cs="Arial" w:eastAsia="Arial" w:hAnsi="Arial"/>
          <w:sz w:val="14"/>
          <w:szCs w:val="14"/>
          <w:b w:val="1"/>
          <w:bCs w:val="1"/>
          <w:color w:val="auto"/>
        </w:rPr>
        <w:t xml:space="preserve">Drive adoption of digital DTG printing solutions by customers who primarily use screen printing carousels. </w:t>
      </w:r>
      <w:r>
        <w:rPr>
          <w:rFonts w:ascii="Arial" w:cs="Arial" w:eastAsia="Arial" w:hAnsi="Arial"/>
          <w:sz w:val="14"/>
          <w:szCs w:val="14"/>
          <w:color w:val="auto"/>
        </w:rPr>
        <w:t>A majority of DTG printing jobs are done today utilizing screen printing carousels. While we have</w:t>
      </w:r>
      <w:r>
        <w:rPr>
          <w:rFonts w:ascii="Arial" w:cs="Arial" w:eastAsia="Arial" w:hAnsi="Arial"/>
          <w:sz w:val="14"/>
          <w:szCs w:val="14"/>
          <w:b w:val="1"/>
          <w:bCs w:val="1"/>
          <w:color w:val="auto"/>
        </w:rPr>
        <w:t xml:space="preserve"> </w:t>
      </w:r>
      <w:r>
        <w:rPr>
          <w:rFonts w:ascii="Arial" w:cs="Arial" w:eastAsia="Arial" w:hAnsi="Arial"/>
          <w:sz w:val="14"/>
          <w:szCs w:val="14"/>
          <w:color w:val="auto"/>
        </w:rPr>
        <w:t>started to penetrate this market by offering standalone DTG solutions, such as our Avalanche and Storm II systems, we plan to deepen our penetration and further transition users of these analog systems to digital printing technologies through our Paradigm II system. Paradigm II is compatible with the majority of existing screen printing carousels and allows manufacturers to combine complex images and designs printed digitally with multiple embellishment effects, such as glitter, silicon, gel and burnout, typically performed using screen printing.</w:t>
      </w:r>
    </w:p>
    <w:p>
      <w:pPr>
        <w:spacing w:after="0" w:line="159" w:lineRule="exact"/>
        <w:rPr>
          <w:rFonts w:ascii="Arial" w:cs="Arial" w:eastAsia="Arial" w:hAnsi="Arial"/>
          <w:sz w:val="17"/>
          <w:szCs w:val="17"/>
          <w:b w:val="1"/>
          <w:bCs w:val="1"/>
          <w:color w:val="auto"/>
        </w:rPr>
      </w:pPr>
    </w:p>
    <w:p>
      <w:pPr>
        <w:ind w:left="960" w:right="619" w:hanging="189"/>
        <w:spacing w:after="0" w:line="250" w:lineRule="auto"/>
        <w:tabs>
          <w:tab w:leader="none" w:pos="943" w:val="left"/>
        </w:tabs>
        <w:numPr>
          <w:ilvl w:val="0"/>
          <w:numId w:val="37"/>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Extend our technological leadership through ongoing research and development and continuing to introduce new products. </w:t>
      </w:r>
      <w:r>
        <w:rPr>
          <w:rFonts w:ascii="Arial" w:cs="Arial" w:eastAsia="Arial" w:hAnsi="Arial"/>
          <w:sz w:val="16"/>
          <w:szCs w:val="16"/>
          <w:color w:val="auto"/>
        </w:rPr>
        <w:t>We will seek to continue to differentiate ourselves and extend our technological leadership by</w:t>
      </w:r>
      <w:r>
        <w:rPr>
          <w:rFonts w:ascii="Arial" w:cs="Arial" w:eastAsia="Arial" w:hAnsi="Arial"/>
          <w:sz w:val="16"/>
          <w:szCs w:val="16"/>
          <w:b w:val="1"/>
          <w:bCs w:val="1"/>
          <w:color w:val="auto"/>
        </w:rPr>
        <w:t xml:space="preserve"> </w:t>
      </w:r>
      <w:r>
        <w:rPr>
          <w:rFonts w:ascii="Arial" w:cs="Arial" w:eastAsia="Arial" w:hAnsi="Arial"/>
          <w:sz w:val="16"/>
          <w:szCs w:val="16"/>
          <w:color w:val="auto"/>
        </w:rPr>
        <w:t>investing in research and development.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Our product pipeline includes an</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2" w:name="page63"/>
    <w:bookmarkEnd w:id="62"/>
    <w:p>
      <w:pPr>
        <w:ind w:left="960" w:right="679"/>
        <w:spacing w:after="0" w:line="257" w:lineRule="auto"/>
        <w:rPr>
          <w:sz w:val="20"/>
          <w:szCs w:val="20"/>
          <w:color w:val="auto"/>
        </w:rPr>
      </w:pPr>
      <w:r>
        <w:rPr>
          <w:rFonts w:ascii="Arial" w:cs="Arial" w:eastAsia="Arial" w:hAnsi="Arial"/>
          <w:sz w:val="16"/>
          <w:szCs w:val="16"/>
          <w:color w:val="auto"/>
        </w:rPr>
        <w:t>industrial R2R system, the Allegro, which is expected to launch commercially in the next 18 months. We expect our Allegro system to be the first R2R printing system to allow for one-step R2R digital printing, versus existing digital R2R printers which require at least four pre- and post-processing steps. We also intend to leverage the success of our existing DTG solutions, such as Paradigm II, by introducing the Vulcan system, which will offer an alternative to carousel screen printing. The Vulcan will enable customers to print small runs at throughputs comparable to those achieved through carousel screen printing. We expect to launch the Vulcan commercially in the next 24 months.</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Our Systems</w:t>
      </w:r>
    </w:p>
    <w:p>
      <w:pPr>
        <w:spacing w:after="0" w:line="183" w:lineRule="exact"/>
        <w:rPr>
          <w:sz w:val="20"/>
          <w:szCs w:val="20"/>
          <w:color w:val="auto"/>
        </w:rPr>
      </w:pPr>
    </w:p>
    <w:p>
      <w:pPr>
        <w:ind w:left="580" w:right="799" w:firstLine="194"/>
        <w:spacing w:after="0" w:line="262" w:lineRule="auto"/>
        <w:rPr>
          <w:sz w:val="20"/>
          <w:szCs w:val="20"/>
          <w:color w:val="auto"/>
        </w:rPr>
      </w:pPr>
      <w:r>
        <w:rPr>
          <w:rFonts w:ascii="Arial" w:cs="Arial" w:eastAsia="Arial" w:hAnsi="Arial"/>
          <w:sz w:val="16"/>
          <w:szCs w:val="16"/>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141" w:lineRule="exact"/>
        <w:rPr>
          <w:sz w:val="20"/>
          <w:szCs w:val="20"/>
          <w:color w:val="auto"/>
        </w:rPr>
      </w:pPr>
    </w:p>
    <w:p>
      <w:pPr>
        <w:ind w:left="960" w:right="699" w:hanging="189"/>
        <w:spacing w:after="0" w:line="248" w:lineRule="auto"/>
        <w:tabs>
          <w:tab w:leader="none" w:pos="943" w:val="left"/>
        </w:tabs>
        <w:numPr>
          <w:ilvl w:val="0"/>
          <w:numId w:val="38"/>
        </w:numPr>
        <w:rPr>
          <w:rFonts w:ascii="Arial" w:cs="Arial" w:eastAsia="Arial" w:hAnsi="Arial"/>
          <w:sz w:val="19"/>
          <w:szCs w:val="19"/>
          <w:i w:val="1"/>
          <w:iCs w:val="1"/>
          <w:color w:val="auto"/>
        </w:rPr>
      </w:pPr>
      <w:r>
        <w:rPr>
          <w:rFonts w:ascii="Arial" w:cs="Arial" w:eastAsia="Arial" w:hAnsi="Arial"/>
          <w:sz w:val="16"/>
          <w:szCs w:val="16"/>
          <w:i w:val="1"/>
          <w:iCs w:val="1"/>
          <w:color w:val="auto"/>
        </w:rPr>
        <w:t>Entry Level</w:t>
      </w:r>
      <w:r>
        <w:rPr>
          <w:rFonts w:ascii="Arial" w:cs="Arial" w:eastAsia="Arial" w:hAnsi="Arial"/>
          <w:sz w:val="16"/>
          <w:szCs w:val="16"/>
          <w:color w:val="auto"/>
        </w:rPr>
        <w:t>. Our entry level systems consist of our Breeze and Thunder systems. These systems reduce the need</w:t>
      </w:r>
      <w:r>
        <w:rPr>
          <w:rFonts w:ascii="Arial" w:cs="Arial" w:eastAsia="Arial" w:hAnsi="Arial"/>
          <w:sz w:val="16"/>
          <w:szCs w:val="16"/>
          <w:i w:val="1"/>
          <w:iCs w:val="1"/>
          <w:color w:val="auto"/>
        </w:rPr>
        <w:t xml:space="preserve"> </w:t>
      </w:r>
      <w:r>
        <w:rPr>
          <w:rFonts w:ascii="Arial" w:cs="Arial" w:eastAsia="Arial" w:hAnsi="Arial"/>
          <w:sz w:val="16"/>
          <w:szCs w:val="16"/>
          <w:color w:val="auto"/>
        </w:rPr>
        <w:t>for floor space for manufacturing equipment by eliminating certain process steps and by consolidating multiple process steps into a single printing system. The Breeze and Thunder allow businesses to adopt digital technology with a limited upfront investment and use the same technology as our high throughput systems but with smaller garment printing areas and at lower throughput levels.</w:t>
      </w:r>
    </w:p>
    <w:p>
      <w:pPr>
        <w:spacing w:after="0" w:line="152" w:lineRule="exact"/>
        <w:rPr>
          <w:rFonts w:ascii="Arial" w:cs="Arial" w:eastAsia="Arial" w:hAnsi="Arial"/>
          <w:sz w:val="19"/>
          <w:szCs w:val="19"/>
          <w:i w:val="1"/>
          <w:iCs w:val="1"/>
          <w:color w:val="auto"/>
        </w:rPr>
      </w:pPr>
    </w:p>
    <w:p>
      <w:pPr>
        <w:ind w:left="960" w:right="679" w:hanging="189"/>
        <w:spacing w:after="0" w:line="244" w:lineRule="auto"/>
        <w:tabs>
          <w:tab w:leader="none" w:pos="943" w:val="left"/>
        </w:tabs>
        <w:numPr>
          <w:ilvl w:val="0"/>
          <w:numId w:val="38"/>
        </w:numPr>
        <w:rPr>
          <w:rFonts w:ascii="Arial" w:cs="Arial" w:eastAsia="Arial" w:hAnsi="Arial"/>
          <w:sz w:val="19"/>
          <w:szCs w:val="19"/>
          <w:i w:val="1"/>
          <w:iCs w:val="1"/>
          <w:color w:val="auto"/>
        </w:rPr>
      </w:pPr>
      <w:r>
        <w:rPr>
          <w:rFonts w:ascii="Arial" w:cs="Arial" w:eastAsia="Arial" w:hAnsi="Arial"/>
          <w:sz w:val="16"/>
          <w:szCs w:val="16"/>
          <w:i w:val="1"/>
          <w:iCs w:val="1"/>
          <w:color w:val="auto"/>
        </w:rPr>
        <w:t xml:space="preserve">High Throughput. </w:t>
      </w:r>
      <w:r>
        <w:rPr>
          <w:rFonts w:ascii="Arial" w:cs="Arial" w:eastAsia="Arial" w:hAnsi="Arial"/>
          <w:sz w:val="16"/>
          <w:szCs w:val="16"/>
          <w:color w:val="auto"/>
        </w:rPr>
        <w:t>Our high throughput systems, which consist of our Avalanche family of systems, Storm II and</w:t>
      </w:r>
      <w:r>
        <w:rPr>
          <w:rFonts w:ascii="Arial" w:cs="Arial" w:eastAsia="Arial" w:hAnsi="Arial"/>
          <w:sz w:val="16"/>
          <w:szCs w:val="16"/>
          <w:i w:val="1"/>
          <w:iCs w:val="1"/>
          <w:color w:val="auto"/>
        </w:rPr>
        <w:t xml:space="preserve"> </w:t>
      </w:r>
      <w:r>
        <w:rPr>
          <w:rFonts w:ascii="Arial" w:cs="Arial" w:eastAsia="Arial" w:hAnsi="Arial"/>
          <w:sz w:val="16"/>
          <w:szCs w:val="16"/>
          <w:color w:val="auto"/>
        </w:rPr>
        <w:t>Paradigm II, offer high throughput printing capabilities and are designed for customers who conduct large scale printing of small runs of a variety of images and designs.</w:t>
      </w:r>
    </w:p>
    <w:p>
      <w:pPr>
        <w:spacing w:after="0" w:line="179" w:lineRule="exact"/>
        <w:rPr>
          <w:sz w:val="20"/>
          <w:szCs w:val="20"/>
          <w:color w:val="auto"/>
        </w:rPr>
      </w:pPr>
    </w:p>
    <w:p>
      <w:pPr>
        <w:ind w:left="580" w:right="619" w:firstLine="194"/>
        <w:spacing w:after="0" w:line="278" w:lineRule="auto"/>
        <w:rPr>
          <w:sz w:val="20"/>
          <w:szCs w:val="20"/>
          <w:color w:val="auto"/>
        </w:rPr>
      </w:pPr>
      <w:r>
        <w:rPr>
          <w:rFonts w:ascii="Arial" w:cs="Arial" w:eastAsia="Arial" w:hAnsi="Arial"/>
          <w:sz w:val="15"/>
          <w:szCs w:val="15"/>
          <w:color w:val="auto"/>
        </w:rPr>
        <w:t>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DTG Systems</w:t>
      </w:r>
    </w:p>
    <w:p>
      <w:pPr>
        <w:spacing w:after="0" w:line="204" w:lineRule="exact"/>
        <w:rPr>
          <w:sz w:val="20"/>
          <w:szCs w:val="20"/>
          <w:color w:val="auto"/>
        </w:rPr>
      </w:pPr>
    </w:p>
    <w:p>
      <w:pPr>
        <w:ind w:left="580" w:right="819" w:firstLine="194"/>
        <w:spacing w:after="0" w:line="262" w:lineRule="auto"/>
        <w:rPr>
          <w:sz w:val="20"/>
          <w:szCs w:val="20"/>
          <w:color w:val="auto"/>
        </w:rPr>
      </w:pPr>
      <w:r>
        <w:rPr>
          <w:rFonts w:ascii="Arial" w:cs="Arial" w:eastAsia="Arial" w:hAnsi="Arial"/>
          <w:sz w:val="16"/>
          <w:szCs w:val="16"/>
          <w:color w:val="auto"/>
        </w:rPr>
        <w:t>The following table summarizes key aspects of our DTG systems, all of which are compatible with a wide range of fabrics, including cotton, wool, polyester, lycra and denim and print at maximum resolutions ranging from 600 to 630 DPI. Our systems are currently unable to print at a level of quality acceptable for large scale manufacturing on dyed polyester or nylon.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5"/>
              </w:rPr>
              <w:t>Max.</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5"/>
                <w:szCs w:val="15"/>
                <w:b w:val="1"/>
                <w:bCs w:val="1"/>
                <w:color w:val="auto"/>
              </w:rPr>
              <w:t>Target</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1"/>
              </w:rPr>
              <w:t>Printing</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40" w:type="dxa"/>
            <w:vAlign w:val="bottom"/>
            <w:gridSpan w:val="3"/>
          </w:tcPr>
          <w:p>
            <w:pPr>
              <w:spacing w:after="0"/>
              <w:rPr>
                <w:sz w:val="20"/>
                <w:szCs w:val="20"/>
                <w:color w:val="auto"/>
              </w:rPr>
            </w:pPr>
            <w:r>
              <w:rPr>
                <w:rFonts w:ascii="Arial" w:cs="Arial" w:eastAsia="Arial" w:hAnsi="Arial"/>
                <w:sz w:val="15"/>
                <w:szCs w:val="15"/>
                <w:b w:val="1"/>
                <w:bCs w:val="1"/>
                <w:color w:val="auto"/>
              </w:rPr>
              <w:t>System</w:t>
            </w:r>
          </w:p>
        </w:tc>
        <w:tc>
          <w:tcPr>
            <w:tcW w:w="1160" w:type="dxa"/>
            <w:vAlign w:val="bottom"/>
          </w:tcPr>
          <w:p>
            <w:pPr>
              <w:ind w:left="60"/>
              <w:spacing w:after="0"/>
              <w:rPr>
                <w:sz w:val="20"/>
                <w:szCs w:val="20"/>
                <w:color w:val="auto"/>
              </w:rPr>
            </w:pPr>
            <w:r>
              <w:rPr>
                <w:rFonts w:ascii="Arial" w:cs="Arial" w:eastAsia="Arial" w:hAnsi="Arial"/>
                <w:sz w:val="15"/>
                <w:szCs w:val="15"/>
                <w:b w:val="1"/>
                <w:bCs w:val="1"/>
                <w:color w:val="auto"/>
              </w:rPr>
              <w:t>Customer</w:t>
            </w:r>
          </w:p>
        </w:tc>
        <w:tc>
          <w:tcPr>
            <w:tcW w:w="220" w:type="dxa"/>
            <w:vAlign w:val="bottom"/>
          </w:tcPr>
          <w:p>
            <w:pPr>
              <w:spacing w:after="0"/>
              <w:rPr>
                <w:sz w:val="16"/>
                <w:szCs w:val="16"/>
                <w:color w:val="auto"/>
              </w:rPr>
            </w:pPr>
          </w:p>
        </w:tc>
        <w:tc>
          <w:tcPr>
            <w:tcW w:w="1720" w:type="dxa"/>
            <w:vAlign w:val="bottom"/>
            <w:gridSpan w:val="2"/>
          </w:tcPr>
          <w:p>
            <w:pPr>
              <w:ind w:left="220"/>
              <w:spacing w:after="0"/>
              <w:rPr>
                <w:sz w:val="20"/>
                <w:szCs w:val="20"/>
                <w:color w:val="auto"/>
              </w:rPr>
            </w:pPr>
            <w:r>
              <w:rPr>
                <w:rFonts w:ascii="Arial" w:cs="Arial" w:eastAsia="Arial" w:hAnsi="Arial"/>
                <w:sz w:val="15"/>
                <w:szCs w:val="15"/>
                <w:b w:val="1"/>
                <w:bCs w:val="1"/>
                <w:color w:val="auto"/>
              </w:rPr>
              <w:t>Max. Throughput</w:t>
            </w:r>
          </w:p>
        </w:tc>
        <w:tc>
          <w:tcPr>
            <w:tcW w:w="1880" w:type="dxa"/>
            <w:vAlign w:val="bottom"/>
          </w:tcPr>
          <w:p>
            <w:pPr>
              <w:ind w:left="740"/>
              <w:spacing w:after="0"/>
              <w:rPr>
                <w:sz w:val="20"/>
                <w:szCs w:val="20"/>
                <w:color w:val="auto"/>
              </w:rPr>
            </w:pPr>
            <w:r>
              <w:rPr>
                <w:rFonts w:ascii="Arial" w:cs="Arial" w:eastAsia="Arial" w:hAnsi="Arial"/>
                <w:sz w:val="15"/>
                <w:szCs w:val="15"/>
                <w:b w:val="1"/>
                <w:bCs w:val="1"/>
                <w:color w:val="auto"/>
              </w:rPr>
              <w:t>Colors</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89"/>
              </w:rPr>
              <w:t>Area</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Breeze</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Entry Level</w:t>
            </w:r>
          </w:p>
        </w:tc>
        <w:tc>
          <w:tcPr>
            <w:tcW w:w="220" w:type="dxa"/>
            <w:vAlign w:val="bottom"/>
          </w:tcPr>
          <w:p>
            <w:pPr>
              <w:spacing w:after="0"/>
              <w:rPr>
                <w:sz w:val="17"/>
                <w:szCs w:val="17"/>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40 garments/hour</w:t>
            </w:r>
          </w:p>
        </w:tc>
        <w:tc>
          <w:tcPr>
            <w:tcW w:w="120" w:type="dxa"/>
            <w:vAlign w:val="bottom"/>
          </w:tcPr>
          <w:p>
            <w:pPr>
              <w:spacing w:after="0"/>
              <w:rPr>
                <w:sz w:val="17"/>
                <w:szCs w:val="17"/>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CMYK + White</w:t>
            </w: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14 x 18 in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Thunder</w:t>
            </w:r>
          </w:p>
        </w:tc>
        <w:tc>
          <w:tcPr>
            <w:tcW w:w="1160" w:type="dxa"/>
            <w:vAlign w:val="bottom"/>
          </w:tcPr>
          <w:p>
            <w:pPr>
              <w:spacing w:after="0"/>
              <w:rPr>
                <w:sz w:val="20"/>
                <w:szCs w:val="20"/>
                <w:color w:val="auto"/>
              </w:rPr>
            </w:pPr>
            <w:r>
              <w:rPr>
                <w:rFonts w:ascii="Arial" w:cs="Arial" w:eastAsia="Arial" w:hAnsi="Arial"/>
                <w:sz w:val="16"/>
                <w:szCs w:val="16"/>
                <w:color w:val="auto"/>
              </w:rPr>
              <w:t>Entry Level</w:t>
            </w:r>
          </w:p>
        </w:tc>
        <w:tc>
          <w:tcPr>
            <w:tcW w:w="1940" w:type="dxa"/>
            <w:vAlign w:val="bottom"/>
            <w:gridSpan w:val="3"/>
          </w:tcPr>
          <w:p>
            <w:pPr>
              <w:ind w:left="220"/>
              <w:spacing w:after="0"/>
              <w:rPr>
                <w:sz w:val="20"/>
                <w:szCs w:val="20"/>
                <w:color w:val="auto"/>
              </w:rPr>
            </w:pPr>
            <w:r>
              <w:rPr>
                <w:rFonts w:ascii="Arial" w:cs="Arial" w:eastAsia="Arial" w:hAnsi="Arial"/>
                <w:sz w:val="16"/>
                <w:szCs w:val="16"/>
                <w:color w:val="auto"/>
              </w:rPr>
              <w:t>80 garments/hour</w:t>
            </w:r>
          </w:p>
        </w:tc>
        <w:tc>
          <w:tcPr>
            <w:tcW w:w="1880" w:type="dxa"/>
            <w:vAlign w:val="bottom"/>
          </w:tcPr>
          <w:p>
            <w:pPr>
              <w:spacing w:after="0"/>
              <w:rPr>
                <w:sz w:val="20"/>
                <w:szCs w:val="20"/>
                <w:color w:val="auto"/>
              </w:rPr>
            </w:pPr>
            <w:r>
              <w:rPr>
                <w:rFonts w:ascii="Arial" w:cs="Arial" w:eastAsia="Arial" w:hAnsi="Arial"/>
                <w:sz w:val="16"/>
                <w:szCs w:val="16"/>
                <w:color w:val="auto"/>
              </w:rPr>
              <w:t>CMYK + White</w:t>
            </w:r>
          </w:p>
        </w:tc>
        <w:tc>
          <w:tcPr>
            <w:tcW w:w="1120" w:type="dxa"/>
            <w:vAlign w:val="bottom"/>
            <w:gridSpan w:val="2"/>
          </w:tcPr>
          <w:p>
            <w:pPr>
              <w:ind w:left="260"/>
              <w:spacing w:after="0"/>
              <w:rPr>
                <w:sz w:val="20"/>
                <w:szCs w:val="20"/>
                <w:color w:val="auto"/>
              </w:rPr>
            </w:pPr>
            <w:r>
              <w:rPr>
                <w:rFonts w:ascii="Arial" w:cs="Arial" w:eastAsia="Arial" w:hAnsi="Arial"/>
                <w:sz w:val="16"/>
                <w:szCs w:val="16"/>
                <w:color w:val="auto"/>
              </w:rPr>
              <w:t>14 x 18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Storm II</w:t>
            </w:r>
          </w:p>
        </w:tc>
        <w:tc>
          <w:tcPr>
            <w:tcW w:w="1160" w:type="dxa"/>
            <w:vAlign w:val="bottom"/>
          </w:tcPr>
          <w:p>
            <w:pPr>
              <w:spacing w:after="0"/>
              <w:rPr>
                <w:sz w:val="20"/>
                <w:szCs w:val="20"/>
                <w:color w:val="auto"/>
              </w:rPr>
            </w:pPr>
            <w:r>
              <w:rPr>
                <w:rFonts w:ascii="Arial" w:cs="Arial" w:eastAsia="Arial" w:hAnsi="Arial"/>
                <w:sz w:val="16"/>
                <w:szCs w:val="16"/>
                <w:color w:val="auto"/>
                <w:w w:val="95"/>
              </w:rPr>
              <w:t>High Throughput</w:t>
            </w:r>
          </w:p>
        </w:tc>
        <w:tc>
          <w:tcPr>
            <w:tcW w:w="1940" w:type="dxa"/>
            <w:vAlign w:val="bottom"/>
            <w:gridSpan w:val="3"/>
          </w:tcPr>
          <w:p>
            <w:pPr>
              <w:ind w:left="220"/>
              <w:spacing w:after="0"/>
              <w:rPr>
                <w:sz w:val="20"/>
                <w:szCs w:val="20"/>
                <w:color w:val="auto"/>
              </w:rPr>
            </w:pPr>
            <w:r>
              <w:rPr>
                <w:rFonts w:ascii="Arial" w:cs="Arial" w:eastAsia="Arial" w:hAnsi="Arial"/>
                <w:sz w:val="16"/>
                <w:szCs w:val="16"/>
                <w:color w:val="auto"/>
              </w:rPr>
              <w:t>150 garments/hour</w:t>
            </w:r>
          </w:p>
        </w:tc>
        <w:tc>
          <w:tcPr>
            <w:tcW w:w="1880" w:type="dxa"/>
            <w:vAlign w:val="bottom"/>
          </w:tcPr>
          <w:p>
            <w:pPr>
              <w:spacing w:after="0"/>
              <w:rPr>
                <w:sz w:val="20"/>
                <w:szCs w:val="20"/>
                <w:color w:val="auto"/>
              </w:rPr>
            </w:pPr>
            <w:r>
              <w:rPr>
                <w:rFonts w:ascii="Arial" w:cs="Arial" w:eastAsia="Arial" w:hAnsi="Arial"/>
                <w:sz w:val="16"/>
                <w:szCs w:val="16"/>
                <w:color w:val="auto"/>
              </w:rPr>
              <w:t>CMYK + White</w:t>
            </w:r>
          </w:p>
        </w:tc>
        <w:tc>
          <w:tcPr>
            <w:tcW w:w="1120" w:type="dxa"/>
            <w:vAlign w:val="bottom"/>
            <w:gridSpan w:val="2"/>
          </w:tcPr>
          <w:p>
            <w:pPr>
              <w:ind w:left="260"/>
              <w:spacing w:after="0"/>
              <w:rPr>
                <w:sz w:val="20"/>
                <w:szCs w:val="20"/>
                <w:color w:val="auto"/>
              </w:rPr>
            </w:pPr>
            <w:r>
              <w:rPr>
                <w:rFonts w:ascii="Arial" w:cs="Arial" w:eastAsia="Arial" w:hAnsi="Arial"/>
                <w:sz w:val="16"/>
                <w:szCs w:val="16"/>
                <w:color w:val="auto"/>
              </w:rPr>
              <w:t>20 x 28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Avalanche 1000</w:t>
            </w:r>
          </w:p>
        </w:tc>
        <w:tc>
          <w:tcPr>
            <w:tcW w:w="1160" w:type="dxa"/>
            <w:vAlign w:val="bottom"/>
          </w:tcPr>
          <w:p>
            <w:pPr>
              <w:spacing w:after="0"/>
              <w:rPr>
                <w:sz w:val="20"/>
                <w:szCs w:val="20"/>
                <w:color w:val="auto"/>
              </w:rPr>
            </w:pPr>
            <w:r>
              <w:rPr>
                <w:rFonts w:ascii="Arial" w:cs="Arial" w:eastAsia="Arial" w:hAnsi="Arial"/>
                <w:sz w:val="16"/>
                <w:szCs w:val="16"/>
                <w:color w:val="auto"/>
                <w:w w:val="95"/>
              </w:rPr>
              <w:t>High Throughput</w:t>
            </w:r>
          </w:p>
        </w:tc>
        <w:tc>
          <w:tcPr>
            <w:tcW w:w="1940" w:type="dxa"/>
            <w:vAlign w:val="bottom"/>
            <w:gridSpan w:val="3"/>
          </w:tcPr>
          <w:p>
            <w:pPr>
              <w:ind w:left="220"/>
              <w:spacing w:after="0"/>
              <w:rPr>
                <w:sz w:val="20"/>
                <w:szCs w:val="20"/>
                <w:color w:val="auto"/>
              </w:rPr>
            </w:pPr>
            <w:r>
              <w:rPr>
                <w:rFonts w:ascii="Arial" w:cs="Arial" w:eastAsia="Arial" w:hAnsi="Arial"/>
                <w:sz w:val="16"/>
                <w:szCs w:val="16"/>
                <w:color w:val="auto"/>
              </w:rPr>
              <w:t>300 garments/hour</w:t>
            </w:r>
          </w:p>
        </w:tc>
        <w:tc>
          <w:tcPr>
            <w:tcW w:w="1880" w:type="dxa"/>
            <w:vAlign w:val="bottom"/>
          </w:tcPr>
          <w:p>
            <w:pPr>
              <w:spacing w:after="0"/>
              <w:rPr>
                <w:sz w:val="20"/>
                <w:szCs w:val="20"/>
                <w:color w:val="auto"/>
              </w:rPr>
            </w:pPr>
            <w:r>
              <w:rPr>
                <w:rFonts w:ascii="Arial" w:cs="Arial" w:eastAsia="Arial" w:hAnsi="Arial"/>
                <w:sz w:val="16"/>
                <w:szCs w:val="16"/>
                <w:color w:val="auto"/>
              </w:rPr>
              <w:t>CMYK + White</w:t>
            </w:r>
          </w:p>
        </w:tc>
        <w:tc>
          <w:tcPr>
            <w:tcW w:w="1120" w:type="dxa"/>
            <w:vAlign w:val="bottom"/>
            <w:gridSpan w:val="2"/>
          </w:tcPr>
          <w:p>
            <w:pPr>
              <w:ind w:left="260"/>
              <w:spacing w:after="0"/>
              <w:rPr>
                <w:sz w:val="20"/>
                <w:szCs w:val="20"/>
                <w:color w:val="auto"/>
              </w:rPr>
            </w:pPr>
            <w:r>
              <w:rPr>
                <w:rFonts w:ascii="Arial" w:cs="Arial" w:eastAsia="Arial" w:hAnsi="Arial"/>
                <w:sz w:val="16"/>
                <w:szCs w:val="16"/>
                <w:color w:val="auto"/>
              </w:rPr>
              <w:t>23.5 x 35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Avalanche Hexa</w:t>
            </w:r>
          </w:p>
        </w:tc>
        <w:tc>
          <w:tcPr>
            <w:tcW w:w="1160" w:type="dxa"/>
            <w:vAlign w:val="bottom"/>
          </w:tcPr>
          <w:p>
            <w:pPr>
              <w:spacing w:after="0"/>
              <w:rPr>
                <w:sz w:val="20"/>
                <w:szCs w:val="20"/>
                <w:color w:val="auto"/>
              </w:rPr>
            </w:pPr>
            <w:r>
              <w:rPr>
                <w:rFonts w:ascii="Arial" w:cs="Arial" w:eastAsia="Arial" w:hAnsi="Arial"/>
                <w:sz w:val="16"/>
                <w:szCs w:val="16"/>
                <w:color w:val="auto"/>
                <w:w w:val="95"/>
              </w:rPr>
              <w:t>High Throughput</w:t>
            </w:r>
          </w:p>
        </w:tc>
        <w:tc>
          <w:tcPr>
            <w:tcW w:w="1940" w:type="dxa"/>
            <w:vAlign w:val="bottom"/>
            <w:gridSpan w:val="3"/>
          </w:tcPr>
          <w:p>
            <w:pPr>
              <w:ind w:left="220"/>
              <w:spacing w:after="0"/>
              <w:rPr>
                <w:sz w:val="20"/>
                <w:szCs w:val="20"/>
                <w:color w:val="auto"/>
              </w:rPr>
            </w:pPr>
            <w:r>
              <w:rPr>
                <w:rFonts w:ascii="Arial" w:cs="Arial" w:eastAsia="Arial" w:hAnsi="Arial"/>
                <w:sz w:val="16"/>
                <w:szCs w:val="16"/>
                <w:color w:val="auto"/>
              </w:rPr>
              <w:t>250 garments/hour</w:t>
            </w:r>
          </w:p>
        </w:tc>
        <w:tc>
          <w:tcPr>
            <w:tcW w:w="1880" w:type="dxa"/>
            <w:vAlign w:val="bottom"/>
          </w:tcPr>
          <w:p>
            <w:pPr>
              <w:spacing w:after="0"/>
              <w:rPr>
                <w:sz w:val="20"/>
                <w:szCs w:val="20"/>
                <w:color w:val="auto"/>
              </w:rPr>
            </w:pPr>
            <w:r>
              <w:rPr>
                <w:rFonts w:ascii="Arial" w:cs="Arial" w:eastAsia="Arial" w:hAnsi="Arial"/>
                <w:sz w:val="16"/>
                <w:szCs w:val="16"/>
                <w:color w:val="auto"/>
              </w:rPr>
              <w:t>CMYKRG + White</w:t>
            </w:r>
          </w:p>
        </w:tc>
        <w:tc>
          <w:tcPr>
            <w:tcW w:w="1120" w:type="dxa"/>
            <w:vAlign w:val="bottom"/>
            <w:gridSpan w:val="2"/>
          </w:tcPr>
          <w:p>
            <w:pPr>
              <w:ind w:left="260"/>
              <w:spacing w:after="0"/>
              <w:rPr>
                <w:sz w:val="20"/>
                <w:szCs w:val="20"/>
                <w:color w:val="auto"/>
              </w:rPr>
            </w:pPr>
            <w:r>
              <w:rPr>
                <w:rFonts w:ascii="Arial" w:cs="Arial" w:eastAsia="Arial" w:hAnsi="Arial"/>
                <w:sz w:val="16"/>
                <w:szCs w:val="16"/>
                <w:color w:val="auto"/>
              </w:rPr>
              <w:t>23.5 x 35 in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Avalanche DC Pro</w:t>
            </w:r>
          </w:p>
        </w:tc>
        <w:tc>
          <w:tcPr>
            <w:tcW w:w="1160" w:type="dxa"/>
            <w:vAlign w:val="bottom"/>
          </w:tcPr>
          <w:p>
            <w:pPr>
              <w:spacing w:after="0"/>
              <w:rPr>
                <w:sz w:val="20"/>
                <w:szCs w:val="20"/>
                <w:color w:val="auto"/>
              </w:rPr>
            </w:pPr>
            <w:r>
              <w:rPr>
                <w:rFonts w:ascii="Arial" w:cs="Arial" w:eastAsia="Arial" w:hAnsi="Arial"/>
                <w:sz w:val="16"/>
                <w:szCs w:val="16"/>
                <w:color w:val="auto"/>
                <w:w w:val="95"/>
              </w:rPr>
              <w:t>High Throughput</w:t>
            </w:r>
          </w:p>
        </w:tc>
        <w:tc>
          <w:tcPr>
            <w:tcW w:w="1940" w:type="dxa"/>
            <w:vAlign w:val="bottom"/>
            <w:gridSpan w:val="3"/>
          </w:tcPr>
          <w:p>
            <w:pPr>
              <w:ind w:left="220"/>
              <w:spacing w:after="0"/>
              <w:rPr>
                <w:sz w:val="20"/>
                <w:szCs w:val="20"/>
                <w:color w:val="auto"/>
              </w:rPr>
            </w:pPr>
            <w:r>
              <w:rPr>
                <w:rFonts w:ascii="Arial" w:cs="Arial" w:eastAsia="Arial" w:hAnsi="Arial"/>
                <w:sz w:val="16"/>
                <w:szCs w:val="16"/>
                <w:color w:val="auto"/>
              </w:rPr>
              <w:t>200 garments/hour</w:t>
            </w:r>
          </w:p>
        </w:tc>
        <w:tc>
          <w:tcPr>
            <w:tcW w:w="1880" w:type="dxa"/>
            <w:vAlign w:val="bottom"/>
          </w:tcPr>
          <w:p>
            <w:pPr>
              <w:spacing w:after="0"/>
              <w:rPr>
                <w:sz w:val="20"/>
                <w:szCs w:val="20"/>
                <w:color w:val="auto"/>
              </w:rPr>
            </w:pPr>
            <w:r>
              <w:rPr>
                <w:rFonts w:ascii="Arial" w:cs="Arial" w:eastAsia="Arial" w:hAnsi="Arial"/>
                <w:sz w:val="16"/>
                <w:szCs w:val="16"/>
                <w:color w:val="auto"/>
                <w:w w:val="95"/>
              </w:rPr>
              <w:t>CMYK + White + Discharge</w:t>
            </w:r>
          </w:p>
        </w:tc>
        <w:tc>
          <w:tcPr>
            <w:tcW w:w="1120" w:type="dxa"/>
            <w:vAlign w:val="bottom"/>
            <w:gridSpan w:val="2"/>
          </w:tcPr>
          <w:p>
            <w:pPr>
              <w:ind w:left="260"/>
              <w:spacing w:after="0"/>
              <w:rPr>
                <w:sz w:val="20"/>
                <w:szCs w:val="20"/>
                <w:color w:val="auto"/>
              </w:rPr>
            </w:pPr>
            <w:r>
              <w:rPr>
                <w:rFonts w:ascii="Arial" w:cs="Arial" w:eastAsia="Arial" w:hAnsi="Arial"/>
                <w:sz w:val="16"/>
                <w:szCs w:val="16"/>
                <w:color w:val="auto"/>
              </w:rPr>
              <w:t>23.5 x 35 in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Arial" w:cs="Arial" w:eastAsia="Arial" w:hAnsi="Arial"/>
                <w:sz w:val="16"/>
                <w:szCs w:val="16"/>
                <w:color w:val="auto"/>
              </w:rPr>
              <w:t>ink</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40" w:type="dxa"/>
            <w:vAlign w:val="bottom"/>
            <w:gridSpan w:val="3"/>
          </w:tcPr>
          <w:p>
            <w:pPr>
              <w:spacing w:after="0"/>
              <w:rPr>
                <w:sz w:val="20"/>
                <w:szCs w:val="20"/>
                <w:color w:val="auto"/>
              </w:rPr>
            </w:pPr>
            <w:r>
              <w:rPr>
                <w:rFonts w:ascii="Arial" w:cs="Arial" w:eastAsia="Arial" w:hAnsi="Arial"/>
                <w:sz w:val="16"/>
                <w:szCs w:val="16"/>
                <w:b w:val="1"/>
                <w:bCs w:val="1"/>
                <w:color w:val="auto"/>
              </w:rPr>
              <w:t>Avalanche</w:t>
            </w:r>
          </w:p>
        </w:tc>
        <w:tc>
          <w:tcPr>
            <w:tcW w:w="1160" w:type="dxa"/>
            <w:vAlign w:val="bottom"/>
          </w:tcPr>
          <w:p>
            <w:pPr>
              <w:spacing w:after="0"/>
              <w:rPr>
                <w:sz w:val="20"/>
                <w:szCs w:val="20"/>
                <w:color w:val="auto"/>
              </w:rPr>
            </w:pPr>
            <w:r>
              <w:rPr>
                <w:rFonts w:ascii="Arial" w:cs="Arial" w:eastAsia="Arial" w:hAnsi="Arial"/>
                <w:sz w:val="16"/>
                <w:szCs w:val="16"/>
                <w:color w:val="auto"/>
                <w:w w:val="95"/>
              </w:rPr>
              <w:t>High Throughput</w:t>
            </w:r>
          </w:p>
        </w:tc>
        <w:tc>
          <w:tcPr>
            <w:tcW w:w="1940" w:type="dxa"/>
            <w:vAlign w:val="bottom"/>
            <w:gridSpan w:val="3"/>
          </w:tcPr>
          <w:p>
            <w:pPr>
              <w:ind w:left="220"/>
              <w:spacing w:after="0"/>
              <w:rPr>
                <w:sz w:val="20"/>
                <w:szCs w:val="20"/>
                <w:color w:val="auto"/>
              </w:rPr>
            </w:pPr>
            <w:r>
              <w:rPr>
                <w:rFonts w:ascii="Arial" w:cs="Arial" w:eastAsia="Arial" w:hAnsi="Arial"/>
                <w:sz w:val="16"/>
                <w:szCs w:val="16"/>
                <w:color w:val="auto"/>
              </w:rPr>
              <w:t>200 garments/hour</w:t>
            </w:r>
          </w:p>
        </w:tc>
        <w:tc>
          <w:tcPr>
            <w:tcW w:w="1880" w:type="dxa"/>
            <w:vAlign w:val="bottom"/>
          </w:tcPr>
          <w:p>
            <w:pPr>
              <w:spacing w:after="0"/>
              <w:rPr>
                <w:sz w:val="20"/>
                <w:szCs w:val="20"/>
                <w:color w:val="auto"/>
              </w:rPr>
            </w:pPr>
            <w:r>
              <w:rPr>
                <w:rFonts w:ascii="Arial" w:cs="Arial" w:eastAsia="Arial" w:hAnsi="Arial"/>
                <w:sz w:val="16"/>
                <w:szCs w:val="16"/>
                <w:color w:val="auto"/>
              </w:rPr>
              <w:t>CMYK + White</w:t>
            </w:r>
          </w:p>
        </w:tc>
        <w:tc>
          <w:tcPr>
            <w:tcW w:w="1120" w:type="dxa"/>
            <w:vAlign w:val="bottom"/>
            <w:gridSpan w:val="2"/>
          </w:tcPr>
          <w:p>
            <w:pPr>
              <w:ind w:left="260"/>
              <w:spacing w:after="0"/>
              <w:rPr>
                <w:sz w:val="20"/>
                <w:szCs w:val="20"/>
                <w:color w:val="auto"/>
              </w:rPr>
            </w:pPr>
            <w:r>
              <w:rPr>
                <w:rFonts w:ascii="Arial" w:cs="Arial" w:eastAsia="Arial" w:hAnsi="Arial"/>
                <w:sz w:val="16"/>
                <w:szCs w:val="16"/>
                <w:color w:val="auto"/>
              </w:rPr>
              <w:t>23.5 x 35 in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Paradigm II</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6"/>
                <w:szCs w:val="16"/>
                <w:color w:val="auto"/>
              </w:rPr>
              <w:t>15.5 x 19.5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40" w:type="dxa"/>
            <w:vAlign w:val="bottom"/>
            <w:gridSpan w:val="3"/>
            <w:vMerge w:val="continue"/>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6"/>
                <w:szCs w:val="16"/>
                <w:color w:val="auto"/>
                <w:w w:val="95"/>
              </w:rPr>
              <w:t>High Throughput</w:t>
            </w:r>
          </w:p>
        </w:tc>
        <w:tc>
          <w:tcPr>
            <w:tcW w:w="1940" w:type="dxa"/>
            <w:vAlign w:val="bottom"/>
            <w:gridSpan w:val="3"/>
          </w:tcPr>
          <w:p>
            <w:pPr>
              <w:ind w:left="220"/>
              <w:spacing w:after="0"/>
              <w:rPr>
                <w:sz w:val="20"/>
                <w:szCs w:val="20"/>
                <w:color w:val="auto"/>
              </w:rPr>
            </w:pPr>
            <w:r>
              <w:rPr>
                <w:rFonts w:ascii="Arial" w:cs="Arial" w:eastAsia="Arial" w:hAnsi="Arial"/>
                <w:sz w:val="16"/>
                <w:szCs w:val="16"/>
                <w:color w:val="auto"/>
              </w:rPr>
              <w:t>200 garments/hour</w:t>
            </w:r>
          </w:p>
        </w:tc>
        <w:tc>
          <w:tcPr>
            <w:tcW w:w="1880" w:type="dxa"/>
            <w:vAlign w:val="bottom"/>
          </w:tcPr>
          <w:p>
            <w:pPr>
              <w:spacing w:after="0"/>
              <w:rPr>
                <w:sz w:val="20"/>
                <w:szCs w:val="20"/>
                <w:color w:val="auto"/>
              </w:rPr>
            </w:pPr>
            <w:r>
              <w:rPr>
                <w:rFonts w:ascii="Arial" w:cs="Arial" w:eastAsia="Arial" w:hAnsi="Arial"/>
                <w:sz w:val="16"/>
                <w:szCs w:val="16"/>
                <w:color w:val="auto"/>
              </w:rPr>
              <w:t>CMYK</w:t>
            </w:r>
          </w:p>
        </w:tc>
        <w:tc>
          <w:tcPr>
            <w:tcW w:w="1120" w:type="dxa"/>
            <w:vAlign w:val="bottom"/>
            <w:gridSpan w:val="2"/>
          </w:tcPr>
          <w:p>
            <w:pPr>
              <w:ind w:left="260"/>
              <w:spacing w:after="0"/>
              <w:rPr>
                <w:sz w:val="20"/>
                <w:szCs w:val="20"/>
                <w:color w:val="auto"/>
              </w:rPr>
            </w:pPr>
            <w:r>
              <w:rPr>
                <w:rFonts w:ascii="Arial" w:cs="Arial" w:eastAsia="Arial" w:hAnsi="Arial"/>
                <w:sz w:val="16"/>
                <w:szCs w:val="16"/>
                <w:color w:val="auto"/>
              </w:rPr>
              <w:t>in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ind w:left="1060"/>
              <w:spacing w:after="0"/>
              <w:rPr>
                <w:sz w:val="20"/>
                <w:szCs w:val="20"/>
                <w:color w:val="auto"/>
              </w:rPr>
            </w:pPr>
            <w:r>
              <w:rPr>
                <w:rFonts w:ascii="Arial" w:cs="Arial" w:eastAsia="Arial" w:hAnsi="Arial"/>
                <w:sz w:val="13"/>
                <w:szCs w:val="13"/>
                <w:color w:val="auto"/>
              </w:rPr>
              <w:t>59</w:t>
            </w: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1" w:right="1440" w:bottom="1440" w:gutter="0" w:footer="0" w:header="0"/>
        </w:sectPr>
      </w:pPr>
    </w:p>
    <w:bookmarkStart w:id="63" w:name="page64"/>
    <w:bookmarkEnd w:id="63"/>
    <w:p>
      <w:pPr>
        <w:ind w:left="580"/>
        <w:spacing w:after="0"/>
        <w:rPr>
          <w:sz w:val="20"/>
          <w:szCs w:val="20"/>
          <w:color w:val="auto"/>
        </w:rPr>
      </w:pPr>
      <w:r>
        <w:rPr>
          <w:rFonts w:ascii="Arial" w:cs="Arial" w:eastAsia="Arial" w:hAnsi="Arial"/>
          <w:sz w:val="16"/>
          <w:szCs w:val="16"/>
          <w:b w:val="1"/>
          <w:bCs w:val="1"/>
          <w:i w:val="1"/>
          <w:iCs w:val="1"/>
          <w:color w:val="auto"/>
        </w:rPr>
        <w:t>Systems under Development</w:t>
      </w:r>
    </w:p>
    <w:p>
      <w:pPr>
        <w:spacing w:after="0" w:line="20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Our systems under development consist of a R2R system, the Allegro, and a DTG system, the Vulcan.</w:t>
      </w:r>
    </w:p>
    <w:p>
      <w:pPr>
        <w:spacing w:after="0" w:line="216" w:lineRule="exact"/>
        <w:rPr>
          <w:sz w:val="20"/>
          <w:szCs w:val="20"/>
          <w:color w:val="auto"/>
        </w:rPr>
      </w:pPr>
    </w:p>
    <w:p>
      <w:pPr>
        <w:ind w:left="960" w:right="619" w:hanging="189"/>
        <w:spacing w:after="0" w:line="249" w:lineRule="auto"/>
        <w:tabs>
          <w:tab w:leader="none" w:pos="943" w:val="left"/>
        </w:tabs>
        <w:numPr>
          <w:ilvl w:val="0"/>
          <w:numId w:val="39"/>
        </w:numPr>
        <w:rPr>
          <w:rFonts w:ascii="Arial" w:cs="Arial" w:eastAsia="Arial" w:hAnsi="Arial"/>
          <w:sz w:val="19"/>
          <w:szCs w:val="19"/>
          <w:i w:val="1"/>
          <w:iCs w:val="1"/>
          <w:color w:val="auto"/>
        </w:rPr>
      </w:pPr>
      <w:r>
        <w:rPr>
          <w:rFonts w:ascii="Arial" w:cs="Arial" w:eastAsia="Arial" w:hAnsi="Arial"/>
          <w:sz w:val="16"/>
          <w:szCs w:val="16"/>
          <w:i w:val="1"/>
          <w:iCs w:val="1"/>
          <w:color w:val="auto"/>
        </w:rPr>
        <w:t>Allegro</w:t>
      </w:r>
      <w:r>
        <w:rPr>
          <w:rFonts w:ascii="Arial" w:cs="Arial" w:eastAsia="Arial" w:hAnsi="Arial"/>
          <w:sz w:val="16"/>
          <w:szCs w:val="16"/>
          <w:color w:val="auto"/>
        </w:rPr>
        <w:t>. Our Allegro system is the first R2R printing system to allow for one-step R2R printing, while most</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R2R printers require six steps. The Allegro is in beta testing at three customer sites and we are targeting its commercial launch within the next 18 months.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w:t>
      </w:r>
    </w:p>
    <w:p>
      <w:pPr>
        <w:spacing w:after="0" w:line="178" w:lineRule="exact"/>
        <w:rPr>
          <w:rFonts w:ascii="Arial" w:cs="Arial" w:eastAsia="Arial" w:hAnsi="Arial"/>
          <w:sz w:val="19"/>
          <w:szCs w:val="19"/>
          <w:i w:val="1"/>
          <w:iCs w:val="1"/>
          <w:color w:val="auto"/>
        </w:rPr>
      </w:pPr>
    </w:p>
    <w:p>
      <w:pPr>
        <w:ind w:left="960" w:right="579" w:hanging="189"/>
        <w:spacing w:after="0" w:line="268" w:lineRule="auto"/>
        <w:tabs>
          <w:tab w:leader="none" w:pos="933" w:val="left"/>
        </w:tabs>
        <w:numPr>
          <w:ilvl w:val="0"/>
          <w:numId w:val="39"/>
        </w:numPr>
        <w:rPr>
          <w:rFonts w:ascii="Arial" w:cs="Arial" w:eastAsia="Arial" w:hAnsi="Arial"/>
          <w:sz w:val="18"/>
          <w:szCs w:val="18"/>
          <w:i w:val="1"/>
          <w:iCs w:val="1"/>
          <w:color w:val="auto"/>
        </w:rPr>
      </w:pPr>
      <w:r>
        <w:rPr>
          <w:rFonts w:ascii="Arial" w:cs="Arial" w:eastAsia="Arial" w:hAnsi="Arial"/>
          <w:sz w:val="15"/>
          <w:szCs w:val="15"/>
          <w:i w:val="1"/>
          <w:iCs w:val="1"/>
          <w:color w:val="auto"/>
        </w:rPr>
        <w:t>Vulcan</w:t>
      </w:r>
      <w:r>
        <w:rPr>
          <w:rFonts w:ascii="Arial" w:cs="Arial" w:eastAsia="Arial" w:hAnsi="Arial"/>
          <w:sz w:val="15"/>
          <w:szCs w:val="15"/>
          <w:color w:val="auto"/>
        </w:rPr>
        <w:t>. Our Vulcan system is designed to enable mass production of customized garments with high and consistent</w:t>
      </w:r>
      <w:r>
        <w:rPr>
          <w:rFonts w:ascii="Arial" w:cs="Arial" w:eastAsia="Arial" w:hAnsi="Arial"/>
          <w:sz w:val="15"/>
          <w:szCs w:val="15"/>
          <w:i w:val="1"/>
          <w:iCs w:val="1"/>
          <w:color w:val="auto"/>
        </w:rPr>
        <w:t xml:space="preserve"> </w:t>
      </w:r>
      <w:r>
        <w:rPr>
          <w:rFonts w:ascii="Arial" w:cs="Arial" w:eastAsia="Arial" w:hAnsi="Arial"/>
          <w:sz w:val="15"/>
          <w:szCs w:val="15"/>
          <w:color w:val="auto"/>
        </w:rPr>
        <w:t>printing quality. It is designed to run at throughputs higher than any of our existing systems. The system’s architecture takes a different ergonomic approach to the sequence of loading and unloading of garments than that of our existing systems, enabling higher throughputs. We expect to begin beta testing of the Vulcan at customer sites in 2015 and are targeting its commercial launch within the next 24 months.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Ink and Other Consumables</w:t>
      </w:r>
    </w:p>
    <w:p>
      <w:pPr>
        <w:spacing w:after="0" w:line="196" w:lineRule="exact"/>
        <w:rPr>
          <w:sz w:val="20"/>
          <w:szCs w:val="20"/>
          <w:color w:val="auto"/>
        </w:rPr>
      </w:pPr>
    </w:p>
    <w:p>
      <w:pPr>
        <w:ind w:left="580" w:right="599" w:firstLine="194"/>
        <w:spacing w:after="0" w:line="256" w:lineRule="auto"/>
        <w:rPr>
          <w:sz w:val="20"/>
          <w:szCs w:val="20"/>
          <w:color w:val="auto"/>
        </w:rPr>
      </w:pPr>
      <w:r>
        <w:rPr>
          <w:rFonts w:ascii="Arial" w:cs="Arial" w:eastAsia="Arial" w:hAnsi="Arial"/>
          <w:sz w:val="16"/>
          <w:szCs w:val="16"/>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We are also investing in the development of new ink formulas for our new systems and in order to expand the range of fabrics on which we can print and further improve the quality of our high resolution images and designs.</w:t>
      </w:r>
    </w:p>
    <w:p>
      <w:pPr>
        <w:spacing w:after="0" w:line="162" w:lineRule="exact"/>
        <w:rPr>
          <w:sz w:val="20"/>
          <w:szCs w:val="20"/>
          <w:color w:val="auto"/>
        </w:rPr>
      </w:pPr>
    </w:p>
    <w:p>
      <w:pPr>
        <w:ind w:left="580" w:right="579" w:firstLine="194"/>
        <w:spacing w:after="0" w:line="257"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Integrated Software</w:t>
      </w:r>
    </w:p>
    <w:p>
      <w:pPr>
        <w:spacing w:after="0" w:line="196" w:lineRule="exact"/>
        <w:rPr>
          <w:sz w:val="20"/>
          <w:szCs w:val="20"/>
          <w:color w:val="auto"/>
        </w:rPr>
      </w:pPr>
    </w:p>
    <w:p>
      <w:pPr>
        <w:ind w:left="580" w:right="599" w:firstLine="194"/>
        <w:spacing w:after="0" w:line="255" w:lineRule="auto"/>
        <w:rPr>
          <w:sz w:val="20"/>
          <w:szCs w:val="20"/>
          <w:color w:val="auto"/>
        </w:rPr>
      </w:pPr>
      <w:r>
        <w:rPr>
          <w:rFonts w:ascii="Arial" w:cs="Arial" w:eastAsia="Arial" w:hAnsi="Arial"/>
          <w:sz w:val="16"/>
          <w:szCs w:val="16"/>
          <w:color w:val="auto"/>
        </w:rPr>
        <w:t>All of our systems arrive with our QuickP Production software installed. QuickP Production is a basic interface that allows users to control key operating parameters of our systems, such as ink dots per inch, or DPI, and import image files created using other Ruster Image Processing, or RIP, software. Almost all of our customers also purchase our QuickP Designer software. QuickP Designer is a software package that combines our own internally developed RIP software with other print job management capabilities and allows greater control over the image design process than QuickP Production, such as the ability to resize and reposition images and improve image quality. A single QuickP Designer license can be used to support multiple Kornit systems. We also offer our QuickP Plus 2.0 software suite, which provides customers with a full workflow solution from acceptance of online orders through production via our web application server. QuickP Plus 2.0 is at an early stage of adoption by customers and is currently installed at a few of our customer sites.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Our Services</w:t>
      </w:r>
    </w:p>
    <w:p>
      <w:pPr>
        <w:spacing w:after="0" w:line="183" w:lineRule="exact"/>
        <w:rPr>
          <w:sz w:val="20"/>
          <w:szCs w:val="20"/>
          <w:color w:val="auto"/>
        </w:rPr>
      </w:pPr>
    </w:p>
    <w:p>
      <w:pPr>
        <w:ind w:left="580" w:right="739" w:firstLine="194"/>
        <w:spacing w:after="0" w:line="258" w:lineRule="auto"/>
        <w:rPr>
          <w:sz w:val="20"/>
          <w:szCs w:val="20"/>
          <w:color w:val="auto"/>
        </w:rPr>
      </w:pPr>
      <w:r>
        <w:rPr>
          <w:rFonts w:ascii="Arial" w:cs="Arial" w:eastAsia="Arial" w:hAnsi="Arial"/>
          <w:sz w:val="16"/>
          <w:szCs w:val="16"/>
          <w:color w:val="auto"/>
        </w:rPr>
        <w:t>Our services consist of maintenance and support, and professional services. We are seeking to increase the number of customers that rely on us to provide services for their systems by expanding our service capabilities.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4" w:name="page65"/>
    <w:bookmarkEnd w:id="64"/>
    <w:p>
      <w:pPr>
        <w:ind w:left="580"/>
        <w:spacing w:after="0"/>
        <w:rPr>
          <w:sz w:val="20"/>
          <w:szCs w:val="20"/>
          <w:color w:val="auto"/>
        </w:rPr>
      </w:pPr>
      <w:r>
        <w:rPr>
          <w:rFonts w:ascii="Arial" w:cs="Arial" w:eastAsia="Arial" w:hAnsi="Arial"/>
          <w:sz w:val="16"/>
          <w:szCs w:val="16"/>
          <w:b w:val="1"/>
          <w:bCs w:val="1"/>
          <w:i w:val="1"/>
          <w:iCs w:val="1"/>
          <w:color w:val="auto"/>
        </w:rPr>
        <w:t>Maintenance and Support</w:t>
      </w:r>
    </w:p>
    <w:p>
      <w:pPr>
        <w:spacing w:after="0" w:line="167" w:lineRule="exact"/>
        <w:rPr>
          <w:sz w:val="20"/>
          <w:szCs w:val="20"/>
          <w:color w:val="auto"/>
        </w:rPr>
      </w:pPr>
    </w:p>
    <w:p>
      <w:pPr>
        <w:ind w:left="580" w:right="579" w:firstLine="194"/>
        <w:spacing w:after="0" w:line="277" w:lineRule="auto"/>
        <w:rPr>
          <w:sz w:val="20"/>
          <w:szCs w:val="20"/>
          <w:color w:val="auto"/>
        </w:rPr>
      </w:pPr>
      <w:r>
        <w:rPr>
          <w:rFonts w:ascii="Arial" w:cs="Arial" w:eastAsia="Arial" w:hAnsi="Arial"/>
          <w:sz w:val="15"/>
          <w:szCs w:val="15"/>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Professional Services</w:t>
      </w:r>
    </w:p>
    <w:p>
      <w:pPr>
        <w:spacing w:after="0" w:line="167" w:lineRule="exact"/>
        <w:rPr>
          <w:sz w:val="20"/>
          <w:szCs w:val="20"/>
          <w:color w:val="auto"/>
        </w:rPr>
      </w:pPr>
    </w:p>
    <w:p>
      <w:pPr>
        <w:ind w:left="580" w:right="579" w:firstLine="194"/>
        <w:spacing w:after="0" w:line="258" w:lineRule="auto"/>
        <w:rPr>
          <w:sz w:val="20"/>
          <w:szCs w:val="20"/>
          <w:color w:val="auto"/>
        </w:rPr>
      </w:pPr>
      <w:r>
        <w:rPr>
          <w:rFonts w:ascii="Arial" w:cs="Arial" w:eastAsia="Arial" w:hAnsi="Arial"/>
          <w:sz w:val="16"/>
          <w:szCs w:val="16"/>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Our Customers</w:t>
      </w:r>
    </w:p>
    <w:p>
      <w:pPr>
        <w:spacing w:after="0" w:line="208" w:lineRule="exact"/>
        <w:rPr>
          <w:sz w:val="20"/>
          <w:szCs w:val="20"/>
          <w:color w:val="auto"/>
        </w:rPr>
      </w:pPr>
    </w:p>
    <w:p>
      <w:pPr>
        <w:ind w:left="580" w:right="919" w:firstLine="194"/>
        <w:spacing w:after="0" w:line="281" w:lineRule="auto"/>
        <w:rPr>
          <w:sz w:val="20"/>
          <w:szCs w:val="20"/>
          <w:color w:val="auto"/>
        </w:rPr>
      </w:pPr>
      <w:r>
        <w:rPr>
          <w:rFonts w:ascii="Arial" w:cs="Arial" w:eastAsia="Arial" w:hAnsi="Arial"/>
          <w:sz w:val="16"/>
          <w:szCs w:val="16"/>
          <w:color w:val="auto"/>
        </w:rPr>
        <w:t>Our diverse global customer base consisted of more than 800 customers as of December 31, 2014. Our customers include custom decorators, online businesses, brand owners and contract printers.</w:t>
      </w:r>
    </w:p>
    <w:p>
      <w:pPr>
        <w:spacing w:after="0" w:line="163" w:lineRule="exact"/>
        <w:rPr>
          <w:sz w:val="20"/>
          <w:szCs w:val="20"/>
          <w:color w:val="auto"/>
        </w:rPr>
      </w:pPr>
    </w:p>
    <w:p>
      <w:pPr>
        <w:ind w:left="960" w:right="659" w:hanging="189"/>
        <w:spacing w:after="0" w:line="246" w:lineRule="auto"/>
        <w:tabs>
          <w:tab w:leader="none" w:pos="940" w:val="left"/>
        </w:tabs>
        <w:numPr>
          <w:ilvl w:val="0"/>
          <w:numId w:val="40"/>
        </w:numPr>
        <w:rPr>
          <w:rFonts w:ascii="Arial" w:cs="Arial" w:eastAsia="Arial" w:hAnsi="Arial"/>
          <w:sz w:val="19"/>
          <w:szCs w:val="19"/>
          <w:i w:val="1"/>
          <w:iCs w:val="1"/>
          <w:color w:val="auto"/>
        </w:rPr>
      </w:pPr>
      <w:r>
        <w:rPr>
          <w:rFonts w:ascii="Arial" w:cs="Arial" w:eastAsia="Arial" w:hAnsi="Arial"/>
          <w:sz w:val="16"/>
          <w:szCs w:val="16"/>
          <w:i w:val="1"/>
          <w:iCs w:val="1"/>
          <w:color w:val="auto"/>
        </w:rPr>
        <w:t xml:space="preserve">Custom Decorators. </w:t>
      </w:r>
      <w:r>
        <w:rPr>
          <w:rFonts w:ascii="Arial" w:cs="Arial" w:eastAsia="Arial" w:hAnsi="Arial"/>
          <w:sz w:val="16"/>
          <w:szCs w:val="16"/>
          <w:color w:val="auto"/>
        </w:rPr>
        <w:t>Our custom decorator customers produce and sell decorated garments, mostly t-shirts. Our</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allow custom decorators to produce short to medium runs of high-quality customized garments quickly and efficiently, which enables them to increase average selling prices and margins compared to their screen printed garments.</w:t>
      </w:r>
    </w:p>
    <w:p>
      <w:pPr>
        <w:spacing w:after="0" w:line="142" w:lineRule="exact"/>
        <w:rPr>
          <w:rFonts w:ascii="Arial" w:cs="Arial" w:eastAsia="Arial" w:hAnsi="Arial"/>
          <w:sz w:val="19"/>
          <w:szCs w:val="19"/>
          <w:i w:val="1"/>
          <w:iCs w:val="1"/>
          <w:color w:val="auto"/>
        </w:rPr>
      </w:pPr>
    </w:p>
    <w:p>
      <w:pPr>
        <w:ind w:left="960" w:right="579" w:hanging="189"/>
        <w:spacing w:after="0" w:line="268" w:lineRule="auto"/>
        <w:tabs>
          <w:tab w:leader="none" w:pos="943" w:val="left"/>
        </w:tabs>
        <w:numPr>
          <w:ilvl w:val="0"/>
          <w:numId w:val="40"/>
        </w:numPr>
        <w:rPr>
          <w:rFonts w:ascii="Arial" w:cs="Arial" w:eastAsia="Arial" w:hAnsi="Arial"/>
          <w:sz w:val="18"/>
          <w:szCs w:val="18"/>
          <w:i w:val="1"/>
          <w:iCs w:val="1"/>
          <w:color w:val="auto"/>
        </w:rPr>
      </w:pPr>
      <w:r>
        <w:rPr>
          <w:rFonts w:ascii="Arial" w:cs="Arial" w:eastAsia="Arial" w:hAnsi="Arial"/>
          <w:sz w:val="15"/>
          <w:szCs w:val="15"/>
          <w:i w:val="1"/>
          <w:iCs w:val="1"/>
          <w:color w:val="auto"/>
        </w:rPr>
        <w:t>Online Businesses</w:t>
      </w:r>
      <w:r>
        <w:rPr>
          <w:rFonts w:ascii="Arial" w:cs="Arial" w:eastAsia="Arial" w:hAnsi="Arial"/>
          <w:sz w:val="15"/>
          <w:szCs w:val="15"/>
          <w:color w:val="auto"/>
        </w:rPr>
        <w:t>. The business model of our online business customers is based on “produce to order” garments,</w:t>
      </w:r>
      <w:r>
        <w:rPr>
          <w:rFonts w:ascii="Arial" w:cs="Arial" w:eastAsia="Arial" w:hAnsi="Arial"/>
          <w:sz w:val="15"/>
          <w:szCs w:val="15"/>
          <w:i w:val="1"/>
          <w:iCs w:val="1"/>
          <w:color w:val="auto"/>
        </w:rPr>
        <w:t xml:space="preserve"> </w:t>
      </w:r>
      <w:r>
        <w:rPr>
          <w:rFonts w:ascii="Arial" w:cs="Arial" w:eastAsia="Arial" w:hAnsi="Arial"/>
          <w:sz w:val="15"/>
          <w:szCs w:val="15"/>
          <w:color w:val="auto"/>
        </w:rPr>
        <w:t>often in quantities of one, at high average selling prices and significant margins. Since the online customized apparel business is growing quickly, most of our online business customers serve more than one website and have multiple systems on their production floors. Some of these customers look to us to link them with other users of our systems around the world, to cater to their own global customer base, enabling them to shorten delivery times for the orders they process through their websites. Our systems’ one-step printing process allows these customers to produce customized garments with short setup time.</w:t>
      </w:r>
    </w:p>
    <w:p>
      <w:pPr>
        <w:spacing w:after="0" w:line="127" w:lineRule="exact"/>
        <w:rPr>
          <w:rFonts w:ascii="Arial" w:cs="Arial" w:eastAsia="Arial" w:hAnsi="Arial"/>
          <w:sz w:val="18"/>
          <w:szCs w:val="18"/>
          <w:i w:val="1"/>
          <w:iCs w:val="1"/>
          <w:color w:val="auto"/>
        </w:rPr>
      </w:pPr>
    </w:p>
    <w:p>
      <w:pPr>
        <w:ind w:left="960" w:right="619" w:hanging="189"/>
        <w:spacing w:after="0" w:line="290" w:lineRule="auto"/>
        <w:tabs>
          <w:tab w:leader="none" w:pos="943" w:val="left"/>
        </w:tabs>
        <w:numPr>
          <w:ilvl w:val="0"/>
          <w:numId w:val="40"/>
        </w:numPr>
        <w:rPr>
          <w:rFonts w:ascii="Arial" w:cs="Arial" w:eastAsia="Arial" w:hAnsi="Arial"/>
          <w:sz w:val="17"/>
          <w:szCs w:val="17"/>
          <w:i w:val="1"/>
          <w:iCs w:val="1"/>
          <w:color w:val="auto"/>
        </w:rPr>
      </w:pPr>
      <w:r>
        <w:rPr>
          <w:rFonts w:ascii="Arial" w:cs="Arial" w:eastAsia="Arial" w:hAnsi="Arial"/>
          <w:sz w:val="14"/>
          <w:szCs w:val="14"/>
          <w:i w:val="1"/>
          <w:iCs w:val="1"/>
          <w:color w:val="auto"/>
        </w:rPr>
        <w:t>Brand Owners</w:t>
      </w:r>
      <w:r>
        <w:rPr>
          <w:rFonts w:ascii="Arial" w:cs="Arial" w:eastAsia="Arial" w:hAnsi="Arial"/>
          <w:sz w:val="14"/>
          <w:szCs w:val="14"/>
          <w:color w:val="auto"/>
        </w:rPr>
        <w:t>. Most brand owners use contract printers to produce their garments. Our systems offer an</w:t>
      </w:r>
      <w:r>
        <w:rPr>
          <w:rFonts w:ascii="Arial" w:cs="Arial" w:eastAsia="Arial" w:hAnsi="Arial"/>
          <w:sz w:val="14"/>
          <w:szCs w:val="14"/>
          <w:i w:val="1"/>
          <w:iCs w:val="1"/>
          <w:color w:val="auto"/>
        </w:rPr>
        <w:t xml:space="preserve"> </w:t>
      </w:r>
      <w:r>
        <w:rPr>
          <w:rFonts w:ascii="Arial" w:cs="Arial" w:eastAsia="Arial" w:hAnsi="Arial"/>
          <w:sz w:val="14"/>
          <w:szCs w:val="14"/>
          <w:color w:val="auto"/>
        </w:rPr>
        <w:t>alternative to outsourcing in cases where brand owners prefer to handle their production needs in house. Several brand owners that own full or partial production capacity are adopting digital textile printing technology to achieve innovation in design, greater customization and shorter lead times to market, which our systems facilitate.</w:t>
      </w:r>
    </w:p>
    <w:p>
      <w:pPr>
        <w:spacing w:after="0" w:line="112" w:lineRule="exact"/>
        <w:rPr>
          <w:rFonts w:ascii="Arial" w:cs="Arial" w:eastAsia="Arial" w:hAnsi="Arial"/>
          <w:sz w:val="17"/>
          <w:szCs w:val="17"/>
          <w:i w:val="1"/>
          <w:iCs w:val="1"/>
          <w:color w:val="auto"/>
        </w:rPr>
      </w:pPr>
    </w:p>
    <w:p>
      <w:pPr>
        <w:ind w:left="960" w:right="699" w:hanging="189"/>
        <w:spacing w:after="0" w:line="249" w:lineRule="auto"/>
        <w:tabs>
          <w:tab w:leader="none" w:pos="940" w:val="left"/>
        </w:tabs>
        <w:numPr>
          <w:ilvl w:val="0"/>
          <w:numId w:val="40"/>
        </w:numPr>
        <w:rPr>
          <w:rFonts w:ascii="Arial" w:cs="Arial" w:eastAsia="Arial" w:hAnsi="Arial"/>
          <w:sz w:val="19"/>
          <w:szCs w:val="19"/>
          <w:i w:val="1"/>
          <w:iCs w:val="1"/>
          <w:color w:val="auto"/>
        </w:rPr>
      </w:pPr>
      <w:r>
        <w:rPr>
          <w:rFonts w:ascii="Arial" w:cs="Arial" w:eastAsia="Arial" w:hAnsi="Arial"/>
          <w:sz w:val="16"/>
          <w:szCs w:val="16"/>
          <w:i w:val="1"/>
          <w:iCs w:val="1"/>
          <w:color w:val="auto"/>
        </w:rPr>
        <w:t>Contract Printers</w:t>
      </w:r>
      <w:r>
        <w:rPr>
          <w:rFonts w:ascii="Arial" w:cs="Arial" w:eastAsia="Arial" w:hAnsi="Arial"/>
          <w:sz w:val="16"/>
          <w:szCs w:val="16"/>
          <w:color w:val="auto"/>
        </w:rPr>
        <w:t>. Contract printers are high volume producers that are seeking industrial scale and cost-effective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solutions. They provide printing services to brand owners and high-end garment manufacturers and primarily use analog printing technologies. Our contract printer customers typically purchase our Avalanche family of products for high productivity as well as our Paradigm II DTG system, which allows them to combine complex images and designs with multiple embellishment effects, such as glitter, silicon, gel and burnout, into their ordinary screen printed textiles.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Sales and Distribution</w:t>
      </w:r>
    </w:p>
    <w:p>
      <w:pPr>
        <w:spacing w:after="0" w:line="159" w:lineRule="exact"/>
        <w:rPr>
          <w:sz w:val="20"/>
          <w:szCs w:val="20"/>
          <w:color w:val="auto"/>
        </w:rPr>
      </w:pPr>
    </w:p>
    <w:p>
      <w:pPr>
        <w:ind w:left="580" w:right="659" w:firstLine="194"/>
        <w:spacing w:after="0" w:line="295" w:lineRule="auto"/>
        <w:rPr>
          <w:sz w:val="20"/>
          <w:szCs w:val="20"/>
          <w:color w:val="auto"/>
        </w:rPr>
      </w:pPr>
      <w:r>
        <w:rPr>
          <w:rFonts w:ascii="Arial" w:cs="Arial" w:eastAsia="Arial" w:hAnsi="Arial"/>
          <w:sz w:val="14"/>
          <w:szCs w:val="14"/>
          <w:color w:val="auto"/>
        </w:rPr>
        <w:t>Our go to market strategy consists of a hybrid model of indirect and direct sales. We sell the majority of our solutions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December 31, 2014, our global network of channel partners consisted of approximately 50 independent distributors and resellers. Sales by our distributors accounted for approximately 72% of our revenues in 2014 and approximately 63% in 2013. In addition to working closely with our channel partners, our direct sales force engages in direct sales in certain geographies, and also with our largest customers, irrespective of their location.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5" w:name="page66"/>
    <w:bookmarkEnd w:id="65"/>
    <w:p>
      <w:pPr>
        <w:ind w:left="580" w:right="599" w:firstLine="194"/>
        <w:spacing w:after="0" w:line="273" w:lineRule="auto"/>
        <w:rPr>
          <w:sz w:val="20"/>
          <w:szCs w:val="20"/>
          <w:color w:val="auto"/>
        </w:rPr>
      </w:pPr>
      <w:r>
        <w:rPr>
          <w:rFonts w:ascii="Arial" w:cs="Arial" w:eastAsia="Arial" w:hAnsi="Arial"/>
          <w:sz w:val="15"/>
          <w:szCs w:val="15"/>
          <w:color w:val="auto"/>
        </w:rPr>
        <w:t>The substantial majority of our sales in North America are performed through independent distributors. Hirsch International Corporation and SPSI, Inc. were our top two independent distributors by revenues in 2013 and 2014, accounting for 20% and 25% of our revenues in each such period in the case of Hirsch, and 13% and 15% of our revenues in each such period in the case of SPSI, respectively. We entered into distributor agreements with Hirsch and SPSI, dated April 1, 2014, each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as well as five Canadian provinces. Our agreement with SPSI is a non-exclusive distribution contract across the United States, including 20 states mainly in the Midwest, Northwest, and Southwest regions. For both distributors, we maintain projected sales plans for a number of different print systems on a yearly basis and there is a minimum yearly sales requirement for systems and ink and other consumables.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Marketing</w:t>
      </w:r>
    </w:p>
    <w:p>
      <w:pPr>
        <w:spacing w:after="0" w:line="208" w:lineRule="exact"/>
        <w:rPr>
          <w:sz w:val="20"/>
          <w:szCs w:val="20"/>
          <w:color w:val="auto"/>
        </w:rPr>
      </w:pPr>
    </w:p>
    <w:p>
      <w:pPr>
        <w:ind w:left="580" w:right="579" w:firstLine="194"/>
        <w:spacing w:after="0" w:line="275" w:lineRule="auto"/>
        <w:rPr>
          <w:sz w:val="20"/>
          <w:szCs w:val="20"/>
          <w:color w:val="auto"/>
        </w:rPr>
      </w:pPr>
      <w:r>
        <w:rPr>
          <w:rFonts w:ascii="Arial" w:cs="Arial" w:eastAsia="Arial" w:hAnsi="Arial"/>
          <w:sz w:val="15"/>
          <w:szCs w:val="15"/>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59" w:lineRule="exact"/>
        <w:rPr>
          <w:sz w:val="20"/>
          <w:szCs w:val="20"/>
          <w:color w:val="auto"/>
        </w:rPr>
      </w:pPr>
    </w:p>
    <w:p>
      <w:pPr>
        <w:ind w:left="580" w:right="679" w:firstLine="194"/>
        <w:spacing w:after="0" w:line="276" w:lineRule="auto"/>
        <w:rPr>
          <w:sz w:val="20"/>
          <w:szCs w:val="20"/>
          <w:color w:val="auto"/>
        </w:rPr>
      </w:pPr>
      <w:r>
        <w:rPr>
          <w:rFonts w:ascii="Arial" w:cs="Arial" w:eastAsia="Arial" w:hAnsi="Arial"/>
          <w:sz w:val="15"/>
          <w:szCs w:val="15"/>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Manufacturing, Inventory and Suppliers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Manufacturing</w:t>
      </w:r>
    </w:p>
    <w:p>
      <w:pPr>
        <w:spacing w:after="0" w:line="204" w:lineRule="exact"/>
        <w:rPr>
          <w:sz w:val="20"/>
          <w:szCs w:val="20"/>
          <w:color w:val="auto"/>
        </w:rPr>
      </w:pPr>
    </w:p>
    <w:p>
      <w:pPr>
        <w:ind w:left="580" w:right="579" w:firstLine="194"/>
        <w:spacing w:after="0" w:line="259" w:lineRule="auto"/>
        <w:rPr>
          <w:sz w:val="20"/>
          <w:szCs w:val="20"/>
          <w:color w:val="auto"/>
        </w:rPr>
      </w:pPr>
      <w:r>
        <w:rPr>
          <w:rFonts w:ascii="Arial" w:cs="Arial" w:eastAsia="Arial" w:hAnsi="Arial"/>
          <w:sz w:val="16"/>
          <w:szCs w:val="16"/>
          <w:color w:val="auto"/>
        </w:rPr>
        <w:t>The majority of our systems are assembled by ITS Industrial Techno Logic Solutions Ltd., or ITS, at its facilities in Kfar Saba, Israel. A portion of our systems are assembled by IFAT Technologies Ltd., or Ifat, at its facilities in Rehovot, Israel. Aside from our print heads, we source most of the components of our systems directly, which we believe allows us to manage our material costs and take advantage of the overall volume of systems manufactured at both facilities without the overhead of having in house manufacturing.</w:t>
      </w:r>
    </w:p>
    <w:p>
      <w:pPr>
        <w:spacing w:after="0" w:line="170" w:lineRule="exact"/>
        <w:rPr>
          <w:sz w:val="20"/>
          <w:szCs w:val="20"/>
          <w:color w:val="auto"/>
        </w:rPr>
      </w:pPr>
    </w:p>
    <w:p>
      <w:pPr>
        <w:ind w:left="580" w:right="639" w:firstLine="194"/>
        <w:spacing w:after="0" w:line="256" w:lineRule="auto"/>
        <w:rPr>
          <w:sz w:val="20"/>
          <w:szCs w:val="20"/>
          <w:color w:val="auto"/>
        </w:rPr>
      </w:pPr>
      <w:r>
        <w:rPr>
          <w:rFonts w:ascii="Arial" w:cs="Arial" w:eastAsia="Arial" w:hAnsi="Arial"/>
          <w:sz w:val="16"/>
          <w:szCs w:val="16"/>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Either party can also terminate the agreement at any time upon 365 days’ notice. Prices are set forth in the agreement and are determined separately with respect to the printers, services and raw materials.</w:t>
      </w:r>
    </w:p>
    <w:p>
      <w:pPr>
        <w:spacing w:after="0" w:line="174" w:lineRule="exact"/>
        <w:rPr>
          <w:sz w:val="20"/>
          <w:szCs w:val="20"/>
          <w:color w:val="auto"/>
        </w:rPr>
      </w:pPr>
    </w:p>
    <w:p>
      <w:pPr>
        <w:ind w:left="580" w:right="819" w:firstLine="194"/>
        <w:spacing w:after="0" w:line="281" w:lineRule="auto"/>
        <w:rPr>
          <w:sz w:val="20"/>
          <w:szCs w:val="20"/>
          <w:color w:val="auto"/>
        </w:rPr>
      </w:pPr>
      <w:r>
        <w:rPr>
          <w:rFonts w:ascii="Arial" w:cs="Arial" w:eastAsia="Arial" w:hAnsi="Arial"/>
          <w:sz w:val="16"/>
          <w:szCs w:val="16"/>
          <w:color w:val="auto"/>
        </w:rPr>
        <w:t>Ifat manufactures some of our Avalanche systems and our Breeze, Thunder and Paradigm II systems on a purchase order basis in accordance with our bill of materials, drawings and designs.</w:t>
      </w:r>
    </w:p>
    <w:p>
      <w:pPr>
        <w:spacing w:after="0" w:line="151" w:lineRule="exact"/>
        <w:rPr>
          <w:sz w:val="20"/>
          <w:szCs w:val="20"/>
          <w:color w:val="auto"/>
        </w:rPr>
      </w:pPr>
    </w:p>
    <w:p>
      <w:pPr>
        <w:ind w:left="580" w:right="1219" w:firstLine="194"/>
        <w:spacing w:after="0" w:line="281" w:lineRule="auto"/>
        <w:rPr>
          <w:sz w:val="20"/>
          <w:szCs w:val="20"/>
          <w:color w:val="auto"/>
        </w:rPr>
      </w:pPr>
      <w:r>
        <w:rPr>
          <w:rFonts w:ascii="Arial" w:cs="Arial" w:eastAsia="Arial" w:hAnsi="Arial"/>
          <w:sz w:val="16"/>
          <w:szCs w:val="16"/>
          <w:color w:val="auto"/>
        </w:rPr>
        <w:t>We produce and bottle our ink and other consumables at our facility in Kiryat Gat, Israel using raw materials purchased from various suppliers for milling pigments and mixing, bottling and packaging.</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6" w:name="page67"/>
    <w:bookmarkEnd w:id="66"/>
    <w:p>
      <w:pPr>
        <w:ind w:left="580"/>
        <w:spacing w:after="0"/>
        <w:rPr>
          <w:sz w:val="20"/>
          <w:szCs w:val="20"/>
          <w:color w:val="auto"/>
        </w:rPr>
      </w:pPr>
      <w:r>
        <w:rPr>
          <w:rFonts w:ascii="Arial" w:cs="Arial" w:eastAsia="Arial" w:hAnsi="Arial"/>
          <w:sz w:val="16"/>
          <w:szCs w:val="16"/>
          <w:b w:val="1"/>
          <w:bCs w:val="1"/>
          <w:i w:val="1"/>
          <w:iCs w:val="1"/>
          <w:color w:val="auto"/>
        </w:rPr>
        <w:t>Inventory and Suppliers</w:t>
      </w:r>
    </w:p>
    <w:p>
      <w:pPr>
        <w:spacing w:after="0" w:line="204" w:lineRule="exact"/>
        <w:rPr>
          <w:sz w:val="20"/>
          <w:szCs w:val="20"/>
          <w:color w:val="auto"/>
        </w:rPr>
      </w:pPr>
    </w:p>
    <w:p>
      <w:pPr>
        <w:ind w:left="580" w:right="759" w:firstLine="194"/>
        <w:spacing w:after="0" w:line="285" w:lineRule="auto"/>
        <w:rPr>
          <w:sz w:val="20"/>
          <w:szCs w:val="20"/>
          <w:color w:val="auto"/>
        </w:rPr>
      </w:pPr>
      <w:r>
        <w:rPr>
          <w:rFonts w:ascii="Arial" w:cs="Arial" w:eastAsia="Arial" w:hAnsi="Arial"/>
          <w:sz w:val="15"/>
          <w:szCs w:val="15"/>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13" w:lineRule="exact"/>
        <w:rPr>
          <w:sz w:val="20"/>
          <w:szCs w:val="20"/>
          <w:color w:val="auto"/>
        </w:rPr>
      </w:pPr>
    </w:p>
    <w:p>
      <w:pPr>
        <w:ind w:left="580" w:right="639" w:firstLine="194"/>
        <w:spacing w:after="0" w:line="195" w:lineRule="exact"/>
        <w:rPr>
          <w:sz w:val="20"/>
          <w:szCs w:val="20"/>
          <w:color w:val="auto"/>
        </w:rPr>
      </w:pPr>
      <w:r>
        <w:rPr>
          <w:rFonts w:ascii="Arial" w:cs="Arial" w:eastAsia="Arial" w:hAnsi="Arial"/>
          <w:sz w:val="15"/>
          <w:szCs w:val="15"/>
          <w:color w:val="auto"/>
        </w:rPr>
        <w:t>The print heads for our systems are supplied by a sole supplier, FDMX. We entered into an agreement with FDMX, dated January 6, 2006, as amended, pursuant to which FDMX sells us print heads and additional by-products, including ink.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w:t>
      </w:r>
      <w:r>
        <w:rPr>
          <w:rFonts w:ascii="MS PGothic" w:cs="MS PGothic" w:eastAsia="MS PGothic" w:hAnsi="MS PGothic"/>
          <w:sz w:val="15"/>
          <w:szCs w:val="15"/>
          <w:color w:val="auto"/>
        </w:rPr>
        <w:t>‑</w:t>
      </w:r>
      <w:r>
        <w:rPr>
          <w:rFonts w:ascii="Arial" w:cs="Arial" w:eastAsia="Arial" w:hAnsi="Arial"/>
          <w:sz w:val="15"/>
          <w:szCs w:val="15"/>
          <w:color w:val="auto"/>
        </w:rPr>
        <w:t>annual payment to FDMX based on the amount of inks and other consumables, other than inks and other consumables sold by FDMX, that we sell over a relevant period or, if we do not sell ink and other consumables, a payment based on sales of our systems. We have granted customary audit rights to FDMX to verify the amount of sales that we make. The agreement renews automatically for successive one-year periods unless one party notifies the other party that it does not wish to renew the agreement by providing 90 days’ notice prior to the end of the current term. The agreement provides that beginning with the start of the first one-year renewal period, FDMX may increase the prices of the products that we purchase from it upon 90-days’ prior notice. As a result, we have entered into new pricing terms with FDMX on an annual basis which have constituted a new agreement starting a new initial term. Our current agreement terminates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65" w:lineRule="exact"/>
        <w:rPr>
          <w:sz w:val="20"/>
          <w:szCs w:val="20"/>
          <w:color w:val="auto"/>
        </w:rPr>
      </w:pPr>
    </w:p>
    <w:p>
      <w:pPr>
        <w:ind w:left="580" w:right="1219" w:firstLine="194"/>
        <w:spacing w:after="0" w:line="281" w:lineRule="auto"/>
        <w:rPr>
          <w:sz w:val="20"/>
          <w:szCs w:val="20"/>
          <w:color w:val="auto"/>
        </w:rPr>
      </w:pPr>
      <w:r>
        <w:rPr>
          <w:rFonts w:ascii="Arial" w:cs="Arial" w:eastAsia="Arial" w:hAnsi="Arial"/>
          <w:sz w:val="16"/>
          <w:szCs w:val="16"/>
          <w:color w:val="auto"/>
        </w:rPr>
        <w:t>The emulsion used in our ink is supplied by BG Bond, a subsidiary of Ashtrom Ltd., a large Israeli industrial company. We currently purchase the emulsion on a purchase order basis.</w:t>
      </w:r>
    </w:p>
    <w:p>
      <w:pPr>
        <w:spacing w:after="0" w:line="114" w:lineRule="exact"/>
        <w:rPr>
          <w:sz w:val="20"/>
          <w:szCs w:val="20"/>
          <w:color w:val="auto"/>
        </w:rPr>
      </w:pPr>
    </w:p>
    <w:p>
      <w:pPr>
        <w:ind w:left="580" w:right="599" w:firstLine="194"/>
        <w:spacing w:after="0" w:line="257" w:lineRule="auto"/>
        <w:rPr>
          <w:sz w:val="20"/>
          <w:szCs w:val="20"/>
          <w:color w:val="auto"/>
        </w:rPr>
      </w:pPr>
      <w:r>
        <w:rPr>
          <w:rFonts w:ascii="Arial" w:cs="Arial" w:eastAsia="Arial" w:hAnsi="Arial"/>
          <w:sz w:val="16"/>
          <w:szCs w:val="16"/>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Factors—If our relationships with suppliers, especially with single source suppliers of components, were to terminate, our business could be harmed.”</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Research and Development</w:t>
      </w:r>
    </w:p>
    <w:p>
      <w:pPr>
        <w:spacing w:after="0" w:line="208" w:lineRule="exact"/>
        <w:rPr>
          <w:sz w:val="20"/>
          <w:szCs w:val="20"/>
          <w:color w:val="auto"/>
        </w:rPr>
      </w:pPr>
    </w:p>
    <w:p>
      <w:pPr>
        <w:ind w:left="580" w:right="579" w:firstLine="194"/>
        <w:spacing w:after="0" w:line="295" w:lineRule="auto"/>
        <w:rPr>
          <w:sz w:val="20"/>
          <w:szCs w:val="20"/>
          <w:color w:val="auto"/>
        </w:rPr>
      </w:pPr>
      <w:r>
        <w:rPr>
          <w:rFonts w:ascii="Arial" w:cs="Arial" w:eastAsia="Arial" w:hAnsi="Arial"/>
          <w:sz w:val="14"/>
          <w:szCs w:val="14"/>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Our current research and development efforts are primarily focused on completing the development of our Vulcan DTG printing system, which is positioned to be the first mass customization DTG printer. Our efforts are also focused on the Allegro R2R system, which is currently in beta testing at three customer sites and takes advantage of our patented wet-on-wet printing methodology to allow printing on rolls of textiles of various fabrics, without requiring a separate pre-treatment process or use of textiles that are specifically designed for digital printing. We are also focused on enhancing our current DTG systems with new features and functionality, improving system reliability and uptime and making our systems even more user-friendly, and investing in new chemistry for broadening our span of applications.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Intellectual Property</w:t>
      </w:r>
    </w:p>
    <w:p>
      <w:pPr>
        <w:spacing w:after="0" w:line="171" w:lineRule="exact"/>
        <w:rPr>
          <w:sz w:val="20"/>
          <w:szCs w:val="20"/>
          <w:color w:val="auto"/>
        </w:rPr>
      </w:pPr>
    </w:p>
    <w:p>
      <w:pPr>
        <w:ind w:left="580" w:right="619" w:firstLine="194"/>
        <w:spacing w:after="0" w:line="292" w:lineRule="auto"/>
        <w:rPr>
          <w:sz w:val="20"/>
          <w:szCs w:val="20"/>
          <w:color w:val="auto"/>
        </w:rPr>
      </w:pPr>
      <w:r>
        <w:rPr>
          <w:rFonts w:ascii="Arial" w:cs="Arial" w:eastAsia="Arial" w:hAnsi="Arial"/>
          <w:sz w:val="15"/>
          <w:szCs w:val="15"/>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09" w:lineRule="exact"/>
        <w:rPr>
          <w:sz w:val="20"/>
          <w:szCs w:val="20"/>
          <w:color w:val="auto"/>
        </w:rPr>
      </w:pPr>
    </w:p>
    <w:p>
      <w:pPr>
        <w:ind w:left="580" w:right="639" w:firstLine="194"/>
        <w:spacing w:after="0" w:line="259" w:lineRule="auto"/>
        <w:rPr>
          <w:sz w:val="20"/>
          <w:szCs w:val="20"/>
          <w:color w:val="auto"/>
        </w:rPr>
      </w:pPr>
      <w:r>
        <w:rPr>
          <w:rFonts w:ascii="Arial" w:cs="Arial" w:eastAsia="Arial" w:hAnsi="Arial"/>
          <w:sz w:val="16"/>
          <w:szCs w:val="16"/>
          <w:color w:val="auto"/>
        </w:rPr>
        <w:t>As of December 31,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The principal granted patents relate to our wet-on-wet printing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7" w:name="page68"/>
    <w:bookmarkEnd w:id="67"/>
    <w:p>
      <w:pPr>
        <w:ind w:left="580" w:right="699"/>
        <w:spacing w:after="0" w:line="281" w:lineRule="auto"/>
        <w:rPr>
          <w:sz w:val="20"/>
          <w:szCs w:val="20"/>
          <w:color w:val="auto"/>
        </w:rPr>
      </w:pPr>
      <w:r>
        <w:rPr>
          <w:rFonts w:ascii="Arial" w:cs="Arial" w:eastAsia="Arial" w:hAnsi="Arial"/>
          <w:sz w:val="16"/>
          <w:szCs w:val="16"/>
          <w:color w:val="auto"/>
        </w:rPr>
        <w:t>methodology, ink formulations, printing processes and related methods and systems, with expiration dates ranging from 2020 to 2035.</w:t>
      </w:r>
    </w:p>
    <w:p>
      <w:pPr>
        <w:spacing w:after="0" w:line="151" w:lineRule="exact"/>
        <w:rPr>
          <w:sz w:val="20"/>
          <w:szCs w:val="20"/>
          <w:color w:val="auto"/>
        </w:rPr>
      </w:pPr>
    </w:p>
    <w:p>
      <w:pPr>
        <w:ind w:left="580" w:right="779" w:firstLine="194"/>
        <w:spacing w:after="0" w:line="259" w:lineRule="auto"/>
        <w:rPr>
          <w:sz w:val="20"/>
          <w:szCs w:val="20"/>
          <w:color w:val="auto"/>
        </w:rPr>
      </w:pPr>
      <w:r>
        <w:rPr>
          <w:rFonts w:ascii="Arial" w:cs="Arial" w:eastAsia="Arial" w:hAnsi="Arial"/>
          <w:sz w:val="16"/>
          <w:szCs w:val="16"/>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70" w:lineRule="exact"/>
        <w:rPr>
          <w:sz w:val="20"/>
          <w:szCs w:val="20"/>
          <w:color w:val="auto"/>
        </w:rPr>
      </w:pPr>
    </w:p>
    <w:p>
      <w:pPr>
        <w:ind w:left="580" w:right="1079" w:firstLine="194"/>
        <w:spacing w:after="0" w:line="281" w:lineRule="auto"/>
        <w:rPr>
          <w:sz w:val="20"/>
          <w:szCs w:val="20"/>
          <w:color w:val="auto"/>
        </w:rPr>
      </w:pPr>
      <w:r>
        <w:rPr>
          <w:rFonts w:ascii="Arial" w:cs="Arial" w:eastAsia="Arial" w:hAnsi="Arial"/>
          <w:sz w:val="16"/>
          <w:szCs w:val="16"/>
          <w:color w:val="auto"/>
        </w:rPr>
        <w:t>In addition, we own the registered trademarks “KORNIT” and “NEOPIGMENT” and make use of a number of additional unregistered trademarks.</w:t>
      </w:r>
    </w:p>
    <w:p>
      <w:pPr>
        <w:spacing w:after="0" w:line="151" w:lineRule="exact"/>
        <w:rPr>
          <w:sz w:val="20"/>
          <w:szCs w:val="20"/>
          <w:color w:val="auto"/>
        </w:rPr>
      </w:pPr>
    </w:p>
    <w:p>
      <w:pPr>
        <w:ind w:left="580" w:right="619" w:firstLine="194"/>
        <w:spacing w:after="0" w:line="258" w:lineRule="auto"/>
        <w:rPr>
          <w:sz w:val="20"/>
          <w:szCs w:val="20"/>
          <w:color w:val="auto"/>
        </w:rPr>
      </w:pPr>
      <w:r>
        <w:rPr>
          <w:rFonts w:ascii="Arial" w:cs="Arial" w:eastAsia="Arial" w:hAnsi="Arial"/>
          <w:sz w:val="16"/>
          <w:szCs w:val="16"/>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Competition</w:t>
      </w:r>
    </w:p>
    <w:p>
      <w:pPr>
        <w:spacing w:after="0" w:line="208" w:lineRule="exact"/>
        <w:rPr>
          <w:sz w:val="20"/>
          <w:szCs w:val="20"/>
          <w:color w:val="auto"/>
        </w:rPr>
      </w:pPr>
    </w:p>
    <w:p>
      <w:pPr>
        <w:ind w:left="580" w:right="599" w:firstLine="194"/>
        <w:spacing w:after="0" w:line="276" w:lineRule="auto"/>
        <w:rPr>
          <w:sz w:val="20"/>
          <w:szCs w:val="20"/>
          <w:color w:val="auto"/>
        </w:rPr>
      </w:pPr>
      <w:r>
        <w:rPr>
          <w:rFonts w:ascii="Arial" w:cs="Arial" w:eastAsia="Arial" w:hAnsi="Arial"/>
          <w:sz w:val="15"/>
          <w:szCs w:val="15"/>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Property and Infrastructure</w:t>
      </w:r>
    </w:p>
    <w:p>
      <w:pPr>
        <w:spacing w:after="0" w:line="208" w:lineRule="exact"/>
        <w:rPr>
          <w:sz w:val="20"/>
          <w:szCs w:val="20"/>
          <w:color w:val="auto"/>
        </w:rPr>
      </w:pPr>
    </w:p>
    <w:p>
      <w:pPr>
        <w:ind w:left="580" w:right="679" w:firstLine="194"/>
        <w:spacing w:after="0" w:line="275" w:lineRule="auto"/>
        <w:rPr>
          <w:sz w:val="20"/>
          <w:szCs w:val="20"/>
          <w:color w:val="auto"/>
        </w:rPr>
      </w:pPr>
      <w:r>
        <w:rPr>
          <w:rFonts w:ascii="Arial" w:cs="Arial" w:eastAsia="Arial" w:hAnsi="Arial"/>
          <w:sz w:val="15"/>
          <w:szCs w:val="15"/>
          <w:color w:val="auto"/>
        </w:rPr>
        <w:t>Our corporate headquarters are located in Rosh-Ha`Ayin, Israel in an office consisting of approximately 40,000 square feet. The lease for this office expires in August 2016. In Israel, we also lease a manufacturing facility in Kiryat Gat, which consists of approximately 15,000 square feet. The lease for the Kiryat Gat manufacturing facility expires on May 30, 2015,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leases for this office expires in June 2018. We maintain additional sales, support and marketing offices in Germany and Hong Kong.</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Regulatory Matters</w:t>
      </w:r>
    </w:p>
    <w:p>
      <w:pPr>
        <w:spacing w:after="0" w:line="208" w:lineRule="exact"/>
        <w:rPr>
          <w:sz w:val="20"/>
          <w:szCs w:val="20"/>
          <w:color w:val="auto"/>
        </w:rPr>
      </w:pPr>
    </w:p>
    <w:p>
      <w:pPr>
        <w:ind w:left="580" w:right="719" w:firstLine="194"/>
        <w:spacing w:after="0" w:line="274" w:lineRule="auto"/>
        <w:rPr>
          <w:sz w:val="20"/>
          <w:szCs w:val="20"/>
          <w:color w:val="auto"/>
        </w:rPr>
      </w:pPr>
      <w:r>
        <w:rPr>
          <w:rFonts w:ascii="Arial" w:cs="Arial" w:eastAsia="Arial" w:hAnsi="Arial"/>
          <w:sz w:val="15"/>
          <w:szCs w:val="15"/>
          <w:color w:val="auto"/>
        </w:rPr>
        <w:t>We are subject to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In Israel, where we manufacture our ink and other consumables, businesses storing or using certain hazardous materials, including materials necessary for our manufacturing process, are required, pursuant to the Israeli Dangerous Substances Law 5753-1993, to obtain a toxin permit from the Ministry of Environmental Protection. We hold a valid toxin permit for use of chemicals that will remain in effect until October 14, 2016. Our activities also require permits from various governmental authorities including, local municipal authorities, such as planning and zoning authorities, and the Ministry of Health.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8" w:name="page69"/>
    <w:bookmarkEnd w:id="68"/>
    <w:p>
      <w:pPr>
        <w:ind w:left="580" w:right="659" w:firstLine="194"/>
        <w:spacing w:after="0" w:line="281" w:lineRule="auto"/>
        <w:rPr>
          <w:sz w:val="20"/>
          <w:szCs w:val="20"/>
          <w:color w:val="auto"/>
        </w:rPr>
      </w:pPr>
      <w:r>
        <w:rPr>
          <w:rFonts w:ascii="Arial" w:cs="Arial" w:eastAsia="Arial" w:hAnsi="Arial"/>
          <w:sz w:val="15"/>
          <w:szCs w:val="15"/>
          <w:color w:val="auto"/>
        </w:rPr>
        <w:t>Based on information currently available to us, we do not expect environmental costs and contingencies to have a material adverse effect on our business or operations. To our knowledge, all of our facilities, operations, systems and ink and other consumables comply with the environmental laws, regulations and standards to which they are subject. The operation of our facilities, however, entails risks and significant expenditures could be required in the future to comply with environmental or health and safety laws, regulations or requirements.</w:t>
      </w:r>
    </w:p>
    <w:p>
      <w:pPr>
        <w:spacing w:after="0" w:line="153" w:lineRule="exact"/>
        <w:rPr>
          <w:sz w:val="20"/>
          <w:szCs w:val="20"/>
          <w:color w:val="auto"/>
        </w:rPr>
      </w:pPr>
    </w:p>
    <w:p>
      <w:pPr>
        <w:ind w:left="580" w:right="659" w:firstLine="194"/>
        <w:spacing w:after="0" w:line="298" w:lineRule="auto"/>
        <w:rPr>
          <w:sz w:val="20"/>
          <w:szCs w:val="20"/>
          <w:color w:val="auto"/>
        </w:rPr>
      </w:pPr>
      <w:r>
        <w:rPr>
          <w:rFonts w:ascii="Arial" w:cs="Arial" w:eastAsia="Arial" w:hAnsi="Arial"/>
          <w:sz w:val="14"/>
          <w:szCs w:val="14"/>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systems and certain components of such systems “put on the market” in the EU (whether or not manufactured in the EU) are subject to these directives. Additionally, we are required to comply with certain laws, regulations and directives, including TSCA in the United States and REACH in the EU, governing chemicals. These and similar laws and regulations require the testing and registration of certain chemicals we use and ship. We continuously monitor changes to these regulations and work to address such developments.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Legal and Corporate Structure</w:t>
      </w:r>
    </w:p>
    <w:p>
      <w:pPr>
        <w:spacing w:after="0" w:line="208" w:lineRule="exact"/>
        <w:rPr>
          <w:sz w:val="20"/>
          <w:szCs w:val="20"/>
          <w:color w:val="auto"/>
        </w:rPr>
      </w:pPr>
    </w:p>
    <w:p>
      <w:pPr>
        <w:ind w:left="580" w:right="739" w:firstLine="194"/>
        <w:spacing w:after="0" w:line="281" w:lineRule="auto"/>
        <w:rPr>
          <w:sz w:val="20"/>
          <w:szCs w:val="20"/>
          <w:color w:val="auto"/>
        </w:rPr>
      </w:pPr>
      <w:r>
        <w:rPr>
          <w:rFonts w:ascii="Arial" w:cs="Arial" w:eastAsia="Arial" w:hAnsi="Arial"/>
          <w:sz w:val="16"/>
          <w:szCs w:val="16"/>
          <w:color w:val="auto"/>
        </w:rPr>
        <w:t>Our legal name is Kornit Digital Ltd. We were formed as a company under the laws of the State of Israel on January 16, 2002.</w:t>
      </w:r>
    </w:p>
    <w:p>
      <w:pPr>
        <w:spacing w:after="0" w:line="151" w:lineRule="exact"/>
        <w:rPr>
          <w:sz w:val="20"/>
          <w:szCs w:val="20"/>
          <w:color w:val="auto"/>
        </w:rPr>
      </w:pPr>
    </w:p>
    <w:p>
      <w:pPr>
        <w:ind w:left="580" w:right="639" w:firstLine="194"/>
        <w:spacing w:after="0" w:line="258" w:lineRule="auto"/>
        <w:rPr>
          <w:sz w:val="20"/>
          <w:szCs w:val="20"/>
          <w:color w:val="auto"/>
        </w:rPr>
      </w:pPr>
      <w:r>
        <w:rPr>
          <w:rFonts w:ascii="Arial" w:cs="Arial" w:eastAsia="Arial" w:hAnsi="Arial"/>
          <w:sz w:val="16"/>
          <w:szCs w:val="16"/>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Employees</w:t>
      </w:r>
    </w:p>
    <w:p>
      <w:pPr>
        <w:spacing w:after="0" w:line="208" w:lineRule="exact"/>
        <w:rPr>
          <w:sz w:val="20"/>
          <w:szCs w:val="20"/>
          <w:color w:val="auto"/>
        </w:rPr>
      </w:pPr>
    </w:p>
    <w:p>
      <w:pPr>
        <w:ind w:left="580" w:right="739" w:firstLine="194"/>
        <w:spacing w:after="0" w:line="267" w:lineRule="auto"/>
        <w:rPr>
          <w:sz w:val="20"/>
          <w:szCs w:val="20"/>
          <w:color w:val="auto"/>
        </w:rPr>
      </w:pPr>
      <w:r>
        <w:rPr>
          <w:rFonts w:ascii="Arial" w:cs="Arial" w:eastAsia="Arial" w:hAnsi="Arial"/>
          <w:sz w:val="16"/>
          <w:szCs w:val="16"/>
          <w:color w:val="auto"/>
        </w:rPr>
        <w:t>As of December 31, 2014, we had 251 employees and subcontractors with 166 located in Israel, 37 in the United States, 23 in Germany and 25 in Hong Kong. The following table shows the breakdown of our workforce of employees and subcontractors by category of activity as of the dates indicated:</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As of December 31,</w:t>
            </w: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3780" w:type="dxa"/>
            <w:vAlign w:val="bottom"/>
            <w:gridSpan w:val="3"/>
          </w:tcPr>
          <w:p>
            <w:pPr>
              <w:spacing w:after="0"/>
              <w:rPr>
                <w:sz w:val="20"/>
                <w:szCs w:val="20"/>
                <w:color w:val="auto"/>
              </w:rPr>
            </w:pPr>
            <w:r>
              <w:rPr>
                <w:rFonts w:ascii="Arial" w:cs="Arial" w:eastAsia="Arial" w:hAnsi="Arial"/>
                <w:sz w:val="15"/>
                <w:szCs w:val="15"/>
                <w:b w:val="1"/>
                <w:bCs w:val="1"/>
                <w:color w:val="auto"/>
              </w:rPr>
              <w:t>Area of Activity</w:t>
            </w:r>
          </w:p>
        </w:tc>
        <w:tc>
          <w:tcPr>
            <w:tcW w:w="1100" w:type="dxa"/>
            <w:vAlign w:val="bottom"/>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40" w:type="dxa"/>
            <w:vAlign w:val="bottom"/>
          </w:tcPr>
          <w:p>
            <w:pPr>
              <w:spacing w:after="0"/>
              <w:rPr>
                <w:sz w:val="15"/>
                <w:szCs w:val="15"/>
                <w:color w:val="auto"/>
              </w:rPr>
            </w:pPr>
          </w:p>
        </w:tc>
        <w:tc>
          <w:tcPr>
            <w:tcW w:w="1280" w:type="dxa"/>
            <w:vAlign w:val="bottom"/>
            <w:gridSpan w:val="2"/>
          </w:tcPr>
          <w:p>
            <w:pPr>
              <w:jc w:val="right"/>
              <w:ind w:right="319"/>
              <w:spacing w:after="0"/>
              <w:rPr>
                <w:sz w:val="20"/>
                <w:szCs w:val="20"/>
                <w:color w:val="auto"/>
              </w:rPr>
            </w:pPr>
            <w:r>
              <w:rPr>
                <w:rFonts w:ascii="Arial" w:cs="Arial" w:eastAsia="Arial" w:hAnsi="Arial"/>
                <w:sz w:val="15"/>
                <w:szCs w:val="15"/>
                <w:b w:val="1"/>
                <w:bCs w:val="1"/>
                <w:color w:val="auto"/>
              </w:rPr>
              <w:t>2013</w:t>
            </w:r>
          </w:p>
        </w:tc>
        <w:tc>
          <w:tcPr>
            <w:tcW w:w="320" w:type="dxa"/>
            <w:vAlign w:val="bottom"/>
          </w:tcPr>
          <w:p>
            <w:pPr>
              <w:spacing w:after="0"/>
              <w:rPr>
                <w:sz w:val="15"/>
                <w:szCs w:val="15"/>
                <w:color w:val="auto"/>
              </w:rPr>
            </w:pPr>
          </w:p>
        </w:tc>
        <w:tc>
          <w:tcPr>
            <w:tcW w:w="1100" w:type="dxa"/>
            <w:vAlign w:val="bottom"/>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Service</w:t>
            </w:r>
          </w:p>
        </w:tc>
        <w:tc>
          <w:tcPr>
            <w:tcW w:w="160" w:type="dxa"/>
            <w:vAlign w:val="bottom"/>
          </w:tcPr>
          <w:p>
            <w:pPr>
              <w:spacing w:after="0"/>
              <w:rPr>
                <w:sz w:val="15"/>
                <w:szCs w:val="15"/>
                <w:color w:val="auto"/>
              </w:rPr>
            </w:pPr>
          </w:p>
        </w:tc>
        <w:tc>
          <w:tcPr>
            <w:tcW w:w="110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33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47</w:t>
            </w:r>
          </w:p>
        </w:tc>
        <w:tc>
          <w:tcPr>
            <w:tcW w:w="320" w:type="dxa"/>
            <w:vAlign w:val="bottom"/>
          </w:tcPr>
          <w:p>
            <w:pPr>
              <w:spacing w:after="0"/>
              <w:rPr>
                <w:sz w:val="15"/>
                <w:szCs w:val="15"/>
                <w:color w:val="auto"/>
              </w:rPr>
            </w:pPr>
          </w:p>
        </w:tc>
        <w:tc>
          <w:tcPr>
            <w:tcW w:w="110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49</w:t>
            </w:r>
          </w:p>
        </w:tc>
        <w:tc>
          <w:tcPr>
            <w:tcW w:w="20" w:type="dxa"/>
            <w:vAlign w:val="bottom"/>
          </w:tcPr>
          <w:p>
            <w:pPr>
              <w:spacing w:after="0"/>
              <w:rPr>
                <w:sz w:val="15"/>
                <w:szCs w:val="15"/>
                <w:color w:val="auto"/>
              </w:rPr>
            </w:pP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Sales and marketing</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1600" w:type="dxa"/>
            <w:vAlign w:val="bottom"/>
            <w:gridSpan w:val="3"/>
          </w:tcPr>
          <w:p>
            <w:pPr>
              <w:jc w:val="right"/>
              <w:ind w:right="320"/>
              <w:spacing w:after="0"/>
              <w:rPr>
                <w:sz w:val="20"/>
                <w:szCs w:val="20"/>
                <w:color w:val="auto"/>
              </w:rPr>
            </w:pPr>
            <w:r>
              <w:rPr>
                <w:rFonts w:ascii="Arial" w:cs="Arial" w:eastAsia="Arial" w:hAnsi="Arial"/>
                <w:sz w:val="16"/>
                <w:szCs w:val="16"/>
                <w:color w:val="auto"/>
              </w:rPr>
              <w:t>34</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Manufacturing and operations</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1600" w:type="dxa"/>
            <w:vAlign w:val="bottom"/>
            <w:gridSpan w:val="3"/>
          </w:tcPr>
          <w:p>
            <w:pPr>
              <w:jc w:val="right"/>
              <w:ind w:right="320"/>
              <w:spacing w:after="0"/>
              <w:rPr>
                <w:sz w:val="20"/>
                <w:szCs w:val="20"/>
                <w:color w:val="auto"/>
              </w:rPr>
            </w:pPr>
            <w:r>
              <w:rPr>
                <w:rFonts w:ascii="Arial" w:cs="Arial" w:eastAsia="Arial" w:hAnsi="Arial"/>
                <w:sz w:val="16"/>
                <w:szCs w:val="16"/>
                <w:color w:val="auto"/>
              </w:rPr>
              <w:t>52</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Research and development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1600" w:type="dxa"/>
            <w:vAlign w:val="bottom"/>
            <w:gridSpan w:val="3"/>
          </w:tcPr>
          <w:p>
            <w:pPr>
              <w:jc w:val="right"/>
              <w:ind w:right="320"/>
              <w:spacing w:after="0"/>
              <w:rPr>
                <w:sz w:val="20"/>
                <w:szCs w:val="20"/>
                <w:color w:val="auto"/>
              </w:rPr>
            </w:pPr>
            <w:r>
              <w:rPr>
                <w:rFonts w:ascii="Arial" w:cs="Arial" w:eastAsia="Arial" w:hAnsi="Arial"/>
                <w:sz w:val="16"/>
                <w:szCs w:val="16"/>
                <w:color w:val="auto"/>
              </w:rPr>
              <w:t>48</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r>
      <w:tr>
        <w:trPr>
          <w:trHeight w:val="206"/>
        </w:trPr>
        <w:tc>
          <w:tcPr>
            <w:tcW w:w="3780" w:type="dxa"/>
            <w:vAlign w:val="bottom"/>
            <w:gridSpan w:val="3"/>
          </w:tcPr>
          <w:p>
            <w:pPr>
              <w:spacing w:after="0"/>
              <w:rPr>
                <w:sz w:val="20"/>
                <w:szCs w:val="20"/>
                <w:color w:val="auto"/>
              </w:rPr>
            </w:pPr>
            <w:r>
              <w:rPr>
                <w:rFonts w:ascii="Arial" w:cs="Arial" w:eastAsia="Arial" w:hAnsi="Arial"/>
                <w:sz w:val="16"/>
                <w:szCs w:val="16"/>
                <w:color w:val="auto"/>
              </w:rPr>
              <w:t>General and administrative</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1600" w:type="dxa"/>
            <w:vAlign w:val="bottom"/>
            <w:gridSpan w:val="3"/>
          </w:tcPr>
          <w:p>
            <w:pPr>
              <w:jc w:val="right"/>
              <w:ind w:right="320"/>
              <w:spacing w:after="0"/>
              <w:rPr>
                <w:sz w:val="20"/>
                <w:szCs w:val="20"/>
                <w:color w:val="auto"/>
              </w:rPr>
            </w:pPr>
            <w:r>
              <w:rPr>
                <w:rFonts w:ascii="Arial" w:cs="Arial" w:eastAsia="Arial" w:hAnsi="Arial"/>
                <w:sz w:val="16"/>
                <w:szCs w:val="16"/>
                <w:color w:val="auto"/>
              </w:rPr>
              <w:t>19</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r>
      <w:tr>
        <w:trPr>
          <w:trHeight w:val="186"/>
        </w:trPr>
        <w:tc>
          <w:tcPr>
            <w:tcW w:w="20" w:type="dxa"/>
            <w:vAlign w:val="bottom"/>
          </w:tcPr>
          <w:p>
            <w:pPr>
              <w:spacing w:after="0"/>
              <w:rPr>
                <w:sz w:val="16"/>
                <w:szCs w:val="16"/>
                <w:color w:val="auto"/>
              </w:rPr>
            </w:pPr>
          </w:p>
        </w:tc>
        <w:tc>
          <w:tcPr>
            <w:tcW w:w="37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32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251</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5" w:lineRule="exact"/>
        <w:rPr>
          <w:sz w:val="20"/>
          <w:szCs w:val="20"/>
          <w:color w:val="auto"/>
        </w:rPr>
      </w:pPr>
    </w:p>
    <w:p>
      <w:pPr>
        <w:ind w:left="580" w:right="579" w:firstLine="194"/>
        <w:spacing w:after="0" w:line="255" w:lineRule="auto"/>
        <w:rPr>
          <w:sz w:val="20"/>
          <w:szCs w:val="20"/>
          <w:color w:val="auto"/>
        </w:rPr>
      </w:pPr>
      <w:r>
        <w:rPr>
          <w:rFonts w:ascii="Arial" w:cs="Arial" w:eastAsia="Arial" w:hAnsi="Arial"/>
          <w:sz w:val="16"/>
          <w:szCs w:val="16"/>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9" w:name="page70"/>
    <w:bookmarkEnd w:id="69"/>
    <w:p>
      <w:pPr>
        <w:ind w:left="580" w:right="1159" w:firstLine="194"/>
        <w:spacing w:after="0" w:line="281" w:lineRule="auto"/>
        <w:rPr>
          <w:sz w:val="20"/>
          <w:szCs w:val="20"/>
          <w:color w:val="auto"/>
        </w:rPr>
      </w:pPr>
      <w:r>
        <w:rPr>
          <w:rFonts w:ascii="Arial" w:cs="Arial" w:eastAsia="Arial" w:hAnsi="Arial"/>
          <w:sz w:val="16"/>
          <w:szCs w:val="16"/>
          <w:color w:val="auto"/>
        </w:rPr>
        <w:t>We have never experienced any labor-related work stoppages or strikes and believe our relationships with our employees are good.</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Legal Proceedings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Direct Imaging Systems, Inc.</w:t>
      </w:r>
    </w:p>
    <w:p>
      <w:pPr>
        <w:spacing w:after="0" w:line="204" w:lineRule="exact"/>
        <w:rPr>
          <w:sz w:val="20"/>
          <w:szCs w:val="20"/>
          <w:color w:val="auto"/>
        </w:rPr>
      </w:pPr>
    </w:p>
    <w:p>
      <w:pPr>
        <w:ind w:left="580" w:right="799" w:firstLine="194"/>
        <w:spacing w:after="0" w:line="302" w:lineRule="auto"/>
        <w:rPr>
          <w:sz w:val="20"/>
          <w:szCs w:val="20"/>
          <w:color w:val="auto"/>
        </w:rPr>
      </w:pPr>
      <w:r>
        <w:rPr>
          <w:rFonts w:ascii="Arial" w:cs="Arial" w:eastAsia="Arial" w:hAnsi="Arial"/>
          <w:sz w:val="14"/>
          <w:szCs w:val="14"/>
          <w:color w:val="auto"/>
        </w:rPr>
        <w:t>In February 2015, one of our U.S. distributors, Hirsch International Corporation (“Hirsch”), which accounted for approximately 20% of our revenues in 2013 and approximately 25% of our revenues in 2014, provided us with a letter Hirsch received from Direct Imaging Systems, Inc. (“DIS”) claiming that Hirsch was infringing on a DIS patent, no. 6,095,628 (the “628 patent”), which expires in August 2016, through its distribution of our Breeze printing system. To our knowledge, DIS does not manufacture printers and therefore does not compete with us. DIS attached a copy of a complaint that it had filed against Hirsch with the U.S. District Court for the Middle District of Florida.</w:t>
      </w:r>
    </w:p>
    <w:p>
      <w:pPr>
        <w:spacing w:after="0" w:line="141" w:lineRule="exact"/>
        <w:rPr>
          <w:sz w:val="20"/>
          <w:szCs w:val="20"/>
          <w:color w:val="auto"/>
        </w:rPr>
      </w:pPr>
    </w:p>
    <w:p>
      <w:pPr>
        <w:ind w:left="580" w:right="599" w:firstLine="194"/>
        <w:spacing w:after="0" w:line="285" w:lineRule="auto"/>
        <w:rPr>
          <w:sz w:val="20"/>
          <w:szCs w:val="20"/>
          <w:color w:val="auto"/>
        </w:rPr>
      </w:pPr>
      <w:r>
        <w:rPr>
          <w:rFonts w:ascii="Arial" w:cs="Arial" w:eastAsia="Arial" w:hAnsi="Arial"/>
          <w:sz w:val="15"/>
          <w:szCs w:val="15"/>
          <w:color w:val="auto"/>
        </w:rPr>
        <w:t>We previously received a letter from DIS in September 2004 claiming that our products infringed the 628 patent. After reviewing the patent at that time, we determined that we had valid defenses to any infringement claim against us. We did not enter into any further discussions with DIS and DIS did not contact us further after January 2005. Subsequently, the 628 patent was subject to reexamination and only one claim was found to be valid.</w:t>
      </w:r>
    </w:p>
    <w:p>
      <w:pPr>
        <w:spacing w:after="0" w:line="150" w:lineRule="exact"/>
        <w:rPr>
          <w:sz w:val="20"/>
          <w:szCs w:val="20"/>
          <w:color w:val="auto"/>
        </w:rPr>
      </w:pPr>
    </w:p>
    <w:p>
      <w:pPr>
        <w:ind w:left="580" w:right="599" w:firstLine="194"/>
        <w:spacing w:after="0" w:line="273" w:lineRule="auto"/>
        <w:rPr>
          <w:sz w:val="20"/>
          <w:szCs w:val="20"/>
          <w:color w:val="auto"/>
        </w:rPr>
      </w:pPr>
      <w:r>
        <w:rPr>
          <w:rFonts w:ascii="Arial" w:cs="Arial" w:eastAsia="Arial" w:hAnsi="Arial"/>
          <w:sz w:val="15"/>
          <w:szCs w:val="15"/>
          <w:color w:val="auto"/>
        </w:rPr>
        <w:t>Although we were not contacted by DIS in February 2015, and have not since been contacted by them, and are not named in the complaint, we may be joined to the claim at a future date. In addition, our agreement with Hirsch contains an undertaking by us to indemnify Hirsch against claims by third parties alleging that our products infringe third party intellectual property rights. As a condition to Hirsch seeking indemnification from us, we are entitled to assume sole control at our expense of the defense and any decision to settle the claim, and Hirsch would be required to provide us with reasonable cooperation at our expense. We cannot predict whether we will be subject to any claim directly from DIS or required to indemnify Hirsch. We continue to believe that there are valid defenses to the claim of infringement and, additionally, that we may have available other defenses, including the affirmative defense of laches in that there was an unreasonable delay between the initial allegation of infringement in 2004 and the allegation in February 2015. Laches bars any claim for damages prior to the filing of the lawsuit. Given the inherent uncertainty involved in litigation, if we are subject to a claim or indemnification, we cannot provide any assurance that an adverse ruling or a negative outcome will not have a material adverse effect on us.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Other Matters</w:t>
      </w:r>
    </w:p>
    <w:p>
      <w:pPr>
        <w:spacing w:after="0" w:line="204" w:lineRule="exact"/>
        <w:rPr>
          <w:sz w:val="20"/>
          <w:szCs w:val="20"/>
          <w:color w:val="auto"/>
        </w:rPr>
      </w:pPr>
    </w:p>
    <w:p>
      <w:pPr>
        <w:ind w:left="580" w:right="659" w:firstLine="194"/>
        <w:spacing w:after="0" w:line="311" w:lineRule="auto"/>
        <w:rPr>
          <w:sz w:val="20"/>
          <w:szCs w:val="20"/>
          <w:color w:val="auto"/>
        </w:rPr>
      </w:pPr>
      <w:r>
        <w:rPr>
          <w:rFonts w:ascii="Arial" w:cs="Arial" w:eastAsia="Arial" w:hAnsi="Arial"/>
          <w:sz w:val="14"/>
          <w:szCs w:val="14"/>
          <w:color w:val="auto"/>
        </w:rPr>
        <w:t>From time to time, we may be subject to legal proceedings and claims in the ordinary course of business. Other than as described herein we are not currently a party to any litigation the outcome of which might have a material adverse effect on our business, operating results or financial condition. Regardless of the outcome, litigation can have an adverse impact on us because of defense and settlement costs, diversion of management resources and other factors.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MANAGEMENT</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Executive Officers and Directors</w:t>
      </w:r>
    </w:p>
    <w:p>
      <w:pPr>
        <w:spacing w:after="0" w:line="192" w:lineRule="exact"/>
        <w:rPr>
          <w:sz w:val="20"/>
          <w:szCs w:val="20"/>
          <w:color w:val="auto"/>
        </w:rPr>
      </w:pPr>
    </w:p>
    <w:p>
      <w:pPr>
        <w:ind w:left="580" w:right="659" w:firstLine="194"/>
        <w:spacing w:after="0" w:line="281" w:lineRule="auto"/>
        <w:rPr>
          <w:sz w:val="20"/>
          <w:szCs w:val="20"/>
          <w:color w:val="auto"/>
        </w:rPr>
      </w:pPr>
      <w:r>
        <w:rPr>
          <w:rFonts w:ascii="Arial" w:cs="Arial" w:eastAsia="Arial" w:hAnsi="Arial"/>
          <w:sz w:val="16"/>
          <w:szCs w:val="16"/>
          <w:color w:val="auto"/>
        </w:rPr>
        <w:t>The following table sets forth the name, age and position of each of our executive officers and directors as of the date of this prospectus.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2500" w:type="dxa"/>
            <w:vAlign w:val="bottom"/>
            <w:gridSpan w:val="3"/>
          </w:tcPr>
          <w:p>
            <w:pPr>
              <w:spacing w:after="0"/>
              <w:rPr>
                <w:sz w:val="20"/>
                <w:szCs w:val="20"/>
                <w:color w:val="auto"/>
              </w:rPr>
            </w:pPr>
            <w:r>
              <w:rPr>
                <w:rFonts w:ascii="Arial" w:cs="Arial" w:eastAsia="Arial" w:hAnsi="Arial"/>
                <w:sz w:val="15"/>
                <w:szCs w:val="15"/>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4"/>
              </w:rPr>
              <w:t>Age</w:t>
            </w:r>
          </w:p>
        </w:tc>
        <w:tc>
          <w:tcPr>
            <w:tcW w:w="320" w:type="dxa"/>
            <w:vAlign w:val="bottom"/>
          </w:tcPr>
          <w:p>
            <w:pPr>
              <w:spacing w:after="0"/>
              <w:rPr>
                <w:sz w:val="16"/>
                <w:szCs w:val="16"/>
                <w:color w:val="auto"/>
              </w:rPr>
            </w:pPr>
          </w:p>
        </w:tc>
        <w:tc>
          <w:tcPr>
            <w:tcW w:w="3760" w:type="dxa"/>
            <w:vAlign w:val="bottom"/>
          </w:tcPr>
          <w:p>
            <w:pPr>
              <w:ind w:left="60"/>
              <w:spacing w:after="0"/>
              <w:rPr>
                <w:sz w:val="20"/>
                <w:szCs w:val="20"/>
                <w:color w:val="auto"/>
              </w:rPr>
            </w:pPr>
            <w:r>
              <w:rPr>
                <w:rFonts w:ascii="Arial" w:cs="Arial" w:eastAsia="Arial" w:hAnsi="Arial"/>
                <w:sz w:val="15"/>
                <w:szCs w:val="15"/>
                <w:b w:val="1"/>
                <w:bCs w:val="1"/>
                <w:color w:val="auto"/>
              </w:rPr>
              <w:t>Position</w:t>
            </w:r>
          </w:p>
        </w:tc>
      </w:tr>
      <w:tr>
        <w:trPr>
          <w:trHeight w:val="180"/>
        </w:trPr>
        <w:tc>
          <w:tcPr>
            <w:tcW w:w="20" w:type="dxa"/>
            <w:vAlign w:val="bottom"/>
          </w:tcPr>
          <w:p>
            <w:pPr>
              <w:spacing w:after="0"/>
              <w:rPr>
                <w:sz w:val="15"/>
                <w:szCs w:val="15"/>
                <w:color w:val="auto"/>
              </w:rPr>
            </w:pPr>
          </w:p>
        </w:tc>
        <w:tc>
          <w:tcPr>
            <w:tcW w:w="232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i w:val="1"/>
                <w:iCs w:val="1"/>
                <w:color w:val="auto"/>
              </w:rPr>
              <w:t>Executive Officers</w:t>
            </w:r>
          </w:p>
        </w:tc>
        <w:tc>
          <w:tcPr>
            <w:tcW w:w="1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Borders>
              <w:top w:val="single" w:sz="8" w:color="auto"/>
            </w:tcBorders>
          </w:tcPr>
          <w:p>
            <w:pPr>
              <w:spacing w:after="0"/>
              <w:rPr>
                <w:sz w:val="15"/>
                <w:szCs w:val="15"/>
                <w:color w:val="auto"/>
              </w:rPr>
            </w:pPr>
          </w:p>
        </w:tc>
      </w:tr>
      <w:tr>
        <w:trPr>
          <w:trHeight w:val="194"/>
        </w:trPr>
        <w:tc>
          <w:tcPr>
            <w:tcW w:w="2500" w:type="dxa"/>
            <w:vAlign w:val="bottom"/>
            <w:gridSpan w:val="3"/>
          </w:tcPr>
          <w:p>
            <w:pPr>
              <w:spacing w:after="0"/>
              <w:rPr>
                <w:sz w:val="20"/>
                <w:szCs w:val="20"/>
                <w:color w:val="auto"/>
              </w:rPr>
            </w:pPr>
            <w:r>
              <w:rPr>
                <w:rFonts w:ascii="Arial" w:cs="Arial" w:eastAsia="Arial" w:hAnsi="Arial"/>
                <w:sz w:val="16"/>
                <w:szCs w:val="16"/>
                <w:color w:val="auto"/>
              </w:rPr>
              <w:t>Gabi Seligsohn</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Chief Executive Officer and Director</w:t>
            </w:r>
          </w:p>
        </w:tc>
      </w:tr>
      <w:tr>
        <w:trPr>
          <w:trHeight w:val="194"/>
        </w:trPr>
        <w:tc>
          <w:tcPr>
            <w:tcW w:w="2500" w:type="dxa"/>
            <w:vAlign w:val="bottom"/>
            <w:gridSpan w:val="3"/>
          </w:tcPr>
          <w:p>
            <w:pPr>
              <w:spacing w:after="0"/>
              <w:rPr>
                <w:sz w:val="20"/>
                <w:szCs w:val="20"/>
                <w:color w:val="auto"/>
              </w:rPr>
            </w:pPr>
            <w:r>
              <w:rPr>
                <w:rFonts w:ascii="Arial" w:cs="Arial" w:eastAsia="Arial" w:hAnsi="Arial"/>
                <w:sz w:val="16"/>
                <w:szCs w:val="16"/>
                <w:color w:val="auto"/>
              </w:rPr>
              <w:t>Ofer Ben-Zur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President, Chief Technology Officer and Director</w:t>
            </w:r>
          </w:p>
        </w:tc>
      </w:tr>
      <w:tr>
        <w:trPr>
          <w:trHeight w:val="194"/>
        </w:trPr>
        <w:tc>
          <w:tcPr>
            <w:tcW w:w="2500" w:type="dxa"/>
            <w:vAlign w:val="bottom"/>
            <w:gridSpan w:val="3"/>
          </w:tcPr>
          <w:p>
            <w:pPr>
              <w:spacing w:after="0"/>
              <w:rPr>
                <w:sz w:val="20"/>
                <w:szCs w:val="20"/>
                <w:color w:val="auto"/>
              </w:rPr>
            </w:pPr>
            <w:r>
              <w:rPr>
                <w:rFonts w:ascii="Arial" w:cs="Arial" w:eastAsia="Arial" w:hAnsi="Arial"/>
                <w:sz w:val="16"/>
                <w:szCs w:val="16"/>
                <w:color w:val="auto"/>
              </w:rPr>
              <w:t>Guy Avidan</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Chief Financial Officer</w:t>
            </w:r>
          </w:p>
        </w:tc>
      </w:tr>
      <w:tr>
        <w:trPr>
          <w:trHeight w:val="194"/>
        </w:trPr>
        <w:tc>
          <w:tcPr>
            <w:tcW w:w="2500" w:type="dxa"/>
            <w:vAlign w:val="bottom"/>
            <w:gridSpan w:val="3"/>
          </w:tcPr>
          <w:p>
            <w:pPr>
              <w:spacing w:after="0"/>
              <w:rPr>
                <w:sz w:val="20"/>
                <w:szCs w:val="20"/>
                <w:color w:val="auto"/>
              </w:rPr>
            </w:pPr>
            <w:r>
              <w:rPr>
                <w:rFonts w:ascii="Arial" w:cs="Arial" w:eastAsia="Arial" w:hAnsi="Arial"/>
                <w:sz w:val="16"/>
                <w:szCs w:val="16"/>
                <w:color w:val="auto"/>
              </w:rPr>
              <w:t>Sarel Ashkenazy</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Executive Vice President of Sales</w:t>
            </w:r>
          </w:p>
        </w:tc>
      </w:tr>
      <w:tr>
        <w:trPr>
          <w:trHeight w:val="194"/>
        </w:trPr>
        <w:tc>
          <w:tcPr>
            <w:tcW w:w="2500" w:type="dxa"/>
            <w:vAlign w:val="bottom"/>
            <w:gridSpan w:val="3"/>
          </w:tcPr>
          <w:p>
            <w:pPr>
              <w:spacing w:after="0"/>
              <w:rPr>
                <w:sz w:val="20"/>
                <w:szCs w:val="20"/>
                <w:color w:val="auto"/>
              </w:rPr>
            </w:pPr>
            <w:r>
              <w:rPr>
                <w:rFonts w:ascii="Arial" w:cs="Arial" w:eastAsia="Arial" w:hAnsi="Arial"/>
                <w:sz w:val="16"/>
                <w:szCs w:val="16"/>
                <w:color w:val="auto"/>
              </w:rPr>
              <w:t>Ofer Sandelson</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Chief Operating Officer</w:t>
            </w:r>
          </w:p>
        </w:tc>
      </w:tr>
      <w:tr>
        <w:trPr>
          <w:trHeight w:val="194"/>
        </w:trPr>
        <w:tc>
          <w:tcPr>
            <w:tcW w:w="2500" w:type="dxa"/>
            <w:vAlign w:val="bottom"/>
            <w:gridSpan w:val="3"/>
          </w:tcPr>
          <w:p>
            <w:pPr>
              <w:spacing w:after="0"/>
              <w:rPr>
                <w:sz w:val="20"/>
                <w:szCs w:val="20"/>
                <w:color w:val="auto"/>
              </w:rPr>
            </w:pPr>
            <w:r>
              <w:rPr>
                <w:rFonts w:ascii="Arial" w:cs="Arial" w:eastAsia="Arial" w:hAnsi="Arial"/>
                <w:sz w:val="16"/>
                <w:szCs w:val="16"/>
                <w:color w:val="auto"/>
              </w:rPr>
              <w:t>Guy Zimmerman</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w w:val="98"/>
              </w:rPr>
              <w:t>Vice President of Marketing &amp; Business Development</w:t>
            </w:r>
          </w:p>
        </w:tc>
      </w:tr>
      <w:tr>
        <w:trPr>
          <w:trHeight w:val="206"/>
        </w:trPr>
        <w:tc>
          <w:tcPr>
            <w:tcW w:w="2500" w:type="dxa"/>
            <w:vAlign w:val="bottom"/>
            <w:gridSpan w:val="3"/>
          </w:tcPr>
          <w:p>
            <w:pPr>
              <w:spacing w:after="0"/>
              <w:rPr>
                <w:sz w:val="20"/>
                <w:szCs w:val="20"/>
                <w:color w:val="auto"/>
              </w:rPr>
            </w:pPr>
            <w:r>
              <w:rPr>
                <w:rFonts w:ascii="Arial" w:cs="Arial" w:eastAsia="Arial" w:hAnsi="Arial"/>
                <w:sz w:val="16"/>
                <w:szCs w:val="16"/>
                <w:color w:val="auto"/>
              </w:rPr>
              <w:t>Oded Kraft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Vice President of Products</w:t>
            </w:r>
          </w:p>
        </w:tc>
      </w:tr>
      <w:tr>
        <w:trPr>
          <w:trHeight w:val="376"/>
        </w:trPr>
        <w:tc>
          <w:tcPr>
            <w:tcW w:w="2500" w:type="dxa"/>
            <w:vAlign w:val="bottom"/>
            <w:gridSpan w:val="3"/>
          </w:tcPr>
          <w:p>
            <w:pPr>
              <w:spacing w:after="0"/>
              <w:rPr>
                <w:sz w:val="20"/>
                <w:szCs w:val="20"/>
                <w:color w:val="auto"/>
              </w:rPr>
            </w:pPr>
            <w:r>
              <w:rPr>
                <w:rFonts w:ascii="Arial" w:cs="Arial" w:eastAsia="Arial" w:hAnsi="Arial"/>
                <w:sz w:val="16"/>
                <w:szCs w:val="16"/>
                <w:i w:val="1"/>
                <w:iCs w:val="1"/>
                <w:color w:val="auto"/>
              </w:rPr>
              <w:t>Directors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4"/>
        </w:trPr>
        <w:tc>
          <w:tcPr>
            <w:tcW w:w="2500" w:type="dxa"/>
            <w:vAlign w:val="bottom"/>
            <w:gridSpan w:val="3"/>
          </w:tcPr>
          <w:p>
            <w:pPr>
              <w:spacing w:after="0"/>
              <w:rPr>
                <w:sz w:val="20"/>
                <w:szCs w:val="20"/>
                <w:color w:val="auto"/>
              </w:rPr>
            </w:pPr>
            <w:r>
              <w:rPr>
                <w:rFonts w:ascii="Arial" w:cs="Arial" w:eastAsia="Arial" w:hAnsi="Arial"/>
                <w:sz w:val="16"/>
                <w:szCs w:val="16"/>
                <w:color w:val="auto"/>
              </w:rPr>
              <w:t>Yuval Cohen</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Chairman of the Board of Directors</w:t>
            </w:r>
          </w:p>
        </w:tc>
      </w:tr>
      <w:tr>
        <w:trPr>
          <w:trHeight w:val="196"/>
        </w:trPr>
        <w:tc>
          <w:tcPr>
            <w:tcW w:w="2500" w:type="dxa"/>
            <w:vAlign w:val="bottom"/>
            <w:gridSpan w:val="3"/>
          </w:tcPr>
          <w:p>
            <w:pPr>
              <w:spacing w:after="0"/>
              <w:rPr>
                <w:sz w:val="20"/>
                <w:szCs w:val="20"/>
                <w:color w:val="auto"/>
              </w:rPr>
            </w:pPr>
            <w:r>
              <w:rPr>
                <w:rFonts w:ascii="Arial" w:cs="Arial" w:eastAsia="Arial" w:hAnsi="Arial"/>
                <w:sz w:val="16"/>
                <w:szCs w:val="16"/>
                <w:color w:val="auto"/>
              </w:rPr>
              <w:t>Eli Blatt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Director</w:t>
            </w:r>
          </w:p>
        </w:tc>
      </w:tr>
      <w:tr>
        <w:trPr>
          <w:trHeight w:val="228"/>
        </w:trPr>
        <w:tc>
          <w:tcPr>
            <w:tcW w:w="2500" w:type="dxa"/>
            <w:vAlign w:val="bottom"/>
            <w:gridSpan w:val="3"/>
          </w:tcPr>
          <w:p>
            <w:pPr>
              <w:spacing w:after="0" w:line="228" w:lineRule="exact"/>
              <w:rPr>
                <w:sz w:val="20"/>
                <w:szCs w:val="20"/>
                <w:color w:val="auto"/>
              </w:rPr>
            </w:pPr>
            <w:r>
              <w:rPr>
                <w:rFonts w:ascii="Arial" w:cs="Arial" w:eastAsia="Arial" w:hAnsi="Arial"/>
                <w:sz w:val="16"/>
                <w:szCs w:val="16"/>
                <w:color w:val="auto"/>
              </w:rPr>
              <w:t>Lauri Hanover</w:t>
            </w:r>
            <w:r>
              <w:rPr>
                <w:rFonts w:ascii="Arial" w:cs="Arial" w:eastAsia="Arial" w:hAnsi="Arial"/>
                <w:sz w:val="26"/>
                <w:szCs w:val="26"/>
                <w:color w:val="auto"/>
                <w:vertAlign w:val="superscript"/>
              </w:rPr>
              <w:t>(1)(2)(3)(4)</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Director</w:t>
            </w:r>
          </w:p>
        </w:tc>
      </w:tr>
      <w:tr>
        <w:trPr>
          <w:trHeight w:val="196"/>
        </w:trPr>
        <w:tc>
          <w:tcPr>
            <w:tcW w:w="2500" w:type="dxa"/>
            <w:vAlign w:val="bottom"/>
            <w:gridSpan w:val="3"/>
          </w:tcPr>
          <w:p>
            <w:pPr>
              <w:spacing w:after="0"/>
              <w:rPr>
                <w:sz w:val="20"/>
                <w:szCs w:val="20"/>
                <w:color w:val="auto"/>
              </w:rPr>
            </w:pPr>
            <w:r>
              <w:rPr>
                <w:rFonts w:ascii="Arial" w:cs="Arial" w:eastAsia="Arial" w:hAnsi="Arial"/>
                <w:sz w:val="16"/>
                <w:szCs w:val="16"/>
                <w:color w:val="auto"/>
              </w:rPr>
              <w:t>Marc Lesnick</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Director</w:t>
            </w:r>
          </w:p>
        </w:tc>
      </w:tr>
      <w:tr>
        <w:trPr>
          <w:trHeight w:val="230"/>
        </w:trPr>
        <w:tc>
          <w:tcPr>
            <w:tcW w:w="2500" w:type="dxa"/>
            <w:vAlign w:val="bottom"/>
            <w:gridSpan w:val="3"/>
          </w:tcPr>
          <w:p>
            <w:pPr>
              <w:spacing w:after="0" w:line="230" w:lineRule="exact"/>
              <w:rPr>
                <w:sz w:val="20"/>
                <w:szCs w:val="20"/>
                <w:color w:val="auto"/>
              </w:rPr>
            </w:pPr>
            <w:r>
              <w:rPr>
                <w:rFonts w:ascii="Arial" w:cs="Arial" w:eastAsia="Arial" w:hAnsi="Arial"/>
                <w:sz w:val="16"/>
                <w:szCs w:val="16"/>
                <w:color w:val="auto"/>
              </w:rPr>
              <w:t>Alon Lumbroso</w:t>
            </w:r>
            <w:r>
              <w:rPr>
                <w:rFonts w:ascii="Arial" w:cs="Arial" w:eastAsia="Arial" w:hAnsi="Arial"/>
                <w:sz w:val="26"/>
                <w:szCs w:val="26"/>
                <w:color w:val="auto"/>
                <w:vertAlign w:val="superscript"/>
              </w:rPr>
              <w:t>(1)(3)</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Director</w:t>
            </w:r>
          </w:p>
        </w:tc>
      </w:tr>
      <w:tr>
        <w:trPr>
          <w:trHeight w:val="230"/>
        </w:trPr>
        <w:tc>
          <w:tcPr>
            <w:tcW w:w="2500" w:type="dxa"/>
            <w:vAlign w:val="bottom"/>
            <w:gridSpan w:val="3"/>
          </w:tcPr>
          <w:p>
            <w:pPr>
              <w:spacing w:after="0" w:line="230" w:lineRule="exact"/>
              <w:rPr>
                <w:sz w:val="20"/>
                <w:szCs w:val="20"/>
                <w:color w:val="auto"/>
              </w:rPr>
            </w:pPr>
            <w:r>
              <w:rPr>
                <w:rFonts w:ascii="Arial" w:cs="Arial" w:eastAsia="Arial" w:hAnsi="Arial"/>
                <w:sz w:val="26"/>
                <w:szCs w:val="26"/>
                <w:color w:val="auto"/>
                <w:vertAlign w:val="subscript"/>
              </w:rPr>
              <w:t>Jerry Mandel</w:t>
            </w:r>
            <w:r>
              <w:rPr>
                <w:rFonts w:ascii="Arial" w:cs="Arial" w:eastAsia="Arial" w:hAnsi="Arial"/>
                <w:sz w:val="12"/>
                <w:szCs w:val="12"/>
                <w:color w:val="auto"/>
              </w:rPr>
              <w:t>(1)(2)(3)(4)</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Director</w:t>
            </w:r>
          </w:p>
        </w:tc>
      </w:tr>
      <w:tr>
        <w:trPr>
          <w:trHeight w:val="222"/>
        </w:trPr>
        <w:tc>
          <w:tcPr>
            <w:tcW w:w="2500" w:type="dxa"/>
            <w:vAlign w:val="bottom"/>
            <w:gridSpan w:val="3"/>
          </w:tcPr>
          <w:p>
            <w:pPr>
              <w:spacing w:after="0" w:line="222" w:lineRule="exact"/>
              <w:rPr>
                <w:sz w:val="20"/>
                <w:szCs w:val="20"/>
                <w:color w:val="auto"/>
              </w:rPr>
            </w:pPr>
            <w:r>
              <w:rPr>
                <w:rFonts w:ascii="Arial" w:cs="Arial" w:eastAsia="Arial" w:hAnsi="Arial"/>
                <w:sz w:val="16"/>
                <w:szCs w:val="16"/>
                <w:color w:val="auto"/>
              </w:rPr>
              <w:t>Dov Ofer</w:t>
            </w:r>
            <w:r>
              <w:rPr>
                <w:rFonts w:ascii="Arial" w:cs="Arial" w:eastAsia="Arial" w:hAnsi="Arial"/>
                <w:sz w:val="25"/>
                <w:szCs w:val="25"/>
                <w:color w:val="auto"/>
                <w:vertAlign w:val="superscript"/>
              </w:rPr>
              <w:t>(2)(3)</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4080" w:type="dxa"/>
            <w:vAlign w:val="bottom"/>
            <w:gridSpan w:val="2"/>
          </w:tcPr>
          <w:p>
            <w:pPr>
              <w:ind w:left="320"/>
              <w:spacing w:after="0"/>
              <w:rPr>
                <w:sz w:val="20"/>
                <w:szCs w:val="20"/>
                <w:color w:val="auto"/>
              </w:rPr>
            </w:pPr>
            <w:r>
              <w:rPr>
                <w:rFonts w:ascii="Arial" w:cs="Arial" w:eastAsia="Arial" w:hAnsi="Arial"/>
                <w:sz w:val="16"/>
                <w:szCs w:val="16"/>
                <w:color w:val="auto"/>
              </w:rPr>
              <w:t>Director</w:t>
            </w:r>
          </w:p>
        </w:tc>
      </w:tr>
      <w:tr>
        <w:trPr>
          <w:trHeight w:val="239"/>
        </w:trPr>
        <w:tc>
          <w:tcPr>
            <w:tcW w:w="2340" w:type="dxa"/>
            <w:vAlign w:val="bottom"/>
            <w:gridSpan w:val="2"/>
          </w:tcPr>
          <w:p>
            <w:pPr>
              <w:spacing w:after="0"/>
              <w:rPr>
                <w:sz w:val="20"/>
                <w:szCs w:val="20"/>
                <w:color w:val="auto"/>
              </w:rPr>
            </w:pPr>
            <w:r>
              <w:rPr>
                <w:rFonts w:ascii="Arial" w:cs="Arial" w:eastAsia="Arial" w:hAnsi="Arial"/>
                <w:sz w:val="19"/>
                <w:szCs w:val="19"/>
                <w:color w:val="auto"/>
              </w:rPr>
              <w:t>______________</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ind w:left="880" w:hanging="303"/>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7" w:lineRule="exact"/>
        <w:rPr>
          <w:rFonts w:ascii="Arial" w:cs="Arial" w:eastAsia="Arial" w:hAnsi="Arial"/>
          <w:sz w:val="16"/>
          <w:szCs w:val="16"/>
          <w:color w:val="auto"/>
        </w:rPr>
      </w:pPr>
    </w:p>
    <w:p>
      <w:pPr>
        <w:ind w:left="880" w:hanging="303"/>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our compensation committee.</w:t>
      </w:r>
    </w:p>
    <w:p>
      <w:pPr>
        <w:spacing w:after="0" w:line="9" w:lineRule="exact"/>
        <w:rPr>
          <w:rFonts w:ascii="Arial" w:cs="Arial" w:eastAsia="Arial" w:hAnsi="Arial"/>
          <w:sz w:val="16"/>
          <w:szCs w:val="16"/>
          <w:color w:val="auto"/>
        </w:rPr>
      </w:pPr>
    </w:p>
    <w:p>
      <w:pPr>
        <w:ind w:left="880" w:hanging="303"/>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Independent director under the NASDAQ Stock Market rules.</w:t>
      </w:r>
    </w:p>
    <w:p>
      <w:pPr>
        <w:spacing w:after="0" w:line="9" w:lineRule="exact"/>
        <w:rPr>
          <w:rFonts w:ascii="Arial" w:cs="Arial" w:eastAsia="Arial" w:hAnsi="Arial"/>
          <w:sz w:val="16"/>
          <w:szCs w:val="16"/>
          <w:color w:val="auto"/>
        </w:rPr>
      </w:pPr>
    </w:p>
    <w:p>
      <w:pPr>
        <w:jc w:val="both"/>
        <w:ind w:left="860" w:right="659" w:hanging="283"/>
        <w:spacing w:after="0" w:line="337" w:lineRule="auto"/>
        <w:tabs>
          <w:tab w:leader="none" w:pos="866"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Proposed to serve as an external director under the Israeli Companies Law subject to ratification of their election as external directors under the Israeli Companies Law by our shareholders within three months following this offering.</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204" w:lineRule="exact"/>
        <w:rPr>
          <w:sz w:val="20"/>
          <w:szCs w:val="20"/>
          <w:color w:val="auto"/>
        </w:rPr>
      </w:pPr>
    </w:p>
    <w:p>
      <w:pPr>
        <w:ind w:left="580" w:right="639" w:firstLine="194"/>
        <w:spacing w:after="0" w:line="294" w:lineRule="auto"/>
        <w:rPr>
          <w:sz w:val="20"/>
          <w:szCs w:val="20"/>
          <w:color w:val="auto"/>
        </w:rPr>
      </w:pPr>
      <w:r>
        <w:rPr>
          <w:rFonts w:ascii="Arial" w:cs="Arial" w:eastAsia="Arial" w:hAnsi="Arial"/>
          <w:sz w:val="14"/>
          <w:szCs w:val="14"/>
          <w:i w:val="1"/>
          <w:iCs w:val="1"/>
          <w:color w:val="auto"/>
        </w:rPr>
        <w:t xml:space="preserve">Gabi Seligsohn </w:t>
      </w:r>
      <w:r>
        <w:rPr>
          <w:rFonts w:ascii="Arial" w:cs="Arial" w:eastAsia="Arial" w:hAnsi="Arial"/>
          <w:sz w:val="14"/>
          <w:szCs w:val="14"/>
          <w:color w:val="auto"/>
        </w:rPr>
        <w:t>has served as a member of our board of directors since March 2015 and has served as our Chief</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since April 2014. 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49" w:lineRule="exact"/>
        <w:rPr>
          <w:sz w:val="20"/>
          <w:szCs w:val="20"/>
          <w:color w:val="auto"/>
        </w:rPr>
      </w:pPr>
    </w:p>
    <w:p>
      <w:pPr>
        <w:ind w:left="580" w:right="659" w:firstLine="194"/>
        <w:spacing w:after="0" w:line="276" w:lineRule="auto"/>
        <w:rPr>
          <w:sz w:val="20"/>
          <w:szCs w:val="20"/>
          <w:color w:val="auto"/>
        </w:rPr>
      </w:pPr>
      <w:r>
        <w:rPr>
          <w:rFonts w:ascii="Arial" w:cs="Arial" w:eastAsia="Arial" w:hAnsi="Arial"/>
          <w:sz w:val="15"/>
          <w:szCs w:val="15"/>
          <w:i w:val="1"/>
          <w:iCs w:val="1"/>
          <w:color w:val="auto"/>
        </w:rPr>
        <w:t xml:space="preserve">Ofer Ben-Zur </w:t>
      </w:r>
      <w:r>
        <w:rPr>
          <w:rFonts w:ascii="Arial" w:cs="Arial" w:eastAsia="Arial" w:hAnsi="Arial"/>
          <w:sz w:val="15"/>
          <w:szCs w:val="15"/>
          <w:color w:val="auto"/>
        </w:rPr>
        <w:t>is a co-founder of our company and has served as our President and Chief Technology Officer since</w:t>
      </w:r>
      <w:r>
        <w:rPr>
          <w:rFonts w:ascii="Arial" w:cs="Arial" w:eastAsia="Arial" w:hAnsi="Arial"/>
          <w:sz w:val="15"/>
          <w:szCs w:val="15"/>
          <w:i w:val="1"/>
          <w:iCs w:val="1"/>
          <w:color w:val="auto"/>
        </w:rPr>
        <w:t xml:space="preserve"> </w:t>
      </w:r>
      <w:r>
        <w:rPr>
          <w:rFonts w:ascii="Arial" w:cs="Arial" w:eastAsia="Arial" w:hAnsi="Arial"/>
          <w:sz w:val="15"/>
          <w:szCs w:val="15"/>
          <w:color w:val="auto"/>
        </w:rPr>
        <w:t>April 2014 and a director since 2002.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71" w:name="page72"/>
    <w:bookmarkEnd w:id="71"/>
    <w:p>
      <w:pPr>
        <w:ind w:left="580" w:right="639" w:firstLine="194"/>
        <w:spacing w:after="0" w:line="256" w:lineRule="auto"/>
        <w:rPr>
          <w:sz w:val="20"/>
          <w:szCs w:val="20"/>
          <w:color w:val="auto"/>
        </w:rPr>
      </w:pPr>
      <w:r>
        <w:rPr>
          <w:rFonts w:ascii="Arial" w:cs="Arial" w:eastAsia="Arial" w:hAnsi="Arial"/>
          <w:sz w:val="16"/>
          <w:szCs w:val="16"/>
          <w:i w:val="1"/>
          <w:iCs w:val="1"/>
          <w:color w:val="auto"/>
        </w:rPr>
        <w:t xml:space="preserve">Guy Avidan </w:t>
      </w:r>
      <w:r>
        <w:rPr>
          <w:rFonts w:ascii="Arial" w:cs="Arial" w:eastAsia="Arial" w:hAnsi="Arial"/>
          <w:sz w:val="16"/>
          <w:szCs w:val="16"/>
          <w:color w:val="auto"/>
        </w:rPr>
        <w:t>has served as our Chief Financial Officer since November 2014. From July 2010 until November 2014,</w:t>
      </w:r>
      <w:r>
        <w:rPr>
          <w:rFonts w:ascii="Arial" w:cs="Arial" w:eastAsia="Arial" w:hAnsi="Arial"/>
          <w:sz w:val="16"/>
          <w:szCs w:val="16"/>
          <w:i w:val="1"/>
          <w:iCs w:val="1"/>
          <w:color w:val="auto"/>
        </w:rPr>
        <w:t xml:space="preserve"> </w:t>
      </w:r>
      <w:r>
        <w:rPr>
          <w:rFonts w:ascii="Arial" w:cs="Arial" w:eastAsia="Arial" w:hAnsi="Arial"/>
          <w:sz w:val="16"/>
          <w:szCs w:val="16"/>
          <w:color w:val="auto"/>
        </w:rPr>
        <w:t>Mr. Avidan served as Vice President of Finance and Chief Financial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72" w:lineRule="exact"/>
        <w:rPr>
          <w:sz w:val="20"/>
          <w:szCs w:val="20"/>
          <w:color w:val="auto"/>
        </w:rPr>
      </w:pPr>
    </w:p>
    <w:p>
      <w:pPr>
        <w:ind w:left="580" w:right="679" w:firstLine="194"/>
        <w:spacing w:after="0" w:line="302" w:lineRule="auto"/>
        <w:rPr>
          <w:sz w:val="20"/>
          <w:szCs w:val="20"/>
          <w:color w:val="auto"/>
        </w:rPr>
      </w:pPr>
      <w:r>
        <w:rPr>
          <w:rFonts w:ascii="Arial" w:cs="Arial" w:eastAsia="Arial" w:hAnsi="Arial"/>
          <w:sz w:val="14"/>
          <w:szCs w:val="14"/>
          <w:i w:val="1"/>
          <w:iCs w:val="1"/>
          <w:color w:val="auto"/>
        </w:rPr>
        <w:t xml:space="preserve">Sarel Ashkenazy </w:t>
      </w:r>
      <w:r>
        <w:rPr>
          <w:rFonts w:ascii="Arial" w:cs="Arial" w:eastAsia="Arial" w:hAnsi="Arial"/>
          <w:sz w:val="14"/>
          <w:szCs w:val="14"/>
          <w:color w:val="auto"/>
        </w:rPr>
        <w:t>has served as our Executive Vice President of Sales since April 2014. From August 2004 to April</w:t>
      </w:r>
      <w:r>
        <w:rPr>
          <w:rFonts w:ascii="Arial" w:cs="Arial" w:eastAsia="Arial" w:hAnsi="Arial"/>
          <w:sz w:val="14"/>
          <w:szCs w:val="14"/>
          <w:i w:val="1"/>
          <w:iCs w:val="1"/>
          <w:color w:val="auto"/>
        </w:rPr>
        <w:t xml:space="preserve"> </w:t>
      </w:r>
      <w:r>
        <w:rPr>
          <w:rFonts w:ascii="Arial" w:cs="Arial" w:eastAsia="Arial" w:hAnsi="Arial"/>
          <w:sz w:val="14"/>
          <w:szCs w:val="14"/>
          <w:color w:val="auto"/>
        </w:rPr>
        <w:t>2014, Mr. Ashkenazy was our Manager of Business Development and Marketing and responsible for sales and marketing, as well as establishing and expanding our distributor network and business development. From 1999 until 2003, prior to joining our company, Mr. Ashkenazy served as Marketing Director for Image ID, a provider of Automatic Identification and Data Capture (AIDC) solutions based on imaging technology and sophisticated algorithms. Mr. Ashkenazy holds a B.B. degree in Business Management and Economics from the College of Management in Israel.</w:t>
      </w:r>
    </w:p>
    <w:p>
      <w:pPr>
        <w:spacing w:after="0" w:line="141" w:lineRule="exact"/>
        <w:rPr>
          <w:sz w:val="20"/>
          <w:szCs w:val="20"/>
          <w:color w:val="auto"/>
        </w:rPr>
      </w:pPr>
    </w:p>
    <w:p>
      <w:pPr>
        <w:ind w:left="580" w:right="579" w:firstLine="194"/>
        <w:spacing w:after="0" w:line="255" w:lineRule="auto"/>
        <w:rPr>
          <w:sz w:val="20"/>
          <w:szCs w:val="20"/>
          <w:color w:val="auto"/>
        </w:rPr>
      </w:pPr>
      <w:r>
        <w:rPr>
          <w:rFonts w:ascii="Arial" w:cs="Arial" w:eastAsia="Arial" w:hAnsi="Arial"/>
          <w:sz w:val="16"/>
          <w:szCs w:val="16"/>
          <w:i w:val="1"/>
          <w:iCs w:val="1"/>
          <w:color w:val="auto"/>
        </w:rPr>
        <w:t xml:space="preserve">Ofer Sandelson </w:t>
      </w:r>
      <w:r>
        <w:rPr>
          <w:rFonts w:ascii="Arial" w:cs="Arial" w:eastAsia="Arial" w:hAnsi="Arial"/>
          <w:sz w:val="16"/>
          <w:szCs w:val="16"/>
          <w:color w:val="auto"/>
        </w:rPr>
        <w:t>has served as our Chief Operating Officer since July 2013. Prior to joining our company, Mr.</w:t>
      </w:r>
      <w:r>
        <w:rPr>
          <w:rFonts w:ascii="Arial" w:cs="Arial" w:eastAsia="Arial" w:hAnsi="Arial"/>
          <w:sz w:val="16"/>
          <w:szCs w:val="16"/>
          <w:i w:val="1"/>
          <w:iCs w:val="1"/>
          <w:color w:val="auto"/>
        </w:rPr>
        <w:t xml:space="preserve"> </w:t>
      </w:r>
      <w:r>
        <w:rPr>
          <w:rFonts w:ascii="Arial" w:cs="Arial" w:eastAsia="Arial" w:hAnsi="Arial"/>
          <w:sz w:val="16"/>
          <w:szCs w:val="16"/>
          <w:color w:val="auto"/>
        </w:rPr>
        <w:t>Sandelson served as Chief Executive 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175" w:lineRule="exact"/>
        <w:rPr>
          <w:sz w:val="20"/>
          <w:szCs w:val="20"/>
          <w:color w:val="auto"/>
        </w:rPr>
      </w:pPr>
    </w:p>
    <w:p>
      <w:pPr>
        <w:ind w:left="580" w:right="599" w:firstLine="194"/>
        <w:spacing w:after="0" w:line="276" w:lineRule="auto"/>
        <w:rPr>
          <w:sz w:val="20"/>
          <w:szCs w:val="20"/>
          <w:color w:val="auto"/>
        </w:rPr>
      </w:pPr>
      <w:r>
        <w:rPr>
          <w:rFonts w:ascii="Arial" w:cs="Arial" w:eastAsia="Arial" w:hAnsi="Arial"/>
          <w:sz w:val="15"/>
          <w:szCs w:val="15"/>
          <w:i w:val="1"/>
          <w:iCs w:val="1"/>
          <w:color w:val="auto"/>
        </w:rPr>
        <w:t xml:space="preserve">Guy Zimmerman </w:t>
      </w:r>
      <w:r>
        <w:rPr>
          <w:rFonts w:ascii="Arial" w:cs="Arial" w:eastAsia="Arial" w:hAnsi="Arial"/>
          <w:sz w:val="15"/>
          <w:szCs w:val="15"/>
          <w:color w:val="auto"/>
        </w:rPr>
        <w:t>has served as our Vice President of Marketing and Business Development since April 2013. From</w:t>
      </w:r>
      <w:r>
        <w:rPr>
          <w:rFonts w:ascii="Arial" w:cs="Arial" w:eastAsia="Arial" w:hAnsi="Arial"/>
          <w:sz w:val="15"/>
          <w:szCs w:val="15"/>
          <w:i w:val="1"/>
          <w:iCs w:val="1"/>
          <w:color w:val="auto"/>
        </w:rPr>
        <w:t xml:space="preserve"> </w:t>
      </w:r>
      <w:r>
        <w:rPr>
          <w:rFonts w:ascii="Arial" w:cs="Arial" w:eastAsia="Arial" w:hAnsi="Arial"/>
          <w:sz w:val="15"/>
          <w:szCs w:val="15"/>
          <w:color w:val="auto"/>
        </w:rPr>
        <w:t>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57" w:lineRule="exact"/>
        <w:rPr>
          <w:sz w:val="20"/>
          <w:szCs w:val="20"/>
          <w:color w:val="auto"/>
        </w:rPr>
      </w:pPr>
    </w:p>
    <w:p>
      <w:pPr>
        <w:ind w:left="580" w:right="579" w:firstLine="194"/>
        <w:spacing w:after="0" w:line="276" w:lineRule="auto"/>
        <w:rPr>
          <w:sz w:val="20"/>
          <w:szCs w:val="20"/>
          <w:color w:val="auto"/>
        </w:rPr>
      </w:pPr>
      <w:r>
        <w:rPr>
          <w:rFonts w:ascii="Arial" w:cs="Arial" w:eastAsia="Arial" w:hAnsi="Arial"/>
          <w:sz w:val="15"/>
          <w:szCs w:val="15"/>
          <w:i w:val="1"/>
          <w:iCs w:val="1"/>
          <w:color w:val="auto"/>
        </w:rPr>
        <w:t xml:space="preserve">Oded Kraft </w:t>
      </w:r>
      <w:r>
        <w:rPr>
          <w:rFonts w:ascii="Arial" w:cs="Arial" w:eastAsia="Arial" w:hAnsi="Arial"/>
          <w:sz w:val="15"/>
          <w:szCs w:val="15"/>
          <w:color w:val="auto"/>
        </w:rPr>
        <w:t>has served as our Vice President of Products since September 2014. From January 2013 to April 2014,</w:t>
      </w:r>
      <w:r>
        <w:rPr>
          <w:rFonts w:ascii="Arial" w:cs="Arial" w:eastAsia="Arial" w:hAnsi="Arial"/>
          <w:sz w:val="15"/>
          <w:szCs w:val="15"/>
          <w:i w:val="1"/>
          <w:iCs w:val="1"/>
          <w:color w:val="auto"/>
        </w:rPr>
        <w:t xml:space="preserve"> </w:t>
      </w:r>
      <w:r>
        <w:rPr>
          <w:rFonts w:ascii="Arial" w:cs="Arial" w:eastAsia="Arial" w:hAnsi="Arial"/>
          <w:sz w:val="15"/>
          <w:szCs w:val="15"/>
          <w:color w:val="auto"/>
        </w:rPr>
        <w:t>Mr. Kraft managed a portfolio of several businesses within the Diabetes Care Division of Roche in Germany. From 2008 to December 2012, he was the Vice President of Products at Medingo, a medical devices company, which was acquired by Roche GmbH in 2010. From 2001 to 2008, Mr. Kraft worked at GE Healthcare Nuclear Medicine division, serving as a Global Segment Leader from 2005 to 2008 and System Architect from 2002 to 2005. Mr. Kraft served in the Israel Defense Forces in an intelligence technology unit for seven years, finishing with the rank of captain and serving part of the time in the United States with a U.S. defense contractor. Mr. Kraft holds a B.Sc. in Electrical Engineering and M.B.A. from Technion-Israel Institute of Technology in Israel.</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Directors</w:t>
      </w:r>
    </w:p>
    <w:p>
      <w:pPr>
        <w:spacing w:after="0" w:line="204" w:lineRule="exact"/>
        <w:rPr>
          <w:sz w:val="20"/>
          <w:szCs w:val="20"/>
          <w:color w:val="auto"/>
        </w:rPr>
      </w:pPr>
    </w:p>
    <w:p>
      <w:pPr>
        <w:ind w:left="580" w:right="659" w:firstLine="194"/>
        <w:spacing w:after="0" w:line="274" w:lineRule="auto"/>
        <w:rPr>
          <w:sz w:val="20"/>
          <w:szCs w:val="20"/>
          <w:color w:val="auto"/>
        </w:rPr>
      </w:pPr>
      <w:r>
        <w:rPr>
          <w:rFonts w:ascii="Arial" w:cs="Arial" w:eastAsia="Arial" w:hAnsi="Arial"/>
          <w:sz w:val="15"/>
          <w:szCs w:val="15"/>
          <w:i w:val="1"/>
          <w:iCs w:val="1"/>
          <w:color w:val="auto"/>
        </w:rPr>
        <w:t xml:space="preserve">Yuval Cohen </w:t>
      </w:r>
      <w:r>
        <w:rPr>
          <w:rFonts w:ascii="Arial" w:cs="Arial" w:eastAsia="Arial" w:hAnsi="Arial"/>
          <w:sz w:val="15"/>
          <w:szCs w:val="15"/>
          <w:color w:val="auto"/>
        </w:rPr>
        <w:t>has served as the Chairman of our board of directors since August 2011. Mr. Cohen is the founding and</w:t>
      </w:r>
      <w:r>
        <w:rPr>
          <w:rFonts w:ascii="Arial" w:cs="Arial" w:eastAsia="Arial" w:hAnsi="Arial"/>
          <w:sz w:val="15"/>
          <w:szCs w:val="15"/>
          <w:i w:val="1"/>
          <w:iCs w:val="1"/>
          <w:color w:val="auto"/>
        </w:rPr>
        <w:t xml:space="preserve"> </w:t>
      </w:r>
      <w:r>
        <w:rPr>
          <w:rFonts w:ascii="Arial" w:cs="Arial" w:eastAsia="Arial" w:hAnsi="Arial"/>
          <w:sz w:val="15"/>
          <w:szCs w:val="15"/>
          <w:color w:val="auto"/>
        </w:rPr>
        <w:t>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the chairman of the board of directors of SodaStream International Ltd. (NASDAQ: SODA) and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2" w:name="page73"/>
    <w:bookmarkEnd w:id="72"/>
    <w:p>
      <w:pPr>
        <w:ind w:left="580" w:right="639" w:firstLine="194"/>
        <w:spacing w:after="0" w:line="300" w:lineRule="auto"/>
        <w:rPr>
          <w:sz w:val="20"/>
          <w:szCs w:val="20"/>
          <w:color w:val="auto"/>
        </w:rPr>
      </w:pPr>
      <w:r>
        <w:rPr>
          <w:rFonts w:ascii="Arial" w:cs="Arial" w:eastAsia="Arial" w:hAnsi="Arial"/>
          <w:sz w:val="14"/>
          <w:szCs w:val="14"/>
          <w:i w:val="1"/>
          <w:iCs w:val="1"/>
          <w:color w:val="auto"/>
        </w:rPr>
        <w:t xml:space="preserve">Eli Blatt </w:t>
      </w:r>
      <w:r>
        <w:rPr>
          <w:rFonts w:ascii="Arial" w:cs="Arial" w:eastAsia="Arial" w:hAnsi="Arial"/>
          <w:sz w:val="14"/>
          <w:szCs w:val="14"/>
          <w:color w:val="auto"/>
        </w:rPr>
        <w:t>has served as a member of our board of directors since August 2011. Mr. Blatt joined Fortissimo Capital in</w:t>
      </w:r>
      <w:r>
        <w:rPr>
          <w:rFonts w:ascii="Arial" w:cs="Arial" w:eastAsia="Arial" w:hAnsi="Arial"/>
          <w:sz w:val="14"/>
          <w:szCs w:val="14"/>
          <w:i w:val="1"/>
          <w:iCs w:val="1"/>
          <w:color w:val="auto"/>
        </w:rPr>
        <w:t xml:space="preserve"> </w:t>
      </w:r>
      <w:r>
        <w:rPr>
          <w:rFonts w:ascii="Arial" w:cs="Arial" w:eastAsia="Arial" w:hAnsi="Arial"/>
          <w:sz w:val="14"/>
          <w:szCs w:val="14"/>
          <w:color w:val="auto"/>
        </w:rPr>
        <w:t>2004. From March 1999 to May 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42" w:lineRule="exact"/>
        <w:rPr>
          <w:sz w:val="20"/>
          <w:szCs w:val="20"/>
          <w:color w:val="auto"/>
        </w:rPr>
      </w:pPr>
    </w:p>
    <w:p>
      <w:pPr>
        <w:ind w:left="580" w:right="599" w:firstLine="194"/>
        <w:spacing w:after="0" w:line="293" w:lineRule="auto"/>
        <w:rPr>
          <w:sz w:val="20"/>
          <w:szCs w:val="20"/>
          <w:color w:val="auto"/>
        </w:rPr>
      </w:pPr>
      <w:r>
        <w:rPr>
          <w:rFonts w:ascii="Arial" w:cs="Arial" w:eastAsia="Arial" w:hAnsi="Arial"/>
          <w:sz w:val="14"/>
          <w:szCs w:val="14"/>
          <w:i w:val="1"/>
          <w:iCs w:val="1"/>
          <w:color w:val="auto"/>
        </w:rPr>
        <w:t xml:space="preserve">Lauri Hanover </w:t>
      </w:r>
      <w:r>
        <w:rPr>
          <w:rFonts w:ascii="Arial" w:cs="Arial" w:eastAsia="Arial" w:hAnsi="Arial"/>
          <w:sz w:val="14"/>
          <w:szCs w:val="14"/>
          <w:color w:val="auto"/>
        </w:rPr>
        <w:t>has served as a member of our board of directors since March 2015 and is intended to serve as an external</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 under the Companies Law subject to the ratification of her appointment at a general meeting to be held following the completion of this offering. Ms. Hanover is the Chief Financial Officer of Netafim Ltd. since August 2013, the global leader in smart irrigation systems. From 2009 to 2013, she served as Chief Financial Officer and Executive Vice President of the Tnuva Group, Israel’s largest food manufacturer. From 2008 to 2009, Ms. Hanover served as Chief Executive Officer of Gross, Kleinhendler, Hodak, Halvey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at University of Pennsylvania in Pennsylvania, as well as an M.B.A. from New York University in New York.</w:t>
      </w:r>
    </w:p>
    <w:p>
      <w:pPr>
        <w:spacing w:after="0" w:line="150" w:lineRule="exact"/>
        <w:rPr>
          <w:sz w:val="20"/>
          <w:szCs w:val="20"/>
          <w:color w:val="auto"/>
        </w:rPr>
      </w:pPr>
    </w:p>
    <w:p>
      <w:pPr>
        <w:ind w:left="580" w:right="599" w:firstLine="194"/>
        <w:spacing w:after="0" w:line="276" w:lineRule="auto"/>
        <w:rPr>
          <w:sz w:val="20"/>
          <w:szCs w:val="20"/>
          <w:color w:val="auto"/>
        </w:rPr>
      </w:pPr>
      <w:r>
        <w:rPr>
          <w:rFonts w:ascii="Arial" w:cs="Arial" w:eastAsia="Arial" w:hAnsi="Arial"/>
          <w:sz w:val="15"/>
          <w:szCs w:val="15"/>
          <w:i w:val="1"/>
          <w:iCs w:val="1"/>
          <w:color w:val="auto"/>
        </w:rPr>
        <w:t xml:space="preserve">Marc Lesnick </w:t>
      </w:r>
      <w:r>
        <w:rPr>
          <w:rFonts w:ascii="Arial" w:cs="Arial" w:eastAsia="Arial" w:hAnsi="Arial"/>
          <w:sz w:val="15"/>
          <w:szCs w:val="15"/>
          <w:color w:val="auto"/>
        </w:rPr>
        <w:t>has served as a member of our board of directors since August 2011. Mr. Lesnick joined Fortissimo</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57" w:lineRule="exact"/>
        <w:rPr>
          <w:sz w:val="20"/>
          <w:szCs w:val="20"/>
          <w:color w:val="auto"/>
        </w:rPr>
      </w:pPr>
    </w:p>
    <w:p>
      <w:pPr>
        <w:ind w:left="580" w:right="599" w:firstLine="194"/>
        <w:spacing w:after="0" w:line="295" w:lineRule="auto"/>
        <w:rPr>
          <w:sz w:val="20"/>
          <w:szCs w:val="20"/>
          <w:color w:val="auto"/>
        </w:rPr>
      </w:pPr>
      <w:r>
        <w:rPr>
          <w:rFonts w:ascii="Arial" w:cs="Arial" w:eastAsia="Arial" w:hAnsi="Arial"/>
          <w:sz w:val="14"/>
          <w:szCs w:val="14"/>
          <w:i w:val="1"/>
          <w:iCs w:val="1"/>
          <w:color w:val="auto"/>
        </w:rPr>
        <w:t xml:space="preserve">Alon Lumbroso </w:t>
      </w:r>
      <w:r>
        <w:rPr>
          <w:rFonts w:ascii="Arial" w:cs="Arial" w:eastAsia="Arial" w:hAnsi="Arial"/>
          <w:sz w:val="14"/>
          <w:szCs w:val="14"/>
          <w:color w:val="auto"/>
        </w:rPr>
        <w:t>has served as a member of our board of directors since March 2015. Mr. Lumbroso is the founder and partner</w:t>
      </w:r>
      <w:r>
        <w:rPr>
          <w:rFonts w:ascii="Arial" w:cs="Arial" w:eastAsia="Arial" w:hAnsi="Arial"/>
          <w:sz w:val="14"/>
          <w:szCs w:val="14"/>
          <w:i w:val="1"/>
          <w:iCs w:val="1"/>
          <w:color w:val="auto"/>
        </w:rPr>
        <w:t xml:space="preserve"> </w:t>
      </w:r>
      <w:r>
        <w:rPr>
          <w:rFonts w:ascii="Arial" w:cs="Arial" w:eastAsia="Arial" w:hAnsi="Arial"/>
          <w:sz w:val="14"/>
          <w:szCs w:val="14"/>
          <w:color w:val="auto"/>
        </w:rPr>
        <w:t>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149" w:lineRule="exact"/>
        <w:rPr>
          <w:sz w:val="20"/>
          <w:szCs w:val="20"/>
          <w:color w:val="auto"/>
        </w:rPr>
      </w:pPr>
    </w:p>
    <w:p>
      <w:pPr>
        <w:ind w:left="580" w:right="599" w:firstLine="194"/>
        <w:spacing w:after="0" w:line="195" w:lineRule="exact"/>
        <w:rPr>
          <w:sz w:val="20"/>
          <w:szCs w:val="20"/>
          <w:color w:val="auto"/>
        </w:rPr>
      </w:pPr>
      <w:r>
        <w:rPr>
          <w:rFonts w:ascii="Arial" w:cs="Arial" w:eastAsia="Arial" w:hAnsi="Arial"/>
          <w:sz w:val="15"/>
          <w:szCs w:val="15"/>
          <w:i w:val="1"/>
          <w:iCs w:val="1"/>
          <w:color w:val="auto"/>
        </w:rPr>
        <w:t xml:space="preserve">Jerry Mandel </w:t>
      </w:r>
      <w:r>
        <w:rPr>
          <w:rFonts w:ascii="Arial" w:cs="Arial" w:eastAsia="Arial" w:hAnsi="Arial"/>
          <w:sz w:val="15"/>
          <w:szCs w:val="15"/>
          <w:color w:val="auto"/>
        </w:rPr>
        <w:t>has served as a member of our board of directors since March 2015 and is intended to serve as an</w:t>
      </w:r>
      <w:r>
        <w:rPr>
          <w:rFonts w:ascii="Arial" w:cs="Arial" w:eastAsia="Arial" w:hAnsi="Arial"/>
          <w:sz w:val="15"/>
          <w:szCs w:val="15"/>
          <w:i w:val="1"/>
          <w:iCs w:val="1"/>
          <w:color w:val="auto"/>
        </w:rPr>
        <w:t xml:space="preserve"> </w:t>
      </w:r>
      <w:r>
        <w:rPr>
          <w:rFonts w:ascii="Arial" w:cs="Arial" w:eastAsia="Arial" w:hAnsi="Arial"/>
          <w:sz w:val="15"/>
          <w:szCs w:val="15"/>
          <w:color w:val="auto"/>
        </w:rPr>
        <w:t>external director under the Companies Law subject to the ratification of his appointment at a general meeting to be held following the completion of this offering. Mr. Mandel is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provides mezzanine financing to middle</w:t>
      </w:r>
      <w:r>
        <w:rPr>
          <w:rFonts w:ascii="MS PGothic" w:cs="MS PGothic" w:eastAsia="MS PGothic" w:hAnsi="MS PGothic"/>
          <w:sz w:val="15"/>
          <w:szCs w:val="15"/>
          <w:color w:val="auto"/>
        </w:rPr>
        <w:t>‑</w:t>
      </w:r>
      <w:r>
        <w:rPr>
          <w:rFonts w:ascii="Arial" w:cs="Arial" w:eastAsia="Arial" w:hAnsi="Arial"/>
          <w:sz w:val="15"/>
          <w:szCs w:val="15"/>
          <w:color w:val="auto"/>
        </w:rPr>
        <w:t>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3" w:name="page74"/>
    <w:bookmarkEnd w:id="73"/>
    <w:p>
      <w:pPr>
        <w:ind w:left="580" w:right="559" w:firstLine="194"/>
        <w:spacing w:after="0" w:line="262" w:lineRule="auto"/>
        <w:rPr>
          <w:sz w:val="20"/>
          <w:szCs w:val="20"/>
          <w:color w:val="auto"/>
        </w:rPr>
      </w:pPr>
      <w:r>
        <w:rPr>
          <w:rFonts w:ascii="Arial" w:cs="Arial" w:eastAsia="Arial" w:hAnsi="Arial"/>
          <w:sz w:val="16"/>
          <w:szCs w:val="16"/>
          <w:color w:val="auto"/>
        </w:rPr>
        <w:t>Merrill Lynch &amp; Co. and responsible for the origination and execution of investment banking activities in Israel. Currently, Mr. Mandel serves as a director and audit committee member of Direct Insurance – Financial Investments Ltd. (TASE: DIFI). Mr. Mandel holds a B.Sc. in Industrial Engineering from Tel Aviv University in Israel and an M.B.A. from Columbia Business School in New York.</w:t>
      </w:r>
    </w:p>
    <w:p>
      <w:pPr>
        <w:spacing w:after="0" w:line="81" w:lineRule="exact"/>
        <w:rPr>
          <w:sz w:val="20"/>
          <w:szCs w:val="20"/>
          <w:color w:val="auto"/>
        </w:rPr>
      </w:pPr>
    </w:p>
    <w:p>
      <w:pPr>
        <w:ind w:left="580" w:right="579" w:firstLine="194"/>
        <w:spacing w:after="0" w:line="297" w:lineRule="auto"/>
        <w:rPr>
          <w:sz w:val="20"/>
          <w:szCs w:val="20"/>
          <w:color w:val="auto"/>
        </w:rPr>
      </w:pPr>
      <w:r>
        <w:rPr>
          <w:rFonts w:ascii="Arial" w:cs="Arial" w:eastAsia="Arial" w:hAnsi="Arial"/>
          <w:sz w:val="14"/>
          <w:szCs w:val="14"/>
          <w:i w:val="1"/>
          <w:iCs w:val="1"/>
          <w:color w:val="auto"/>
        </w:rPr>
        <w:t xml:space="preserve">Dov Ofer </w:t>
      </w:r>
      <w:r>
        <w:rPr>
          <w:rFonts w:ascii="Arial" w:cs="Arial" w:eastAsia="Arial" w:hAnsi="Arial"/>
          <w:sz w:val="14"/>
          <w:szCs w:val="14"/>
          <w:color w:val="auto"/>
        </w:rPr>
        <w:t>has served as a member of our board of directors since March 2015. From 2007 to 2013, Mr. Ofer served as</w:t>
      </w:r>
      <w:r>
        <w:rPr>
          <w:rFonts w:ascii="Arial" w:cs="Arial" w:eastAsia="Arial" w:hAnsi="Arial"/>
          <w:sz w:val="14"/>
          <w:szCs w:val="14"/>
          <w:i w:val="1"/>
          <w:iCs w:val="1"/>
          <w:color w:val="auto"/>
        </w:rPr>
        <w:t xml:space="preserve"> </w:t>
      </w:r>
      <w:r>
        <w:rPr>
          <w:rFonts w:ascii="Arial" w:cs="Arial" w:eastAsia="Arial" w:hAnsi="Arial"/>
          <w:sz w:val="14"/>
          <w:szCs w:val="14"/>
          <w:color w:val="auto"/>
        </w:rPr>
        <w:t>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72" w:lineRule="exact"/>
        <w:rPr>
          <w:sz w:val="20"/>
          <w:szCs w:val="20"/>
          <w:color w:val="auto"/>
        </w:rPr>
      </w:pPr>
    </w:p>
    <w:p>
      <w:pPr>
        <w:ind w:left="780"/>
        <w:spacing w:after="0"/>
        <w:rPr>
          <w:sz w:val="20"/>
          <w:szCs w:val="20"/>
          <w:color w:val="auto"/>
        </w:rPr>
      </w:pPr>
      <w:r>
        <w:rPr>
          <w:rFonts w:ascii="Arial" w:cs="Arial" w:eastAsia="Arial" w:hAnsi="Arial"/>
          <w:sz w:val="16"/>
          <w:szCs w:val="16"/>
          <w:b w:val="1"/>
          <w:bCs w:val="1"/>
          <w:i w:val="1"/>
          <w:iCs w:val="1"/>
          <w:color w:val="auto"/>
        </w:rPr>
        <w:t>Arrangements Concerning Election of Directors; Familial Relationships</w:t>
      </w:r>
    </w:p>
    <w:p>
      <w:pPr>
        <w:spacing w:after="0" w:line="119" w:lineRule="exact"/>
        <w:rPr>
          <w:sz w:val="20"/>
          <w:szCs w:val="20"/>
          <w:color w:val="auto"/>
        </w:rPr>
      </w:pPr>
    </w:p>
    <w:p>
      <w:pPr>
        <w:ind w:left="580" w:right="579" w:firstLine="194"/>
        <w:spacing w:after="0" w:line="262" w:lineRule="auto"/>
        <w:rPr>
          <w:sz w:val="20"/>
          <w:szCs w:val="20"/>
          <w:color w:val="auto"/>
        </w:rPr>
      </w:pPr>
      <w:r>
        <w:rPr>
          <w:rFonts w:ascii="Arial" w:cs="Arial" w:eastAsia="Arial" w:hAnsi="Arial"/>
          <w:sz w:val="16"/>
          <w:szCs w:val="16"/>
          <w:color w:val="auto"/>
        </w:rPr>
        <w:t>Our current board of directors consists of nine directors. Currently-serving directors that were appointed prior to this offering will continue to serve pursuant to their appointment until the expiration of their terms as described below. We are not a party to, and are not aware of, any voting agreements among our shareholders. In addition, there are no family relationships among our executive officers and directors.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Corporate Governance Practices</w:t>
      </w:r>
    </w:p>
    <w:p>
      <w:pPr>
        <w:spacing w:after="0" w:line="171" w:lineRule="exact"/>
        <w:rPr>
          <w:sz w:val="20"/>
          <w:szCs w:val="20"/>
          <w:color w:val="auto"/>
        </w:rPr>
      </w:pPr>
    </w:p>
    <w:p>
      <w:pPr>
        <w:ind w:left="580" w:right="659" w:firstLine="194"/>
        <w:spacing w:after="0" w:line="275" w:lineRule="auto"/>
        <w:rPr>
          <w:sz w:val="20"/>
          <w:szCs w:val="20"/>
          <w:color w:val="auto"/>
        </w:rPr>
      </w:pPr>
      <w:r>
        <w:rPr>
          <w:rFonts w:ascii="Arial" w:cs="Arial" w:eastAsia="Arial" w:hAnsi="Arial"/>
          <w:sz w:val="15"/>
          <w:szCs w:val="15"/>
          <w:color w:val="auto"/>
        </w:rPr>
        <w:t>After the completion of this offering, we will be a “controlled company” under the NASDAQ Stock Market rules. A “controlled company” is a company of which more than 50% of the voting power is held by an individual, group or another company. We will be a controlled company on the basis of Fortissimo Capital’s ownership in our company immediately following the offering. Pursuant to the “controlled company” exemption, we are not required and currently do not intend to comply with the requirement that we have a nominating committee comprised solely of independent directors and, instead, director nominations will be made by our board of directors as a whole. In the event that we cease to be a controlled company, we will be required to comply with this provision within the transition periods specified in the NASDAQ Stock Market rules, unless we elect to avail ourselves of the opt-out from NASDAQ Stock Market rules afforded to foreign private issuers, as discussed below.</w:t>
      </w:r>
    </w:p>
    <w:p>
      <w:pPr>
        <w:spacing w:after="0" w:line="99" w:lineRule="exact"/>
        <w:rPr>
          <w:sz w:val="20"/>
          <w:szCs w:val="20"/>
          <w:color w:val="auto"/>
        </w:rPr>
      </w:pPr>
    </w:p>
    <w:p>
      <w:pPr>
        <w:ind w:left="580" w:right="659" w:firstLine="194"/>
        <w:spacing w:after="0" w:line="275" w:lineRule="auto"/>
        <w:rPr>
          <w:sz w:val="20"/>
          <w:szCs w:val="20"/>
          <w:color w:val="auto"/>
        </w:rPr>
      </w:pPr>
      <w:r>
        <w:rPr>
          <w:rFonts w:ascii="Arial" w:cs="Arial" w:eastAsia="Arial" w:hAnsi="Arial"/>
          <w:sz w:val="15"/>
          <w:szCs w:val="15"/>
          <w:color w:val="auto"/>
        </w:rPr>
        <w:t>The “controlled company” exemption does not modify the independence requirements for our audit committee. Accordingly, immediately following this offering, we will have an audit committee comprised of at least three members all of whom meet the NASDAQ Stock Market independence requirements and which must include all of our external directors and consist of a majority of “independent directors” as defined under the Israeli Companies Law. See “—Audit committee – Israeli Companies Law Requirements.” Furthermore, while we are exempt under the “controlled company” exemption from the requirement under the NASDAQ Stock Market rules that we have a compensation committee comprised solely of independent directors, we are required under the Israeli Companies Law to have a compensation committee consisting of at least three members, including all of our external directors. External directors must constitute a majority of the members of the compensation committee.</w:t>
      </w:r>
    </w:p>
    <w:p>
      <w:pPr>
        <w:spacing w:after="0" w:line="87" w:lineRule="exact"/>
        <w:rPr>
          <w:sz w:val="20"/>
          <w:szCs w:val="20"/>
          <w:color w:val="auto"/>
        </w:rPr>
      </w:pPr>
    </w:p>
    <w:p>
      <w:pPr>
        <w:ind w:left="580" w:right="579" w:firstLine="194"/>
        <w:spacing w:after="0" w:line="273" w:lineRule="auto"/>
        <w:rPr>
          <w:sz w:val="20"/>
          <w:szCs w:val="20"/>
          <w:color w:val="auto"/>
        </w:rPr>
      </w:pPr>
      <w:r>
        <w:rPr>
          <w:rFonts w:ascii="Arial" w:cs="Arial" w:eastAsia="Arial" w:hAnsi="Arial"/>
          <w:sz w:val="15"/>
          <w:szCs w:val="15"/>
          <w:color w:val="auto"/>
        </w:rPr>
        <w:t>In addition to the controlled company exemption, as a foreign private issuer, 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external directors, the audit committee and an internal auditor. This is the case even if our shares are not listed on a stock exchange in Israel. These requirements are in addition to the corporate governance requirements imposed by the Listing Rules of the NASDAQ Stock Market and other applicable provisions of U.S. securities laws to which we will become subject (as a foreign private issuer) upon the listing of our ordinary shares on the NASDAQ Global Market. Under the NASDAQ Stock Market rules, a foreign private issuer, such as us, may generally follow its home country rules of corporate governance in lieu of the comparable requirements of the NASDAQ Stock Market rules, except for certain matters including (among others) the composition and responsibilities of the audit committee and the independence of its members within the meaning of the rules and regulations of the Commission.</w:t>
      </w:r>
    </w:p>
    <w:p>
      <w:pPr>
        <w:spacing w:after="0" w:line="104" w:lineRule="exact"/>
        <w:rPr>
          <w:sz w:val="20"/>
          <w:szCs w:val="20"/>
          <w:color w:val="auto"/>
        </w:rPr>
      </w:pPr>
    </w:p>
    <w:p>
      <w:pPr>
        <w:ind w:left="580" w:right="699" w:firstLine="194"/>
        <w:spacing w:after="0" w:line="267" w:lineRule="auto"/>
        <w:rPr>
          <w:sz w:val="20"/>
          <w:szCs w:val="20"/>
          <w:color w:val="auto"/>
        </w:rPr>
      </w:pPr>
      <w:r>
        <w:rPr>
          <w:rFonts w:ascii="Arial" w:cs="Arial" w:eastAsia="Arial" w:hAnsi="Arial"/>
          <w:sz w:val="16"/>
          <w:szCs w:val="16"/>
          <w:color w:val="auto"/>
        </w:rPr>
        <w:t>We intend to comply with the rules generally applicable to U.S. domestic companies listed on the NASDAQ Stock Market, other than with respect to the quorum requirements. As permitted under the Israeli Companies Law, pursuant to our amended</w:t>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4" w:name="page75"/>
    <w:bookmarkEnd w:id="74"/>
    <w:p>
      <w:pPr>
        <w:ind w:left="580" w:right="579"/>
        <w:spacing w:after="0" w:line="259" w:lineRule="auto"/>
        <w:rPr>
          <w:sz w:val="20"/>
          <w:szCs w:val="20"/>
          <w:color w:val="auto"/>
        </w:rPr>
      </w:pPr>
      <w:r>
        <w:rPr>
          <w:rFonts w:ascii="Arial" w:cs="Arial" w:eastAsia="Arial" w:hAnsi="Arial"/>
          <w:sz w:val="16"/>
          <w:szCs w:val="16"/>
          <w:color w:val="auto"/>
        </w:rPr>
        <w:t>and restated articles of association to be effective upon completion of this offering, the quorum for an ordinary meeting of shareholders shall be the presence of at least two shareholders present in person, by proxy or by a voting instrument, who hold at least 25% of the voting power of our shares (and in an adjourned meeting, with some exceptions, any number of shareholders) instead of 33 1/3% of our issued share capital as required under NASDAQ corporate governance rules.</w:t>
      </w:r>
    </w:p>
    <w:p>
      <w:pPr>
        <w:spacing w:after="0" w:line="73" w:lineRule="exact"/>
        <w:rPr>
          <w:sz w:val="20"/>
          <w:szCs w:val="20"/>
          <w:color w:val="auto"/>
        </w:rPr>
      </w:pPr>
    </w:p>
    <w:p>
      <w:pPr>
        <w:ind w:left="580" w:right="639" w:firstLine="194"/>
        <w:spacing w:after="0" w:line="281" w:lineRule="auto"/>
        <w:rPr>
          <w:sz w:val="20"/>
          <w:szCs w:val="20"/>
          <w:color w:val="auto"/>
        </w:rPr>
      </w:pPr>
      <w:r>
        <w:rPr>
          <w:rFonts w:ascii="Arial" w:cs="Arial" w:eastAsia="Arial" w:hAnsi="Arial"/>
          <w:sz w:val="16"/>
          <w:szCs w:val="16"/>
          <w:color w:val="auto"/>
        </w:rPr>
        <w:t>We may in the future decide to use the controlled company exemption or foreign private issuer opt-out with respect to additional NASDAQ corporate governance rules.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Board Practices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19" w:lineRule="exact"/>
        <w:rPr>
          <w:sz w:val="20"/>
          <w:szCs w:val="20"/>
          <w:color w:val="auto"/>
        </w:rPr>
      </w:pPr>
    </w:p>
    <w:p>
      <w:pPr>
        <w:ind w:left="580" w:right="579" w:firstLine="194"/>
        <w:spacing w:after="0" w:line="257" w:lineRule="auto"/>
        <w:rPr>
          <w:sz w:val="20"/>
          <w:szCs w:val="20"/>
          <w:color w:val="auto"/>
        </w:rPr>
      </w:pPr>
      <w:r>
        <w:rPr>
          <w:rFonts w:ascii="Arial" w:cs="Arial" w:eastAsia="Arial" w:hAnsi="Arial"/>
          <w:sz w:val="16"/>
          <w:szCs w:val="16"/>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99" w:lineRule="exact"/>
        <w:rPr>
          <w:sz w:val="20"/>
          <w:szCs w:val="20"/>
          <w:color w:val="auto"/>
        </w:rPr>
      </w:pPr>
    </w:p>
    <w:p>
      <w:pPr>
        <w:ind w:left="580" w:right="599" w:firstLine="194"/>
        <w:spacing w:after="0" w:line="272" w:lineRule="auto"/>
        <w:rPr>
          <w:sz w:val="20"/>
          <w:szCs w:val="20"/>
          <w:color w:val="auto"/>
        </w:rPr>
      </w:pPr>
      <w:r>
        <w:rPr>
          <w:rFonts w:ascii="Arial" w:cs="Arial" w:eastAsia="Arial" w:hAnsi="Arial"/>
          <w:sz w:val="15"/>
          <w:szCs w:val="15"/>
          <w:color w:val="auto"/>
        </w:rPr>
        <w:t>Under our amended and restated articles of association to be effective upon completion of this offering, our board of directors must consist of at least five and not more than nine directors, including at least two external directors required to be appointed under the Israeli Companies Law. Our board of directors consists of nine directors.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at each annual general meeting the term of office of only one class of directors will expire.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Israeli Companies Law and our amended and restated articles of association.</w:t>
      </w:r>
    </w:p>
    <w:p>
      <w:pPr>
        <w:spacing w:after="0" w:line="7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Our directors will be divided among the three classes as follows:</w:t>
      </w:r>
    </w:p>
    <w:p>
      <w:pPr>
        <w:spacing w:after="0" w:line="107" w:lineRule="exact"/>
        <w:rPr>
          <w:sz w:val="20"/>
          <w:szCs w:val="20"/>
          <w:color w:val="auto"/>
        </w:rPr>
      </w:pPr>
    </w:p>
    <w:p>
      <w:pPr>
        <w:ind w:left="1120" w:right="959" w:hanging="349"/>
        <w:spacing w:after="0" w:line="355" w:lineRule="auto"/>
        <w:tabs>
          <w:tab w:leader="none" w:pos="1145"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Class I directors will be Alon Lumbroso and Dov Ofer, and their terms will expire at the annual general meeting of the shareholders to be held in 2016 and when their successors are elected and qualified;</w:t>
      </w:r>
    </w:p>
    <w:p>
      <w:pPr>
        <w:spacing w:after="0" w:line="32" w:lineRule="exact"/>
        <w:rPr>
          <w:rFonts w:ascii="Arial" w:cs="Arial" w:eastAsia="Arial" w:hAnsi="Arial"/>
          <w:sz w:val="14"/>
          <w:szCs w:val="14"/>
          <w:color w:val="auto"/>
        </w:rPr>
      </w:pPr>
    </w:p>
    <w:p>
      <w:pPr>
        <w:ind w:left="1120" w:right="879" w:hanging="349"/>
        <w:spacing w:after="0" w:line="267" w:lineRule="auto"/>
        <w:tabs>
          <w:tab w:leader="none" w:pos="11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Class II directors will be Ofer Ben-Zur and Gabi Seligsohn, and their terms will expire at the first annual general meeting of the shareholders following the meeting referred to in clause (i) above and when their successors are elected and qualified; and</w:t>
      </w:r>
    </w:p>
    <w:p>
      <w:pPr>
        <w:spacing w:after="0" w:line="64" w:lineRule="exact"/>
        <w:rPr>
          <w:rFonts w:ascii="Arial" w:cs="Arial" w:eastAsia="Arial" w:hAnsi="Arial"/>
          <w:sz w:val="16"/>
          <w:szCs w:val="16"/>
          <w:color w:val="auto"/>
        </w:rPr>
      </w:pPr>
    </w:p>
    <w:p>
      <w:pPr>
        <w:ind w:left="1120" w:right="679" w:hanging="349"/>
        <w:spacing w:after="0" w:line="267" w:lineRule="auto"/>
        <w:tabs>
          <w:tab w:leader="none" w:pos="116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Class III directors will be Eli Blatt, Yuval Cohen and Marc Lesnick, and their terms will expire at the first annual general meeting of the shareholders following the meeting referred to in clause (ii) above and when their successors are elected and qualified.</w:t>
      </w:r>
    </w:p>
    <w:p>
      <w:pPr>
        <w:spacing w:after="0" w:line="64" w:lineRule="exact"/>
        <w:rPr>
          <w:sz w:val="20"/>
          <w:szCs w:val="20"/>
          <w:color w:val="auto"/>
        </w:rPr>
      </w:pPr>
    </w:p>
    <w:p>
      <w:pPr>
        <w:ind w:left="580" w:right="619" w:firstLine="194"/>
        <w:spacing w:after="0" w:line="273" w:lineRule="auto"/>
        <w:rPr>
          <w:sz w:val="20"/>
          <w:szCs w:val="20"/>
          <w:color w:val="auto"/>
        </w:rPr>
      </w:pPr>
      <w:r>
        <w:rPr>
          <w:rFonts w:ascii="Arial" w:cs="Arial" w:eastAsia="Arial" w:hAnsi="Arial"/>
          <w:sz w:val="15"/>
          <w:szCs w:val="15"/>
          <w:color w:val="auto"/>
        </w:rPr>
        <w:t>Our board of directors has determined that our directors, Lauri Hanover, Alon Lumbroso, Jerry Mandel and Dov Ofer are independent under the rules of the NASDAQ Stock Market. The definition of “independent director” under the NASDAQ Stock Market rules and “external director” under the Israeli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Israeli Companies Law without qualifying as an “independent director” under the NASDAQ Stock Market rules, or vice-versa. The definition of external director under the Israeli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5" w:name="page76"/>
    <w:bookmarkEnd w:id="75"/>
    <w:p>
      <w:pPr>
        <w:ind w:left="580" w:right="939"/>
        <w:spacing w:after="0" w:line="281" w:lineRule="auto"/>
        <w:rPr>
          <w:sz w:val="20"/>
          <w:szCs w:val="20"/>
          <w:color w:val="auto"/>
        </w:rPr>
      </w:pPr>
      <w:r>
        <w:rPr>
          <w:rFonts w:ascii="Arial" w:cs="Arial" w:eastAsia="Arial" w:hAnsi="Arial"/>
          <w:sz w:val="15"/>
          <w:szCs w:val="15"/>
          <w:color w:val="auto"/>
        </w:rPr>
        <w:t>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68" w:lineRule="exact"/>
        <w:rPr>
          <w:sz w:val="20"/>
          <w:szCs w:val="20"/>
          <w:color w:val="auto"/>
        </w:rPr>
      </w:pPr>
    </w:p>
    <w:p>
      <w:pPr>
        <w:ind w:left="580" w:right="579" w:firstLine="194"/>
        <w:spacing w:after="0" w:line="274" w:lineRule="auto"/>
        <w:rPr>
          <w:sz w:val="20"/>
          <w:szCs w:val="20"/>
          <w:color w:val="auto"/>
        </w:rPr>
      </w:pPr>
      <w:r>
        <w:rPr>
          <w:rFonts w:ascii="Arial" w:cs="Arial" w:eastAsia="Arial" w:hAnsi="Arial"/>
          <w:sz w:val="15"/>
          <w:szCs w:val="15"/>
          <w:color w:val="auto"/>
        </w:rPr>
        <w:t>Under the Israeli Companies Law and our amended and restated articles of association,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90" w:lineRule="exact"/>
        <w:rPr>
          <w:sz w:val="20"/>
          <w:szCs w:val="20"/>
          <w:color w:val="auto"/>
        </w:rPr>
      </w:pPr>
    </w:p>
    <w:p>
      <w:pPr>
        <w:ind w:left="580" w:right="599" w:firstLine="194"/>
        <w:spacing w:after="0" w:line="305" w:lineRule="auto"/>
        <w:rPr>
          <w:sz w:val="20"/>
          <w:szCs w:val="20"/>
          <w:color w:val="auto"/>
        </w:rPr>
      </w:pPr>
      <w:r>
        <w:rPr>
          <w:rFonts w:ascii="Arial" w:cs="Arial" w:eastAsia="Arial" w:hAnsi="Arial"/>
          <w:sz w:val="14"/>
          <w:szCs w:val="14"/>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Israeli Companies Law. See “—External Directors.”</w:t>
      </w:r>
    </w:p>
    <w:p>
      <w:pPr>
        <w:spacing w:after="0" w:line="67" w:lineRule="exact"/>
        <w:rPr>
          <w:sz w:val="20"/>
          <w:szCs w:val="20"/>
          <w:color w:val="auto"/>
        </w:rPr>
      </w:pPr>
    </w:p>
    <w:p>
      <w:pPr>
        <w:ind w:left="580" w:right="739" w:firstLine="194"/>
        <w:spacing w:after="0" w:line="305" w:lineRule="auto"/>
        <w:rPr>
          <w:sz w:val="20"/>
          <w:szCs w:val="20"/>
          <w:color w:val="auto"/>
        </w:rPr>
      </w:pPr>
      <w:r>
        <w:rPr>
          <w:rFonts w:ascii="Arial" w:cs="Arial" w:eastAsia="Arial" w:hAnsi="Arial"/>
          <w:sz w:val="14"/>
          <w:szCs w:val="14"/>
          <w:color w:val="auto"/>
        </w:rPr>
        <w:t>Under the Israeli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External Directors</w:t>
      </w:r>
    </w:p>
    <w:p>
      <w:pPr>
        <w:spacing w:after="0" w:line="155" w:lineRule="exact"/>
        <w:rPr>
          <w:sz w:val="20"/>
          <w:szCs w:val="20"/>
          <w:color w:val="auto"/>
        </w:rPr>
      </w:pPr>
    </w:p>
    <w:p>
      <w:pPr>
        <w:ind w:left="580" w:right="619" w:firstLine="194"/>
        <w:spacing w:after="0" w:line="262" w:lineRule="auto"/>
        <w:rPr>
          <w:sz w:val="20"/>
          <w:szCs w:val="20"/>
          <w:color w:val="auto"/>
        </w:rPr>
      </w:pPr>
      <w:r>
        <w:rPr>
          <w:rFonts w:ascii="Arial" w:cs="Arial" w:eastAsia="Arial" w:hAnsi="Arial"/>
          <w:sz w:val="16"/>
          <w:szCs w:val="16"/>
          <w:color w:val="auto"/>
        </w:rPr>
        <w:t>Under the Israeli Companies Law, we are required to include at least two members who qualify as external directors. Lauri Hanover and Jerry Mandel have agreed to serve as our external directors prior to our listing on the NASDAQ Global Market, subject to ratification at a meeting of our shareholders to be held no later than three months following the closing of this offering.</w:t>
      </w:r>
    </w:p>
    <w:p>
      <w:pPr>
        <w:spacing w:after="0" w:line="93" w:lineRule="exact"/>
        <w:rPr>
          <w:sz w:val="20"/>
          <w:szCs w:val="20"/>
          <w:color w:val="auto"/>
        </w:rPr>
      </w:pPr>
    </w:p>
    <w:p>
      <w:pPr>
        <w:ind w:left="580" w:right="1039" w:firstLine="194"/>
        <w:spacing w:after="0" w:line="267" w:lineRule="auto"/>
        <w:rPr>
          <w:sz w:val="20"/>
          <w:szCs w:val="20"/>
          <w:color w:val="auto"/>
        </w:rPr>
      </w:pPr>
      <w:r>
        <w:rPr>
          <w:rFonts w:ascii="Arial" w:cs="Arial" w:eastAsia="Arial" w:hAnsi="Arial"/>
          <w:sz w:val="16"/>
          <w:szCs w:val="16"/>
          <w:color w:val="auto"/>
        </w:rPr>
        <w:t>The provisions of the Israeli Companies Law set forth special approval requirements for the election of external directors. External directors must be elected by a majority vote of the shares present and voting at a meeting of shareholders, provided that either:</w:t>
      </w:r>
    </w:p>
    <w:p>
      <w:pPr>
        <w:spacing w:after="0" w:line="101" w:lineRule="exact"/>
        <w:rPr>
          <w:sz w:val="20"/>
          <w:szCs w:val="20"/>
          <w:color w:val="auto"/>
        </w:rPr>
      </w:pPr>
    </w:p>
    <w:p>
      <w:pPr>
        <w:ind w:left="960" w:right="579" w:hanging="189"/>
        <w:spacing w:after="0" w:line="246" w:lineRule="auto"/>
        <w:tabs>
          <w:tab w:leader="none" w:pos="943" w:val="left"/>
        </w:tabs>
        <w:numPr>
          <w:ilvl w:val="0"/>
          <w:numId w:val="43"/>
        </w:numPr>
        <w:rPr>
          <w:rFonts w:ascii="Arial" w:cs="Arial" w:eastAsia="Arial" w:hAnsi="Arial"/>
          <w:sz w:val="19"/>
          <w:szCs w:val="19"/>
          <w:color w:val="auto"/>
        </w:rPr>
      </w:pPr>
      <w:r>
        <w:rPr>
          <w:rFonts w:ascii="Arial" w:cs="Arial" w:eastAsia="Arial" w:hAnsi="Arial"/>
          <w:sz w:val="16"/>
          <w:szCs w:val="16"/>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18" w:lineRule="exact"/>
        <w:rPr>
          <w:rFonts w:ascii="Arial" w:cs="Arial" w:eastAsia="Arial" w:hAnsi="Arial"/>
          <w:sz w:val="19"/>
          <w:szCs w:val="19"/>
          <w:color w:val="auto"/>
        </w:rPr>
      </w:pPr>
    </w:p>
    <w:p>
      <w:pPr>
        <w:ind w:left="960" w:right="559" w:hanging="189"/>
        <w:spacing w:after="0" w:line="244" w:lineRule="auto"/>
        <w:tabs>
          <w:tab w:leader="none" w:pos="943" w:val="left"/>
        </w:tabs>
        <w:numPr>
          <w:ilvl w:val="0"/>
          <w:numId w:val="43"/>
        </w:numPr>
        <w:rPr>
          <w:rFonts w:ascii="Arial" w:cs="Arial" w:eastAsia="Arial" w:hAnsi="Arial"/>
          <w:sz w:val="19"/>
          <w:szCs w:val="19"/>
          <w:color w:val="auto"/>
        </w:rPr>
      </w:pPr>
      <w:r>
        <w:rPr>
          <w:rFonts w:ascii="Arial" w:cs="Arial" w:eastAsia="Arial" w:hAnsi="Arial"/>
          <w:sz w:val="16"/>
          <w:szCs w:val="16"/>
          <w:color w:val="auto"/>
        </w:rPr>
        <w:t>the total number of shares voted by non-controlling shareholders and by shareholders who do not have a personal interest in the election of the external director against the election of the external director does not exceed 2% of the aggregate voting rights in the company.</w:t>
      </w:r>
    </w:p>
    <w:p>
      <w:pPr>
        <w:spacing w:after="0" w:line="94" w:lineRule="exact"/>
        <w:rPr>
          <w:sz w:val="20"/>
          <w:szCs w:val="20"/>
          <w:color w:val="auto"/>
        </w:rPr>
      </w:pPr>
    </w:p>
    <w:p>
      <w:pPr>
        <w:ind w:left="580" w:right="599" w:firstLine="194"/>
        <w:spacing w:after="0" w:line="275" w:lineRule="auto"/>
        <w:rPr>
          <w:sz w:val="20"/>
          <w:szCs w:val="20"/>
          <w:color w:val="auto"/>
        </w:rPr>
      </w:pPr>
      <w:r>
        <w:rPr>
          <w:rFonts w:ascii="Arial" w:cs="Arial" w:eastAsia="Arial" w:hAnsi="Arial"/>
          <w:sz w:val="15"/>
          <w:szCs w:val="15"/>
          <w:color w:val="auto"/>
        </w:rPr>
        <w:t>The term “controlling shareholder” is defined in the Israeli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With respect to certain matters, a controlling shareholder is deemed to include a shareholder that holds 25% or more of the voting rights in a public company if no other shareholder holds more than 50% of the voting rights in the company, but excludes a shareholder whose power derives solely from his or her position as a director of the company or from any other position with the company. We expect that following this offering, Fortissimo Capital, which prior to this offering beneficially owned 69.6% of our shares, will be a controlling shareholder, although this status may change in the future.</w:t>
      </w:r>
    </w:p>
    <w:p>
      <w:pPr>
        <w:spacing w:after="0" w:line="74" w:lineRule="exact"/>
        <w:rPr>
          <w:sz w:val="20"/>
          <w:szCs w:val="20"/>
          <w:color w:val="auto"/>
        </w:rPr>
      </w:pPr>
    </w:p>
    <w:p>
      <w:pPr>
        <w:ind w:left="580" w:right="599" w:firstLine="194"/>
        <w:spacing w:after="0" w:line="281" w:lineRule="auto"/>
        <w:rPr>
          <w:sz w:val="20"/>
          <w:szCs w:val="20"/>
          <w:color w:val="auto"/>
        </w:rPr>
      </w:pPr>
      <w:r>
        <w:rPr>
          <w:rFonts w:ascii="Arial" w:cs="Arial" w:eastAsia="Arial" w:hAnsi="Arial"/>
          <w:sz w:val="16"/>
          <w:szCs w:val="16"/>
          <w:color w:val="auto"/>
        </w:rPr>
        <w:t>The initial term of an external director is three years. Thereafter, an external director may be reelected by shareholders to serve in that capacity for up to two additional three-year terms, provided that:</w:t>
      </w:r>
    </w:p>
    <w:p>
      <w:pPr>
        <w:spacing w:after="0" w:line="102" w:lineRule="exact"/>
        <w:rPr>
          <w:sz w:val="20"/>
          <w:szCs w:val="20"/>
          <w:color w:val="auto"/>
        </w:rPr>
      </w:pPr>
    </w:p>
    <w:p>
      <w:pPr>
        <w:ind w:left="960" w:right="599" w:hanging="189"/>
        <w:spacing w:after="0" w:line="238" w:lineRule="auto"/>
        <w:tabs>
          <w:tab w:leader="none" w:pos="943" w:val="left"/>
        </w:tabs>
        <w:numPr>
          <w:ilvl w:val="0"/>
          <w:numId w:val="44"/>
        </w:numPr>
        <w:rPr>
          <w:rFonts w:ascii="Arial" w:cs="Arial" w:eastAsia="Arial" w:hAnsi="Arial"/>
          <w:sz w:val="19"/>
          <w:szCs w:val="19"/>
          <w:color w:val="auto"/>
        </w:rPr>
      </w:pPr>
      <w:r>
        <w:rPr>
          <w:rFonts w:ascii="Arial" w:cs="Arial" w:eastAsia="Arial" w:hAnsi="Arial"/>
          <w:sz w:val="16"/>
          <w:szCs w:val="16"/>
          <w:color w:val="auto"/>
        </w:rPr>
        <w:t>his or her service for each such additional term is recommended by one or more shareholders holding at least 1% of the</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6" w:name="page77"/>
    <w:bookmarkEnd w:id="76"/>
    <w:p>
      <w:pPr>
        <w:ind w:left="960" w:right="639"/>
        <w:spacing w:after="0" w:line="262" w:lineRule="auto"/>
        <w:rPr>
          <w:sz w:val="20"/>
          <w:szCs w:val="20"/>
          <w:color w:val="auto"/>
        </w:rPr>
      </w:pPr>
      <w:r>
        <w:rPr>
          <w:rFonts w:ascii="Arial" w:cs="Arial" w:eastAsia="Arial" w:hAnsi="Arial"/>
          <w:sz w:val="16"/>
          <w:szCs w:val="16"/>
          <w:color w:val="auto"/>
        </w:rPr>
        <w:t>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Israeli Companies Law with respect to the affiliation of the external director nominee;</w:t>
      </w:r>
    </w:p>
    <w:p>
      <w:pPr>
        <w:spacing w:after="0" w:line="117" w:lineRule="exact"/>
        <w:rPr>
          <w:sz w:val="20"/>
          <w:szCs w:val="20"/>
          <w:color w:val="auto"/>
        </w:rPr>
      </w:pPr>
    </w:p>
    <w:p>
      <w:pPr>
        <w:ind w:left="960" w:right="779" w:hanging="189"/>
        <w:spacing w:after="0" w:line="238" w:lineRule="auto"/>
        <w:tabs>
          <w:tab w:leader="none" w:pos="943" w:val="left"/>
        </w:tabs>
        <w:numPr>
          <w:ilvl w:val="0"/>
          <w:numId w:val="45"/>
        </w:numPr>
        <w:rPr>
          <w:rFonts w:ascii="Arial" w:cs="Arial" w:eastAsia="Arial" w:hAnsi="Arial"/>
          <w:sz w:val="19"/>
          <w:szCs w:val="19"/>
          <w:color w:val="auto"/>
        </w:rPr>
      </w:pPr>
      <w:r>
        <w:rPr>
          <w:rFonts w:ascii="Arial" w:cs="Arial" w:eastAsia="Arial" w:hAnsi="Arial"/>
          <w:sz w:val="16"/>
          <w:szCs w:val="16"/>
          <w:color w:val="auto"/>
        </w:rPr>
        <w:t>the external director proposed his or her own nomination, and such nomination was approved in accordance with the requirements described in the paragraph above; or</w:t>
      </w:r>
    </w:p>
    <w:p>
      <w:pPr>
        <w:spacing w:after="0" w:line="145" w:lineRule="exact"/>
        <w:rPr>
          <w:rFonts w:ascii="Arial" w:cs="Arial" w:eastAsia="Arial" w:hAnsi="Arial"/>
          <w:sz w:val="19"/>
          <w:szCs w:val="19"/>
          <w:color w:val="auto"/>
        </w:rPr>
      </w:pPr>
    </w:p>
    <w:p>
      <w:pPr>
        <w:ind w:left="960" w:right="739" w:hanging="189"/>
        <w:spacing w:after="0" w:line="244" w:lineRule="auto"/>
        <w:tabs>
          <w:tab w:leader="none" w:pos="943" w:val="left"/>
        </w:tabs>
        <w:numPr>
          <w:ilvl w:val="0"/>
          <w:numId w:val="45"/>
        </w:numPr>
        <w:rPr>
          <w:rFonts w:ascii="Arial" w:cs="Arial" w:eastAsia="Arial" w:hAnsi="Arial"/>
          <w:sz w:val="19"/>
          <w:szCs w:val="19"/>
          <w:color w:val="auto"/>
        </w:rPr>
      </w:pPr>
      <w:r>
        <w:rPr>
          <w:rFonts w:ascii="Arial" w:cs="Arial" w:eastAsia="Arial" w:hAnsi="Arial"/>
          <w:sz w:val="16"/>
          <w:szCs w:val="16"/>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131" w:lineRule="exact"/>
        <w:rPr>
          <w:sz w:val="20"/>
          <w:szCs w:val="20"/>
          <w:color w:val="auto"/>
        </w:rPr>
      </w:pPr>
    </w:p>
    <w:p>
      <w:pPr>
        <w:ind w:left="580" w:right="579" w:firstLine="194"/>
        <w:spacing w:after="0" w:line="275" w:lineRule="auto"/>
        <w:rPr>
          <w:sz w:val="20"/>
          <w:szCs w:val="20"/>
          <w:color w:val="auto"/>
        </w:rPr>
      </w:pPr>
      <w:r>
        <w:rPr>
          <w:rFonts w:ascii="Arial" w:cs="Arial" w:eastAsia="Arial" w:hAnsi="Arial"/>
          <w:sz w:val="15"/>
          <w:szCs w:val="15"/>
          <w:color w:val="auto"/>
        </w:rPr>
        <w:t>The term of office for external directors for Israeli companies traded on certain foreign stock exchanges, including the NASDAQ Global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11" w:lineRule="exact"/>
        <w:rPr>
          <w:sz w:val="20"/>
          <w:szCs w:val="20"/>
          <w:color w:val="auto"/>
        </w:rPr>
      </w:pPr>
    </w:p>
    <w:p>
      <w:pPr>
        <w:ind w:left="580" w:right="859" w:firstLine="194"/>
        <w:spacing w:after="0" w:line="262" w:lineRule="auto"/>
        <w:rPr>
          <w:sz w:val="20"/>
          <w:szCs w:val="20"/>
          <w:color w:val="auto"/>
        </w:rPr>
      </w:pPr>
      <w:r>
        <w:rPr>
          <w:rFonts w:ascii="Arial" w:cs="Arial" w:eastAsia="Arial" w:hAnsi="Arial"/>
          <w:sz w:val="16"/>
          <w:szCs w:val="16"/>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05" w:lineRule="exact"/>
        <w:rPr>
          <w:sz w:val="20"/>
          <w:szCs w:val="20"/>
          <w:color w:val="auto"/>
        </w:rPr>
      </w:pPr>
    </w:p>
    <w:p>
      <w:pPr>
        <w:jc w:val="both"/>
        <w:ind w:left="580" w:right="679" w:firstLine="194"/>
        <w:spacing w:after="0" w:line="267" w:lineRule="auto"/>
        <w:rPr>
          <w:sz w:val="20"/>
          <w:szCs w:val="20"/>
          <w:color w:val="auto"/>
        </w:rPr>
      </w:pPr>
      <w:r>
        <w:rPr>
          <w:rFonts w:ascii="Arial" w:cs="Arial" w:eastAsia="Arial" w:hAnsi="Arial"/>
          <w:sz w:val="16"/>
          <w:szCs w:val="16"/>
          <w:color w:val="auto"/>
        </w:rPr>
        <w:t>If an external directorship becomes vacant and there are fewer than two external directors on the board of directors at the time, then the board of directors is required under the Israeli Companies Law to call a shareholders’ meeting as soon as practicable to appoint a replacement external director.</w:t>
      </w:r>
    </w:p>
    <w:p>
      <w:pPr>
        <w:spacing w:after="0" w:line="101" w:lineRule="exact"/>
        <w:rPr>
          <w:sz w:val="20"/>
          <w:szCs w:val="20"/>
          <w:color w:val="auto"/>
        </w:rPr>
      </w:pPr>
    </w:p>
    <w:p>
      <w:pPr>
        <w:ind w:left="580" w:right="699" w:firstLine="194"/>
        <w:spacing w:after="0" w:line="277" w:lineRule="auto"/>
        <w:rPr>
          <w:sz w:val="20"/>
          <w:szCs w:val="20"/>
          <w:color w:val="auto"/>
        </w:rPr>
      </w:pPr>
      <w:r>
        <w:rPr>
          <w:rFonts w:ascii="Arial" w:cs="Arial" w:eastAsia="Arial" w:hAnsi="Arial"/>
          <w:sz w:val="15"/>
          <w:szCs w:val="15"/>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Israeli Companies Law, external directors of a company are prohibited from receiving, directly or indirectly, any compensation from the company other than for their services as external directors pursuant to the Israeli Companies Law and the regulations promulgated thereunder. Compensation of an external director is determined prior to his or her appointment and may not be changed during his or her term subject to certain exceptions.</w:t>
      </w:r>
    </w:p>
    <w:p>
      <w:pPr>
        <w:spacing w:after="0" w:line="108" w:lineRule="exact"/>
        <w:rPr>
          <w:sz w:val="20"/>
          <w:szCs w:val="20"/>
          <w:color w:val="auto"/>
        </w:rPr>
      </w:pPr>
    </w:p>
    <w:p>
      <w:pPr>
        <w:ind w:left="580" w:right="599" w:firstLine="194"/>
        <w:spacing w:after="0" w:line="255" w:lineRule="auto"/>
        <w:rPr>
          <w:sz w:val="20"/>
          <w:szCs w:val="20"/>
          <w:color w:val="auto"/>
        </w:rPr>
      </w:pPr>
      <w:r>
        <w:rPr>
          <w:rFonts w:ascii="Arial" w:cs="Arial" w:eastAsia="Arial" w:hAnsi="Arial"/>
          <w:sz w:val="16"/>
          <w:szCs w:val="16"/>
          <w:color w:val="auto"/>
        </w:rPr>
        <w:t>The Israeli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16" w:lineRule="exact"/>
        <w:rPr>
          <w:sz w:val="20"/>
          <w:szCs w:val="20"/>
          <w:color w:val="auto"/>
        </w:rPr>
      </w:pPr>
    </w:p>
    <w:p>
      <w:pPr>
        <w:ind w:left="580" w:right="779" w:firstLine="194"/>
        <w:spacing w:after="0" w:line="281" w:lineRule="auto"/>
        <w:rPr>
          <w:sz w:val="20"/>
          <w:szCs w:val="20"/>
          <w:color w:val="auto"/>
        </w:rPr>
      </w:pPr>
      <w:r>
        <w:rPr>
          <w:rFonts w:ascii="Arial" w:cs="Arial" w:eastAsia="Arial" w:hAnsi="Arial"/>
          <w:sz w:val="16"/>
          <w:szCs w:val="16"/>
          <w:color w:val="auto"/>
        </w:rPr>
        <w:t>The term “relative” is defined in the Israeli Companies Law as a spouse, sibling, parent, grandparent or descendant; spouse’s sibling, parent or descendant; and the spouse of each of the foregoing persons.</w:t>
      </w:r>
    </w:p>
    <w:p>
      <w:pPr>
        <w:spacing w:after="0" w:line="90" w:lineRule="exact"/>
        <w:rPr>
          <w:sz w:val="20"/>
          <w:szCs w:val="20"/>
          <w:color w:val="auto"/>
        </w:rPr>
      </w:pPr>
    </w:p>
    <w:p>
      <w:pPr>
        <w:ind w:left="580" w:right="779" w:firstLine="194"/>
        <w:spacing w:after="0" w:line="281" w:lineRule="auto"/>
        <w:rPr>
          <w:sz w:val="20"/>
          <w:szCs w:val="20"/>
          <w:color w:val="auto"/>
        </w:rPr>
      </w:pPr>
      <w:r>
        <w:rPr>
          <w:rFonts w:ascii="Arial" w:cs="Arial" w:eastAsia="Arial" w:hAnsi="Arial"/>
          <w:sz w:val="16"/>
          <w:szCs w:val="16"/>
          <w:color w:val="auto"/>
        </w:rPr>
        <w:t>Under the Israeli Companies Law, the term “affiliation” and the similar types of disqualifying relationships, as used above, include (subject to certain exceptions):</w:t>
      </w:r>
    </w:p>
    <w:p>
      <w:pPr>
        <w:spacing w:after="0" w:line="102" w:lineRule="exact"/>
        <w:rPr>
          <w:sz w:val="20"/>
          <w:szCs w:val="20"/>
          <w:color w:val="auto"/>
        </w:rPr>
      </w:pPr>
    </w:p>
    <w:p>
      <w:pPr>
        <w:ind w:left="940" w:hanging="169"/>
        <w:spacing w:after="0"/>
        <w:tabs>
          <w:tab w:leader="none" w:pos="940" w:val="left"/>
        </w:tabs>
        <w:numPr>
          <w:ilvl w:val="0"/>
          <w:numId w:val="46"/>
        </w:numPr>
        <w:rPr>
          <w:rFonts w:ascii="Arial" w:cs="Arial" w:eastAsia="Arial" w:hAnsi="Arial"/>
          <w:sz w:val="19"/>
          <w:szCs w:val="19"/>
          <w:color w:val="auto"/>
        </w:rPr>
      </w:pPr>
      <w:r>
        <w:rPr>
          <w:rFonts w:ascii="Arial" w:cs="Arial" w:eastAsia="Arial" w:hAnsi="Arial"/>
          <w:sz w:val="16"/>
          <w:szCs w:val="16"/>
          <w:color w:val="auto"/>
        </w:rPr>
        <w:t>an employment relationship;</w:t>
      </w:r>
    </w:p>
    <w:p>
      <w:pPr>
        <w:spacing w:after="0" w:line="145" w:lineRule="exact"/>
        <w:rPr>
          <w:rFonts w:ascii="Arial" w:cs="Arial" w:eastAsia="Arial" w:hAnsi="Arial"/>
          <w:sz w:val="19"/>
          <w:szCs w:val="19"/>
          <w:color w:val="auto"/>
        </w:rPr>
      </w:pPr>
    </w:p>
    <w:p>
      <w:pPr>
        <w:ind w:left="960" w:right="1359" w:hanging="189"/>
        <w:spacing w:after="0" w:line="238" w:lineRule="auto"/>
        <w:tabs>
          <w:tab w:leader="none" w:pos="943" w:val="left"/>
        </w:tabs>
        <w:numPr>
          <w:ilvl w:val="0"/>
          <w:numId w:val="46"/>
        </w:numPr>
        <w:rPr>
          <w:rFonts w:ascii="Arial" w:cs="Arial" w:eastAsia="Arial" w:hAnsi="Arial"/>
          <w:sz w:val="19"/>
          <w:szCs w:val="19"/>
          <w:color w:val="auto"/>
        </w:rPr>
      </w:pPr>
      <w:r>
        <w:rPr>
          <w:rFonts w:ascii="Arial" w:cs="Arial" w:eastAsia="Arial" w:hAnsi="Arial"/>
          <w:sz w:val="16"/>
          <w:szCs w:val="16"/>
          <w:color w:val="auto"/>
        </w:rPr>
        <w:t>a business or professional relationship even if not maintained on a regular basis (excluding insignificant relationships); control; and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7" w:name="page78"/>
    <w:bookmarkEnd w:id="77"/>
    <w:p>
      <w:pPr>
        <w:ind w:left="960" w:right="599" w:hanging="189"/>
        <w:spacing w:after="0" w:line="244" w:lineRule="auto"/>
        <w:tabs>
          <w:tab w:leader="none" w:pos="943" w:val="left"/>
        </w:tabs>
        <w:numPr>
          <w:ilvl w:val="0"/>
          <w:numId w:val="47"/>
        </w:numPr>
        <w:rPr>
          <w:rFonts w:ascii="Arial" w:cs="Arial" w:eastAsia="Arial" w:hAnsi="Arial"/>
          <w:sz w:val="19"/>
          <w:szCs w:val="19"/>
          <w:color w:val="auto"/>
        </w:rPr>
      </w:pPr>
      <w:r>
        <w:rPr>
          <w:rFonts w:ascii="Arial" w:cs="Arial" w:eastAsia="Arial" w:hAnsi="Arial"/>
          <w:sz w:val="16"/>
          <w:szCs w:val="16"/>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79" w:lineRule="exact"/>
        <w:rPr>
          <w:sz w:val="20"/>
          <w:szCs w:val="20"/>
          <w:color w:val="auto"/>
        </w:rPr>
      </w:pPr>
    </w:p>
    <w:p>
      <w:pPr>
        <w:ind w:left="580" w:right="759" w:firstLine="194"/>
        <w:spacing w:after="0" w:line="322" w:lineRule="auto"/>
        <w:rPr>
          <w:sz w:val="20"/>
          <w:szCs w:val="20"/>
          <w:color w:val="auto"/>
        </w:rPr>
      </w:pPr>
      <w:r>
        <w:rPr>
          <w:rFonts w:ascii="Arial" w:cs="Arial" w:eastAsia="Arial" w:hAnsi="Arial"/>
          <w:sz w:val="14"/>
          <w:szCs w:val="14"/>
          <w:color w:val="auto"/>
        </w:rPr>
        <w:t>The term “office holder” is defined in the Israeli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27" w:lineRule="exact"/>
        <w:rPr>
          <w:sz w:val="20"/>
          <w:szCs w:val="20"/>
          <w:color w:val="auto"/>
        </w:rPr>
      </w:pPr>
    </w:p>
    <w:p>
      <w:pPr>
        <w:ind w:left="580" w:right="599" w:firstLine="194"/>
        <w:spacing w:after="0" w:line="277" w:lineRule="auto"/>
        <w:rPr>
          <w:sz w:val="20"/>
          <w:szCs w:val="20"/>
          <w:color w:val="auto"/>
        </w:rPr>
      </w:pPr>
      <w:r>
        <w:rPr>
          <w:rFonts w:ascii="Arial" w:cs="Arial" w:eastAsia="Arial" w:hAnsi="Arial"/>
          <w:sz w:val="15"/>
          <w:szCs w:val="15"/>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Israeli Companies Law and the regulations promulgated thereunder.</w:t>
      </w:r>
    </w:p>
    <w:p>
      <w:pPr>
        <w:spacing w:after="0" w:line="157" w:lineRule="exact"/>
        <w:rPr>
          <w:sz w:val="20"/>
          <w:szCs w:val="20"/>
          <w:color w:val="auto"/>
        </w:rPr>
      </w:pPr>
    </w:p>
    <w:p>
      <w:pPr>
        <w:ind w:left="580" w:right="579" w:firstLine="194"/>
        <w:spacing w:after="0" w:line="277" w:lineRule="auto"/>
        <w:rPr>
          <w:sz w:val="20"/>
          <w:szCs w:val="20"/>
          <w:color w:val="auto"/>
        </w:rPr>
      </w:pPr>
      <w:r>
        <w:rPr>
          <w:rFonts w:ascii="Arial" w:cs="Arial" w:eastAsia="Arial" w:hAnsi="Arial"/>
          <w:sz w:val="15"/>
          <w:szCs w:val="15"/>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57" w:lineRule="exact"/>
        <w:rPr>
          <w:sz w:val="20"/>
          <w:szCs w:val="20"/>
          <w:color w:val="auto"/>
        </w:rPr>
      </w:pPr>
    </w:p>
    <w:p>
      <w:pPr>
        <w:ind w:left="580" w:right="579" w:firstLine="194"/>
        <w:spacing w:after="0" w:line="285" w:lineRule="auto"/>
        <w:rPr>
          <w:sz w:val="20"/>
          <w:szCs w:val="20"/>
          <w:color w:val="auto"/>
        </w:rPr>
      </w:pPr>
      <w:r>
        <w:rPr>
          <w:rFonts w:ascii="Arial" w:cs="Arial" w:eastAsia="Arial" w:hAnsi="Arial"/>
          <w:sz w:val="15"/>
          <w:szCs w:val="15"/>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50" w:lineRule="exact"/>
        <w:rPr>
          <w:sz w:val="20"/>
          <w:szCs w:val="20"/>
          <w:color w:val="auto"/>
        </w:rPr>
      </w:pPr>
    </w:p>
    <w:p>
      <w:pPr>
        <w:ind w:left="580" w:right="619" w:firstLine="194"/>
        <w:spacing w:after="0" w:line="298" w:lineRule="auto"/>
        <w:rPr>
          <w:sz w:val="20"/>
          <w:szCs w:val="20"/>
          <w:color w:val="auto"/>
        </w:rPr>
      </w:pPr>
      <w:r>
        <w:rPr>
          <w:rFonts w:ascii="Arial" w:cs="Arial" w:eastAsia="Arial" w:hAnsi="Arial"/>
          <w:sz w:val="14"/>
          <w:szCs w:val="14"/>
          <w:color w:val="auto"/>
        </w:rPr>
        <w:t>According to the Israeli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Securities Exchange Act of 1934, as amended, or the Exchange Act, (ii) meets the standards of the Listing Rules of the NASDAQ Stock Market rules for membership on the audit committee, and (iii) has accounting and financial expertise as defined under the Israeli Companies Law, then neither of our external directors is required to possess accounting and financial expertise as long as each possesses the requisite professional qualifications.</w:t>
      </w:r>
    </w:p>
    <w:p>
      <w:pPr>
        <w:spacing w:after="0" w:line="145" w:lineRule="exact"/>
        <w:rPr>
          <w:sz w:val="20"/>
          <w:szCs w:val="20"/>
          <w:color w:val="auto"/>
        </w:rPr>
      </w:pPr>
    </w:p>
    <w:p>
      <w:pPr>
        <w:ind w:left="580" w:right="579" w:firstLine="194"/>
        <w:spacing w:after="0" w:line="295" w:lineRule="auto"/>
        <w:rPr>
          <w:sz w:val="20"/>
          <w:szCs w:val="20"/>
          <w:color w:val="auto"/>
        </w:rPr>
      </w:pPr>
      <w:r>
        <w:rPr>
          <w:rFonts w:ascii="Arial" w:cs="Arial" w:eastAsia="Arial" w:hAnsi="Arial"/>
          <w:sz w:val="14"/>
          <w:szCs w:val="14"/>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pacing w:after="0" w:line="149" w:lineRule="exact"/>
        <w:rPr>
          <w:sz w:val="20"/>
          <w:szCs w:val="20"/>
          <w:color w:val="auto"/>
        </w:rPr>
      </w:pPr>
    </w:p>
    <w:p>
      <w:pPr>
        <w:ind w:left="580" w:right="759" w:firstLine="194"/>
        <w:spacing w:after="0" w:line="281" w:lineRule="auto"/>
        <w:rPr>
          <w:sz w:val="20"/>
          <w:szCs w:val="20"/>
          <w:color w:val="auto"/>
        </w:rPr>
      </w:pPr>
      <w:r>
        <w:rPr>
          <w:rFonts w:ascii="Arial" w:cs="Arial" w:eastAsia="Arial" w:hAnsi="Arial"/>
          <w:sz w:val="16"/>
          <w:szCs w:val="16"/>
          <w:color w:val="auto"/>
        </w:rPr>
        <w:t>Our board of directors has determined that Lauri Hanover and Jerry Mandel have accounting and financial expertise and possess professional qualifications as required under the Israeli Companies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78" w:name="page79"/>
    <w:bookmarkEnd w:id="78"/>
    <w:p>
      <w:pPr>
        <w:ind w:left="580"/>
        <w:spacing w:after="0"/>
        <w:rPr>
          <w:sz w:val="20"/>
          <w:szCs w:val="20"/>
          <w:color w:val="auto"/>
        </w:rPr>
      </w:pPr>
      <w:r>
        <w:rPr>
          <w:rFonts w:ascii="Arial" w:cs="Arial" w:eastAsia="Arial" w:hAnsi="Arial"/>
          <w:sz w:val="16"/>
          <w:szCs w:val="16"/>
          <w:b w:val="1"/>
          <w:bCs w:val="1"/>
          <w:i w:val="1"/>
          <w:iCs w:val="1"/>
          <w:color w:val="auto"/>
        </w:rPr>
        <w:t>Leadership Structure of the Board</w:t>
      </w:r>
    </w:p>
    <w:p>
      <w:pPr>
        <w:spacing w:after="0" w:line="204" w:lineRule="exact"/>
        <w:rPr>
          <w:sz w:val="20"/>
          <w:szCs w:val="20"/>
          <w:color w:val="auto"/>
        </w:rPr>
      </w:pPr>
    </w:p>
    <w:p>
      <w:pPr>
        <w:ind w:left="580" w:right="699" w:firstLine="194"/>
        <w:spacing w:after="0" w:line="267" w:lineRule="auto"/>
        <w:rPr>
          <w:sz w:val="20"/>
          <w:szCs w:val="20"/>
          <w:color w:val="auto"/>
        </w:rPr>
      </w:pPr>
      <w:r>
        <w:rPr>
          <w:rFonts w:ascii="Arial" w:cs="Arial" w:eastAsia="Arial" w:hAnsi="Arial"/>
          <w:sz w:val="16"/>
          <w:szCs w:val="16"/>
          <w:color w:val="auto"/>
        </w:rPr>
        <w:t>In accordance with the Israeli Companies Law and our amended and restated articles of association, our board of directors is required to appoint one of its members to serve as chairman of the board of directors. Our board of directors has appointed Yuval Cohen to serve as chairman of the board of directors.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Board Committees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4" w:lineRule="exact"/>
        <w:rPr>
          <w:sz w:val="20"/>
          <w:szCs w:val="20"/>
          <w:color w:val="auto"/>
        </w:rPr>
      </w:pPr>
    </w:p>
    <w:p>
      <w:pPr>
        <w:ind w:left="580" w:right="719" w:firstLine="194"/>
        <w:spacing w:after="0" w:line="281" w:lineRule="auto"/>
        <w:rPr>
          <w:sz w:val="20"/>
          <w:szCs w:val="20"/>
          <w:color w:val="auto"/>
        </w:rPr>
      </w:pPr>
      <w:r>
        <w:rPr>
          <w:rFonts w:ascii="Arial" w:cs="Arial" w:eastAsia="Arial" w:hAnsi="Arial"/>
          <w:sz w:val="16"/>
          <w:szCs w:val="16"/>
          <w:color w:val="auto"/>
        </w:rPr>
        <w:t>Following the listing of our ordinary shares on the NASDAQ Global Market, our audit committee will consist of our two external directors, Lauri Hanover (Chairman) and Jerry Mandel as well as Alon Lumbroso.</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Israeli Companies Law Requirements</w:t>
      </w:r>
    </w:p>
    <w:p>
      <w:pPr>
        <w:spacing w:after="0" w:line="167" w:lineRule="exact"/>
        <w:rPr>
          <w:sz w:val="20"/>
          <w:szCs w:val="20"/>
          <w:color w:val="auto"/>
        </w:rPr>
      </w:pPr>
    </w:p>
    <w:p>
      <w:pPr>
        <w:ind w:left="580" w:right="659" w:firstLine="194"/>
        <w:spacing w:after="0" w:line="275" w:lineRule="auto"/>
        <w:rPr>
          <w:sz w:val="20"/>
          <w:szCs w:val="20"/>
          <w:color w:val="auto"/>
        </w:rPr>
      </w:pPr>
      <w:r>
        <w:rPr>
          <w:rFonts w:ascii="Arial" w:cs="Arial" w:eastAsia="Arial" w:hAnsi="Arial"/>
          <w:sz w:val="15"/>
          <w:szCs w:val="15"/>
          <w:color w:val="auto"/>
        </w:rPr>
        <w:t>Under the Israeli Companies Law, we will be required to appoint an audit committee following the closing of this offering. The audit committee must be comprised of at least three directors, including all of the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Israeli Companies Law, the audit committee of a publicly traded company must consist of a majority of independent directors. In general, an “independent director” under the Israeli Companies Law is defined as either an external director or as a director who meets the following criteria:</w:t>
      </w:r>
    </w:p>
    <w:p>
      <w:pPr>
        <w:spacing w:after="0" w:line="171" w:lineRule="exact"/>
        <w:rPr>
          <w:sz w:val="20"/>
          <w:szCs w:val="20"/>
          <w:color w:val="auto"/>
        </w:rPr>
      </w:pPr>
    </w:p>
    <w:p>
      <w:pPr>
        <w:ind w:left="960" w:right="639" w:hanging="189"/>
        <w:spacing w:after="0" w:line="246" w:lineRule="auto"/>
        <w:tabs>
          <w:tab w:leader="none" w:pos="943" w:val="left"/>
        </w:tabs>
        <w:numPr>
          <w:ilvl w:val="0"/>
          <w:numId w:val="48"/>
        </w:numPr>
        <w:rPr>
          <w:rFonts w:ascii="Arial" w:cs="Arial" w:eastAsia="Arial" w:hAnsi="Arial"/>
          <w:sz w:val="19"/>
          <w:szCs w:val="19"/>
          <w:color w:val="auto"/>
        </w:rPr>
      </w:pPr>
      <w:r>
        <w:rPr>
          <w:rFonts w:ascii="Arial" w:cs="Arial" w:eastAsia="Arial" w:hAnsi="Arial"/>
          <w:sz w:val="16"/>
          <w:szCs w:val="16"/>
          <w:color w:val="auto"/>
        </w:rPr>
        <w:t>he or she meets the qualifications for being appointed as an external director, except for the requirement (i) that the director be an Israeli resident (which does not apply to companies such as ours whose securities have been offered outside of Israel or are listed for trading outside of Israel) and (ii) for accounting and financial expertise or professional qualifications; and</w:t>
      </w:r>
    </w:p>
    <w:p>
      <w:pPr>
        <w:spacing w:after="0" w:line="191" w:lineRule="exact"/>
        <w:rPr>
          <w:rFonts w:ascii="Arial" w:cs="Arial" w:eastAsia="Arial" w:hAnsi="Arial"/>
          <w:sz w:val="19"/>
          <w:szCs w:val="19"/>
          <w:color w:val="auto"/>
        </w:rPr>
      </w:pPr>
    </w:p>
    <w:p>
      <w:pPr>
        <w:jc w:val="both"/>
        <w:ind w:left="960" w:right="1059" w:hanging="189"/>
        <w:spacing w:after="0" w:line="244" w:lineRule="auto"/>
        <w:tabs>
          <w:tab w:leader="none" w:pos="943" w:val="left"/>
        </w:tabs>
        <w:numPr>
          <w:ilvl w:val="0"/>
          <w:numId w:val="48"/>
        </w:numPr>
        <w:rPr>
          <w:rFonts w:ascii="Arial" w:cs="Arial" w:eastAsia="Arial" w:hAnsi="Arial"/>
          <w:sz w:val="19"/>
          <w:szCs w:val="19"/>
          <w:color w:val="auto"/>
        </w:rPr>
      </w:pPr>
      <w:r>
        <w:rPr>
          <w:rFonts w:ascii="Arial" w:cs="Arial" w:eastAsia="Arial" w:hAnsi="Arial"/>
          <w:sz w:val="16"/>
          <w:szCs w:val="16"/>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NASDAQ Listing Requirements</w:t>
      </w:r>
    </w:p>
    <w:p>
      <w:pPr>
        <w:spacing w:after="0" w:line="167" w:lineRule="exact"/>
        <w:rPr>
          <w:sz w:val="20"/>
          <w:szCs w:val="20"/>
          <w:color w:val="auto"/>
        </w:rPr>
      </w:pPr>
    </w:p>
    <w:p>
      <w:pPr>
        <w:jc w:val="both"/>
        <w:ind w:left="580" w:right="839" w:firstLine="194"/>
        <w:spacing w:after="0" w:line="267" w:lineRule="auto"/>
        <w:rPr>
          <w:sz w:val="20"/>
          <w:szCs w:val="20"/>
          <w:color w:val="auto"/>
        </w:rPr>
      </w:pPr>
      <w:r>
        <w:rPr>
          <w:rFonts w:ascii="Arial" w:cs="Arial" w:eastAsia="Arial" w:hAnsi="Arial"/>
          <w:sz w:val="16"/>
          <w:szCs w:val="16"/>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61" w:lineRule="exact"/>
        <w:rPr>
          <w:sz w:val="20"/>
          <w:szCs w:val="20"/>
          <w:color w:val="auto"/>
        </w:rPr>
      </w:pPr>
    </w:p>
    <w:p>
      <w:pPr>
        <w:ind w:left="580" w:right="639" w:firstLine="194"/>
        <w:spacing w:after="0" w:line="285" w:lineRule="auto"/>
        <w:rPr>
          <w:sz w:val="20"/>
          <w:szCs w:val="20"/>
          <w:color w:val="auto"/>
        </w:rPr>
      </w:pPr>
      <w:r>
        <w:rPr>
          <w:rFonts w:ascii="Arial" w:cs="Arial" w:eastAsia="Arial" w:hAnsi="Arial"/>
          <w:sz w:val="15"/>
          <w:szCs w:val="15"/>
          <w:color w:val="auto"/>
        </w:rPr>
        <w:t>All members of our audit committee will meet the requirements for financial literacy under the applicable rules and regulations of the Commission and NASDAQ corporate governance rules. Our board of directors has determined that Lauri Hanover and Jerry Mandel is each an audit committee financial expert as defined by the Commission rules and has the requisite financial experience as defined by NASDAQ corporate governance rules.</w:t>
      </w:r>
    </w:p>
    <w:p>
      <w:pPr>
        <w:spacing w:after="0" w:line="150" w:lineRule="exact"/>
        <w:rPr>
          <w:sz w:val="20"/>
          <w:szCs w:val="20"/>
          <w:color w:val="auto"/>
        </w:rPr>
      </w:pPr>
    </w:p>
    <w:p>
      <w:pPr>
        <w:ind w:left="580" w:right="639" w:firstLine="194"/>
        <w:spacing w:after="0" w:line="316" w:lineRule="auto"/>
        <w:rPr>
          <w:sz w:val="20"/>
          <w:szCs w:val="20"/>
          <w:color w:val="auto"/>
        </w:rPr>
      </w:pPr>
      <w:r>
        <w:rPr>
          <w:rFonts w:ascii="Arial" w:cs="Arial" w:eastAsia="Arial" w:hAnsi="Arial"/>
          <w:sz w:val="15"/>
          <w:szCs w:val="15"/>
          <w:color w:val="auto"/>
        </w:rPr>
        <w:t>Each of the members of our audit committee will be “independent” as such term is defined in Rule 10A-3(b)(1) under the Exchange Act and satisfies the independent director requirements under the NASDAQ Stock Market rules.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Audit Committee Role</w:t>
      </w:r>
    </w:p>
    <w:p>
      <w:pPr>
        <w:spacing w:after="0" w:line="167" w:lineRule="exact"/>
        <w:rPr>
          <w:sz w:val="20"/>
          <w:szCs w:val="20"/>
          <w:color w:val="auto"/>
        </w:rPr>
      </w:pPr>
    </w:p>
    <w:p>
      <w:pPr>
        <w:ind w:left="580" w:right="739" w:firstLine="194"/>
        <w:spacing w:after="0" w:line="285" w:lineRule="auto"/>
        <w:rPr>
          <w:sz w:val="20"/>
          <w:szCs w:val="20"/>
          <w:color w:val="auto"/>
        </w:rPr>
      </w:pPr>
      <w:r>
        <w:rPr>
          <w:rFonts w:ascii="Arial" w:cs="Arial" w:eastAsia="Arial" w:hAnsi="Arial"/>
          <w:sz w:val="15"/>
          <w:szCs w:val="15"/>
          <w:color w:val="auto"/>
        </w:rPr>
        <w:t>We expect that our board of directors will adopt an audit committee charter to be effective upon the listing of our shares on the NASDAQ Global Market that will set forth the responsibilities of the audit committee consistent with the rules and regulations of the Commission and the listing requirements of the NASDAQ Stock Market, as well as the requirements for such committee under the Israeli Companies Law, including the following:</w:t>
      </w:r>
    </w:p>
    <w:p>
      <w:pPr>
        <w:spacing w:after="0" w:line="138" w:lineRule="exact"/>
        <w:rPr>
          <w:sz w:val="20"/>
          <w:szCs w:val="20"/>
          <w:color w:val="auto"/>
        </w:rPr>
      </w:pPr>
    </w:p>
    <w:p>
      <w:pPr>
        <w:ind w:left="960" w:right="699" w:hanging="189"/>
        <w:spacing w:after="0" w:line="244" w:lineRule="auto"/>
        <w:tabs>
          <w:tab w:leader="none" w:pos="943" w:val="left"/>
        </w:tabs>
        <w:numPr>
          <w:ilvl w:val="0"/>
          <w:numId w:val="49"/>
        </w:numPr>
        <w:rPr>
          <w:rFonts w:ascii="Arial" w:cs="Arial" w:eastAsia="Arial" w:hAnsi="Arial"/>
          <w:sz w:val="19"/>
          <w:szCs w:val="19"/>
          <w:color w:val="auto"/>
        </w:rPr>
      </w:pPr>
      <w:r>
        <w:rPr>
          <w:rFonts w:ascii="Arial" w:cs="Arial" w:eastAsia="Arial" w:hAnsi="Arial"/>
          <w:sz w:val="16"/>
          <w:szCs w:val="16"/>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79" w:name="page80"/>
    <w:bookmarkEnd w:id="79"/>
    <w:p>
      <w:pPr>
        <w:ind w:left="940" w:hanging="169"/>
        <w:spacing w:after="0"/>
        <w:tabs>
          <w:tab w:leader="none" w:pos="940" w:val="left"/>
        </w:tabs>
        <w:numPr>
          <w:ilvl w:val="0"/>
          <w:numId w:val="50"/>
        </w:numPr>
        <w:rPr>
          <w:rFonts w:ascii="Arial" w:cs="Arial" w:eastAsia="Arial" w:hAnsi="Arial"/>
          <w:sz w:val="19"/>
          <w:szCs w:val="19"/>
          <w:color w:val="auto"/>
        </w:rPr>
      </w:pPr>
      <w:r>
        <w:rPr>
          <w:rFonts w:ascii="Arial" w:cs="Arial" w:eastAsia="Arial" w:hAnsi="Arial"/>
          <w:sz w:val="16"/>
          <w:szCs w:val="16"/>
          <w:color w:val="auto"/>
        </w:rPr>
        <w:t>recommending the engagement or termination of the person filling the office of our internal auditor; and</w:t>
      </w:r>
    </w:p>
    <w:p>
      <w:pPr>
        <w:spacing w:after="0" w:line="193" w:lineRule="exact"/>
        <w:rPr>
          <w:rFonts w:ascii="Arial" w:cs="Arial" w:eastAsia="Arial" w:hAnsi="Arial"/>
          <w:sz w:val="19"/>
          <w:szCs w:val="19"/>
          <w:color w:val="auto"/>
        </w:rPr>
      </w:pPr>
    </w:p>
    <w:p>
      <w:pPr>
        <w:ind w:left="960" w:right="679" w:hanging="189"/>
        <w:spacing w:after="0" w:line="238" w:lineRule="auto"/>
        <w:tabs>
          <w:tab w:leader="none" w:pos="943" w:val="left"/>
        </w:tabs>
        <w:numPr>
          <w:ilvl w:val="0"/>
          <w:numId w:val="50"/>
        </w:numPr>
        <w:rPr>
          <w:rFonts w:ascii="Arial" w:cs="Arial" w:eastAsia="Arial" w:hAnsi="Arial"/>
          <w:sz w:val="19"/>
          <w:szCs w:val="19"/>
          <w:color w:val="auto"/>
        </w:rPr>
      </w:pPr>
      <w:r>
        <w:rPr>
          <w:rFonts w:ascii="Arial" w:cs="Arial" w:eastAsia="Arial" w:hAnsi="Arial"/>
          <w:sz w:val="16"/>
          <w:szCs w:val="16"/>
          <w:color w:val="auto"/>
        </w:rPr>
        <w:t>recommending the terms of audit and non-audit services provided by the independent registered public accounting firm for pre-approval by our board of directors.</w:t>
      </w:r>
    </w:p>
    <w:p>
      <w:pPr>
        <w:spacing w:after="0" w:line="182" w:lineRule="exact"/>
        <w:rPr>
          <w:sz w:val="20"/>
          <w:szCs w:val="20"/>
          <w:color w:val="auto"/>
        </w:rPr>
      </w:pPr>
    </w:p>
    <w:p>
      <w:pPr>
        <w:ind w:left="580" w:right="719" w:firstLine="194"/>
        <w:spacing w:after="0" w:line="258" w:lineRule="auto"/>
        <w:rPr>
          <w:sz w:val="20"/>
          <w:szCs w:val="20"/>
          <w:color w:val="auto"/>
        </w:rPr>
      </w:pPr>
      <w:r>
        <w:rPr>
          <w:rFonts w:ascii="Arial" w:cs="Arial" w:eastAsia="Arial" w:hAnsi="Arial"/>
          <w:sz w:val="16"/>
          <w:szCs w:val="16"/>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Under the Israeli Companies Law, our audit committee is responsible for:</w:t>
      </w:r>
    </w:p>
    <w:p>
      <w:pPr>
        <w:spacing w:after="0" w:line="216" w:lineRule="exact"/>
        <w:rPr>
          <w:sz w:val="20"/>
          <w:szCs w:val="20"/>
          <w:color w:val="auto"/>
        </w:rPr>
      </w:pPr>
    </w:p>
    <w:p>
      <w:pPr>
        <w:jc w:val="both"/>
        <w:ind w:left="960" w:right="899" w:hanging="189"/>
        <w:spacing w:after="0" w:line="244" w:lineRule="auto"/>
        <w:tabs>
          <w:tab w:leader="none" w:pos="943" w:val="left"/>
        </w:tabs>
        <w:numPr>
          <w:ilvl w:val="0"/>
          <w:numId w:val="51"/>
        </w:numPr>
        <w:rPr>
          <w:rFonts w:ascii="Arial" w:cs="Arial" w:eastAsia="Arial" w:hAnsi="Arial"/>
          <w:sz w:val="19"/>
          <w:szCs w:val="19"/>
          <w:color w:val="auto"/>
        </w:rPr>
      </w:pPr>
      <w:r>
        <w:rPr>
          <w:rFonts w:ascii="Arial" w:cs="Arial" w:eastAsia="Arial" w:hAnsi="Arial"/>
          <w:sz w:val="16"/>
          <w:szCs w:val="16"/>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91" w:lineRule="exact"/>
        <w:rPr>
          <w:rFonts w:ascii="Arial" w:cs="Arial" w:eastAsia="Arial" w:hAnsi="Arial"/>
          <w:sz w:val="19"/>
          <w:szCs w:val="19"/>
          <w:color w:val="auto"/>
        </w:rPr>
      </w:pPr>
    </w:p>
    <w:p>
      <w:pPr>
        <w:jc w:val="both"/>
        <w:ind w:left="960" w:right="659" w:hanging="189"/>
        <w:spacing w:after="0" w:line="244" w:lineRule="auto"/>
        <w:tabs>
          <w:tab w:leader="none" w:pos="943" w:val="left"/>
        </w:tabs>
        <w:numPr>
          <w:ilvl w:val="0"/>
          <w:numId w:val="51"/>
        </w:numPr>
        <w:rPr>
          <w:rFonts w:ascii="Arial" w:cs="Arial" w:eastAsia="Arial" w:hAnsi="Arial"/>
          <w:sz w:val="19"/>
          <w:szCs w:val="19"/>
          <w:color w:val="auto"/>
        </w:rPr>
      </w:pPr>
      <w:r>
        <w:rPr>
          <w:rFonts w:ascii="Arial" w:cs="Arial" w:eastAsia="Arial" w:hAnsi="Arial"/>
          <w:sz w:val="16"/>
          <w:szCs w:val="16"/>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w:t>
      </w:r>
    </w:p>
    <w:p>
      <w:pPr>
        <w:spacing w:after="0" w:line="191" w:lineRule="exact"/>
        <w:rPr>
          <w:rFonts w:ascii="Arial" w:cs="Arial" w:eastAsia="Arial" w:hAnsi="Arial"/>
          <w:sz w:val="19"/>
          <w:szCs w:val="19"/>
          <w:color w:val="auto"/>
        </w:rPr>
      </w:pPr>
    </w:p>
    <w:p>
      <w:pPr>
        <w:ind w:left="960" w:right="619" w:hanging="189"/>
        <w:spacing w:after="0" w:line="244" w:lineRule="auto"/>
        <w:tabs>
          <w:tab w:leader="none" w:pos="943" w:val="left"/>
        </w:tabs>
        <w:numPr>
          <w:ilvl w:val="0"/>
          <w:numId w:val="51"/>
        </w:numPr>
        <w:rPr>
          <w:rFonts w:ascii="Arial" w:cs="Arial" w:eastAsia="Arial" w:hAnsi="Arial"/>
          <w:sz w:val="19"/>
          <w:szCs w:val="19"/>
          <w:color w:val="auto"/>
        </w:rPr>
      </w:pPr>
      <w:r>
        <w:rPr>
          <w:rFonts w:ascii="Arial" w:cs="Arial" w:eastAsia="Arial" w:hAnsi="Arial"/>
          <w:sz w:val="16"/>
          <w:szCs w:val="16"/>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91" w:lineRule="exact"/>
        <w:rPr>
          <w:rFonts w:ascii="Arial" w:cs="Arial" w:eastAsia="Arial" w:hAnsi="Arial"/>
          <w:sz w:val="19"/>
          <w:szCs w:val="19"/>
          <w:color w:val="auto"/>
        </w:rPr>
      </w:pPr>
    </w:p>
    <w:p>
      <w:pPr>
        <w:ind w:left="960" w:right="599" w:hanging="189"/>
        <w:spacing w:after="0" w:line="238" w:lineRule="auto"/>
        <w:tabs>
          <w:tab w:leader="none" w:pos="943" w:val="left"/>
        </w:tabs>
        <w:numPr>
          <w:ilvl w:val="0"/>
          <w:numId w:val="51"/>
        </w:numPr>
        <w:rPr>
          <w:rFonts w:ascii="Arial" w:cs="Arial" w:eastAsia="Arial" w:hAnsi="Arial"/>
          <w:sz w:val="19"/>
          <w:szCs w:val="19"/>
          <w:color w:val="auto"/>
        </w:rPr>
      </w:pPr>
      <w:r>
        <w:rPr>
          <w:rFonts w:ascii="Arial" w:cs="Arial" w:eastAsia="Arial" w:hAnsi="Arial"/>
          <w:sz w:val="16"/>
          <w:szCs w:val="16"/>
          <w:color w:val="auto"/>
        </w:rPr>
        <w:t>where the board of directors approves the working plan of the internal auditor, examining such working plan before its submission to the board of directors and proposing amendments thereto;</w:t>
      </w:r>
    </w:p>
    <w:p>
      <w:pPr>
        <w:spacing w:after="0" w:line="194" w:lineRule="exact"/>
        <w:rPr>
          <w:rFonts w:ascii="Arial" w:cs="Arial" w:eastAsia="Arial" w:hAnsi="Arial"/>
          <w:sz w:val="19"/>
          <w:szCs w:val="19"/>
          <w:color w:val="auto"/>
        </w:rPr>
      </w:pPr>
    </w:p>
    <w:p>
      <w:pPr>
        <w:ind w:left="960" w:right="619" w:hanging="189"/>
        <w:spacing w:after="0" w:line="238" w:lineRule="auto"/>
        <w:tabs>
          <w:tab w:leader="none" w:pos="943" w:val="left"/>
        </w:tabs>
        <w:numPr>
          <w:ilvl w:val="0"/>
          <w:numId w:val="51"/>
        </w:numPr>
        <w:rPr>
          <w:rFonts w:ascii="Arial" w:cs="Arial" w:eastAsia="Arial" w:hAnsi="Arial"/>
          <w:sz w:val="19"/>
          <w:szCs w:val="19"/>
          <w:color w:val="auto"/>
        </w:rPr>
      </w:pPr>
      <w:r>
        <w:rPr>
          <w:rFonts w:ascii="Arial" w:cs="Arial" w:eastAsia="Arial" w:hAnsi="Arial"/>
          <w:sz w:val="16"/>
          <w:szCs w:val="16"/>
          <w:color w:val="auto"/>
        </w:rPr>
        <w:t>examining our internal audit controls and internal auditor’s performance, including whether the internal auditor has sufficient resources and tools to fulfill his responsibilities;</w:t>
      </w:r>
    </w:p>
    <w:p>
      <w:pPr>
        <w:spacing w:after="0" w:line="194" w:lineRule="exact"/>
        <w:rPr>
          <w:rFonts w:ascii="Arial" w:cs="Arial" w:eastAsia="Arial" w:hAnsi="Arial"/>
          <w:sz w:val="19"/>
          <w:szCs w:val="19"/>
          <w:color w:val="auto"/>
        </w:rPr>
      </w:pPr>
    </w:p>
    <w:p>
      <w:pPr>
        <w:ind w:left="960" w:right="579" w:hanging="189"/>
        <w:spacing w:after="0" w:line="244" w:lineRule="auto"/>
        <w:tabs>
          <w:tab w:leader="none" w:pos="943" w:val="left"/>
        </w:tabs>
        <w:numPr>
          <w:ilvl w:val="0"/>
          <w:numId w:val="51"/>
        </w:numPr>
        <w:rPr>
          <w:rFonts w:ascii="Arial" w:cs="Arial" w:eastAsia="Arial" w:hAnsi="Arial"/>
          <w:sz w:val="19"/>
          <w:szCs w:val="19"/>
          <w:color w:val="auto"/>
        </w:rPr>
      </w:pPr>
      <w:r>
        <w:rPr>
          <w:rFonts w:ascii="Arial" w:cs="Arial" w:eastAsia="Arial" w:hAnsi="Arial"/>
          <w:sz w:val="16"/>
          <w:szCs w:val="16"/>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91" w:lineRule="exact"/>
        <w:rPr>
          <w:rFonts w:ascii="Arial" w:cs="Arial" w:eastAsia="Arial" w:hAnsi="Arial"/>
          <w:sz w:val="19"/>
          <w:szCs w:val="19"/>
          <w:color w:val="auto"/>
        </w:rPr>
      </w:pPr>
    </w:p>
    <w:p>
      <w:pPr>
        <w:ind w:left="960" w:right="799" w:hanging="189"/>
        <w:spacing w:after="0" w:line="238" w:lineRule="auto"/>
        <w:tabs>
          <w:tab w:leader="none" w:pos="943" w:val="left"/>
        </w:tabs>
        <w:numPr>
          <w:ilvl w:val="0"/>
          <w:numId w:val="51"/>
        </w:numPr>
        <w:rPr>
          <w:rFonts w:ascii="Arial" w:cs="Arial" w:eastAsia="Arial" w:hAnsi="Arial"/>
          <w:sz w:val="19"/>
          <w:szCs w:val="19"/>
          <w:color w:val="auto"/>
        </w:rPr>
      </w:pPr>
      <w:r>
        <w:rPr>
          <w:rFonts w:ascii="Arial" w:cs="Arial" w:eastAsia="Arial" w:hAnsi="Arial"/>
          <w:sz w:val="16"/>
          <w:szCs w:val="16"/>
          <w:color w:val="auto"/>
        </w:rPr>
        <w:t>establishing procedures for the handling of employees’ complaints as to the management of our business and the protection to be provided to such employees.</w:t>
      </w:r>
    </w:p>
    <w:p>
      <w:pPr>
        <w:spacing w:after="0" w:line="182" w:lineRule="exact"/>
        <w:rPr>
          <w:sz w:val="20"/>
          <w:szCs w:val="20"/>
          <w:color w:val="auto"/>
        </w:rPr>
      </w:pPr>
    </w:p>
    <w:p>
      <w:pPr>
        <w:ind w:left="580" w:right="739" w:firstLine="194"/>
        <w:spacing w:after="0" w:line="267" w:lineRule="auto"/>
        <w:rPr>
          <w:sz w:val="20"/>
          <w:szCs w:val="20"/>
          <w:color w:val="auto"/>
        </w:rPr>
      </w:pPr>
      <w:r>
        <w:rPr>
          <w:rFonts w:ascii="Arial" w:cs="Arial" w:eastAsia="Arial" w:hAnsi="Arial"/>
          <w:sz w:val="16"/>
          <w:szCs w:val="16"/>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Compensation Committee and Compensation Policy</w:t>
      </w:r>
    </w:p>
    <w:p>
      <w:pPr>
        <w:spacing w:after="0" w:line="204" w:lineRule="exact"/>
        <w:rPr>
          <w:sz w:val="20"/>
          <w:szCs w:val="20"/>
          <w:color w:val="auto"/>
        </w:rPr>
      </w:pPr>
    </w:p>
    <w:p>
      <w:pPr>
        <w:ind w:left="580" w:right="1059" w:firstLine="194"/>
        <w:spacing w:after="0" w:line="316" w:lineRule="auto"/>
        <w:rPr>
          <w:sz w:val="20"/>
          <w:szCs w:val="20"/>
          <w:color w:val="auto"/>
        </w:rPr>
      </w:pPr>
      <w:r>
        <w:rPr>
          <w:rFonts w:ascii="Arial" w:cs="Arial" w:eastAsia="Arial" w:hAnsi="Arial"/>
          <w:sz w:val="15"/>
          <w:szCs w:val="15"/>
          <w:color w:val="auto"/>
        </w:rPr>
        <w:t>Following the listing of our ordinary shares on the NASDAQ Global Market, our compensation committee will consist of our two external directors, Jerry Mandel (Chairman) and Lauri Hanover as well as Dov Ofer.</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Israeli Companies Law Requirements</w:t>
      </w:r>
    </w:p>
    <w:p>
      <w:pPr>
        <w:spacing w:after="0" w:line="204" w:lineRule="exact"/>
        <w:rPr>
          <w:sz w:val="20"/>
          <w:szCs w:val="20"/>
          <w:color w:val="auto"/>
        </w:rPr>
      </w:pPr>
    </w:p>
    <w:p>
      <w:pPr>
        <w:ind w:left="580" w:right="619" w:firstLine="194"/>
        <w:spacing w:after="0" w:line="275" w:lineRule="auto"/>
        <w:rPr>
          <w:sz w:val="20"/>
          <w:szCs w:val="20"/>
          <w:color w:val="auto"/>
        </w:rPr>
      </w:pPr>
      <w:r>
        <w:rPr>
          <w:rFonts w:ascii="Arial" w:cs="Arial" w:eastAsia="Arial" w:hAnsi="Arial"/>
          <w:sz w:val="15"/>
          <w:szCs w:val="15"/>
          <w:color w:val="auto"/>
        </w:rPr>
        <w:t>Under the Israeli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Market, and who do not have a controlling shareholder, do not have to meet this majority requirement; provided, however, that the compensation committee meets other Israeli Companies Law composition requirements, as well as the requirements of the jurisdiction where the company’s securities are traded. As we currently have a controlling shareholder, we are obligated to meet the majority requirement, although this may change in the future. Each compensation committee member who is not 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80" w:name="page81"/>
    <w:bookmarkEnd w:id="80"/>
    <w:p>
      <w:pPr>
        <w:ind w:left="580" w:right="579"/>
        <w:spacing w:after="0" w:line="267" w:lineRule="auto"/>
        <w:rPr>
          <w:sz w:val="20"/>
          <w:szCs w:val="20"/>
          <w:color w:val="auto"/>
        </w:rPr>
      </w:pPr>
      <w:r>
        <w:rPr>
          <w:rFonts w:ascii="Arial" w:cs="Arial" w:eastAsia="Arial" w:hAnsi="Arial"/>
          <w:sz w:val="16"/>
          <w:szCs w:val="16"/>
          <w:color w:val="auto"/>
        </w:rPr>
        <w:t>external director must be a director whose compensation does not exceed an amount that may be paid to an external director. The compensation committee is subject to the same Israeli Companies Law restrictions as the audit committee as to who may not be a member of the compensation committee.</w:t>
      </w:r>
    </w:p>
    <w:p>
      <w:pPr>
        <w:spacing w:after="0" w:line="161" w:lineRule="exact"/>
        <w:rPr>
          <w:sz w:val="20"/>
          <w:szCs w:val="20"/>
          <w:color w:val="auto"/>
        </w:rPr>
      </w:pPr>
    </w:p>
    <w:p>
      <w:pPr>
        <w:ind w:left="580" w:right="579" w:firstLine="194"/>
        <w:spacing w:after="0" w:line="295" w:lineRule="auto"/>
        <w:rPr>
          <w:sz w:val="20"/>
          <w:szCs w:val="20"/>
          <w:color w:val="auto"/>
        </w:rPr>
      </w:pPr>
      <w:r>
        <w:rPr>
          <w:rFonts w:ascii="Arial" w:cs="Arial" w:eastAsia="Arial" w:hAnsi="Arial"/>
          <w:sz w:val="14"/>
          <w:szCs w:val="14"/>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will need to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 We will be required to adopt a compensation policy within nine months following our listing on the NASDAQ Global Market.</w:t>
      </w:r>
    </w:p>
    <w:p>
      <w:pPr>
        <w:spacing w:after="0" w:line="112" w:lineRule="exact"/>
        <w:rPr>
          <w:sz w:val="20"/>
          <w:szCs w:val="20"/>
          <w:color w:val="auto"/>
        </w:rPr>
      </w:pPr>
    </w:p>
    <w:p>
      <w:pPr>
        <w:ind w:left="580" w:right="659" w:firstLine="194"/>
        <w:spacing w:after="0" w:line="298" w:lineRule="auto"/>
        <w:rPr>
          <w:sz w:val="20"/>
          <w:szCs w:val="20"/>
          <w:color w:val="auto"/>
        </w:rPr>
      </w:pPr>
      <w:r>
        <w:rPr>
          <w:rFonts w:ascii="Arial" w:cs="Arial" w:eastAsia="Arial" w:hAnsi="Arial"/>
          <w:sz w:val="14"/>
          <w:szCs w:val="14"/>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21" w:lineRule="exact"/>
        <w:rPr>
          <w:sz w:val="20"/>
          <w:szCs w:val="20"/>
          <w:color w:val="auto"/>
        </w:rPr>
      </w:pPr>
    </w:p>
    <w:p>
      <w:pPr>
        <w:ind w:left="580" w:right="659" w:firstLine="194"/>
        <w:spacing w:after="0" w:line="285" w:lineRule="auto"/>
        <w:rPr>
          <w:sz w:val="20"/>
          <w:szCs w:val="20"/>
          <w:color w:val="auto"/>
        </w:rPr>
      </w:pPr>
      <w:r>
        <w:rPr>
          <w:rFonts w:ascii="Arial" w:cs="Arial" w:eastAsia="Arial" w:hAnsi="Arial"/>
          <w:sz w:val="15"/>
          <w:szCs w:val="15"/>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previously fulfilled by a company’s audit committee with respect to matters related to approval of the terms of engagement of office holders, including:</w:t>
      </w:r>
    </w:p>
    <w:p>
      <w:pPr>
        <w:spacing w:after="0" w:line="125" w:lineRule="exact"/>
        <w:rPr>
          <w:sz w:val="20"/>
          <w:szCs w:val="20"/>
          <w:color w:val="auto"/>
        </w:rPr>
      </w:pPr>
    </w:p>
    <w:p>
      <w:pPr>
        <w:ind w:left="960" w:right="839" w:hanging="189"/>
        <w:spacing w:after="0" w:line="244" w:lineRule="auto"/>
        <w:tabs>
          <w:tab w:leader="none" w:pos="943" w:val="left"/>
        </w:tabs>
        <w:numPr>
          <w:ilvl w:val="0"/>
          <w:numId w:val="52"/>
        </w:numPr>
        <w:rPr>
          <w:rFonts w:ascii="Arial" w:cs="Arial" w:eastAsia="Arial" w:hAnsi="Arial"/>
          <w:sz w:val="19"/>
          <w:szCs w:val="19"/>
          <w:color w:val="auto"/>
        </w:rPr>
      </w:pPr>
      <w:r>
        <w:rPr>
          <w:rFonts w:ascii="Arial" w:cs="Arial" w:eastAsia="Arial" w:hAnsi="Arial"/>
          <w:sz w:val="16"/>
          <w:szCs w:val="16"/>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54" w:lineRule="exact"/>
        <w:rPr>
          <w:rFonts w:ascii="Arial" w:cs="Arial" w:eastAsia="Arial" w:hAnsi="Arial"/>
          <w:sz w:val="19"/>
          <w:szCs w:val="19"/>
          <w:color w:val="auto"/>
        </w:rPr>
      </w:pPr>
    </w:p>
    <w:p>
      <w:pPr>
        <w:ind w:left="960" w:right="659" w:hanging="189"/>
        <w:spacing w:after="0" w:line="238" w:lineRule="auto"/>
        <w:tabs>
          <w:tab w:leader="none" w:pos="943" w:val="left"/>
        </w:tabs>
        <w:numPr>
          <w:ilvl w:val="0"/>
          <w:numId w:val="52"/>
        </w:numPr>
        <w:rPr>
          <w:rFonts w:ascii="Arial" w:cs="Arial" w:eastAsia="Arial" w:hAnsi="Arial"/>
          <w:sz w:val="19"/>
          <w:szCs w:val="19"/>
          <w:color w:val="auto"/>
        </w:rPr>
      </w:pPr>
      <w:r>
        <w:rPr>
          <w:rFonts w:ascii="Arial" w:cs="Arial" w:eastAsia="Arial" w:hAnsi="Arial"/>
          <w:sz w:val="16"/>
          <w:szCs w:val="16"/>
          <w:color w:val="auto"/>
        </w:rPr>
        <w:t>recommending to the board of directors periodic updates to the compensation policy and assessing implementation of the compensation policy;</w:t>
      </w:r>
    </w:p>
    <w:p>
      <w:pPr>
        <w:spacing w:after="0" w:line="170" w:lineRule="exact"/>
        <w:rPr>
          <w:rFonts w:ascii="Arial" w:cs="Arial" w:eastAsia="Arial" w:hAnsi="Arial"/>
          <w:sz w:val="19"/>
          <w:szCs w:val="19"/>
          <w:color w:val="auto"/>
        </w:rPr>
      </w:pPr>
    </w:p>
    <w:p>
      <w:pPr>
        <w:ind w:left="960" w:right="1279" w:hanging="189"/>
        <w:spacing w:after="0" w:line="238" w:lineRule="auto"/>
        <w:tabs>
          <w:tab w:leader="none" w:pos="943" w:val="left"/>
        </w:tabs>
        <w:numPr>
          <w:ilvl w:val="0"/>
          <w:numId w:val="52"/>
        </w:numPr>
        <w:rPr>
          <w:rFonts w:ascii="Arial" w:cs="Arial" w:eastAsia="Arial" w:hAnsi="Arial"/>
          <w:sz w:val="19"/>
          <w:szCs w:val="19"/>
          <w:color w:val="auto"/>
        </w:rPr>
      </w:pPr>
      <w:r>
        <w:rPr>
          <w:rFonts w:ascii="Arial" w:cs="Arial" w:eastAsia="Arial" w:hAnsi="Arial"/>
          <w:sz w:val="16"/>
          <w:szCs w:val="16"/>
          <w:color w:val="auto"/>
        </w:rPr>
        <w:t>approving compensation terms of executive officers, directors and employees that require approval of the compensation committee;</w:t>
      </w:r>
    </w:p>
    <w:p>
      <w:pPr>
        <w:spacing w:after="0" w:line="158" w:lineRule="exact"/>
        <w:rPr>
          <w:rFonts w:ascii="Arial" w:cs="Arial" w:eastAsia="Arial" w:hAnsi="Arial"/>
          <w:sz w:val="19"/>
          <w:szCs w:val="19"/>
          <w:color w:val="auto"/>
        </w:rPr>
      </w:pPr>
    </w:p>
    <w:p>
      <w:pPr>
        <w:ind w:left="960" w:right="599" w:hanging="189"/>
        <w:spacing w:after="0" w:line="244" w:lineRule="auto"/>
        <w:tabs>
          <w:tab w:leader="none" w:pos="943" w:val="left"/>
        </w:tabs>
        <w:numPr>
          <w:ilvl w:val="0"/>
          <w:numId w:val="52"/>
        </w:numPr>
        <w:rPr>
          <w:rFonts w:ascii="Arial" w:cs="Arial" w:eastAsia="Arial" w:hAnsi="Arial"/>
          <w:sz w:val="19"/>
          <w:szCs w:val="19"/>
          <w:color w:val="auto"/>
        </w:rPr>
      </w:pPr>
      <w:r>
        <w:rPr>
          <w:rFonts w:ascii="Arial" w:cs="Arial" w:eastAsia="Arial" w:hAnsi="Arial"/>
          <w:sz w:val="16"/>
          <w:szCs w:val="16"/>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54" w:lineRule="exact"/>
        <w:rPr>
          <w:rFonts w:ascii="Arial" w:cs="Arial" w:eastAsia="Arial" w:hAnsi="Arial"/>
          <w:sz w:val="19"/>
          <w:szCs w:val="19"/>
          <w:color w:val="auto"/>
        </w:rPr>
      </w:pPr>
    </w:p>
    <w:p>
      <w:pPr>
        <w:ind w:left="960" w:right="719" w:hanging="189"/>
        <w:spacing w:after="0" w:line="238" w:lineRule="auto"/>
        <w:tabs>
          <w:tab w:leader="none" w:pos="943" w:val="left"/>
        </w:tabs>
        <w:numPr>
          <w:ilvl w:val="0"/>
          <w:numId w:val="52"/>
        </w:numPr>
        <w:rPr>
          <w:rFonts w:ascii="Arial" w:cs="Arial" w:eastAsia="Arial" w:hAnsi="Arial"/>
          <w:sz w:val="19"/>
          <w:szCs w:val="19"/>
          <w:color w:val="auto"/>
        </w:rPr>
      </w:pPr>
      <w:r>
        <w:rPr>
          <w:rFonts w:ascii="Arial" w:cs="Arial" w:eastAsia="Arial" w:hAnsi="Arial"/>
          <w:sz w:val="16"/>
          <w:szCs w:val="16"/>
          <w:color w:val="auto"/>
        </w:rPr>
        <w:t>determining, subject to the approval of the board and under special circumstances, override a determination of the company’s shareholders regarding certain compensation related issues.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NASDAQ Listing Requirements</w:t>
      </w:r>
    </w:p>
    <w:p>
      <w:pPr>
        <w:spacing w:after="0" w:line="192" w:lineRule="exact"/>
        <w:rPr>
          <w:sz w:val="20"/>
          <w:szCs w:val="20"/>
          <w:color w:val="auto"/>
        </w:rPr>
      </w:pPr>
    </w:p>
    <w:p>
      <w:pPr>
        <w:ind w:left="580" w:right="579" w:firstLine="194"/>
        <w:spacing w:after="0" w:line="311" w:lineRule="auto"/>
        <w:rPr>
          <w:sz w:val="20"/>
          <w:szCs w:val="20"/>
          <w:color w:val="auto"/>
        </w:rPr>
      </w:pPr>
      <w:r>
        <w:rPr>
          <w:rFonts w:ascii="Arial" w:cs="Arial" w:eastAsia="Arial" w:hAnsi="Arial"/>
          <w:sz w:val="14"/>
          <w:szCs w:val="14"/>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will satisfy those requirements.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1" w:name="page82"/>
    <w:bookmarkEnd w:id="81"/>
    <w:p>
      <w:pPr>
        <w:ind w:left="580"/>
        <w:spacing w:after="0"/>
        <w:rPr>
          <w:sz w:val="20"/>
          <w:szCs w:val="20"/>
          <w:color w:val="auto"/>
        </w:rPr>
      </w:pPr>
      <w:r>
        <w:rPr>
          <w:rFonts w:ascii="Arial" w:cs="Arial" w:eastAsia="Arial" w:hAnsi="Arial"/>
          <w:sz w:val="16"/>
          <w:szCs w:val="16"/>
          <w:i w:val="1"/>
          <w:iCs w:val="1"/>
          <w:color w:val="auto"/>
        </w:rPr>
        <w:t>Compensation Committee Role</w:t>
      </w:r>
    </w:p>
    <w:p>
      <w:pPr>
        <w:spacing w:after="0" w:line="192" w:lineRule="exact"/>
        <w:rPr>
          <w:sz w:val="20"/>
          <w:szCs w:val="20"/>
          <w:color w:val="auto"/>
        </w:rPr>
      </w:pPr>
    </w:p>
    <w:p>
      <w:pPr>
        <w:ind w:left="580" w:right="779" w:firstLine="194"/>
        <w:spacing w:after="0" w:line="316" w:lineRule="auto"/>
        <w:rPr>
          <w:sz w:val="20"/>
          <w:szCs w:val="20"/>
          <w:color w:val="auto"/>
        </w:rPr>
      </w:pPr>
      <w:r>
        <w:rPr>
          <w:rFonts w:ascii="Arial" w:cs="Arial" w:eastAsia="Arial" w:hAnsi="Arial"/>
          <w:sz w:val="15"/>
          <w:szCs w:val="15"/>
          <w:color w:val="auto"/>
        </w:rPr>
        <w:t>Our board of directors will adopt a compensation committee charter to be effective upon the listing of our shares on the NASDAQ Stock Market setting forth the responsibilities of the compensation committee, which include:</w:t>
      </w:r>
    </w:p>
    <w:p>
      <w:pPr>
        <w:spacing w:after="0" w:line="102" w:lineRule="exact"/>
        <w:rPr>
          <w:sz w:val="20"/>
          <w:szCs w:val="20"/>
          <w:color w:val="auto"/>
        </w:rPr>
      </w:pPr>
    </w:p>
    <w:p>
      <w:pPr>
        <w:ind w:left="940" w:hanging="169"/>
        <w:spacing w:after="0"/>
        <w:tabs>
          <w:tab w:leader="none" w:pos="940" w:val="left"/>
        </w:tabs>
        <w:numPr>
          <w:ilvl w:val="0"/>
          <w:numId w:val="53"/>
        </w:numPr>
        <w:rPr>
          <w:rFonts w:ascii="Arial" w:cs="Arial" w:eastAsia="Arial" w:hAnsi="Arial"/>
          <w:sz w:val="19"/>
          <w:szCs w:val="19"/>
          <w:color w:val="auto"/>
        </w:rPr>
      </w:pPr>
      <w:r>
        <w:rPr>
          <w:rFonts w:ascii="Arial" w:cs="Arial" w:eastAsia="Arial" w:hAnsi="Arial"/>
          <w:sz w:val="16"/>
          <w:szCs w:val="16"/>
          <w:color w:val="auto"/>
        </w:rPr>
        <w:t>the responsibilities set forth in the compensation policy;</w:t>
      </w:r>
    </w:p>
    <w:p>
      <w:pPr>
        <w:spacing w:after="0" w:line="193" w:lineRule="exact"/>
        <w:rPr>
          <w:rFonts w:ascii="Arial" w:cs="Arial" w:eastAsia="Arial" w:hAnsi="Arial"/>
          <w:sz w:val="19"/>
          <w:szCs w:val="19"/>
          <w:color w:val="auto"/>
        </w:rPr>
      </w:pPr>
    </w:p>
    <w:p>
      <w:pPr>
        <w:ind w:left="960" w:right="579" w:hanging="189"/>
        <w:spacing w:after="0" w:line="238" w:lineRule="auto"/>
        <w:tabs>
          <w:tab w:leader="none" w:pos="943" w:val="left"/>
        </w:tabs>
        <w:numPr>
          <w:ilvl w:val="0"/>
          <w:numId w:val="53"/>
        </w:numPr>
        <w:rPr>
          <w:rFonts w:ascii="Arial" w:cs="Arial" w:eastAsia="Arial" w:hAnsi="Arial"/>
          <w:sz w:val="19"/>
          <w:szCs w:val="19"/>
          <w:color w:val="auto"/>
        </w:rPr>
      </w:pPr>
      <w:r>
        <w:rPr>
          <w:rFonts w:ascii="Arial" w:cs="Arial" w:eastAsia="Arial" w:hAnsi="Arial"/>
          <w:sz w:val="16"/>
          <w:szCs w:val="16"/>
          <w:color w:val="auto"/>
        </w:rPr>
        <w:t>reviewing and approving the granting of options and other incentive awards to the extent such authority is delegated by our board of directors; and</w:t>
      </w:r>
    </w:p>
    <w:p>
      <w:pPr>
        <w:spacing w:after="0" w:line="194" w:lineRule="exact"/>
        <w:rPr>
          <w:rFonts w:ascii="Arial" w:cs="Arial" w:eastAsia="Arial" w:hAnsi="Arial"/>
          <w:sz w:val="19"/>
          <w:szCs w:val="19"/>
          <w:color w:val="auto"/>
        </w:rPr>
      </w:pPr>
    </w:p>
    <w:p>
      <w:pPr>
        <w:ind w:left="960" w:right="579" w:hanging="189"/>
        <w:spacing w:after="0" w:line="238" w:lineRule="auto"/>
        <w:tabs>
          <w:tab w:leader="none" w:pos="943" w:val="left"/>
        </w:tabs>
        <w:numPr>
          <w:ilvl w:val="0"/>
          <w:numId w:val="53"/>
        </w:numPr>
        <w:rPr>
          <w:rFonts w:ascii="Arial" w:cs="Arial" w:eastAsia="Arial" w:hAnsi="Arial"/>
          <w:sz w:val="19"/>
          <w:szCs w:val="19"/>
          <w:color w:val="auto"/>
        </w:rPr>
      </w:pPr>
      <w:r>
        <w:rPr>
          <w:rFonts w:ascii="Arial" w:cs="Arial" w:eastAsia="Arial" w:hAnsi="Arial"/>
          <w:sz w:val="16"/>
          <w:szCs w:val="16"/>
          <w:color w:val="auto"/>
        </w:rPr>
        <w:t>reviewing, evaluating and making recommendations regarding the compensation and benefits for our non-employee directors.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Disclosure of Compensation of Executive Officers</w:t>
      </w:r>
    </w:p>
    <w:p>
      <w:pPr>
        <w:spacing w:after="0" w:line="192" w:lineRule="exact"/>
        <w:rPr>
          <w:sz w:val="20"/>
          <w:szCs w:val="20"/>
          <w:color w:val="auto"/>
        </w:rPr>
      </w:pPr>
    </w:p>
    <w:p>
      <w:pPr>
        <w:ind w:left="580" w:right="579" w:firstLine="194"/>
        <w:spacing w:after="0" w:line="274" w:lineRule="auto"/>
        <w:rPr>
          <w:sz w:val="20"/>
          <w:szCs w:val="20"/>
          <w:color w:val="auto"/>
        </w:rPr>
      </w:pPr>
      <w:r>
        <w:rPr>
          <w:rFonts w:ascii="Arial" w:cs="Arial" w:eastAsia="Arial" w:hAnsi="Arial"/>
          <w:sz w:val="15"/>
          <w:szCs w:val="15"/>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Nevertheless, a recent amendment to regulations promulgated under the Israeli Companies Law will require us, after we become a public company, to disclose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Compensation of Directors</w:t>
      </w:r>
    </w:p>
    <w:p>
      <w:pPr>
        <w:spacing w:after="0" w:line="192" w:lineRule="exact"/>
        <w:rPr>
          <w:sz w:val="20"/>
          <w:szCs w:val="20"/>
          <w:color w:val="auto"/>
        </w:rPr>
      </w:pPr>
    </w:p>
    <w:p>
      <w:pPr>
        <w:ind w:left="580" w:right="779" w:firstLine="194"/>
        <w:spacing w:after="0" w:line="305" w:lineRule="auto"/>
        <w:rPr>
          <w:sz w:val="20"/>
          <w:szCs w:val="20"/>
          <w:color w:val="auto"/>
        </w:rPr>
      </w:pPr>
      <w:r>
        <w:rPr>
          <w:rFonts w:ascii="Arial" w:cs="Arial" w:eastAsia="Arial" w:hAnsi="Arial"/>
          <w:sz w:val="14"/>
          <w:szCs w:val="14"/>
          <w:color w:val="auto"/>
        </w:rPr>
        <w:t>Under the Israeli Companies Law, compensation of directors requires the approval of a company’s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28" w:lineRule="exact"/>
        <w:rPr>
          <w:sz w:val="20"/>
          <w:szCs w:val="20"/>
          <w:color w:val="auto"/>
        </w:rPr>
      </w:pPr>
    </w:p>
    <w:p>
      <w:pPr>
        <w:ind w:left="580" w:right="639" w:firstLine="194"/>
        <w:spacing w:after="0" w:line="267" w:lineRule="auto"/>
        <w:rPr>
          <w:sz w:val="20"/>
          <w:szCs w:val="20"/>
          <w:color w:val="auto"/>
        </w:rPr>
      </w:pPr>
      <w:r>
        <w:rPr>
          <w:rFonts w:ascii="Arial" w:cs="Arial" w:eastAsia="Arial" w:hAnsi="Arial"/>
          <w:sz w:val="16"/>
          <w:szCs w:val="16"/>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61" w:lineRule="exact"/>
        <w:rPr>
          <w:sz w:val="20"/>
          <w:szCs w:val="20"/>
          <w:color w:val="auto"/>
        </w:rPr>
      </w:pPr>
    </w:p>
    <w:p>
      <w:pPr>
        <w:ind w:left="580" w:right="919" w:firstLine="194"/>
        <w:spacing w:after="0" w:line="281" w:lineRule="auto"/>
        <w:rPr>
          <w:sz w:val="20"/>
          <w:szCs w:val="20"/>
          <w:color w:val="auto"/>
        </w:rPr>
      </w:pPr>
      <w:r>
        <w:rPr>
          <w:rFonts w:ascii="Arial" w:cs="Arial" w:eastAsia="Arial" w:hAnsi="Arial"/>
          <w:sz w:val="16"/>
          <w:szCs w:val="16"/>
          <w:color w:val="auto"/>
        </w:rPr>
        <w:t>External directors are entitled to remuneration subject to the provisions and limitations set forth in the regulations promulgated under the Israeli Companies Law.</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For additional information, see “—Compensation of Officers and Directors.”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Internal Auditor</w:t>
      </w:r>
    </w:p>
    <w:p>
      <w:pPr>
        <w:spacing w:after="0" w:line="204" w:lineRule="exact"/>
        <w:rPr>
          <w:sz w:val="20"/>
          <w:szCs w:val="20"/>
          <w:color w:val="auto"/>
        </w:rPr>
      </w:pPr>
    </w:p>
    <w:p>
      <w:pPr>
        <w:ind w:left="580" w:right="619" w:firstLine="194"/>
        <w:spacing w:after="0" w:line="281"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An internal auditor may not be:</w:t>
      </w:r>
    </w:p>
    <w:p>
      <w:pPr>
        <w:spacing w:after="0" w:line="162" w:lineRule="exact"/>
        <w:rPr>
          <w:sz w:val="20"/>
          <w:szCs w:val="20"/>
          <w:color w:val="auto"/>
        </w:rPr>
      </w:pPr>
    </w:p>
    <w:p>
      <w:pPr>
        <w:ind w:left="940" w:hanging="169"/>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5"/>
          <w:szCs w:val="15"/>
          <w:color w:val="auto"/>
        </w:rPr>
        <w:t>a person (or a relative of a person) who holds 5% or more of the company’s outstanding shares or voting rights;</w:t>
      </w:r>
    </w:p>
    <w:p>
      <w:pPr>
        <w:spacing w:after="0" w:line="193" w:lineRule="exact"/>
        <w:rPr>
          <w:rFonts w:ascii="Arial" w:cs="Arial" w:eastAsia="Arial" w:hAnsi="Arial"/>
          <w:sz w:val="18"/>
          <w:szCs w:val="18"/>
          <w:color w:val="auto"/>
        </w:rPr>
      </w:pPr>
    </w:p>
    <w:p>
      <w:pPr>
        <w:ind w:left="940" w:hanging="169"/>
        <w:spacing w:after="0"/>
        <w:tabs>
          <w:tab w:leader="none" w:pos="940" w:val="left"/>
        </w:tabs>
        <w:numPr>
          <w:ilvl w:val="0"/>
          <w:numId w:val="54"/>
        </w:numPr>
        <w:rPr>
          <w:rFonts w:ascii="Arial" w:cs="Arial" w:eastAsia="Arial" w:hAnsi="Arial"/>
          <w:sz w:val="17"/>
          <w:szCs w:val="17"/>
          <w:color w:val="auto"/>
        </w:rPr>
      </w:pPr>
      <w:r>
        <w:rPr>
          <w:rFonts w:ascii="Arial" w:cs="Arial" w:eastAsia="Arial" w:hAnsi="Arial"/>
          <w:sz w:val="14"/>
          <w:szCs w:val="14"/>
          <w:color w:val="auto"/>
        </w:rPr>
        <w:t>a person (or a relative of a person) who has the power to appoint a director or the general manager of the company;</w:t>
      </w:r>
    </w:p>
    <w:p>
      <w:pPr>
        <w:spacing w:after="0" w:line="191" w:lineRule="exact"/>
        <w:rPr>
          <w:rFonts w:ascii="Arial" w:cs="Arial" w:eastAsia="Arial" w:hAnsi="Arial"/>
          <w:sz w:val="17"/>
          <w:szCs w:val="17"/>
          <w:color w:val="auto"/>
        </w:rPr>
      </w:pPr>
    </w:p>
    <w:p>
      <w:pPr>
        <w:ind w:left="940" w:hanging="169"/>
        <w:spacing w:after="0"/>
        <w:tabs>
          <w:tab w:leader="none" w:pos="940" w:val="left"/>
        </w:tabs>
        <w:numPr>
          <w:ilvl w:val="0"/>
          <w:numId w:val="54"/>
        </w:numPr>
        <w:rPr>
          <w:rFonts w:ascii="Arial" w:cs="Arial" w:eastAsia="Arial" w:hAnsi="Arial"/>
          <w:sz w:val="19"/>
          <w:szCs w:val="19"/>
          <w:color w:val="auto"/>
        </w:rPr>
      </w:pPr>
      <w:r>
        <w:rPr>
          <w:rFonts w:ascii="Arial" w:cs="Arial" w:eastAsia="Arial" w:hAnsi="Arial"/>
          <w:sz w:val="16"/>
          <w:szCs w:val="16"/>
          <w:color w:val="auto"/>
        </w:rPr>
        <w:t>an office holder (including a director) of the company (or a relative thereof); or</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54"/>
        </w:numPr>
        <w:rPr>
          <w:rFonts w:ascii="Arial" w:cs="Arial" w:eastAsia="Arial" w:hAnsi="Arial"/>
          <w:sz w:val="19"/>
          <w:szCs w:val="19"/>
          <w:color w:val="auto"/>
        </w:rPr>
      </w:pPr>
      <w:r>
        <w:rPr>
          <w:rFonts w:ascii="Arial" w:cs="Arial" w:eastAsia="Arial" w:hAnsi="Arial"/>
          <w:sz w:val="16"/>
          <w:szCs w:val="16"/>
          <w:color w:val="auto"/>
        </w:rPr>
        <w:t>a member of the company’s independent auditor, or anyone on its behalf.</w:t>
      </w:r>
    </w:p>
    <w:p>
      <w:pPr>
        <w:spacing w:after="0" w:line="182" w:lineRule="exact"/>
        <w:rPr>
          <w:sz w:val="20"/>
          <w:szCs w:val="20"/>
          <w:color w:val="auto"/>
        </w:rPr>
      </w:pPr>
    </w:p>
    <w:p>
      <w:pPr>
        <w:ind w:left="580" w:right="859" w:firstLine="194"/>
        <w:spacing w:after="0" w:line="267" w:lineRule="auto"/>
        <w:rPr>
          <w:sz w:val="20"/>
          <w:szCs w:val="20"/>
          <w:color w:val="auto"/>
        </w:rPr>
      </w:pPr>
      <w:r>
        <w:rPr>
          <w:rFonts w:ascii="Arial" w:cs="Arial" w:eastAsia="Arial" w:hAnsi="Arial"/>
          <w:sz w:val="16"/>
          <w:szCs w:val="16"/>
          <w:color w:val="auto"/>
        </w:rPr>
        <w:t>The role of the internal auditor is to examine, among other things, our compliance with applicable law and orderly business procedures. The audit committee is required to oversee the activities and to assess the performance of the internal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2" w:name="page83"/>
    <w:bookmarkEnd w:id="82"/>
    <w:p>
      <w:pPr>
        <w:ind w:left="580" w:right="719"/>
        <w:spacing w:after="0" w:line="281" w:lineRule="auto"/>
        <w:rPr>
          <w:sz w:val="20"/>
          <w:szCs w:val="20"/>
          <w:color w:val="auto"/>
        </w:rPr>
      </w:pPr>
      <w:r>
        <w:rPr>
          <w:rFonts w:ascii="Arial" w:cs="Arial" w:eastAsia="Arial" w:hAnsi="Arial"/>
          <w:sz w:val="16"/>
          <w:szCs w:val="16"/>
          <w:color w:val="auto"/>
        </w:rPr>
        <w:t>auditor as well as to review the internal auditor’s work plan. We intend to appoint an internal auditor prior to our listing on the NASDAQ Global Market.</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Approval of Related Party Transactions Under Israeli Law</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Fiduciary Duties of Directors and Executive Officers</w:t>
      </w:r>
    </w:p>
    <w:p>
      <w:pPr>
        <w:spacing w:after="0" w:line="204" w:lineRule="exact"/>
        <w:rPr>
          <w:sz w:val="20"/>
          <w:szCs w:val="20"/>
          <w:color w:val="auto"/>
        </w:rPr>
      </w:pPr>
    </w:p>
    <w:p>
      <w:pPr>
        <w:jc w:val="both"/>
        <w:ind w:left="580" w:right="739" w:firstLine="194"/>
        <w:spacing w:after="0" w:line="355" w:lineRule="auto"/>
        <w:rPr>
          <w:sz w:val="20"/>
          <w:szCs w:val="20"/>
          <w:color w:val="auto"/>
        </w:rPr>
      </w:pPr>
      <w:r>
        <w:rPr>
          <w:rFonts w:ascii="Arial" w:cs="Arial" w:eastAsia="Arial" w:hAnsi="Arial"/>
          <w:sz w:val="14"/>
          <w:szCs w:val="14"/>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05" w:lineRule="exact"/>
        <w:rPr>
          <w:sz w:val="20"/>
          <w:szCs w:val="20"/>
          <w:color w:val="auto"/>
        </w:rPr>
      </w:pPr>
    </w:p>
    <w:p>
      <w:pPr>
        <w:ind w:left="580" w:right="599" w:firstLine="194"/>
        <w:spacing w:after="0" w:line="262" w:lineRule="auto"/>
        <w:rPr>
          <w:sz w:val="20"/>
          <w:szCs w:val="20"/>
          <w:color w:val="auto"/>
        </w:rPr>
      </w:pPr>
      <w:r>
        <w:rPr>
          <w:rFonts w:ascii="Arial" w:cs="Arial" w:eastAsia="Arial" w:hAnsi="Arial"/>
          <w:sz w:val="16"/>
          <w:szCs w:val="16"/>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duty of care includes a duty to use reasonable means to obtain:</w:t>
      </w:r>
    </w:p>
    <w:p>
      <w:pPr>
        <w:spacing w:after="0" w:line="216" w:lineRule="exact"/>
        <w:rPr>
          <w:sz w:val="20"/>
          <w:szCs w:val="20"/>
          <w:color w:val="auto"/>
        </w:rPr>
      </w:pPr>
    </w:p>
    <w:p>
      <w:pPr>
        <w:ind w:left="960" w:right="599" w:hanging="189"/>
        <w:spacing w:after="0" w:line="238" w:lineRule="auto"/>
        <w:tabs>
          <w:tab w:leader="none" w:pos="943" w:val="left"/>
        </w:tabs>
        <w:numPr>
          <w:ilvl w:val="0"/>
          <w:numId w:val="55"/>
        </w:numPr>
        <w:rPr>
          <w:rFonts w:ascii="Arial" w:cs="Arial" w:eastAsia="Arial" w:hAnsi="Arial"/>
          <w:sz w:val="19"/>
          <w:szCs w:val="19"/>
          <w:color w:val="auto"/>
        </w:rPr>
      </w:pPr>
      <w:r>
        <w:rPr>
          <w:rFonts w:ascii="Arial" w:cs="Arial" w:eastAsia="Arial" w:hAnsi="Arial"/>
          <w:sz w:val="16"/>
          <w:szCs w:val="16"/>
          <w:color w:val="auto"/>
        </w:rPr>
        <w:t>information on the advisability of a given action brought for his or her approval or performed by virtue of his or her position; and</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55"/>
        </w:numPr>
        <w:rPr>
          <w:rFonts w:ascii="Arial" w:cs="Arial" w:eastAsia="Arial" w:hAnsi="Arial"/>
          <w:sz w:val="19"/>
          <w:szCs w:val="19"/>
          <w:color w:val="auto"/>
        </w:rPr>
      </w:pPr>
      <w:r>
        <w:rPr>
          <w:rFonts w:ascii="Arial" w:cs="Arial" w:eastAsia="Arial" w:hAnsi="Arial"/>
          <w:sz w:val="16"/>
          <w:szCs w:val="16"/>
          <w:color w:val="auto"/>
        </w:rPr>
        <w:t>all other important information pertaining to any such action.</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duty of loyalty includes a duty to:</w:t>
      </w:r>
    </w:p>
    <w:p>
      <w:pPr>
        <w:spacing w:after="0" w:line="216" w:lineRule="exact"/>
        <w:rPr>
          <w:sz w:val="20"/>
          <w:szCs w:val="20"/>
          <w:color w:val="auto"/>
        </w:rPr>
      </w:pPr>
    </w:p>
    <w:p>
      <w:pPr>
        <w:ind w:left="960" w:right="899" w:hanging="189"/>
        <w:spacing w:after="0" w:line="238" w:lineRule="auto"/>
        <w:tabs>
          <w:tab w:leader="none" w:pos="943" w:val="left"/>
        </w:tabs>
        <w:numPr>
          <w:ilvl w:val="0"/>
          <w:numId w:val="56"/>
        </w:numPr>
        <w:rPr>
          <w:rFonts w:ascii="Arial" w:cs="Arial" w:eastAsia="Arial" w:hAnsi="Arial"/>
          <w:sz w:val="19"/>
          <w:szCs w:val="19"/>
          <w:color w:val="auto"/>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56"/>
        </w:numPr>
        <w:rPr>
          <w:rFonts w:ascii="Arial" w:cs="Arial" w:eastAsia="Arial" w:hAnsi="Arial"/>
          <w:sz w:val="19"/>
          <w:szCs w:val="19"/>
          <w:color w:val="auto"/>
        </w:rPr>
      </w:pPr>
      <w:r>
        <w:rPr>
          <w:rFonts w:ascii="Arial" w:cs="Arial" w:eastAsia="Arial" w:hAnsi="Arial"/>
          <w:sz w:val="16"/>
          <w:szCs w:val="16"/>
          <w:color w:val="auto"/>
        </w:rPr>
        <w:t>refrain from any activity that is competitive with the business of the company;</w:t>
      </w:r>
    </w:p>
    <w:p>
      <w:pPr>
        <w:spacing w:after="0" w:line="193" w:lineRule="exact"/>
        <w:rPr>
          <w:rFonts w:ascii="Arial" w:cs="Arial" w:eastAsia="Arial" w:hAnsi="Arial"/>
          <w:sz w:val="19"/>
          <w:szCs w:val="19"/>
          <w:color w:val="auto"/>
        </w:rPr>
      </w:pPr>
    </w:p>
    <w:p>
      <w:pPr>
        <w:ind w:left="960" w:right="619" w:hanging="189"/>
        <w:spacing w:after="0" w:line="238" w:lineRule="auto"/>
        <w:tabs>
          <w:tab w:leader="none" w:pos="943" w:val="left"/>
        </w:tabs>
        <w:numPr>
          <w:ilvl w:val="0"/>
          <w:numId w:val="56"/>
        </w:numPr>
        <w:rPr>
          <w:rFonts w:ascii="Arial" w:cs="Arial" w:eastAsia="Arial" w:hAnsi="Arial"/>
          <w:sz w:val="19"/>
          <w:szCs w:val="19"/>
          <w:color w:val="auto"/>
        </w:rPr>
      </w:pPr>
      <w:r>
        <w:rPr>
          <w:rFonts w:ascii="Arial" w:cs="Arial" w:eastAsia="Arial" w:hAnsi="Arial"/>
          <w:sz w:val="16"/>
          <w:szCs w:val="16"/>
          <w:color w:val="auto"/>
        </w:rPr>
        <w:t>refrain from exploiting any business opportunity of the company to receive a personal gain for himself or herself or others; and</w:t>
      </w:r>
    </w:p>
    <w:p>
      <w:pPr>
        <w:spacing w:after="0" w:line="194" w:lineRule="exact"/>
        <w:rPr>
          <w:rFonts w:ascii="Arial" w:cs="Arial" w:eastAsia="Arial" w:hAnsi="Arial"/>
          <w:sz w:val="19"/>
          <w:szCs w:val="19"/>
          <w:color w:val="auto"/>
        </w:rPr>
      </w:pPr>
    </w:p>
    <w:p>
      <w:pPr>
        <w:ind w:left="960" w:right="859" w:hanging="189"/>
        <w:spacing w:after="0" w:line="238" w:lineRule="auto"/>
        <w:tabs>
          <w:tab w:leader="none" w:pos="943" w:val="left"/>
        </w:tabs>
        <w:numPr>
          <w:ilvl w:val="0"/>
          <w:numId w:val="56"/>
        </w:numPr>
        <w:rPr>
          <w:rFonts w:ascii="Arial" w:cs="Arial" w:eastAsia="Arial" w:hAnsi="Arial"/>
          <w:sz w:val="19"/>
          <w:szCs w:val="19"/>
          <w:color w:val="auto"/>
        </w:rPr>
      </w:pPr>
      <w:r>
        <w:rPr>
          <w:rFonts w:ascii="Arial" w:cs="Arial" w:eastAsia="Arial" w:hAnsi="Arial"/>
          <w:sz w:val="16"/>
          <w:szCs w:val="16"/>
          <w:color w:val="auto"/>
        </w:rPr>
        <w:t>disclose to the company any information or documents relating to the company’s affairs which the office holder received as a result of his or her position as an office holder.</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Disclosure of Personal Interests of an Office Holder and Approval of Certain Transactions</w:t>
      </w:r>
    </w:p>
    <w:p>
      <w:pPr>
        <w:spacing w:after="0" w:line="204" w:lineRule="exact"/>
        <w:rPr>
          <w:sz w:val="20"/>
          <w:szCs w:val="20"/>
          <w:color w:val="auto"/>
        </w:rPr>
      </w:pPr>
    </w:p>
    <w:p>
      <w:pPr>
        <w:ind w:left="580" w:right="599" w:firstLine="194"/>
        <w:spacing w:after="0" w:line="276" w:lineRule="auto"/>
        <w:rPr>
          <w:sz w:val="20"/>
          <w:szCs w:val="20"/>
          <w:color w:val="auto"/>
        </w:rPr>
      </w:pPr>
      <w:r>
        <w:rPr>
          <w:rFonts w:ascii="Arial" w:cs="Arial" w:eastAsia="Arial" w:hAnsi="Arial"/>
          <w:sz w:val="15"/>
          <w:szCs w:val="15"/>
          <w:color w:val="auto"/>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57" w:lineRule="exact"/>
        <w:rPr>
          <w:sz w:val="20"/>
          <w:szCs w:val="20"/>
          <w:color w:val="auto"/>
        </w:rPr>
      </w:pPr>
    </w:p>
    <w:p>
      <w:pPr>
        <w:ind w:left="580" w:right="619" w:firstLine="194"/>
        <w:spacing w:after="0" w:line="258" w:lineRule="auto"/>
        <w:rPr>
          <w:sz w:val="20"/>
          <w:szCs w:val="20"/>
          <w:color w:val="auto"/>
        </w:rPr>
      </w:pPr>
      <w:r>
        <w:rPr>
          <w:rFonts w:ascii="Arial" w:cs="Arial" w:eastAsia="Arial" w:hAnsi="Arial"/>
          <w:sz w:val="16"/>
          <w:szCs w:val="16"/>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69" w:lineRule="exact"/>
        <w:rPr>
          <w:sz w:val="20"/>
          <w:szCs w:val="20"/>
          <w:color w:val="auto"/>
        </w:rPr>
      </w:pPr>
    </w:p>
    <w:p>
      <w:pPr>
        <w:ind w:left="940" w:hanging="169"/>
        <w:spacing w:after="0"/>
        <w:tabs>
          <w:tab w:leader="none" w:pos="940" w:val="left"/>
        </w:tabs>
        <w:numPr>
          <w:ilvl w:val="0"/>
          <w:numId w:val="57"/>
        </w:numPr>
        <w:rPr>
          <w:rFonts w:ascii="Arial" w:cs="Arial" w:eastAsia="Arial" w:hAnsi="Arial"/>
          <w:sz w:val="19"/>
          <w:szCs w:val="19"/>
          <w:color w:val="auto"/>
        </w:rPr>
      </w:pPr>
      <w:r>
        <w:rPr>
          <w:rFonts w:ascii="Arial" w:cs="Arial" w:eastAsia="Arial" w:hAnsi="Arial"/>
          <w:sz w:val="16"/>
          <w:szCs w:val="16"/>
          <w:color w:val="auto"/>
        </w:rPr>
        <w:t>a transaction other than in the ordinary course of business;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57"/>
        </w:numPr>
        <w:rPr>
          <w:rFonts w:ascii="Arial" w:cs="Arial" w:eastAsia="Arial" w:hAnsi="Arial"/>
          <w:sz w:val="19"/>
          <w:szCs w:val="19"/>
          <w:color w:val="auto"/>
        </w:rPr>
      </w:pPr>
      <w:r>
        <w:rPr>
          <w:rFonts w:ascii="Arial" w:cs="Arial" w:eastAsia="Arial" w:hAnsi="Arial"/>
          <w:sz w:val="16"/>
          <w:szCs w:val="16"/>
          <w:color w:val="auto"/>
        </w:rPr>
        <w:t>a transaction that is not on market terms; or</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57"/>
        </w:numPr>
        <w:rPr>
          <w:rFonts w:ascii="Arial" w:cs="Arial" w:eastAsia="Arial" w:hAnsi="Arial"/>
          <w:sz w:val="19"/>
          <w:szCs w:val="19"/>
          <w:color w:val="auto"/>
        </w:rPr>
      </w:pPr>
      <w:r>
        <w:rPr>
          <w:rFonts w:ascii="Arial" w:cs="Arial" w:eastAsia="Arial" w:hAnsi="Arial"/>
          <w:sz w:val="16"/>
          <w:szCs w:val="16"/>
          <w:color w:val="auto"/>
        </w:rPr>
        <w:t>a transaction that may have a material impact on a company’s profitability, assets or liabilities.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3" w:name="page84"/>
    <w:bookmarkEnd w:id="83"/>
    <w:p>
      <w:pPr>
        <w:ind w:left="580" w:right="579" w:firstLine="194"/>
        <w:spacing w:after="0" w:line="272" w:lineRule="auto"/>
        <w:rPr>
          <w:sz w:val="20"/>
          <w:szCs w:val="20"/>
          <w:color w:val="auto"/>
        </w:rPr>
      </w:pPr>
      <w:r>
        <w:rPr>
          <w:rFonts w:ascii="Arial" w:cs="Arial" w:eastAsia="Arial" w:hAnsi="Arial"/>
          <w:sz w:val="15"/>
          <w:szCs w:val="15"/>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69" w:lineRule="exact"/>
        <w:rPr>
          <w:sz w:val="20"/>
          <w:szCs w:val="20"/>
          <w:color w:val="auto"/>
        </w:rPr>
      </w:pPr>
    </w:p>
    <w:p>
      <w:pPr>
        <w:ind w:left="580" w:right="659" w:firstLine="194"/>
        <w:spacing w:after="0" w:line="277" w:lineRule="auto"/>
        <w:rPr>
          <w:sz w:val="20"/>
          <w:szCs w:val="20"/>
          <w:color w:val="auto"/>
        </w:rPr>
      </w:pPr>
      <w:r>
        <w:rPr>
          <w:rFonts w:ascii="Arial" w:cs="Arial" w:eastAsia="Arial" w:hAnsi="Arial"/>
          <w:sz w:val="15"/>
          <w:szCs w:val="15"/>
          <w:color w:val="auto"/>
        </w:rPr>
        <w:t>Generally, a person who has a personal interest in a matter which is considered at a meeting of the board of directors or the audit committee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Disclosure of Personal Interests of Controlling Shareholders and Approval of Certain Transactions</w:t>
      </w:r>
    </w:p>
    <w:p>
      <w:pPr>
        <w:spacing w:after="0" w:line="204" w:lineRule="exact"/>
        <w:rPr>
          <w:sz w:val="20"/>
          <w:szCs w:val="20"/>
          <w:color w:val="auto"/>
        </w:rPr>
      </w:pPr>
    </w:p>
    <w:p>
      <w:pPr>
        <w:ind w:left="580" w:right="639" w:firstLine="194"/>
        <w:spacing w:after="0" w:line="290" w:lineRule="auto"/>
        <w:rPr>
          <w:sz w:val="20"/>
          <w:szCs w:val="20"/>
          <w:color w:val="auto"/>
        </w:rPr>
      </w:pPr>
      <w:r>
        <w:rPr>
          <w:rFonts w:ascii="Arial" w:cs="Arial" w:eastAsia="Arial" w:hAnsi="Arial"/>
          <w:sz w:val="14"/>
          <w:szCs w:val="14"/>
          <w:color w:val="auto"/>
        </w:rPr>
        <w:t>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 The approval of the audit committee or the compensation committee, the board of directors and the shareholders of the company, in that order, is required for (a) extraordinary transactions with a controlling shareholder or in which a controlling shareholder has a personal interest, (b) the engagement with a controlling shareholder or his or her relative, directly or indirectly, including through a company under control of the controlling shareholder, for the provision of services to the company,</w:t>
      </w:r>
    </w:p>
    <w:p>
      <w:pPr>
        <w:spacing w:after="0" w:line="5" w:lineRule="exact"/>
        <w:rPr>
          <w:sz w:val="20"/>
          <w:szCs w:val="20"/>
          <w:color w:val="auto"/>
        </w:rPr>
      </w:pPr>
    </w:p>
    <w:p>
      <w:pPr>
        <w:ind w:left="580" w:right="579" w:hanging="3"/>
        <w:spacing w:after="0" w:line="284" w:lineRule="auto"/>
        <w:tabs>
          <w:tab w:leader="none" w:pos="8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terms of engagement and compensation of a controlling shareholder or his or her relative who is an office holder or (d) the employment of a controlling shareholder or his or her relative by the company, other than as an office holder. In addition, the shareholder approval requires one of the following, which we refer to as a Special Majority:</w:t>
      </w:r>
    </w:p>
    <w:p>
      <w:pPr>
        <w:spacing w:after="0" w:line="162" w:lineRule="exact"/>
        <w:rPr>
          <w:rFonts w:ascii="Arial" w:cs="Arial" w:eastAsia="Arial" w:hAnsi="Arial"/>
          <w:sz w:val="15"/>
          <w:szCs w:val="15"/>
          <w:color w:val="auto"/>
        </w:rPr>
      </w:pPr>
    </w:p>
    <w:p>
      <w:pPr>
        <w:ind w:left="960" w:right="739" w:hanging="189"/>
        <w:spacing w:after="0" w:line="268" w:lineRule="auto"/>
        <w:tabs>
          <w:tab w:leader="none" w:pos="943" w:val="left"/>
        </w:tabs>
        <w:numPr>
          <w:ilvl w:val="1"/>
          <w:numId w:val="58"/>
        </w:numPr>
        <w:rPr>
          <w:rFonts w:ascii="Arial" w:cs="Arial" w:eastAsia="Arial" w:hAnsi="Arial"/>
          <w:sz w:val="18"/>
          <w:szCs w:val="18"/>
          <w:color w:val="auto"/>
        </w:rPr>
      </w:pPr>
      <w:r>
        <w:rPr>
          <w:rFonts w:ascii="Arial" w:cs="Arial" w:eastAsia="Arial" w:hAnsi="Arial"/>
          <w:sz w:val="15"/>
          <w:szCs w:val="15"/>
          <w:color w:val="auto"/>
        </w:rPr>
        <w:t>at least a majority of the shares held by all shareholders who do not have a personal interest in the transaction and who are present and voting at the meeting approves the transaction, excluding abstentions; or</w:t>
      </w:r>
    </w:p>
    <w:p>
      <w:pPr>
        <w:spacing w:after="0" w:line="169" w:lineRule="exact"/>
        <w:rPr>
          <w:rFonts w:ascii="Arial" w:cs="Arial" w:eastAsia="Arial" w:hAnsi="Arial"/>
          <w:sz w:val="18"/>
          <w:szCs w:val="18"/>
          <w:color w:val="auto"/>
        </w:rPr>
      </w:pPr>
    </w:p>
    <w:p>
      <w:pPr>
        <w:ind w:left="960" w:right="779" w:hanging="189"/>
        <w:spacing w:after="0" w:line="268" w:lineRule="auto"/>
        <w:tabs>
          <w:tab w:leader="none" w:pos="943" w:val="left"/>
        </w:tabs>
        <w:numPr>
          <w:ilvl w:val="1"/>
          <w:numId w:val="58"/>
        </w:numPr>
        <w:rPr>
          <w:rFonts w:ascii="Arial" w:cs="Arial" w:eastAsia="Arial" w:hAnsi="Arial"/>
          <w:sz w:val="18"/>
          <w:szCs w:val="18"/>
          <w:color w:val="auto"/>
        </w:rPr>
      </w:pPr>
      <w:r>
        <w:rPr>
          <w:rFonts w:ascii="Arial" w:cs="Arial" w:eastAsia="Arial" w:hAnsi="Arial"/>
          <w:sz w:val="15"/>
          <w:szCs w:val="15"/>
          <w:color w:val="auto"/>
        </w:rPr>
        <w:t>the shares voted against the transaction by shareholders who have no personal interest in the transaction and who are present and voting at the meeting do not exceed 2% of the voting rights in the company.</w:t>
      </w:r>
    </w:p>
    <w:p>
      <w:pPr>
        <w:spacing w:after="0" w:line="158" w:lineRule="exact"/>
        <w:rPr>
          <w:sz w:val="20"/>
          <w:szCs w:val="20"/>
          <w:color w:val="auto"/>
        </w:rPr>
      </w:pPr>
    </w:p>
    <w:p>
      <w:pPr>
        <w:ind w:left="580" w:right="739" w:firstLine="194"/>
        <w:spacing w:after="0" w:line="292" w:lineRule="auto"/>
        <w:rPr>
          <w:sz w:val="20"/>
          <w:szCs w:val="20"/>
          <w:color w:val="auto"/>
        </w:rPr>
      </w:pPr>
      <w:r>
        <w:rPr>
          <w:rFonts w:ascii="Arial" w:cs="Arial" w:eastAsia="Arial" w:hAnsi="Arial"/>
          <w:sz w:val="15"/>
          <w:szCs w:val="15"/>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46" w:lineRule="exact"/>
        <w:rPr>
          <w:sz w:val="20"/>
          <w:szCs w:val="20"/>
          <w:color w:val="auto"/>
        </w:rPr>
      </w:pPr>
    </w:p>
    <w:p>
      <w:pPr>
        <w:ind w:left="580" w:right="579" w:firstLine="194"/>
        <w:spacing w:after="0" w:line="262" w:lineRule="auto"/>
        <w:rPr>
          <w:sz w:val="20"/>
          <w:szCs w:val="20"/>
          <w:color w:val="auto"/>
        </w:rPr>
      </w:pPr>
      <w:r>
        <w:rPr>
          <w:rFonts w:ascii="Arial" w:cs="Arial" w:eastAsia="Arial" w:hAnsi="Arial"/>
          <w:sz w:val="16"/>
          <w:szCs w:val="16"/>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66" w:lineRule="exact"/>
        <w:rPr>
          <w:sz w:val="20"/>
          <w:szCs w:val="20"/>
          <w:color w:val="auto"/>
        </w:rPr>
      </w:pPr>
    </w:p>
    <w:p>
      <w:pPr>
        <w:ind w:left="580" w:right="959" w:firstLine="194"/>
        <w:spacing w:after="0" w:line="267" w:lineRule="auto"/>
        <w:rPr>
          <w:sz w:val="20"/>
          <w:szCs w:val="20"/>
          <w:color w:val="auto"/>
        </w:rPr>
      </w:pPr>
      <w:r>
        <w:rPr>
          <w:rFonts w:ascii="Arial" w:cs="Arial" w:eastAsia="Arial" w:hAnsi="Arial"/>
          <w:sz w:val="16"/>
          <w:szCs w:val="16"/>
          <w:color w:val="auto"/>
        </w:rPr>
        <w:t>Pursuant to regulations promulgated under the Israeli Companies Law, certain transactions with a controlling shareholder or his or her relative, or with directors, that would otherwise require approval of a company’s shareholders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4" w:name="page85"/>
    <w:bookmarkEnd w:id="84"/>
    <w:p>
      <w:pPr>
        <w:ind w:left="580" w:right="579"/>
        <w:spacing w:after="0" w:line="259" w:lineRule="auto"/>
        <w:rPr>
          <w:sz w:val="20"/>
          <w:szCs w:val="20"/>
          <w:color w:val="auto"/>
        </w:rPr>
      </w:pPr>
      <w:r>
        <w:rPr>
          <w:rFonts w:ascii="Arial" w:cs="Arial" w:eastAsia="Arial" w:hAnsi="Arial"/>
          <w:sz w:val="16"/>
          <w:szCs w:val="16"/>
          <w:color w:val="auto"/>
        </w:rPr>
        <w:t>may be exempt from shareholder approval upon certain determinations of the audit committee and board of directors. Under these regulations, a shareholder holding at least 1% of the issued share capital of the company may require, within 14 days of the publication of such determinations, that despite such determinations by the audit committee and the board of directors, such transaction will require shareholder approval under the same majority requirements that would otherwise apply to such transactions.</w:t>
      </w:r>
    </w:p>
    <w:p>
      <w:pPr>
        <w:spacing w:after="0" w:line="170" w:lineRule="exact"/>
        <w:rPr>
          <w:sz w:val="20"/>
          <w:szCs w:val="20"/>
          <w:color w:val="auto"/>
        </w:rPr>
      </w:pPr>
    </w:p>
    <w:p>
      <w:pPr>
        <w:ind w:left="580" w:right="779" w:firstLine="194"/>
        <w:spacing w:after="0" w:line="316" w:lineRule="auto"/>
        <w:rPr>
          <w:sz w:val="20"/>
          <w:szCs w:val="20"/>
          <w:color w:val="auto"/>
        </w:rPr>
      </w:pPr>
      <w:r>
        <w:rPr>
          <w:rFonts w:ascii="Arial" w:cs="Arial" w:eastAsia="Arial" w:hAnsi="Arial"/>
          <w:sz w:val="15"/>
          <w:szCs w:val="15"/>
          <w:color w:val="auto"/>
        </w:rPr>
        <w:t>We expect that following this offering, Fortissimo Capital, which prior to this offering beneficially owned 69.6% of our ordinary shares, will be a controlling shareholder, although this status may change in the future.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Shareholder Duties</w:t>
      </w:r>
    </w:p>
    <w:p>
      <w:pPr>
        <w:spacing w:after="0" w:line="204" w:lineRule="exact"/>
        <w:rPr>
          <w:sz w:val="20"/>
          <w:szCs w:val="20"/>
          <w:color w:val="auto"/>
        </w:rPr>
      </w:pPr>
    </w:p>
    <w:p>
      <w:pPr>
        <w:jc w:val="both"/>
        <w:ind w:left="580" w:right="579" w:firstLine="194"/>
        <w:spacing w:after="0" w:line="322" w:lineRule="auto"/>
        <w:rPr>
          <w:sz w:val="20"/>
          <w:szCs w:val="20"/>
          <w:color w:val="auto"/>
        </w:rPr>
      </w:pPr>
      <w:r>
        <w:rPr>
          <w:rFonts w:ascii="Arial" w:cs="Arial" w:eastAsia="Arial" w:hAnsi="Arial"/>
          <w:sz w:val="14"/>
          <w:szCs w:val="14"/>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27" w:lineRule="exact"/>
        <w:rPr>
          <w:sz w:val="20"/>
          <w:szCs w:val="20"/>
          <w:color w:val="auto"/>
        </w:rPr>
      </w:pPr>
    </w:p>
    <w:p>
      <w:pPr>
        <w:ind w:left="940" w:hanging="169"/>
        <w:spacing w:after="0"/>
        <w:tabs>
          <w:tab w:leader="none" w:pos="940" w:val="left"/>
        </w:tabs>
        <w:numPr>
          <w:ilvl w:val="0"/>
          <w:numId w:val="59"/>
        </w:numPr>
        <w:rPr>
          <w:rFonts w:ascii="Arial" w:cs="Arial" w:eastAsia="Arial" w:hAnsi="Arial"/>
          <w:sz w:val="19"/>
          <w:szCs w:val="19"/>
          <w:color w:val="auto"/>
        </w:rPr>
      </w:pPr>
      <w:r>
        <w:rPr>
          <w:rFonts w:ascii="Arial" w:cs="Arial" w:eastAsia="Arial" w:hAnsi="Arial"/>
          <w:sz w:val="16"/>
          <w:szCs w:val="16"/>
          <w:color w:val="auto"/>
        </w:rPr>
        <w:t>an amendment to the company’s articles of association;</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59"/>
        </w:numPr>
        <w:rPr>
          <w:rFonts w:ascii="Arial" w:cs="Arial" w:eastAsia="Arial" w:hAnsi="Arial"/>
          <w:sz w:val="19"/>
          <w:szCs w:val="19"/>
          <w:color w:val="auto"/>
        </w:rPr>
      </w:pPr>
      <w:r>
        <w:rPr>
          <w:rFonts w:ascii="Arial" w:cs="Arial" w:eastAsia="Arial" w:hAnsi="Arial"/>
          <w:sz w:val="16"/>
          <w:szCs w:val="16"/>
          <w:color w:val="auto"/>
        </w:rPr>
        <w:t>an increase of the company’s authorized share capital;</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59"/>
        </w:numPr>
        <w:rPr>
          <w:rFonts w:ascii="Arial" w:cs="Arial" w:eastAsia="Arial" w:hAnsi="Arial"/>
          <w:sz w:val="19"/>
          <w:szCs w:val="19"/>
          <w:color w:val="auto"/>
        </w:rPr>
      </w:pPr>
      <w:r>
        <w:rPr>
          <w:rFonts w:ascii="Arial" w:cs="Arial" w:eastAsia="Arial" w:hAnsi="Arial"/>
          <w:sz w:val="16"/>
          <w:szCs w:val="16"/>
          <w:color w:val="auto"/>
        </w:rPr>
        <w:t>a merger; or</w:t>
      </w:r>
    </w:p>
    <w:p>
      <w:pPr>
        <w:spacing w:after="0" w:line="193" w:lineRule="exact"/>
        <w:rPr>
          <w:rFonts w:ascii="Arial" w:cs="Arial" w:eastAsia="Arial" w:hAnsi="Arial"/>
          <w:sz w:val="19"/>
          <w:szCs w:val="19"/>
          <w:color w:val="auto"/>
        </w:rPr>
      </w:pPr>
    </w:p>
    <w:p>
      <w:pPr>
        <w:ind w:left="780" w:right="1539" w:hanging="9"/>
        <w:spacing w:after="0" w:line="521" w:lineRule="auto"/>
        <w:tabs>
          <w:tab w:leader="none" w:pos="957" w:val="left"/>
        </w:tabs>
        <w:numPr>
          <w:ilvl w:val="0"/>
          <w:numId w:val="59"/>
        </w:numPr>
        <w:rPr>
          <w:rFonts w:ascii="Arial" w:cs="Arial" w:eastAsia="Arial" w:hAnsi="Arial"/>
          <w:sz w:val="17"/>
          <w:szCs w:val="17"/>
          <w:color w:val="auto"/>
        </w:rPr>
      </w:pPr>
      <w:r>
        <w:rPr>
          <w:rFonts w:ascii="Arial" w:cs="Arial" w:eastAsia="Arial" w:hAnsi="Arial"/>
          <w:sz w:val="14"/>
          <w:szCs w:val="14"/>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left="580" w:right="639" w:firstLine="194"/>
        <w:spacing w:after="0" w:line="258" w:lineRule="auto"/>
        <w:rPr>
          <w:sz w:val="20"/>
          <w:szCs w:val="20"/>
          <w:color w:val="auto"/>
        </w:rPr>
      </w:pPr>
      <w:r>
        <w:rPr>
          <w:rFonts w:ascii="Arial" w:cs="Arial" w:eastAsia="Arial" w:hAnsi="Arial"/>
          <w:sz w:val="16"/>
          <w:szCs w:val="16"/>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Exculpation, Insurance and Indemnification of Directors and Officers</w:t>
      </w:r>
    </w:p>
    <w:p>
      <w:pPr>
        <w:spacing w:after="0" w:line="183" w:lineRule="exact"/>
        <w:rPr>
          <w:sz w:val="20"/>
          <w:szCs w:val="20"/>
          <w:color w:val="auto"/>
        </w:rPr>
      </w:pPr>
    </w:p>
    <w:p>
      <w:pPr>
        <w:ind w:left="580" w:right="619" w:firstLine="194"/>
        <w:spacing w:after="0" w:line="278" w:lineRule="auto"/>
        <w:rPr>
          <w:sz w:val="20"/>
          <w:szCs w:val="20"/>
          <w:color w:val="auto"/>
        </w:rPr>
      </w:pPr>
      <w:r>
        <w:rPr>
          <w:rFonts w:ascii="Arial" w:cs="Arial" w:eastAsia="Arial" w:hAnsi="Arial"/>
          <w:sz w:val="15"/>
          <w:szCs w:val="15"/>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prohibited dividend or distribution to shareholders.</w:t>
      </w:r>
    </w:p>
    <w:p>
      <w:pPr>
        <w:spacing w:after="0" w:line="158" w:lineRule="exact"/>
        <w:rPr>
          <w:sz w:val="20"/>
          <w:szCs w:val="20"/>
          <w:color w:val="auto"/>
        </w:rPr>
      </w:pPr>
    </w:p>
    <w:p>
      <w:pPr>
        <w:ind w:left="580" w:right="819" w:firstLine="194"/>
        <w:spacing w:after="0" w:line="262" w:lineRule="auto"/>
        <w:rPr>
          <w:sz w:val="20"/>
          <w:szCs w:val="20"/>
          <w:color w:val="auto"/>
        </w:rPr>
      </w:pPr>
      <w:r>
        <w:rPr>
          <w:rFonts w:ascii="Arial" w:cs="Arial" w:eastAsia="Arial" w:hAnsi="Arial"/>
          <w:sz w:val="16"/>
          <w:szCs w:val="16"/>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8" w:lineRule="exact"/>
        <w:rPr>
          <w:sz w:val="20"/>
          <w:szCs w:val="20"/>
          <w:color w:val="auto"/>
        </w:rPr>
      </w:pPr>
    </w:p>
    <w:p>
      <w:pPr>
        <w:ind w:left="960" w:right="639" w:hanging="189"/>
        <w:spacing w:after="0" w:line="268" w:lineRule="auto"/>
        <w:tabs>
          <w:tab w:leader="none" w:pos="943" w:val="left"/>
        </w:tabs>
        <w:numPr>
          <w:ilvl w:val="0"/>
          <w:numId w:val="60"/>
        </w:numPr>
        <w:rPr>
          <w:rFonts w:ascii="Arial" w:cs="Arial" w:eastAsia="Arial" w:hAnsi="Arial"/>
          <w:sz w:val="18"/>
          <w:szCs w:val="18"/>
          <w:color w:val="auto"/>
        </w:rPr>
      </w:pPr>
      <w:r>
        <w:rPr>
          <w:rFonts w:ascii="Arial" w:cs="Arial" w:eastAsia="Arial" w:hAnsi="Arial"/>
          <w:sz w:val="15"/>
          <w:szCs w:val="15"/>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4" w:lineRule="exact"/>
        <w:rPr>
          <w:rFonts w:ascii="Arial" w:cs="Arial" w:eastAsia="Arial" w:hAnsi="Arial"/>
          <w:sz w:val="18"/>
          <w:szCs w:val="18"/>
          <w:color w:val="auto"/>
        </w:rPr>
      </w:pPr>
    </w:p>
    <w:p>
      <w:pPr>
        <w:ind w:left="960" w:right="599" w:hanging="189"/>
        <w:spacing w:after="0" w:line="248" w:lineRule="auto"/>
        <w:tabs>
          <w:tab w:leader="none" w:pos="943" w:val="left"/>
        </w:tabs>
        <w:numPr>
          <w:ilvl w:val="0"/>
          <w:numId w:val="60"/>
        </w:numPr>
        <w:rPr>
          <w:rFonts w:ascii="Arial" w:cs="Arial" w:eastAsia="Arial" w:hAnsi="Arial"/>
          <w:sz w:val="19"/>
          <w:szCs w:val="19"/>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5" w:name="page86"/>
    <w:bookmarkEnd w:id="85"/>
    <w:p>
      <w:pPr>
        <w:ind w:left="960" w:right="839"/>
        <w:spacing w:after="0" w:line="316" w:lineRule="auto"/>
        <w:rPr>
          <w:sz w:val="20"/>
          <w:szCs w:val="20"/>
          <w:color w:val="auto"/>
        </w:rPr>
      </w:pPr>
      <w:r>
        <w:rPr>
          <w:rFonts w:ascii="Arial" w:cs="Arial" w:eastAsia="Arial" w:hAnsi="Arial"/>
          <w:sz w:val="15"/>
          <w:szCs w:val="15"/>
          <w:color w:val="auto"/>
        </w:rPr>
        <w:t>investigation or proceeding or, if such financial liability was imposed, it was imposed with respect to an offense that does not require proof of criminal intent; and (2) in connection with a monetary sanction; and</w:t>
      </w:r>
    </w:p>
    <w:p>
      <w:pPr>
        <w:spacing w:after="0" w:line="139" w:lineRule="exact"/>
        <w:rPr>
          <w:sz w:val="20"/>
          <w:szCs w:val="20"/>
          <w:color w:val="auto"/>
        </w:rPr>
      </w:pPr>
    </w:p>
    <w:p>
      <w:pPr>
        <w:ind w:left="960" w:right="599" w:hanging="189"/>
        <w:spacing w:after="0" w:line="246" w:lineRule="auto"/>
        <w:tabs>
          <w:tab w:leader="none" w:pos="943" w:val="left"/>
        </w:tabs>
        <w:numPr>
          <w:ilvl w:val="0"/>
          <w:numId w:val="61"/>
        </w:numPr>
        <w:rPr>
          <w:rFonts w:ascii="Arial" w:cs="Arial" w:eastAsia="Arial" w:hAnsi="Arial"/>
          <w:sz w:val="19"/>
          <w:szCs w:val="19"/>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79" w:lineRule="exact"/>
        <w:rPr>
          <w:sz w:val="20"/>
          <w:szCs w:val="20"/>
          <w:color w:val="auto"/>
        </w:rPr>
      </w:pPr>
    </w:p>
    <w:p>
      <w:pPr>
        <w:ind w:left="580" w:right="639" w:firstLine="194"/>
        <w:spacing w:after="0" w:line="355" w:lineRule="auto"/>
        <w:rPr>
          <w:sz w:val="20"/>
          <w:szCs w:val="20"/>
          <w:color w:val="auto"/>
        </w:rPr>
      </w:pPr>
      <w:r>
        <w:rPr>
          <w:rFonts w:ascii="Arial" w:cs="Arial" w:eastAsia="Arial" w:hAnsi="Arial"/>
          <w:sz w:val="14"/>
          <w:szCs w:val="14"/>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17" w:lineRule="exact"/>
        <w:rPr>
          <w:sz w:val="20"/>
          <w:szCs w:val="20"/>
          <w:color w:val="auto"/>
        </w:rPr>
      </w:pPr>
    </w:p>
    <w:p>
      <w:pPr>
        <w:ind w:left="960" w:right="1159" w:hanging="189"/>
        <w:spacing w:after="0" w:line="238" w:lineRule="auto"/>
        <w:tabs>
          <w:tab w:leader="none" w:pos="943" w:val="left"/>
        </w:tabs>
        <w:numPr>
          <w:ilvl w:val="0"/>
          <w:numId w:val="62"/>
        </w:numPr>
        <w:rPr>
          <w:rFonts w:ascii="Arial" w:cs="Arial" w:eastAsia="Arial" w:hAnsi="Arial"/>
          <w:sz w:val="19"/>
          <w:szCs w:val="19"/>
          <w:color w:val="auto"/>
        </w:rPr>
      </w:pPr>
      <w:r>
        <w:rPr>
          <w:rFonts w:ascii="Arial" w:cs="Arial" w:eastAsia="Arial" w:hAnsi="Arial"/>
          <w:sz w:val="16"/>
          <w:szCs w:val="16"/>
          <w:color w:val="auto"/>
        </w:rPr>
        <w:t>a breach of the duty of loyalty to the company, provided that the office holder acted in good faith and had a reasonable basis to believe that the act would not harm the company;</w:t>
      </w:r>
    </w:p>
    <w:p>
      <w:pPr>
        <w:spacing w:after="0" w:line="194" w:lineRule="exact"/>
        <w:rPr>
          <w:rFonts w:ascii="Arial" w:cs="Arial" w:eastAsia="Arial" w:hAnsi="Arial"/>
          <w:sz w:val="19"/>
          <w:szCs w:val="19"/>
          <w:color w:val="auto"/>
        </w:rPr>
      </w:pPr>
    </w:p>
    <w:p>
      <w:pPr>
        <w:ind w:left="960" w:right="839" w:hanging="189"/>
        <w:spacing w:after="0" w:line="238" w:lineRule="auto"/>
        <w:tabs>
          <w:tab w:leader="none" w:pos="943" w:val="left"/>
        </w:tabs>
        <w:numPr>
          <w:ilvl w:val="0"/>
          <w:numId w:val="62"/>
        </w:numPr>
        <w:rPr>
          <w:rFonts w:ascii="Arial" w:cs="Arial" w:eastAsia="Arial" w:hAnsi="Arial"/>
          <w:sz w:val="19"/>
          <w:szCs w:val="19"/>
          <w:color w:val="auto"/>
        </w:rPr>
      </w:pPr>
      <w:r>
        <w:rPr>
          <w:rFonts w:ascii="Arial" w:cs="Arial" w:eastAsia="Arial" w:hAnsi="Arial"/>
          <w:sz w:val="16"/>
          <w:szCs w:val="16"/>
          <w:color w:val="auto"/>
        </w:rPr>
        <w:t>a breach of duty of care to the company or to a third party, to the extent such a breach arises out of the negligent conduct of the office holder; and</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2"/>
        </w:numPr>
        <w:rPr>
          <w:rFonts w:ascii="Arial" w:cs="Arial" w:eastAsia="Arial" w:hAnsi="Arial"/>
          <w:sz w:val="19"/>
          <w:szCs w:val="19"/>
          <w:color w:val="auto"/>
        </w:rPr>
      </w:pPr>
      <w:r>
        <w:rPr>
          <w:rFonts w:ascii="Arial" w:cs="Arial" w:eastAsia="Arial" w:hAnsi="Arial"/>
          <w:sz w:val="16"/>
          <w:szCs w:val="16"/>
          <w:color w:val="auto"/>
        </w:rPr>
        <w:t>a financial liability imposed on the office holder in favor of a third party.</w:t>
      </w:r>
    </w:p>
    <w:p>
      <w:pPr>
        <w:spacing w:after="0" w:line="182" w:lineRule="exact"/>
        <w:rPr>
          <w:sz w:val="20"/>
          <w:szCs w:val="20"/>
          <w:color w:val="auto"/>
        </w:rPr>
      </w:pPr>
    </w:p>
    <w:p>
      <w:pPr>
        <w:ind w:left="580" w:right="719" w:firstLine="194"/>
        <w:spacing w:after="0" w:line="281" w:lineRule="auto"/>
        <w:rPr>
          <w:sz w:val="20"/>
          <w:szCs w:val="20"/>
          <w:color w:val="auto"/>
        </w:rPr>
      </w:pPr>
      <w:r>
        <w:rPr>
          <w:rFonts w:ascii="Arial" w:cs="Arial" w:eastAsia="Arial" w:hAnsi="Arial"/>
          <w:sz w:val="16"/>
          <w:szCs w:val="16"/>
          <w:color w:val="auto"/>
        </w:rPr>
        <w:t>Under the Israeli Companies Law, a company may not indemnify, exculpate or insure an office holder against any of the following:</w:t>
      </w:r>
    </w:p>
    <w:p>
      <w:pPr>
        <w:spacing w:after="0" w:line="163" w:lineRule="exact"/>
        <w:rPr>
          <w:sz w:val="20"/>
          <w:szCs w:val="20"/>
          <w:color w:val="auto"/>
        </w:rPr>
      </w:pPr>
    </w:p>
    <w:p>
      <w:pPr>
        <w:jc w:val="both"/>
        <w:ind w:left="960" w:right="799" w:hanging="189"/>
        <w:spacing w:after="0" w:line="244" w:lineRule="auto"/>
        <w:tabs>
          <w:tab w:leader="none" w:pos="943" w:val="left"/>
        </w:tabs>
        <w:numPr>
          <w:ilvl w:val="0"/>
          <w:numId w:val="63"/>
        </w:numPr>
        <w:rPr>
          <w:rFonts w:ascii="Arial" w:cs="Arial" w:eastAsia="Arial" w:hAnsi="Arial"/>
          <w:sz w:val="19"/>
          <w:szCs w:val="19"/>
          <w:color w:val="auto"/>
        </w:rPr>
      </w:pPr>
      <w:r>
        <w:rPr>
          <w:rFonts w:ascii="Arial" w:cs="Arial" w:eastAsia="Arial" w:hAnsi="Arial"/>
          <w:sz w:val="16"/>
          <w:szCs w:val="16"/>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91" w:lineRule="exact"/>
        <w:rPr>
          <w:rFonts w:ascii="Arial" w:cs="Arial" w:eastAsia="Arial" w:hAnsi="Arial"/>
          <w:sz w:val="19"/>
          <w:szCs w:val="19"/>
          <w:color w:val="auto"/>
        </w:rPr>
      </w:pPr>
    </w:p>
    <w:p>
      <w:pPr>
        <w:ind w:left="960" w:right="1019" w:hanging="189"/>
        <w:spacing w:after="0" w:line="238" w:lineRule="auto"/>
        <w:tabs>
          <w:tab w:leader="none" w:pos="943" w:val="left"/>
        </w:tabs>
        <w:numPr>
          <w:ilvl w:val="0"/>
          <w:numId w:val="63"/>
        </w:numPr>
        <w:rPr>
          <w:rFonts w:ascii="Arial" w:cs="Arial" w:eastAsia="Arial" w:hAnsi="Arial"/>
          <w:sz w:val="19"/>
          <w:szCs w:val="19"/>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3"/>
        </w:numPr>
        <w:rPr>
          <w:rFonts w:ascii="Arial" w:cs="Arial" w:eastAsia="Arial" w:hAnsi="Arial"/>
          <w:sz w:val="19"/>
          <w:szCs w:val="19"/>
          <w:color w:val="auto"/>
        </w:rPr>
      </w:pPr>
      <w:r>
        <w:rPr>
          <w:rFonts w:ascii="Arial" w:cs="Arial" w:eastAsia="Arial" w:hAnsi="Arial"/>
          <w:sz w:val="16"/>
          <w:szCs w:val="16"/>
          <w:color w:val="auto"/>
        </w:rPr>
        <w:t>an act or omission committed with intent to derive illegal personal benefit; or</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3"/>
        </w:numPr>
        <w:rPr>
          <w:rFonts w:ascii="Arial" w:cs="Arial" w:eastAsia="Arial" w:hAnsi="Arial"/>
          <w:sz w:val="19"/>
          <w:szCs w:val="19"/>
          <w:color w:val="auto"/>
        </w:rPr>
      </w:pPr>
      <w:r>
        <w:rPr>
          <w:rFonts w:ascii="Arial" w:cs="Arial" w:eastAsia="Arial" w:hAnsi="Arial"/>
          <w:sz w:val="16"/>
          <w:szCs w:val="16"/>
          <w:color w:val="auto"/>
        </w:rPr>
        <w:t>a fine or forfeit levied against the office holder.</w:t>
      </w:r>
    </w:p>
    <w:p>
      <w:pPr>
        <w:spacing w:after="0" w:line="182" w:lineRule="exact"/>
        <w:rPr>
          <w:sz w:val="20"/>
          <w:szCs w:val="20"/>
          <w:color w:val="auto"/>
        </w:rPr>
      </w:pPr>
    </w:p>
    <w:p>
      <w:pPr>
        <w:ind w:left="580" w:right="579" w:firstLine="194"/>
        <w:spacing w:after="0" w:line="322" w:lineRule="auto"/>
        <w:rPr>
          <w:sz w:val="20"/>
          <w:szCs w:val="20"/>
          <w:color w:val="auto"/>
        </w:rPr>
      </w:pPr>
      <w:r>
        <w:rPr>
          <w:rFonts w:ascii="Arial" w:cs="Arial" w:eastAsia="Arial" w:hAnsi="Arial"/>
          <w:sz w:val="14"/>
          <w:szCs w:val="14"/>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27" w:lineRule="exact"/>
        <w:rPr>
          <w:sz w:val="20"/>
          <w:szCs w:val="20"/>
          <w:color w:val="auto"/>
        </w:rPr>
      </w:pPr>
    </w:p>
    <w:p>
      <w:pPr>
        <w:ind w:left="580" w:right="919" w:firstLine="194"/>
        <w:spacing w:after="0" w:line="267" w:lineRule="auto"/>
        <w:rPr>
          <w:sz w:val="20"/>
          <w:szCs w:val="20"/>
          <w:color w:val="auto"/>
        </w:rPr>
      </w:pPr>
      <w:r>
        <w:rPr>
          <w:rFonts w:ascii="Arial" w:cs="Arial" w:eastAsia="Arial" w:hAnsi="Arial"/>
          <w:sz w:val="16"/>
          <w:szCs w:val="16"/>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61" w:lineRule="exact"/>
        <w:rPr>
          <w:sz w:val="20"/>
          <w:szCs w:val="20"/>
          <w:color w:val="auto"/>
        </w:rPr>
      </w:pPr>
    </w:p>
    <w:p>
      <w:pPr>
        <w:ind w:left="580" w:right="619" w:firstLine="194"/>
        <w:spacing w:after="0" w:line="275" w:lineRule="auto"/>
        <w:rPr>
          <w:sz w:val="20"/>
          <w:szCs w:val="20"/>
          <w:color w:val="auto"/>
        </w:rPr>
      </w:pPr>
      <w:r>
        <w:rPr>
          <w:rFonts w:ascii="Arial" w:cs="Arial" w:eastAsia="Arial" w:hAnsi="Arial"/>
          <w:sz w:val="15"/>
          <w:szCs w:val="15"/>
          <w:color w:val="auto"/>
        </w:rPr>
        <w:t>We have obtained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completion of this offering and the Israeli Companies Law, including with respect to liabilities resulting from this offering to the extent that these liabilities are not covered by insurance. In the opinion of the Commission, indemnification of directors and office holders for liabilities arising under the Securities Act, however, is against public policy and therefore unenforceable.</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Code of Business Conduct and Ethics</w:t>
      </w:r>
    </w:p>
    <w:p>
      <w:pPr>
        <w:spacing w:after="0" w:line="208" w:lineRule="exact"/>
        <w:rPr>
          <w:sz w:val="20"/>
          <w:szCs w:val="20"/>
          <w:color w:val="auto"/>
        </w:rPr>
      </w:pPr>
    </w:p>
    <w:p>
      <w:pPr>
        <w:ind w:left="580" w:right="579" w:firstLine="194"/>
        <w:spacing w:after="0" w:line="262" w:lineRule="auto"/>
        <w:rPr>
          <w:sz w:val="20"/>
          <w:szCs w:val="20"/>
          <w:color w:val="auto"/>
        </w:rPr>
      </w:pPr>
      <w:r>
        <w:rPr>
          <w:rFonts w:ascii="Arial" w:cs="Arial" w:eastAsia="Arial" w:hAnsi="Arial"/>
          <w:sz w:val="16"/>
          <w:szCs w:val="16"/>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Commission.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86" w:name="page87"/>
    <w:bookmarkEnd w:id="86"/>
    <w:p>
      <w:pPr>
        <w:ind w:left="580" w:right="619" w:firstLine="194"/>
        <w:spacing w:after="0" w:line="274" w:lineRule="auto"/>
        <w:rPr>
          <w:sz w:val="20"/>
          <w:szCs w:val="20"/>
          <w:color w:val="auto"/>
        </w:rPr>
      </w:pPr>
      <w:r>
        <w:rPr>
          <w:rFonts w:ascii="Arial" w:cs="Arial" w:eastAsia="Arial" w:hAnsi="Arial"/>
          <w:sz w:val="15"/>
          <w:szCs w:val="15"/>
          <w:color w:val="auto"/>
        </w:rPr>
        <w:t>Upon the effectiveness of the registration statement of which this prospectus forms a part, the full text of the Code of Business Conduct and Ethics will be posted on our web at www.kornit.com.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Commission. Under Item 16B of the Commission’s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Compensation of Executive Officers and Directors</w:t>
      </w:r>
    </w:p>
    <w:p>
      <w:pPr>
        <w:spacing w:after="0" w:line="208" w:lineRule="exact"/>
        <w:rPr>
          <w:sz w:val="20"/>
          <w:szCs w:val="20"/>
          <w:color w:val="auto"/>
        </w:rPr>
      </w:pPr>
    </w:p>
    <w:p>
      <w:pPr>
        <w:ind w:left="580" w:right="579" w:firstLine="194"/>
        <w:spacing w:after="0" w:line="257" w:lineRule="auto"/>
        <w:rPr>
          <w:sz w:val="20"/>
          <w:szCs w:val="20"/>
          <w:color w:val="auto"/>
        </w:rPr>
      </w:pPr>
      <w:r>
        <w:rPr>
          <w:rFonts w:ascii="Arial" w:cs="Arial" w:eastAsia="Arial" w:hAnsi="Arial"/>
          <w:sz w:val="16"/>
          <w:szCs w:val="16"/>
          <w:color w:val="auto"/>
        </w:rPr>
        <w:t>The aggregate compensation paid and equity-based compensation and other payments expensed by us and our subsidiaries to our directors and executive officers with respect to the year ended December 31, 2014 was $2.0 million. This amount includes approximately $0.2 million set aside or accrued to provide pension, severance, retirement or similar benefits or expenses. As of December 31, 2014, options to purchase 1,180,352 ordinary shares granted to our directors and executive officers were outstanding under our share option plans at a weighted average exercise price of $1.92 per share. Certain of our officers and directors receive a severance payment of up to six months of their base salary upon termination of their employment.</w:t>
      </w:r>
    </w:p>
    <w:p>
      <w:pPr>
        <w:spacing w:after="0" w:line="171" w:lineRule="exact"/>
        <w:rPr>
          <w:sz w:val="20"/>
          <w:szCs w:val="20"/>
          <w:color w:val="auto"/>
        </w:rPr>
      </w:pPr>
    </w:p>
    <w:p>
      <w:pPr>
        <w:ind w:left="580" w:right="619" w:firstLine="194"/>
        <w:spacing w:after="0" w:line="281" w:lineRule="auto"/>
        <w:rPr>
          <w:sz w:val="20"/>
          <w:szCs w:val="20"/>
          <w:color w:val="auto"/>
        </w:rPr>
      </w:pPr>
      <w:r>
        <w:rPr>
          <w:rFonts w:ascii="Arial" w:cs="Arial" w:eastAsia="Arial" w:hAnsi="Arial"/>
          <w:sz w:val="16"/>
          <w:szCs w:val="16"/>
          <w:color w:val="auto"/>
        </w:rPr>
        <w:t>The following table presents the grant dates, number of options, related exercise prices and expiration dates of options granted to our directors and executive officers for the year ended December 31, 2014:</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Number of</w:t>
            </w:r>
          </w:p>
        </w:tc>
        <w:tc>
          <w:tcPr>
            <w:tcW w:w="8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Exercise Price</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0"/>
              </w:rPr>
              <w:t>Expiration Date</w:t>
            </w:r>
          </w:p>
        </w:tc>
      </w:tr>
      <w:tr>
        <w:trPr>
          <w:trHeight w:val="188"/>
        </w:trPr>
        <w:tc>
          <w:tcPr>
            <w:tcW w:w="20" w:type="dxa"/>
            <w:vAlign w:val="bottom"/>
          </w:tcPr>
          <w:p>
            <w:pPr>
              <w:spacing w:after="0"/>
              <w:rPr>
                <w:sz w:val="16"/>
                <w:szCs w:val="16"/>
                <w:color w:val="auto"/>
              </w:rPr>
            </w:pPr>
          </w:p>
        </w:tc>
        <w:tc>
          <w:tcPr>
            <w:tcW w:w="3760" w:type="dxa"/>
            <w:vAlign w:val="bottom"/>
            <w:gridSpan w:val="2"/>
          </w:tcPr>
          <w:p>
            <w:pPr>
              <w:ind w:left="1440"/>
              <w:spacing w:after="0"/>
              <w:rPr>
                <w:sz w:val="20"/>
                <w:szCs w:val="20"/>
                <w:color w:val="auto"/>
              </w:rPr>
            </w:pPr>
            <w:r>
              <w:rPr>
                <w:rFonts w:ascii="Arial" w:cs="Arial" w:eastAsia="Arial" w:hAnsi="Arial"/>
                <w:sz w:val="15"/>
                <w:szCs w:val="15"/>
                <w:b w:val="1"/>
                <w:bCs w:val="1"/>
                <w:color w:val="auto"/>
              </w:rPr>
              <w:t>Grant Date</w:t>
            </w: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Options</w:t>
            </w:r>
          </w:p>
        </w:tc>
        <w:tc>
          <w:tcPr>
            <w:tcW w:w="8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of Options</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5"/>
              </w:rPr>
              <w:t>of Options</w:t>
            </w:r>
          </w:p>
        </w:tc>
      </w:tr>
      <w:tr>
        <w:trPr>
          <w:trHeight w:val="180"/>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January 2, 2014</w:t>
            </w:r>
          </w:p>
        </w:tc>
        <w:tc>
          <w:tcPr>
            <w:tcW w:w="160" w:type="dxa"/>
            <w:vAlign w:val="bottom"/>
          </w:tcPr>
          <w:p>
            <w:pPr>
              <w:spacing w:after="0"/>
              <w:rPr>
                <w:sz w:val="15"/>
                <w:szCs w:val="15"/>
                <w:color w:val="auto"/>
              </w:rPr>
            </w:pPr>
          </w:p>
        </w:tc>
        <w:tc>
          <w:tcPr>
            <w:tcW w:w="11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183,487</w:t>
            </w:r>
          </w:p>
        </w:tc>
        <w:tc>
          <w:tcPr>
            <w:tcW w:w="3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1.60</w:t>
            </w:r>
          </w:p>
        </w:tc>
        <w:tc>
          <w:tcPr>
            <w:tcW w:w="32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color w:val="auto"/>
                <w:w w:val="90"/>
              </w:rPr>
              <w:t>January 2, 2021</w:t>
            </w: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April 27, 2014</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650,992</w:t>
            </w:r>
          </w:p>
        </w:tc>
        <w:tc>
          <w:tcPr>
            <w:tcW w:w="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2.17</w:t>
            </w:r>
          </w:p>
        </w:tc>
        <w:tc>
          <w:tcPr>
            <w:tcW w:w="1100" w:type="dxa"/>
            <w:vAlign w:val="bottom"/>
          </w:tcPr>
          <w:p>
            <w:pPr>
              <w:jc w:val="center"/>
              <w:spacing w:after="0"/>
              <w:rPr>
                <w:sz w:val="20"/>
                <w:szCs w:val="20"/>
                <w:color w:val="auto"/>
              </w:rPr>
            </w:pPr>
            <w:r>
              <w:rPr>
                <w:rFonts w:ascii="Arial" w:cs="Arial" w:eastAsia="Arial" w:hAnsi="Arial"/>
                <w:sz w:val="16"/>
                <w:szCs w:val="16"/>
                <w:color w:val="auto"/>
                <w:w w:val="97"/>
              </w:rPr>
              <w:t>April 27, 2021</w:t>
            </w:r>
          </w:p>
        </w:tc>
      </w:tr>
      <w:tr>
        <w:trPr>
          <w:trHeight w:val="194"/>
        </w:trPr>
        <w:tc>
          <w:tcPr>
            <w:tcW w:w="3780" w:type="dxa"/>
            <w:vAlign w:val="bottom"/>
            <w:gridSpan w:val="3"/>
          </w:tcPr>
          <w:p>
            <w:pPr>
              <w:spacing w:after="0"/>
              <w:rPr>
                <w:sz w:val="20"/>
                <w:szCs w:val="20"/>
                <w:color w:val="auto"/>
              </w:rPr>
            </w:pPr>
            <w:r>
              <w:rPr>
                <w:rFonts w:ascii="Arial" w:cs="Arial" w:eastAsia="Arial" w:hAnsi="Arial"/>
                <w:sz w:val="16"/>
                <w:szCs w:val="16"/>
                <w:color w:val="auto"/>
              </w:rPr>
              <w:t>July 10, 2014</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106,435</w:t>
            </w:r>
          </w:p>
        </w:tc>
        <w:tc>
          <w:tcPr>
            <w:tcW w:w="8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2.07</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July 10, 2024</w:t>
            </w:r>
          </w:p>
        </w:tc>
      </w:tr>
      <w:tr>
        <w:trPr>
          <w:trHeight w:val="206"/>
        </w:trPr>
        <w:tc>
          <w:tcPr>
            <w:tcW w:w="3780" w:type="dxa"/>
            <w:vAlign w:val="bottom"/>
            <w:gridSpan w:val="3"/>
          </w:tcPr>
          <w:p>
            <w:pPr>
              <w:spacing w:after="0"/>
              <w:rPr>
                <w:sz w:val="20"/>
                <w:szCs w:val="20"/>
                <w:color w:val="auto"/>
              </w:rPr>
            </w:pPr>
            <w:r>
              <w:rPr>
                <w:rFonts w:ascii="Arial" w:cs="Arial" w:eastAsia="Arial" w:hAnsi="Arial"/>
                <w:sz w:val="16"/>
                <w:szCs w:val="16"/>
                <w:color w:val="auto"/>
              </w:rPr>
              <w:t>October 6, 2014</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94,614</w:t>
            </w:r>
          </w:p>
        </w:tc>
        <w:tc>
          <w:tcPr>
            <w:tcW w:w="8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2.07</w:t>
            </w:r>
          </w:p>
        </w:tc>
        <w:tc>
          <w:tcPr>
            <w:tcW w:w="1100" w:type="dxa"/>
            <w:vAlign w:val="bottom"/>
          </w:tcPr>
          <w:p>
            <w:pPr>
              <w:jc w:val="center"/>
              <w:spacing w:after="0"/>
              <w:rPr>
                <w:sz w:val="20"/>
                <w:szCs w:val="20"/>
                <w:color w:val="auto"/>
              </w:rPr>
            </w:pPr>
            <w:r>
              <w:rPr>
                <w:rFonts w:ascii="Arial" w:cs="Arial" w:eastAsia="Arial" w:hAnsi="Arial"/>
                <w:sz w:val="16"/>
                <w:szCs w:val="16"/>
                <w:color w:val="auto"/>
                <w:w w:val="90"/>
              </w:rPr>
              <w:t>October 6, 2024</w:t>
            </w:r>
          </w:p>
        </w:tc>
      </w:tr>
    </w:tbl>
    <w:p>
      <w:pPr>
        <w:spacing w:after="0" w:line="14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Employment Agreements with Executive Officers; Consulting and Directorship Services Provided by Directors</w:t>
      </w:r>
    </w:p>
    <w:p>
      <w:pPr>
        <w:spacing w:after="0" w:line="231" w:lineRule="exact"/>
        <w:rPr>
          <w:sz w:val="20"/>
          <w:szCs w:val="20"/>
          <w:color w:val="auto"/>
        </w:rPr>
      </w:pPr>
    </w:p>
    <w:p>
      <w:pPr>
        <w:ind w:left="580" w:right="599" w:firstLine="194"/>
        <w:spacing w:after="0" w:line="298" w:lineRule="auto"/>
        <w:rPr>
          <w:sz w:val="20"/>
          <w:szCs w:val="20"/>
          <w:color w:val="auto"/>
        </w:rPr>
      </w:pPr>
      <w:r>
        <w:rPr>
          <w:rFonts w:ascii="Arial" w:cs="Arial" w:eastAsia="Arial" w:hAnsi="Arial"/>
          <w:sz w:val="14"/>
          <w:szCs w:val="14"/>
          <w:color w:val="auto"/>
        </w:rPr>
        <w:t>We have entered into written employment agreements with all of our executive officers. These agreements contain standard provisions for a company in our industry regarding non-competition, confidentiality of information and assignment of inventions. These agreements do not provide for benefits upon the termination of these executives’ respective employment with us, other than payment of salary and benefits (but not accrual of vacation days) during the required notice period for termination of these agreements, which varies under these individual agreements. Under their employment agreements, certain of our officers and directors receive a severance payment of up to six months of their base salary upon termination of their employment. See “Certain Relationships and Related Party Transactions— Agreements and Arrangements with, and Compensation of, Directors and Executive Officers” for additional information.</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Share Incentive Plans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2004 Share Option Plan</w:t>
      </w:r>
    </w:p>
    <w:p>
      <w:pPr>
        <w:spacing w:after="0" w:line="204" w:lineRule="exact"/>
        <w:rPr>
          <w:sz w:val="20"/>
          <w:szCs w:val="20"/>
          <w:color w:val="auto"/>
        </w:rPr>
      </w:pPr>
    </w:p>
    <w:p>
      <w:pPr>
        <w:ind w:left="580" w:right="579" w:firstLine="194"/>
        <w:spacing w:after="0" w:line="285" w:lineRule="auto"/>
        <w:rPr>
          <w:sz w:val="20"/>
          <w:szCs w:val="20"/>
          <w:color w:val="auto"/>
        </w:rPr>
      </w:pPr>
      <w:r>
        <w:rPr>
          <w:rFonts w:ascii="Arial" w:cs="Arial" w:eastAsia="Arial" w:hAnsi="Arial"/>
          <w:sz w:val="15"/>
          <w:szCs w:val="15"/>
          <w:color w:val="auto"/>
        </w:rPr>
        <w:t>In May 2004 our board of directors adopted and our shareholders approved our 2004 Share Option Plan, or the 2004 Plan. The 2004 Plan was amended on June 15, 2005. We are no longer granting options under the 2004 Plan because it was superceded by the 2012 Plan, although previously granted awards remain outstanding. As of March 16, 2015, we had options to purchase 1,096,668 ordinary shares outstanding under the 2004 Plan.</w:t>
      </w:r>
    </w:p>
    <w:p>
      <w:pPr>
        <w:spacing w:after="0" w:line="150" w:lineRule="exact"/>
        <w:rPr>
          <w:sz w:val="20"/>
          <w:szCs w:val="20"/>
          <w:color w:val="auto"/>
        </w:rPr>
      </w:pPr>
    </w:p>
    <w:p>
      <w:pPr>
        <w:ind w:left="580" w:right="799" w:firstLine="194"/>
        <w:spacing w:after="0" w:line="281" w:lineRule="auto"/>
        <w:rPr>
          <w:sz w:val="20"/>
          <w:szCs w:val="20"/>
          <w:color w:val="auto"/>
        </w:rPr>
      </w:pPr>
      <w:r>
        <w:rPr>
          <w:rFonts w:ascii="Arial" w:cs="Arial" w:eastAsia="Arial" w:hAnsi="Arial"/>
          <w:sz w:val="16"/>
          <w:szCs w:val="16"/>
          <w:color w:val="auto"/>
        </w:rPr>
        <w:t>The 2004 Plan provides for the grant of options to our and our subsidiaries’ and affiliates’ directors, employees and officers, who are expected to continue to our future growth and success.</w:t>
      </w:r>
    </w:p>
    <w:p>
      <w:pPr>
        <w:spacing w:after="0" w:line="151" w:lineRule="exact"/>
        <w:rPr>
          <w:sz w:val="20"/>
          <w:szCs w:val="20"/>
          <w:color w:val="auto"/>
        </w:rPr>
      </w:pPr>
    </w:p>
    <w:p>
      <w:pPr>
        <w:ind w:left="580" w:right="719" w:firstLine="194"/>
        <w:spacing w:after="0" w:line="355" w:lineRule="auto"/>
        <w:rPr>
          <w:sz w:val="20"/>
          <w:szCs w:val="20"/>
          <w:color w:val="auto"/>
        </w:rPr>
      </w:pPr>
      <w:r>
        <w:rPr>
          <w:rFonts w:ascii="Arial" w:cs="Arial" w:eastAsia="Arial" w:hAnsi="Arial"/>
          <w:sz w:val="14"/>
          <w:szCs w:val="14"/>
          <w:color w:val="auto"/>
        </w:rPr>
        <w:t>The 2004 Plan is administered by our board of directors or by a compensation committee appointed by the board of directors, which determines, subject to Israeli law, the grantees of awards and the terms of the grant, including, exercise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7" w:name="page88"/>
    <w:bookmarkEnd w:id="87"/>
    <w:p>
      <w:pPr>
        <w:jc w:val="both"/>
        <w:ind w:left="580" w:right="719"/>
        <w:spacing w:after="0" w:line="292" w:lineRule="auto"/>
        <w:rPr>
          <w:sz w:val="20"/>
          <w:szCs w:val="20"/>
          <w:color w:val="auto"/>
        </w:rPr>
      </w:pPr>
      <w:r>
        <w:rPr>
          <w:rFonts w:ascii="Arial" w:cs="Arial" w:eastAsia="Arial" w:hAnsi="Arial"/>
          <w:sz w:val="15"/>
          <w:szCs w:val="15"/>
          <w:color w:val="auto"/>
        </w:rPr>
        <w:t>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46" w:lineRule="exact"/>
        <w:rPr>
          <w:sz w:val="20"/>
          <w:szCs w:val="20"/>
          <w:color w:val="auto"/>
        </w:rPr>
      </w:pPr>
    </w:p>
    <w:p>
      <w:pPr>
        <w:ind w:left="580" w:right="639" w:firstLine="194"/>
        <w:spacing w:after="0" w:line="293" w:lineRule="auto"/>
        <w:rPr>
          <w:sz w:val="20"/>
          <w:szCs w:val="20"/>
          <w:color w:val="auto"/>
        </w:rPr>
      </w:pPr>
      <w:r>
        <w:rPr>
          <w:rFonts w:ascii="Arial" w:cs="Arial" w:eastAsia="Arial" w:hAnsi="Arial"/>
          <w:sz w:val="14"/>
          <w:szCs w:val="14"/>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(up to 50% in 2014).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14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Vesting schedule of options granted under the 2004 Plan is set forth in each grantee’s grant letter.</w:t>
      </w:r>
    </w:p>
    <w:p>
      <w:pPr>
        <w:spacing w:after="0" w:line="204" w:lineRule="exact"/>
        <w:rPr>
          <w:sz w:val="20"/>
          <w:szCs w:val="20"/>
          <w:color w:val="auto"/>
        </w:rPr>
      </w:pPr>
    </w:p>
    <w:p>
      <w:pPr>
        <w:ind w:left="580" w:right="579" w:firstLine="194"/>
        <w:spacing w:after="0" w:line="274" w:lineRule="auto"/>
        <w:rPr>
          <w:sz w:val="20"/>
          <w:szCs w:val="20"/>
          <w:color w:val="auto"/>
        </w:rPr>
      </w:pPr>
      <w:r>
        <w:rPr>
          <w:rFonts w:ascii="Arial" w:cs="Arial" w:eastAsia="Arial" w:hAnsi="Arial"/>
          <w:sz w:val="15"/>
          <w:szCs w:val="15"/>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163" w:lineRule="exact"/>
        <w:rPr>
          <w:sz w:val="20"/>
          <w:szCs w:val="20"/>
          <w:color w:val="auto"/>
        </w:rPr>
      </w:pPr>
    </w:p>
    <w:p>
      <w:pPr>
        <w:ind w:left="580" w:right="579" w:firstLine="194"/>
        <w:spacing w:after="0" w:line="281" w:lineRule="auto"/>
        <w:rPr>
          <w:sz w:val="20"/>
          <w:szCs w:val="20"/>
          <w:color w:val="auto"/>
        </w:rPr>
      </w:pPr>
      <w:r>
        <w:rPr>
          <w:rFonts w:ascii="Arial" w:cs="Arial" w:eastAsia="Arial" w:hAnsi="Arial"/>
          <w:sz w:val="16"/>
          <w:szCs w:val="16"/>
          <w:color w:val="auto"/>
        </w:rPr>
        <w:t>Options may not be sold, assigned, pledged or otherwise disposed of by the participant who holds such options, except by will or the laws of descent.</w:t>
      </w:r>
    </w:p>
    <w:p>
      <w:pPr>
        <w:spacing w:after="0" w:line="151" w:lineRule="exact"/>
        <w:rPr>
          <w:sz w:val="20"/>
          <w:szCs w:val="20"/>
          <w:color w:val="auto"/>
        </w:rPr>
      </w:pPr>
    </w:p>
    <w:p>
      <w:pPr>
        <w:ind w:left="580" w:right="619" w:firstLine="194"/>
        <w:spacing w:after="0" w:line="302" w:lineRule="auto"/>
        <w:rPr>
          <w:sz w:val="20"/>
          <w:szCs w:val="20"/>
          <w:color w:val="auto"/>
        </w:rPr>
      </w:pPr>
      <w:r>
        <w:rPr>
          <w:rFonts w:ascii="Arial" w:cs="Arial" w:eastAsia="Arial" w:hAnsi="Arial"/>
          <w:sz w:val="14"/>
          <w:szCs w:val="14"/>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2012 Share Incentive Plan</w:t>
      </w:r>
    </w:p>
    <w:p>
      <w:pPr>
        <w:spacing w:after="0" w:line="204" w:lineRule="exact"/>
        <w:rPr>
          <w:sz w:val="20"/>
          <w:szCs w:val="20"/>
          <w:color w:val="auto"/>
        </w:rPr>
      </w:pPr>
    </w:p>
    <w:p>
      <w:pPr>
        <w:ind w:left="580" w:right="659" w:firstLine="194"/>
        <w:spacing w:after="0" w:line="275" w:lineRule="auto"/>
        <w:rPr>
          <w:sz w:val="20"/>
          <w:szCs w:val="20"/>
          <w:color w:val="auto"/>
        </w:rPr>
      </w:pPr>
      <w:r>
        <w:rPr>
          <w:rFonts w:ascii="Arial" w:cs="Arial" w:eastAsia="Arial" w:hAnsi="Arial"/>
          <w:sz w:val="15"/>
          <w:szCs w:val="15"/>
          <w:color w:val="auto"/>
        </w:rPr>
        <w:t>In October 2012, our board of directors adopted and our shareholders approved our 2012 Share Incentive Plan, or the 2012 Plan</w:t>
      </w:r>
      <w:r>
        <w:rPr>
          <w:rFonts w:ascii="Arial" w:cs="Arial" w:eastAsia="Arial" w:hAnsi="Arial"/>
          <w:sz w:val="15"/>
          <w:szCs w:val="15"/>
          <w:i w:val="1"/>
          <w:iCs w:val="1"/>
          <w:color w:val="auto"/>
        </w:rPr>
        <w:t>.</w:t>
      </w:r>
      <w:r>
        <w:rPr>
          <w:rFonts w:ascii="Arial" w:cs="Arial" w:eastAsia="Arial" w:hAnsi="Arial"/>
          <w:sz w:val="15"/>
          <w:szCs w:val="15"/>
          <w:color w:val="auto"/>
        </w:rPr>
        <w:t xml:space="preserve"> The 2012 Plan replaced our 2004 Plan. We are no longer granting options under the 2012 Plan because it was superceded by the 2015 Plan, although previously granted awards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March 16, 2015, we had options to purchase 1,696,068 ordinary shares outstanding under the 2012 Plan. Our board of directors may increase the number of shares available for future grant at any time.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8" w:name="page89"/>
    <w:bookmarkEnd w:id="88"/>
    <w:p>
      <w:pPr>
        <w:ind w:left="580" w:right="599" w:firstLine="194"/>
        <w:spacing w:after="0" w:line="278" w:lineRule="auto"/>
        <w:rPr>
          <w:sz w:val="20"/>
          <w:szCs w:val="20"/>
          <w:color w:val="auto"/>
        </w:rPr>
      </w:pPr>
      <w:r>
        <w:rPr>
          <w:rFonts w:ascii="Arial" w:cs="Arial" w:eastAsia="Arial" w:hAnsi="Arial"/>
          <w:sz w:val="15"/>
          <w:szCs w:val="15"/>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58" w:lineRule="exact"/>
        <w:rPr>
          <w:sz w:val="20"/>
          <w:szCs w:val="20"/>
          <w:color w:val="auto"/>
        </w:rPr>
      </w:pPr>
    </w:p>
    <w:p>
      <w:pPr>
        <w:ind w:left="580" w:right="619" w:firstLine="194"/>
        <w:spacing w:after="0" w:line="259" w:lineRule="auto"/>
        <w:rPr>
          <w:sz w:val="20"/>
          <w:szCs w:val="20"/>
          <w:color w:val="auto"/>
        </w:rPr>
      </w:pPr>
      <w:r>
        <w:rPr>
          <w:rFonts w:ascii="Arial" w:cs="Arial" w:eastAsia="Arial" w:hAnsi="Arial"/>
          <w:sz w:val="16"/>
          <w:szCs w:val="16"/>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102(b)(2) of the Ordinance. Our Israeli non-employee service providers and controlling shareholders may only be granted options under Section 3(i) of the Ordinance, which does not provide for similar tax benefits.</w:t>
      </w:r>
    </w:p>
    <w:p>
      <w:pPr>
        <w:spacing w:after="0" w:line="170" w:lineRule="exact"/>
        <w:rPr>
          <w:sz w:val="20"/>
          <w:szCs w:val="20"/>
          <w:color w:val="auto"/>
        </w:rPr>
      </w:pPr>
    </w:p>
    <w:p>
      <w:pPr>
        <w:ind w:left="580" w:right="639" w:firstLine="194"/>
        <w:spacing w:after="0" w:line="262" w:lineRule="auto"/>
        <w:rPr>
          <w:sz w:val="20"/>
          <w:szCs w:val="20"/>
          <w:color w:val="auto"/>
        </w:rPr>
      </w:pPr>
      <w:r>
        <w:rPr>
          <w:rFonts w:ascii="Arial" w:cs="Arial" w:eastAsia="Arial" w:hAnsi="Arial"/>
          <w:sz w:val="16"/>
          <w:szCs w:val="16"/>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66" w:lineRule="exact"/>
        <w:rPr>
          <w:sz w:val="20"/>
          <w:szCs w:val="20"/>
          <w:color w:val="auto"/>
        </w:rPr>
      </w:pPr>
    </w:p>
    <w:p>
      <w:pPr>
        <w:ind w:left="580" w:right="699" w:firstLine="194"/>
        <w:spacing w:after="0" w:line="281" w:lineRule="auto"/>
        <w:rPr>
          <w:sz w:val="20"/>
          <w:szCs w:val="20"/>
          <w:color w:val="auto"/>
        </w:rPr>
      </w:pPr>
      <w:r>
        <w:rPr>
          <w:rFonts w:ascii="Arial" w:cs="Arial" w:eastAsia="Arial" w:hAnsi="Arial"/>
          <w:sz w:val="16"/>
          <w:szCs w:val="16"/>
          <w:color w:val="auto"/>
        </w:rPr>
        <w:t>Awards under the 2012 Plan may be granted until 10 years from the date on which the 2012 Plan was adopted by our board of directors.</w:t>
      </w:r>
    </w:p>
    <w:p>
      <w:pPr>
        <w:spacing w:after="0" w:line="151" w:lineRule="exact"/>
        <w:rPr>
          <w:sz w:val="20"/>
          <w:szCs w:val="20"/>
          <w:color w:val="auto"/>
        </w:rPr>
      </w:pPr>
    </w:p>
    <w:p>
      <w:pPr>
        <w:ind w:left="580" w:right="639" w:firstLine="194"/>
        <w:spacing w:after="0" w:line="259" w:lineRule="auto"/>
        <w:rPr>
          <w:sz w:val="20"/>
          <w:szCs w:val="20"/>
          <w:color w:val="auto"/>
        </w:rPr>
      </w:pPr>
      <w:r>
        <w:rPr>
          <w:rFonts w:ascii="Arial" w:cs="Arial" w:eastAsia="Arial" w:hAnsi="Arial"/>
          <w:sz w:val="16"/>
          <w:szCs w:val="16"/>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70" w:lineRule="exact"/>
        <w:rPr>
          <w:sz w:val="20"/>
          <w:szCs w:val="20"/>
          <w:color w:val="auto"/>
        </w:rPr>
      </w:pPr>
    </w:p>
    <w:p>
      <w:pPr>
        <w:ind w:left="580" w:right="579" w:firstLine="194"/>
        <w:spacing w:after="0" w:line="273" w:lineRule="auto"/>
        <w:rPr>
          <w:sz w:val="20"/>
          <w:szCs w:val="20"/>
          <w:color w:val="auto"/>
        </w:rPr>
      </w:pPr>
      <w:r>
        <w:rPr>
          <w:rFonts w:ascii="Arial" w:cs="Arial" w:eastAsia="Arial" w:hAnsi="Arial"/>
          <w:sz w:val="15"/>
          <w:szCs w:val="15"/>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63" w:lineRule="exact"/>
        <w:rPr>
          <w:sz w:val="20"/>
          <w:szCs w:val="20"/>
          <w:color w:val="auto"/>
        </w:rPr>
      </w:pPr>
    </w:p>
    <w:p>
      <w:pPr>
        <w:ind w:left="580" w:right="619" w:firstLine="194"/>
        <w:spacing w:after="0" w:line="297" w:lineRule="auto"/>
        <w:rPr>
          <w:sz w:val="20"/>
          <w:szCs w:val="20"/>
          <w:color w:val="auto"/>
        </w:rPr>
      </w:pPr>
      <w:r>
        <w:rPr>
          <w:rFonts w:ascii="Arial" w:cs="Arial" w:eastAsia="Arial" w:hAnsi="Arial"/>
          <w:sz w:val="14"/>
          <w:szCs w:val="14"/>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45" w:lineRule="exact"/>
        <w:rPr>
          <w:sz w:val="20"/>
          <w:szCs w:val="20"/>
          <w:color w:val="auto"/>
        </w:rPr>
      </w:pPr>
    </w:p>
    <w:p>
      <w:pPr>
        <w:ind w:left="580" w:right="559" w:firstLine="194"/>
        <w:spacing w:after="0" w:line="278" w:lineRule="auto"/>
        <w:rPr>
          <w:sz w:val="20"/>
          <w:szCs w:val="20"/>
          <w:color w:val="auto"/>
        </w:rPr>
      </w:pPr>
      <w:r>
        <w:rPr>
          <w:rFonts w:ascii="Arial" w:cs="Arial" w:eastAsia="Arial" w:hAnsi="Arial"/>
          <w:sz w:val="15"/>
          <w:szCs w:val="15"/>
          <w:color w:val="auto"/>
        </w:rPr>
        <w:t>Restricted share awards are ordinary shares that are awarded to a participant subject to the satisfaction of the terms and conditions established by the board of directors or a committee designated by the board of directors. Until such time as the applicable restrictions lapse, restricted shares are subject to forfeiture and may not be sold, assigned, pledged or otherwise disposed of by the participant who holds those shares, except by will or the laws of descent. Generally, if a grantee’s employment or service is terminated for any reason prior to the expiration of the time when the restrictions lapse, shares that are still restricted will be forfeited by the participant.</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9" w:name="page90"/>
    <w:bookmarkEnd w:id="89"/>
    <w:p>
      <w:pPr>
        <w:ind w:left="580"/>
        <w:spacing w:after="0"/>
        <w:rPr>
          <w:sz w:val="20"/>
          <w:szCs w:val="20"/>
          <w:color w:val="auto"/>
        </w:rPr>
      </w:pPr>
      <w:r>
        <w:rPr>
          <w:rFonts w:ascii="Arial" w:cs="Arial" w:eastAsia="Arial" w:hAnsi="Arial"/>
          <w:sz w:val="16"/>
          <w:szCs w:val="16"/>
          <w:b w:val="1"/>
          <w:bCs w:val="1"/>
          <w:i w:val="1"/>
          <w:iCs w:val="1"/>
          <w:color w:val="auto"/>
        </w:rPr>
        <w:t>2015 Incentive Compensation Plan</w:t>
      </w:r>
    </w:p>
    <w:p>
      <w:pPr>
        <w:spacing w:after="0" w:line="204" w:lineRule="exact"/>
        <w:rPr>
          <w:sz w:val="20"/>
          <w:szCs w:val="20"/>
          <w:color w:val="auto"/>
        </w:rPr>
      </w:pPr>
    </w:p>
    <w:p>
      <w:pPr>
        <w:ind w:left="580" w:right="579" w:firstLine="194"/>
        <w:spacing w:after="0" w:line="273" w:lineRule="auto"/>
        <w:rPr>
          <w:sz w:val="20"/>
          <w:szCs w:val="20"/>
          <w:color w:val="auto"/>
        </w:rPr>
      </w:pPr>
      <w:r>
        <w:rPr>
          <w:rFonts w:ascii="Arial" w:cs="Arial" w:eastAsia="Arial" w:hAnsi="Arial"/>
          <w:sz w:val="15"/>
          <w:szCs w:val="15"/>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lesser of: (x) 3% of the total number of shares outstanding on December 31 of the immediately preceding calendar year, (y) an amount determined by our board of directors, and (z) 1,965,930 shares. From and after the effective date of the 2015 Plan, no further grants or awards shall be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w:t>
      </w:r>
    </w:p>
    <w:p>
      <w:pPr>
        <w:spacing w:after="0" w:line="163" w:lineRule="exact"/>
        <w:rPr>
          <w:sz w:val="20"/>
          <w:szCs w:val="20"/>
          <w:color w:val="auto"/>
        </w:rPr>
      </w:pPr>
    </w:p>
    <w:p>
      <w:pPr>
        <w:ind w:left="580" w:right="859" w:firstLine="194"/>
        <w:spacing w:after="0" w:line="292" w:lineRule="auto"/>
        <w:rPr>
          <w:sz w:val="20"/>
          <w:szCs w:val="20"/>
          <w:color w:val="auto"/>
        </w:rPr>
      </w:pPr>
      <w:r>
        <w:rPr>
          <w:rFonts w:ascii="Arial" w:cs="Arial" w:eastAsia="Arial" w:hAnsi="Arial"/>
          <w:sz w:val="15"/>
          <w:szCs w:val="15"/>
          <w:color w:val="auto"/>
        </w:rPr>
        <w:t>Subject to applicable law, the 2015 Plan will be administered by our compensation committee which will have full authority in all matters related to the discharge of its responsibilities and the exercise of its authority under the plan. Awards under the 2015 Plan may be granted until 10 years after the effective date of the 2015 Plan.</w:t>
      </w:r>
    </w:p>
    <w:p>
      <w:pPr>
        <w:spacing w:after="0" w:line="146" w:lineRule="exact"/>
        <w:rPr>
          <w:sz w:val="20"/>
          <w:szCs w:val="20"/>
          <w:color w:val="auto"/>
        </w:rPr>
      </w:pPr>
    </w:p>
    <w:p>
      <w:pPr>
        <w:jc w:val="both"/>
        <w:ind w:left="580" w:right="659" w:firstLine="194"/>
        <w:spacing w:after="0" w:line="311" w:lineRule="auto"/>
        <w:rPr>
          <w:sz w:val="20"/>
          <w:szCs w:val="20"/>
          <w:color w:val="auto"/>
        </w:rPr>
      </w:pPr>
      <w:r>
        <w:rPr>
          <w:rFonts w:ascii="Arial" w:cs="Arial" w:eastAsia="Arial" w:hAnsi="Arial"/>
          <w:sz w:val="14"/>
          <w:szCs w:val="14"/>
          <w:color w:val="auto"/>
        </w:rPr>
        <w:t>The terms of options granted under the 2015 Plan, including the exercise price, vesting provisions and the duration of an option, shall be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135" w:lineRule="exact"/>
        <w:rPr>
          <w:sz w:val="20"/>
          <w:szCs w:val="20"/>
          <w:color w:val="auto"/>
        </w:rPr>
      </w:pPr>
    </w:p>
    <w:p>
      <w:pPr>
        <w:ind w:left="580" w:right="579" w:firstLine="194"/>
        <w:spacing w:after="0" w:line="298" w:lineRule="auto"/>
        <w:rPr>
          <w:sz w:val="20"/>
          <w:szCs w:val="20"/>
          <w:color w:val="auto"/>
        </w:rPr>
      </w:pPr>
      <w:r>
        <w:rPr>
          <w:rFonts w:ascii="Arial" w:cs="Arial" w:eastAsia="Arial" w:hAnsi="Arial"/>
          <w:sz w:val="14"/>
          <w:szCs w:val="14"/>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45" w:lineRule="exact"/>
        <w:rPr>
          <w:sz w:val="20"/>
          <w:szCs w:val="20"/>
          <w:color w:val="auto"/>
        </w:rPr>
      </w:pPr>
    </w:p>
    <w:p>
      <w:pPr>
        <w:ind w:left="580" w:right="659" w:firstLine="194"/>
        <w:spacing w:after="0" w:line="262" w:lineRule="auto"/>
        <w:rPr>
          <w:sz w:val="20"/>
          <w:szCs w:val="20"/>
          <w:color w:val="auto"/>
        </w:rPr>
      </w:pPr>
      <w:r>
        <w:rPr>
          <w:rFonts w:ascii="Arial" w:cs="Arial" w:eastAsia="Arial" w:hAnsi="Arial"/>
          <w:sz w:val="16"/>
          <w:szCs w:val="16"/>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66" w:lineRule="exact"/>
        <w:rPr>
          <w:sz w:val="20"/>
          <w:szCs w:val="20"/>
          <w:color w:val="auto"/>
        </w:rPr>
      </w:pPr>
    </w:p>
    <w:p>
      <w:pPr>
        <w:ind w:left="580" w:right="579" w:firstLine="194"/>
        <w:spacing w:after="0" w:line="262" w:lineRule="auto"/>
        <w:rPr>
          <w:sz w:val="20"/>
          <w:szCs w:val="20"/>
          <w:color w:val="auto"/>
        </w:rPr>
      </w:pPr>
      <w:r>
        <w:rPr>
          <w:rFonts w:ascii="Arial" w:cs="Arial" w:eastAsia="Arial" w:hAnsi="Arial"/>
          <w:sz w:val="16"/>
          <w:szCs w:val="16"/>
          <w:color w:val="auto"/>
        </w:rPr>
        <w:t>Restricted share units are awards covering a number of hypothetical units with respect to shares that are granted subject to such vesting and transfer restrictions and conditions of payment as the compensation committee may determine in an award agreement. Restricted share units are payable in cash, ordinary shares of equivalent value or a combination thereof.</w:t>
      </w:r>
    </w:p>
    <w:p>
      <w:pPr>
        <w:spacing w:after="0" w:line="166" w:lineRule="exact"/>
        <w:rPr>
          <w:sz w:val="20"/>
          <w:szCs w:val="20"/>
          <w:color w:val="auto"/>
        </w:rPr>
      </w:pPr>
    </w:p>
    <w:p>
      <w:pPr>
        <w:ind w:left="580" w:right="799" w:firstLine="194"/>
        <w:spacing w:after="0" w:line="292" w:lineRule="auto"/>
        <w:rPr>
          <w:sz w:val="20"/>
          <w:szCs w:val="20"/>
          <w:color w:val="auto"/>
        </w:rPr>
      </w:pPr>
      <w:r>
        <w:rPr>
          <w:rFonts w:ascii="Arial" w:cs="Arial" w:eastAsia="Arial" w:hAnsi="Arial"/>
          <w:sz w:val="15"/>
          <w:szCs w:val="15"/>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146" w:lineRule="exact"/>
        <w:rPr>
          <w:sz w:val="20"/>
          <w:szCs w:val="20"/>
          <w:color w:val="auto"/>
        </w:rPr>
      </w:pPr>
    </w:p>
    <w:p>
      <w:pPr>
        <w:ind w:left="580" w:right="619" w:firstLine="194"/>
        <w:spacing w:after="0" w:line="262" w:lineRule="auto"/>
        <w:rPr>
          <w:sz w:val="20"/>
          <w:szCs w:val="20"/>
          <w:color w:val="auto"/>
        </w:rPr>
      </w:pPr>
      <w:r>
        <w:rPr>
          <w:rFonts w:ascii="Arial" w:cs="Arial" w:eastAsia="Arial" w:hAnsi="Arial"/>
          <w:sz w:val="16"/>
          <w:szCs w:val="16"/>
          <w:color w:val="auto"/>
        </w:rPr>
        <w:t>The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66" w:lineRule="exact"/>
        <w:rPr>
          <w:sz w:val="20"/>
          <w:szCs w:val="20"/>
          <w:color w:val="auto"/>
        </w:rPr>
      </w:pPr>
    </w:p>
    <w:p>
      <w:pPr>
        <w:ind w:left="580" w:right="659" w:firstLine="194"/>
        <w:spacing w:after="0" w:line="259" w:lineRule="auto"/>
        <w:rPr>
          <w:sz w:val="20"/>
          <w:szCs w:val="20"/>
          <w:color w:val="auto"/>
        </w:rPr>
      </w:pPr>
      <w:r>
        <w:rPr>
          <w:rFonts w:ascii="Arial" w:cs="Arial" w:eastAsia="Arial" w:hAnsi="Arial"/>
          <w:sz w:val="16"/>
          <w:szCs w:val="16"/>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 (i) adjusting the number of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90" w:name="page91"/>
    <w:bookmarkEnd w:id="90"/>
    <w:p>
      <w:pPr>
        <w:ind w:left="580" w:right="599"/>
        <w:spacing w:after="0" w:line="278" w:lineRule="auto"/>
        <w:rPr>
          <w:sz w:val="20"/>
          <w:szCs w:val="20"/>
          <w:color w:val="auto"/>
        </w:rPr>
      </w:pPr>
      <w:r>
        <w:rPr>
          <w:rFonts w:ascii="Arial" w:cs="Arial" w:eastAsia="Arial" w:hAnsi="Arial"/>
          <w:sz w:val="15"/>
          <w:szCs w:val="15"/>
          <w:color w:val="auto"/>
        </w:rPr>
        <w:t>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2015 Israeli Sub Plan</w:t>
      </w:r>
    </w:p>
    <w:p>
      <w:pPr>
        <w:spacing w:after="0" w:line="204" w:lineRule="exact"/>
        <w:rPr>
          <w:sz w:val="20"/>
          <w:szCs w:val="20"/>
          <w:color w:val="auto"/>
        </w:rPr>
      </w:pPr>
    </w:p>
    <w:p>
      <w:pPr>
        <w:ind w:left="580" w:right="599" w:firstLine="194"/>
        <w:spacing w:after="0" w:line="297" w:lineRule="auto"/>
        <w:rPr>
          <w:sz w:val="20"/>
          <w:szCs w:val="20"/>
          <w:color w:val="auto"/>
        </w:rPr>
      </w:pPr>
      <w:r>
        <w:rPr>
          <w:rFonts w:ascii="Arial" w:cs="Arial" w:eastAsia="Arial" w:hAnsi="Arial"/>
          <w:sz w:val="14"/>
          <w:szCs w:val="14"/>
          <w:color w:val="auto"/>
        </w:rPr>
        <w:t>The 2015 Israeli Sub Plan provides for the grant by us of awards pursuant to Sections 102 and 3(i) of the Israeli Income Tax Ordinance, or the Ordinance, and the rules and regulations promulgated thereunder. The 2015 Israeli Sub Plan is effective with respect to awards granted as of 30 days from the date we submitted it to the Israeli Tax Authority, or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2015 U.S. Sub Plan</w:t>
      </w:r>
    </w:p>
    <w:p>
      <w:pPr>
        <w:spacing w:after="0" w:line="204" w:lineRule="exact"/>
        <w:rPr>
          <w:sz w:val="20"/>
          <w:szCs w:val="20"/>
          <w:color w:val="auto"/>
        </w:rPr>
      </w:pPr>
    </w:p>
    <w:p>
      <w:pPr>
        <w:ind w:left="580" w:right="579" w:firstLine="194"/>
        <w:spacing w:after="0" w:line="272" w:lineRule="auto"/>
        <w:rPr>
          <w:sz w:val="20"/>
          <w:szCs w:val="20"/>
          <w:color w:val="auto"/>
        </w:rPr>
      </w:pPr>
      <w:r>
        <w:rPr>
          <w:rFonts w:ascii="Arial" w:cs="Arial" w:eastAsia="Arial" w:hAnsi="Arial"/>
          <w:sz w:val="15"/>
          <w:szCs w:val="15"/>
          <w:color w:val="auto"/>
        </w:rPr>
        <w:t>The 2015 U.S. Sub Plan applies to grantees that are subject to U.S. federal income tax. The 2015 U.S. Sub Plan provides that options granted to the U.S. grantees will either be incentive stock options pursuant to Section 422 of the Internal Revenue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Internal Revenue Code and provided that shares delivered pursuant to “substitute awards” shall reduce the shares available for issuance of incentive stock options under the 2015 Plan. It is the intention that no award shall be deferred compensation subject to Section 409A of the Internal Revenue Code unless and to the extent that the compensation committee specifically determines otherwise. If the compensation committee determines an award will be subject to Section 409A of the Internal Revenue Code such awards shall be intended to comply in all respects with Section 409A of the Code, and the 2015 Plan and the terms and conditions of such awards shall be interpreted and administered accordingly.</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204" w:lineRule="exact"/>
        <w:rPr>
          <w:sz w:val="20"/>
          <w:szCs w:val="20"/>
          <w:color w:val="auto"/>
        </w:rPr>
      </w:pPr>
    </w:p>
    <w:p>
      <w:pPr>
        <w:ind w:left="580" w:right="619" w:firstLine="194"/>
        <w:spacing w:after="0" w:line="291" w:lineRule="auto"/>
        <w:rPr>
          <w:sz w:val="20"/>
          <w:szCs w:val="20"/>
          <w:color w:val="auto"/>
        </w:rPr>
      </w:pPr>
      <w:r>
        <w:rPr>
          <w:rFonts w:ascii="Arial" w:cs="Arial" w:eastAsia="Arial" w:hAnsi="Arial"/>
          <w:sz w:val="14"/>
          <w:szCs w:val="14"/>
          <w:color w:val="auto"/>
        </w:rPr>
        <w:t>We have adopted an employee stock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receives on each pay day during the offering period. To date, we have not granted employees the right to make purchases under the plan. The number of shares initially reserved for purchase under the ESPP is 242,425 ordinary shares, which will be automatically increased annually on January 1 by a number of ordinary shares equal to the lesser of</w:t>
      </w:r>
    </w:p>
    <w:p>
      <w:pPr>
        <w:spacing w:after="0" w:line="4" w:lineRule="exact"/>
        <w:rPr>
          <w:sz w:val="20"/>
          <w:szCs w:val="20"/>
          <w:color w:val="auto"/>
        </w:rPr>
      </w:pPr>
    </w:p>
    <w:p>
      <w:pPr>
        <w:ind w:left="580" w:right="759" w:hanging="3"/>
        <w:spacing w:after="0" w:line="259" w:lineRule="auto"/>
        <w:tabs>
          <w:tab w:leader="none" w:pos="773" w:val="left"/>
        </w:tabs>
        <w:numPr>
          <w:ilvl w:val="0"/>
          <w:numId w:val="64"/>
        </w:numPr>
        <w:rPr>
          <w:rFonts w:ascii="Arial" w:cs="Arial" w:eastAsia="Arial" w:hAnsi="Arial"/>
          <w:sz w:val="16"/>
          <w:szCs w:val="16"/>
          <w:color w:val="auto"/>
        </w:rPr>
      </w:pPr>
      <w:r>
        <w:rPr>
          <w:rFonts w:ascii="Arial" w:cs="Arial" w:eastAsia="Arial" w:hAnsi="Arial"/>
          <w:sz w:val="16"/>
          <w:szCs w:val="16"/>
          <w:color w:val="auto"/>
        </w:rPr>
        <w:t>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167" w:lineRule="exact"/>
        <w:rPr>
          <w:sz w:val="20"/>
          <w:szCs w:val="20"/>
          <w:color w:val="auto"/>
        </w:rPr>
      </w:pPr>
    </w:p>
    <w:p>
      <w:pPr>
        <w:ind w:left="580" w:right="599" w:firstLine="194"/>
        <w:spacing w:after="0" w:line="274" w:lineRule="auto"/>
        <w:rPr>
          <w:sz w:val="20"/>
          <w:szCs w:val="20"/>
          <w:color w:val="auto"/>
        </w:rPr>
      </w:pPr>
      <w:r>
        <w:rPr>
          <w:rFonts w:ascii="Arial" w:cs="Arial" w:eastAsia="Arial" w:hAnsi="Arial"/>
          <w:sz w:val="15"/>
          <w:szCs w:val="15"/>
          <w:color w:val="auto"/>
        </w:rPr>
        <w:t>The ESPP is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the company’s ordinary shares determined by dividing (1) the employee’s payroll deductions accumulated prior to such exercise date and retained in the employee’s account as of the exercise date by (2) the applicable purchase price. The applicable purchase price is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6"/>
          <w:szCs w:val="16"/>
          <w:b w:val="1"/>
          <w:bCs w:val="1"/>
          <w:color w:val="auto"/>
        </w:rPr>
        <w:t>PRINCIPAL SHAREHOLDERS</w:t>
      </w:r>
    </w:p>
    <w:p>
      <w:pPr>
        <w:spacing w:after="0" w:line="208" w:lineRule="exact"/>
        <w:rPr>
          <w:sz w:val="20"/>
          <w:szCs w:val="20"/>
          <w:color w:val="auto"/>
        </w:rPr>
      </w:pPr>
    </w:p>
    <w:p>
      <w:pPr>
        <w:ind w:left="580" w:right="859" w:firstLine="194"/>
        <w:spacing w:after="0" w:line="281" w:lineRule="auto"/>
        <w:rPr>
          <w:sz w:val="20"/>
          <w:szCs w:val="20"/>
          <w:color w:val="auto"/>
        </w:rPr>
      </w:pPr>
      <w:r>
        <w:rPr>
          <w:rFonts w:ascii="Arial" w:cs="Arial" w:eastAsia="Arial" w:hAnsi="Arial"/>
          <w:sz w:val="16"/>
          <w:szCs w:val="16"/>
          <w:color w:val="auto"/>
        </w:rPr>
        <w:t>The following table sets forth information with respect to the beneficial ownership of our ordinary shares as of the date of this prospectus and after this offering by:</w:t>
      </w:r>
    </w:p>
    <w:p>
      <w:pPr>
        <w:spacing w:after="0" w:line="150" w:lineRule="exact"/>
        <w:rPr>
          <w:sz w:val="20"/>
          <w:szCs w:val="20"/>
          <w:color w:val="auto"/>
        </w:rPr>
      </w:pPr>
    </w:p>
    <w:p>
      <w:pPr>
        <w:ind w:left="940" w:hanging="169"/>
        <w:spacing w:after="0"/>
        <w:tabs>
          <w:tab w:leader="none" w:pos="940" w:val="left"/>
        </w:tabs>
        <w:numPr>
          <w:ilvl w:val="0"/>
          <w:numId w:val="65"/>
        </w:numPr>
        <w:rPr>
          <w:rFonts w:ascii="Arial" w:cs="Arial" w:eastAsia="Arial" w:hAnsi="Arial"/>
          <w:sz w:val="19"/>
          <w:szCs w:val="19"/>
          <w:color w:val="auto"/>
        </w:rPr>
      </w:pPr>
      <w:r>
        <w:rPr>
          <w:rFonts w:ascii="Arial" w:cs="Arial" w:eastAsia="Arial" w:hAnsi="Arial"/>
          <w:sz w:val="16"/>
          <w:szCs w:val="16"/>
          <w:color w:val="auto"/>
        </w:rPr>
        <w:t>each person or entity known by us to own beneficially 5% or more of our outstanding ordinary shares;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5"/>
        </w:numPr>
        <w:rPr>
          <w:rFonts w:ascii="Arial" w:cs="Arial" w:eastAsia="Arial" w:hAnsi="Arial"/>
          <w:sz w:val="19"/>
          <w:szCs w:val="19"/>
          <w:color w:val="auto"/>
        </w:rPr>
      </w:pPr>
      <w:r>
        <w:rPr>
          <w:rFonts w:ascii="Arial" w:cs="Arial" w:eastAsia="Arial" w:hAnsi="Arial"/>
          <w:sz w:val="16"/>
          <w:szCs w:val="16"/>
          <w:color w:val="auto"/>
        </w:rPr>
        <w:t>each of our directors and executive officers individually; and</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5"/>
        </w:numPr>
        <w:rPr>
          <w:rFonts w:ascii="Arial" w:cs="Arial" w:eastAsia="Arial" w:hAnsi="Arial"/>
          <w:sz w:val="19"/>
          <w:szCs w:val="19"/>
          <w:color w:val="auto"/>
        </w:rPr>
      </w:pPr>
      <w:r>
        <w:rPr>
          <w:rFonts w:ascii="Arial" w:cs="Arial" w:eastAsia="Arial" w:hAnsi="Arial"/>
          <w:sz w:val="16"/>
          <w:szCs w:val="16"/>
          <w:color w:val="auto"/>
        </w:rPr>
        <w:t>all of our executive officers and directors as a group.</w:t>
      </w:r>
    </w:p>
    <w:p>
      <w:pPr>
        <w:spacing w:after="0" w:line="182" w:lineRule="exact"/>
        <w:rPr>
          <w:sz w:val="20"/>
          <w:szCs w:val="20"/>
          <w:color w:val="auto"/>
        </w:rPr>
      </w:pPr>
    </w:p>
    <w:p>
      <w:pPr>
        <w:ind w:left="580" w:right="659" w:firstLine="194"/>
        <w:spacing w:after="0" w:line="296" w:lineRule="auto"/>
        <w:rPr>
          <w:sz w:val="20"/>
          <w:szCs w:val="20"/>
          <w:color w:val="auto"/>
        </w:rPr>
      </w:pPr>
      <w:r>
        <w:rPr>
          <w:rFonts w:ascii="Arial" w:cs="Arial" w:eastAsia="Arial" w:hAnsi="Arial"/>
          <w:sz w:val="14"/>
          <w:szCs w:val="14"/>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December 31, 2014 to be outstanding and to be beneficially owned by the person holding the options for the purposes of computing the percentage ownership of that person, but we do not treat them as outstanding for the purpose of computing the percentage ownership of any other person. The percentage of ordinary shares beneficially owned prior to the offering is based on 21,601,965 ordinary shares outstanding as of March 16, 2015, assuming the conversion of all outstanding preferred shares as of that date. Except where otherwise indicated, we believe, based on information furnished to us by such owners, that the beneficial owners of the ordinary shares listed below have sole investment and voting power with respect to such shares.</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 were not aware of any U.S. persons that are holders of record of our shares as of March 16, 2015.</w:t>
      </w:r>
    </w:p>
    <w:p>
      <w:pPr>
        <w:spacing w:after="0" w:line="204" w:lineRule="exact"/>
        <w:rPr>
          <w:sz w:val="20"/>
          <w:szCs w:val="20"/>
          <w:color w:val="auto"/>
        </w:rPr>
      </w:pPr>
    </w:p>
    <w:p>
      <w:pPr>
        <w:ind w:left="580" w:right="1039" w:firstLine="194"/>
        <w:spacing w:after="0" w:line="281" w:lineRule="auto"/>
        <w:rPr>
          <w:sz w:val="20"/>
          <w:szCs w:val="20"/>
          <w:color w:val="auto"/>
        </w:rPr>
      </w:pPr>
      <w:r>
        <w:rPr>
          <w:rFonts w:ascii="Arial" w:cs="Arial" w:eastAsia="Arial" w:hAnsi="Arial"/>
          <w:sz w:val="16"/>
          <w:szCs w:val="16"/>
          <w:color w:val="auto"/>
        </w:rPr>
        <w:t>Unless otherwise noted below, each shareholder’s address is c/o Kornit Digital Ltd., 12 Ha’Amal Street, Rosh – Ha’Ayin 4809246, Israel.</w:t>
      </w:r>
    </w:p>
    <w:p>
      <w:pPr>
        <w:spacing w:after="0" w:line="151" w:lineRule="exact"/>
        <w:rPr>
          <w:sz w:val="20"/>
          <w:szCs w:val="20"/>
          <w:color w:val="auto"/>
        </w:rPr>
      </w:pPr>
    </w:p>
    <w:p>
      <w:pPr>
        <w:ind w:left="580" w:right="679" w:firstLine="194"/>
        <w:spacing w:after="0" w:line="355" w:lineRule="auto"/>
        <w:rPr>
          <w:sz w:val="20"/>
          <w:szCs w:val="20"/>
          <w:color w:val="auto"/>
        </w:rPr>
      </w:pPr>
      <w:r>
        <w:rPr>
          <w:rFonts w:ascii="Arial" w:cs="Arial" w:eastAsia="Arial" w:hAnsi="Arial"/>
          <w:sz w:val="14"/>
          <w:szCs w:val="14"/>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05"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5"/>
                <w:szCs w:val="15"/>
                <w:b w:val="1"/>
                <w:bCs w:val="1"/>
                <w:color w:val="auto"/>
                <w:w w:val="86"/>
              </w:rPr>
              <w:t>Number and Percentage of</w:t>
            </w:r>
          </w:p>
        </w:tc>
        <w:tc>
          <w:tcPr>
            <w:tcW w:w="2120" w:type="dxa"/>
            <w:vAlign w:val="bottom"/>
            <w:gridSpan w:val="4"/>
          </w:tcPr>
          <w:p>
            <w:pPr>
              <w:jc w:val="center"/>
              <w:ind w:right="160"/>
              <w:spacing w:after="0"/>
              <w:rPr>
                <w:sz w:val="20"/>
                <w:szCs w:val="20"/>
                <w:color w:val="auto"/>
              </w:rPr>
            </w:pPr>
            <w:r>
              <w:rPr>
                <w:rFonts w:ascii="Arial" w:cs="Arial" w:eastAsia="Arial" w:hAnsi="Arial"/>
                <w:sz w:val="15"/>
                <w:szCs w:val="15"/>
                <w:b w:val="1"/>
                <w:bCs w:val="1"/>
                <w:color w:val="auto"/>
                <w:w w:val="89"/>
              </w:rPr>
              <w:t>Percentage of Ordinary</w:t>
            </w: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5"/>
                <w:szCs w:val="15"/>
                <w:b w:val="1"/>
                <w:bCs w:val="1"/>
                <w:color w:val="auto"/>
                <w:w w:val="89"/>
              </w:rPr>
              <w:t>Ordinary Shares Beneficially</w:t>
            </w:r>
          </w:p>
        </w:tc>
        <w:tc>
          <w:tcPr>
            <w:tcW w:w="212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86"/>
              </w:rPr>
              <w:t>Shares Beneficially Owned</w:t>
            </w:r>
          </w:p>
        </w:tc>
      </w:tr>
      <w:tr>
        <w:trPr>
          <w:trHeight w:val="188"/>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5"/>
                <w:szCs w:val="15"/>
                <w:b w:val="1"/>
                <w:bCs w:val="1"/>
                <w:color w:val="auto"/>
                <w:w w:val="90"/>
              </w:rPr>
              <w:t>Owned Prior to Offering</w:t>
            </w:r>
          </w:p>
        </w:tc>
        <w:tc>
          <w:tcPr>
            <w:tcW w:w="21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1"/>
              </w:rPr>
              <w:t>After the Offering</w:t>
            </w: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w w:val="82"/>
              </w:rPr>
              <w:t>Assuming</w:t>
            </w:r>
          </w:p>
        </w:tc>
        <w:tc>
          <w:tcPr>
            <w:tcW w:w="1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Assuming</w:t>
            </w:r>
          </w:p>
        </w:tc>
        <w:tc>
          <w:tcPr>
            <w:tcW w:w="10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Full</w:t>
            </w: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6"/>
              </w:rPr>
              <w:t>No Exercise</w:t>
            </w:r>
          </w:p>
        </w:tc>
        <w:tc>
          <w:tcPr>
            <w:tcW w:w="10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4"/>
              </w:rPr>
              <w:t>Exercise of</w:t>
            </w: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of the Over-</w:t>
            </w:r>
          </w:p>
        </w:tc>
        <w:tc>
          <w:tcPr>
            <w:tcW w:w="10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the Over-</w:t>
            </w: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Allotment</w:t>
            </w:r>
          </w:p>
        </w:tc>
        <w:tc>
          <w:tcPr>
            <w:tcW w:w="10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Allotment</w:t>
            </w:r>
          </w:p>
        </w:tc>
      </w:tr>
      <w:tr>
        <w:trPr>
          <w:trHeight w:val="188"/>
        </w:trPr>
        <w:tc>
          <w:tcPr>
            <w:tcW w:w="3520" w:type="dxa"/>
            <w:vAlign w:val="bottom"/>
            <w:gridSpan w:val="3"/>
          </w:tcPr>
          <w:p>
            <w:pPr>
              <w:spacing w:after="0"/>
              <w:rPr>
                <w:sz w:val="20"/>
                <w:szCs w:val="20"/>
                <w:color w:val="auto"/>
              </w:rPr>
            </w:pPr>
            <w:r>
              <w:rPr>
                <w:rFonts w:ascii="Arial" w:cs="Arial" w:eastAsia="Arial" w:hAnsi="Arial"/>
                <w:sz w:val="15"/>
                <w:szCs w:val="15"/>
                <w:b w:val="1"/>
                <w:bCs w:val="1"/>
                <w:color w:val="auto"/>
              </w:rPr>
              <w:t>Name</w:t>
            </w:r>
          </w:p>
        </w:tc>
        <w:tc>
          <w:tcPr>
            <w:tcW w:w="1120" w:type="dxa"/>
            <w:vAlign w:val="bottom"/>
            <w:gridSpan w:val="2"/>
          </w:tcPr>
          <w:p>
            <w:pPr>
              <w:ind w:left="160"/>
              <w:spacing w:after="0"/>
              <w:rPr>
                <w:sz w:val="20"/>
                <w:szCs w:val="20"/>
                <w:color w:val="auto"/>
              </w:rPr>
            </w:pPr>
            <w:r>
              <w:rPr>
                <w:rFonts w:ascii="Arial" w:cs="Arial" w:eastAsia="Arial" w:hAnsi="Arial"/>
                <w:sz w:val="15"/>
                <w:szCs w:val="15"/>
                <w:b w:val="1"/>
                <w:bCs w:val="1"/>
                <w:color w:val="auto"/>
              </w:rPr>
              <w:t>Number</w:t>
            </w:r>
          </w:p>
        </w:tc>
        <w:tc>
          <w:tcPr>
            <w:tcW w:w="11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Percent</w:t>
            </w: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Option</w:t>
            </w:r>
          </w:p>
        </w:tc>
        <w:tc>
          <w:tcPr>
            <w:tcW w:w="10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0"/>
              </w:rPr>
              <w:t>Option</w:t>
            </w:r>
          </w:p>
        </w:tc>
      </w:tr>
      <w:tr>
        <w:trPr>
          <w:trHeight w:val="180"/>
        </w:trPr>
        <w:tc>
          <w:tcPr>
            <w:tcW w:w="20" w:type="dxa"/>
            <w:vAlign w:val="bottom"/>
          </w:tcPr>
          <w:p>
            <w:pPr>
              <w:spacing w:after="0"/>
              <w:rPr>
                <w:sz w:val="15"/>
                <w:szCs w:val="15"/>
                <w:color w:val="auto"/>
              </w:rPr>
            </w:pPr>
          </w:p>
        </w:tc>
        <w:tc>
          <w:tcPr>
            <w:tcW w:w="33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5% or Greater Shareholders</w:t>
            </w:r>
          </w:p>
        </w:tc>
        <w:tc>
          <w:tcPr>
            <w:tcW w:w="1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6"/>
                <w:szCs w:val="16"/>
                <w:color w:val="auto"/>
              </w:rPr>
              <w:t>Fortissimo Capital Fund II (Israel), L.P.</w:t>
            </w:r>
            <w:r>
              <w:rPr>
                <w:rFonts w:ascii="Arial" w:cs="Arial" w:eastAsia="Arial" w:hAnsi="Arial"/>
                <w:sz w:val="21"/>
                <w:szCs w:val="21"/>
                <w:color w:val="auto"/>
                <w:vertAlign w:val="superscript"/>
              </w:rPr>
              <w:t>(1)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15,037,481</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69.6%</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52.4%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50.5%</w:t>
            </w: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6"/>
                <w:szCs w:val="16"/>
                <w:color w:val="auto"/>
              </w:rPr>
              <w:t>Gavriel Weinshtock</w:t>
            </w:r>
            <w:r>
              <w:rPr>
                <w:rFonts w:ascii="Arial" w:cs="Arial" w:eastAsia="Arial" w:hAnsi="Arial"/>
                <w:sz w:val="21"/>
                <w:szCs w:val="21"/>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1,349,414</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6.2%</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6"/>
                <w:szCs w:val="16"/>
                <w:color w:val="auto"/>
              </w:rPr>
              <w:t>Yossef Nuriel</w:t>
            </w:r>
            <w:r>
              <w:rPr>
                <w:rFonts w:ascii="Arial" w:cs="Arial" w:eastAsia="Arial" w:hAnsi="Arial"/>
                <w:sz w:val="21"/>
                <w:szCs w:val="21"/>
                <w:color w:val="auto"/>
                <w:vertAlign w:val="superscript"/>
              </w:rPr>
              <w:t>(3)</w:t>
            </w:r>
          </w:p>
        </w:tc>
        <w:tc>
          <w:tcPr>
            <w:tcW w:w="860" w:type="dxa"/>
            <w:vAlign w:val="bottom"/>
          </w:tcPr>
          <w:p>
            <w:pPr>
              <w:jc w:val="right"/>
              <w:spacing w:after="0"/>
              <w:rPr>
                <w:sz w:val="20"/>
                <w:szCs w:val="20"/>
                <w:color w:val="auto"/>
              </w:rPr>
            </w:pPr>
            <w:r>
              <w:rPr>
                <w:rFonts w:ascii="Arial" w:cs="Arial" w:eastAsia="Arial" w:hAnsi="Arial"/>
                <w:sz w:val="16"/>
                <w:szCs w:val="16"/>
                <w:color w:val="auto"/>
              </w:rPr>
              <w:t>1,264,027</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5.9%</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r>
      <w:tr>
        <w:trPr>
          <w:trHeight w:val="285"/>
        </w:trPr>
        <w:tc>
          <w:tcPr>
            <w:tcW w:w="3520" w:type="dxa"/>
            <w:vAlign w:val="bottom"/>
            <w:gridSpan w:val="3"/>
          </w:tcPr>
          <w:p>
            <w:pPr>
              <w:spacing w:after="0"/>
              <w:rPr>
                <w:sz w:val="20"/>
                <w:szCs w:val="20"/>
                <w:color w:val="auto"/>
              </w:rPr>
            </w:pPr>
            <w:r>
              <w:rPr>
                <w:rFonts w:ascii="Arial" w:cs="Arial" w:eastAsia="Arial" w:hAnsi="Arial"/>
                <w:sz w:val="16"/>
                <w:szCs w:val="16"/>
                <w:color w:val="auto"/>
              </w:rPr>
              <w:t>Yahel (Nur Group) Holdings Ltd.</w:t>
            </w:r>
            <w:r>
              <w:rPr>
                <w:rFonts w:ascii="Arial" w:cs="Arial" w:eastAsia="Arial" w:hAnsi="Arial"/>
                <w:sz w:val="21"/>
                <w:szCs w:val="21"/>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6"/>
                <w:szCs w:val="16"/>
                <w:color w:val="auto"/>
              </w:rPr>
              <w:t>1,095,789</w:t>
            </w:r>
          </w:p>
        </w:tc>
        <w:tc>
          <w:tcPr>
            <w:tcW w:w="2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5.1%</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r>
      <w:tr>
        <w:trPr>
          <w:trHeight w:val="296"/>
        </w:trPr>
        <w:tc>
          <w:tcPr>
            <w:tcW w:w="3520" w:type="dxa"/>
            <w:vAlign w:val="bottom"/>
            <w:gridSpan w:val="3"/>
          </w:tcPr>
          <w:p>
            <w:pPr>
              <w:spacing w:after="0"/>
              <w:rPr>
                <w:sz w:val="20"/>
                <w:szCs w:val="20"/>
                <w:color w:val="auto"/>
              </w:rPr>
            </w:pPr>
            <w:r>
              <w:rPr>
                <w:rFonts w:ascii="Arial" w:cs="Arial" w:eastAsia="Arial" w:hAnsi="Arial"/>
                <w:sz w:val="16"/>
                <w:szCs w:val="16"/>
                <w:b w:val="1"/>
                <w:bCs w:val="1"/>
                <w:color w:val="auto"/>
              </w:rPr>
              <w:t>Directors and Executive Officers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6"/>
                <w:szCs w:val="16"/>
                <w:color w:val="auto"/>
              </w:rPr>
              <w:t>Yuval Cohen</w:t>
            </w:r>
            <w:r>
              <w:rPr>
                <w:rFonts w:ascii="Arial" w:cs="Arial" w:eastAsia="Arial" w:hAnsi="Arial"/>
                <w:sz w:val="21"/>
                <w:szCs w:val="21"/>
                <w:color w:val="auto"/>
                <w:vertAlign w:val="superscript"/>
              </w:rPr>
              <w:t>(1)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15,037,481</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69.6%</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52.4%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50.5%</w:t>
            </w: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6"/>
                <w:szCs w:val="16"/>
                <w:color w:val="auto"/>
              </w:rPr>
              <w:t>Ofer Ben-Zur</w:t>
            </w:r>
            <w:r>
              <w:rPr>
                <w:rFonts w:ascii="Arial" w:cs="Arial" w:eastAsia="Arial" w:hAnsi="Arial"/>
                <w:sz w:val="21"/>
                <w:szCs w:val="21"/>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6"/>
                <w:szCs w:val="16"/>
                <w:color w:val="auto"/>
              </w:rPr>
              <w:t>1,487,488</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5.2%</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6"/>
                <w:szCs w:val="16"/>
                <w:color w:val="auto"/>
              </w:rPr>
              <w:t>Eli Blatt</w:t>
            </w:r>
            <w:r>
              <w:rPr>
                <w:rFonts w:ascii="Arial" w:cs="Arial" w:eastAsia="Arial" w:hAnsi="Arial"/>
                <w:sz w:val="21"/>
                <w:szCs w:val="21"/>
                <w:color w:val="auto"/>
                <w:vertAlign w:val="superscript"/>
              </w:rPr>
              <w:t>(1)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15,037,481</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69.6%</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52.4%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50.5%</w:t>
            </w:r>
          </w:p>
        </w:tc>
      </w:tr>
      <w:tr>
        <w:trPr>
          <w:trHeight w:val="194"/>
        </w:trPr>
        <w:tc>
          <w:tcPr>
            <w:tcW w:w="3520" w:type="dxa"/>
            <w:vAlign w:val="bottom"/>
            <w:gridSpan w:val="3"/>
          </w:tcPr>
          <w:p>
            <w:pPr>
              <w:spacing w:after="0" w:line="194" w:lineRule="exact"/>
              <w:rPr>
                <w:sz w:val="20"/>
                <w:szCs w:val="20"/>
                <w:color w:val="auto"/>
              </w:rPr>
            </w:pPr>
            <w:r>
              <w:rPr>
                <w:rFonts w:ascii="Arial" w:cs="Arial" w:eastAsia="Arial" w:hAnsi="Arial"/>
                <w:sz w:val="16"/>
                <w:szCs w:val="16"/>
                <w:color w:val="auto"/>
              </w:rPr>
              <w:t>Marc Lesnick</w:t>
            </w:r>
            <w:r>
              <w:rPr>
                <w:rFonts w:ascii="Arial" w:cs="Arial" w:eastAsia="Arial" w:hAnsi="Arial"/>
                <w:sz w:val="21"/>
                <w:szCs w:val="21"/>
                <w:color w:val="auto"/>
                <w:vertAlign w:val="superscript"/>
              </w:rPr>
              <w:t>(1)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15,037,481</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69.6%</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52.4%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50.5%</w:t>
            </w:r>
          </w:p>
        </w:tc>
      </w:tr>
      <w:tr>
        <w:trPr>
          <w:trHeight w:val="194"/>
        </w:trPr>
        <w:tc>
          <w:tcPr>
            <w:tcW w:w="3520" w:type="dxa"/>
            <w:vAlign w:val="bottom"/>
            <w:gridSpan w:val="3"/>
          </w:tcPr>
          <w:p>
            <w:pPr>
              <w:spacing w:after="0"/>
              <w:rPr>
                <w:sz w:val="20"/>
                <w:szCs w:val="20"/>
                <w:color w:val="auto"/>
              </w:rPr>
            </w:pPr>
            <w:r>
              <w:rPr>
                <w:rFonts w:ascii="Arial" w:cs="Arial" w:eastAsia="Arial" w:hAnsi="Arial"/>
                <w:sz w:val="16"/>
                <w:szCs w:val="16"/>
                <w:color w:val="auto"/>
              </w:rPr>
              <w:t>Lauri Hanover</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94"/>
        </w:trPr>
        <w:tc>
          <w:tcPr>
            <w:tcW w:w="3520" w:type="dxa"/>
            <w:vAlign w:val="bottom"/>
            <w:gridSpan w:val="3"/>
          </w:tcPr>
          <w:p>
            <w:pPr>
              <w:spacing w:after="0"/>
              <w:rPr>
                <w:sz w:val="20"/>
                <w:szCs w:val="20"/>
                <w:color w:val="auto"/>
              </w:rPr>
            </w:pPr>
            <w:r>
              <w:rPr>
                <w:rFonts w:ascii="Arial" w:cs="Arial" w:eastAsia="Arial" w:hAnsi="Arial"/>
                <w:sz w:val="16"/>
                <w:szCs w:val="16"/>
                <w:color w:val="auto"/>
              </w:rPr>
              <w:t>Alon Lumbroso</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94"/>
        </w:trPr>
        <w:tc>
          <w:tcPr>
            <w:tcW w:w="3520" w:type="dxa"/>
            <w:vAlign w:val="bottom"/>
            <w:gridSpan w:val="3"/>
          </w:tcPr>
          <w:p>
            <w:pPr>
              <w:spacing w:after="0"/>
              <w:rPr>
                <w:sz w:val="20"/>
                <w:szCs w:val="20"/>
                <w:color w:val="auto"/>
              </w:rPr>
            </w:pPr>
            <w:r>
              <w:rPr>
                <w:rFonts w:ascii="Arial" w:cs="Arial" w:eastAsia="Arial" w:hAnsi="Arial"/>
                <w:sz w:val="16"/>
                <w:szCs w:val="16"/>
                <w:color w:val="auto"/>
              </w:rPr>
              <w:t>Jerry Mandel</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94"/>
        </w:trPr>
        <w:tc>
          <w:tcPr>
            <w:tcW w:w="3520" w:type="dxa"/>
            <w:vAlign w:val="bottom"/>
            <w:gridSpan w:val="3"/>
          </w:tcPr>
          <w:p>
            <w:pPr>
              <w:spacing w:after="0"/>
              <w:rPr>
                <w:sz w:val="20"/>
                <w:szCs w:val="20"/>
                <w:color w:val="auto"/>
              </w:rPr>
            </w:pPr>
            <w:r>
              <w:rPr>
                <w:rFonts w:ascii="Arial" w:cs="Arial" w:eastAsia="Arial" w:hAnsi="Arial"/>
                <w:sz w:val="16"/>
                <w:szCs w:val="16"/>
                <w:color w:val="auto"/>
              </w:rPr>
              <w:t>Dov Ofer</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6"/>
        </w:trPr>
        <w:tc>
          <w:tcPr>
            <w:tcW w:w="3520" w:type="dxa"/>
            <w:vAlign w:val="bottom"/>
            <w:gridSpan w:val="3"/>
          </w:tcPr>
          <w:p>
            <w:pPr>
              <w:spacing w:after="0"/>
              <w:rPr>
                <w:sz w:val="20"/>
                <w:szCs w:val="20"/>
                <w:color w:val="auto"/>
              </w:rPr>
            </w:pPr>
            <w:r>
              <w:rPr>
                <w:rFonts w:ascii="Arial" w:cs="Arial" w:eastAsia="Arial" w:hAnsi="Arial"/>
                <w:sz w:val="16"/>
                <w:szCs w:val="16"/>
                <w:color w:val="auto"/>
              </w:rPr>
              <w:t>Gabi Seligsohn</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55"/>
        </w:trPr>
        <w:tc>
          <w:tcPr>
            <w:tcW w:w="20" w:type="dxa"/>
            <w:vAlign w:val="bottom"/>
          </w:tcPr>
          <w:p>
            <w:pPr>
              <w:spacing w:after="0"/>
              <w:rPr>
                <w:sz w:val="22"/>
                <w:szCs w:val="22"/>
                <w:color w:val="auto"/>
              </w:rPr>
            </w:pPr>
          </w:p>
        </w:tc>
        <w:tc>
          <w:tcPr>
            <w:tcW w:w="3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color w:val="auto"/>
              </w:rPr>
              <w:t>88</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r>
    </w:tbl>
    <w:p>
      <w:pPr>
        <w:sectPr>
          <w:pgSz w:w="11900" w:h="16838" w:orient="portrait"/>
          <w:cols w:equalWidth="0" w:num="1">
            <w:col w:w="9019"/>
          </w:cols>
          <w:pgMar w:left="1440" w:top="317" w:right="1440" w:bottom="1440" w:gutter="0" w:footer="0" w:header="0"/>
        </w:sectPr>
      </w:pPr>
    </w:p>
    <w:bookmarkStart w:id="92" w:name="page93"/>
    <w:bookmarkEnd w:id="92"/>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5"/>
                <w:szCs w:val="15"/>
                <w:b w:val="1"/>
                <w:bCs w:val="1"/>
                <w:color w:val="auto"/>
                <w:w w:val="86"/>
              </w:rPr>
              <w:t>Number and Percentage of</w:t>
            </w:r>
          </w:p>
        </w:tc>
        <w:tc>
          <w:tcPr>
            <w:tcW w:w="210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89"/>
              </w:rPr>
              <w:t>Percentage of Ordinary</w:t>
            </w: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5"/>
                <w:szCs w:val="15"/>
                <w:b w:val="1"/>
                <w:bCs w:val="1"/>
                <w:color w:val="auto"/>
                <w:w w:val="89"/>
              </w:rPr>
              <w:t>Ordinary Shares Beneficially</w:t>
            </w:r>
          </w:p>
        </w:tc>
        <w:tc>
          <w:tcPr>
            <w:tcW w:w="2100" w:type="dxa"/>
            <w:vAlign w:val="bottom"/>
            <w:gridSpan w:val="4"/>
          </w:tcPr>
          <w:p>
            <w:pPr>
              <w:jc w:val="center"/>
              <w:ind w:right="160"/>
              <w:spacing w:after="0"/>
              <w:rPr>
                <w:sz w:val="20"/>
                <w:szCs w:val="20"/>
                <w:color w:val="auto"/>
              </w:rPr>
            </w:pPr>
            <w:r>
              <w:rPr>
                <w:rFonts w:ascii="Arial" w:cs="Arial" w:eastAsia="Arial" w:hAnsi="Arial"/>
                <w:sz w:val="15"/>
                <w:szCs w:val="15"/>
                <w:b w:val="1"/>
                <w:bCs w:val="1"/>
                <w:color w:val="auto"/>
                <w:w w:val="86"/>
              </w:rPr>
              <w:t>Shares Beneficially Owned</w:t>
            </w:r>
          </w:p>
        </w:tc>
      </w:tr>
      <w:tr>
        <w:trPr>
          <w:trHeight w:val="188"/>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5"/>
                <w:szCs w:val="15"/>
                <w:b w:val="1"/>
                <w:bCs w:val="1"/>
                <w:color w:val="auto"/>
                <w:w w:val="90"/>
              </w:rPr>
              <w:t>Owned Prior to Offering</w:t>
            </w:r>
          </w:p>
        </w:tc>
        <w:tc>
          <w:tcPr>
            <w:tcW w:w="210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1"/>
              </w:rPr>
              <w:t>After the Offering</w:t>
            </w:r>
          </w:p>
        </w:tc>
      </w:tr>
      <w:tr>
        <w:trPr>
          <w:trHeight w:val="168"/>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w w:val="82"/>
              </w:rPr>
              <w:t>Assuming</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5"/>
              </w:rPr>
              <w:t>Assuming</w:t>
            </w:r>
          </w:p>
        </w:tc>
        <w:tc>
          <w:tcPr>
            <w:tcW w:w="9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Full</w:t>
            </w: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6"/>
              </w:rPr>
              <w:t>No Exercise</w:t>
            </w:r>
          </w:p>
        </w:tc>
        <w:tc>
          <w:tcPr>
            <w:tcW w:w="9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4"/>
              </w:rPr>
              <w:t>Exercise of</w:t>
            </w: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of the Over-</w:t>
            </w:r>
          </w:p>
        </w:tc>
        <w:tc>
          <w:tcPr>
            <w:tcW w:w="9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the Over-</w:t>
            </w: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Allotment</w:t>
            </w:r>
          </w:p>
        </w:tc>
        <w:tc>
          <w:tcPr>
            <w:tcW w:w="9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Allotment</w:t>
            </w:r>
          </w:p>
        </w:tc>
      </w:tr>
      <w:tr>
        <w:trPr>
          <w:trHeight w:val="188"/>
        </w:trPr>
        <w:tc>
          <w:tcPr>
            <w:tcW w:w="3520" w:type="dxa"/>
            <w:vAlign w:val="bottom"/>
            <w:gridSpan w:val="3"/>
          </w:tcPr>
          <w:p>
            <w:pPr>
              <w:spacing w:after="0"/>
              <w:rPr>
                <w:sz w:val="20"/>
                <w:szCs w:val="20"/>
                <w:color w:val="auto"/>
              </w:rPr>
            </w:pPr>
            <w:r>
              <w:rPr>
                <w:rFonts w:ascii="Arial" w:cs="Arial" w:eastAsia="Arial" w:hAnsi="Arial"/>
                <w:sz w:val="15"/>
                <w:szCs w:val="15"/>
                <w:b w:val="1"/>
                <w:bCs w:val="1"/>
                <w:color w:val="auto"/>
              </w:rPr>
              <w:t>Name</w:t>
            </w:r>
          </w:p>
        </w:tc>
        <w:tc>
          <w:tcPr>
            <w:tcW w:w="1120" w:type="dxa"/>
            <w:vAlign w:val="bottom"/>
            <w:gridSpan w:val="2"/>
          </w:tcPr>
          <w:p>
            <w:pPr>
              <w:ind w:left="160"/>
              <w:spacing w:after="0"/>
              <w:rPr>
                <w:sz w:val="20"/>
                <w:szCs w:val="20"/>
                <w:color w:val="auto"/>
              </w:rPr>
            </w:pPr>
            <w:r>
              <w:rPr>
                <w:rFonts w:ascii="Arial" w:cs="Arial" w:eastAsia="Arial" w:hAnsi="Arial"/>
                <w:sz w:val="15"/>
                <w:szCs w:val="15"/>
                <w:b w:val="1"/>
                <w:bCs w:val="1"/>
                <w:color w:val="auto"/>
              </w:rPr>
              <w:t>Number</w:t>
            </w:r>
          </w:p>
        </w:tc>
        <w:tc>
          <w:tcPr>
            <w:tcW w:w="11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Percent</w:t>
            </w: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Option</w:t>
            </w:r>
          </w:p>
        </w:tc>
        <w:tc>
          <w:tcPr>
            <w:tcW w:w="9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Option</w:t>
            </w:r>
          </w:p>
        </w:tc>
      </w:tr>
      <w:tr>
        <w:trPr>
          <w:trHeight w:val="180"/>
        </w:trPr>
        <w:tc>
          <w:tcPr>
            <w:tcW w:w="20" w:type="dxa"/>
            <w:vAlign w:val="bottom"/>
          </w:tcPr>
          <w:p>
            <w:pPr>
              <w:spacing w:after="0"/>
              <w:rPr>
                <w:sz w:val="15"/>
                <w:szCs w:val="15"/>
                <w:color w:val="auto"/>
              </w:rPr>
            </w:pPr>
          </w:p>
        </w:tc>
        <w:tc>
          <w:tcPr>
            <w:tcW w:w="33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Guy Avidan</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8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8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8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r>
      <w:tr>
        <w:trPr>
          <w:trHeight w:val="194"/>
        </w:trPr>
        <w:tc>
          <w:tcPr>
            <w:tcW w:w="3520" w:type="dxa"/>
            <w:vAlign w:val="bottom"/>
            <w:gridSpan w:val="3"/>
          </w:tcPr>
          <w:p>
            <w:pPr>
              <w:spacing w:after="0"/>
              <w:rPr>
                <w:sz w:val="20"/>
                <w:szCs w:val="20"/>
                <w:color w:val="auto"/>
              </w:rPr>
            </w:pPr>
            <w:r>
              <w:rPr>
                <w:rFonts w:ascii="Arial" w:cs="Arial" w:eastAsia="Arial" w:hAnsi="Arial"/>
                <w:sz w:val="16"/>
                <w:szCs w:val="16"/>
                <w:color w:val="auto"/>
              </w:rPr>
              <w:t>Sarel Ashkenazy</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4"/>
        </w:trPr>
        <w:tc>
          <w:tcPr>
            <w:tcW w:w="3520" w:type="dxa"/>
            <w:vAlign w:val="bottom"/>
            <w:gridSpan w:val="3"/>
          </w:tcPr>
          <w:p>
            <w:pPr>
              <w:spacing w:after="0"/>
              <w:rPr>
                <w:sz w:val="20"/>
                <w:szCs w:val="20"/>
                <w:color w:val="auto"/>
              </w:rPr>
            </w:pPr>
            <w:r>
              <w:rPr>
                <w:rFonts w:ascii="Arial" w:cs="Arial" w:eastAsia="Arial" w:hAnsi="Arial"/>
                <w:sz w:val="16"/>
                <w:szCs w:val="16"/>
                <w:color w:val="auto"/>
              </w:rPr>
              <w:t>Ofer Sandelson</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4"/>
        </w:trPr>
        <w:tc>
          <w:tcPr>
            <w:tcW w:w="3520" w:type="dxa"/>
            <w:vAlign w:val="bottom"/>
            <w:gridSpan w:val="3"/>
          </w:tcPr>
          <w:p>
            <w:pPr>
              <w:spacing w:after="0"/>
              <w:rPr>
                <w:sz w:val="20"/>
                <w:szCs w:val="20"/>
                <w:color w:val="auto"/>
              </w:rPr>
            </w:pPr>
            <w:r>
              <w:rPr>
                <w:rFonts w:ascii="Arial" w:cs="Arial" w:eastAsia="Arial" w:hAnsi="Arial"/>
                <w:sz w:val="16"/>
                <w:szCs w:val="16"/>
                <w:color w:val="auto"/>
              </w:rPr>
              <w:t>Guy Zimmerman</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0"/>
        </w:trPr>
        <w:tc>
          <w:tcPr>
            <w:tcW w:w="3520" w:type="dxa"/>
            <w:vAlign w:val="bottom"/>
            <w:gridSpan w:val="3"/>
          </w:tcPr>
          <w:p>
            <w:pPr>
              <w:spacing w:after="0"/>
              <w:rPr>
                <w:sz w:val="20"/>
                <w:szCs w:val="20"/>
                <w:color w:val="auto"/>
              </w:rPr>
            </w:pPr>
            <w:r>
              <w:rPr>
                <w:rFonts w:ascii="Arial" w:cs="Arial" w:eastAsia="Arial" w:hAnsi="Arial"/>
                <w:sz w:val="16"/>
                <w:szCs w:val="16"/>
                <w:color w:val="auto"/>
              </w:rPr>
              <w:t>Oded Kraft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4"/>
        </w:trPr>
        <w:tc>
          <w:tcPr>
            <w:tcW w:w="3520" w:type="dxa"/>
            <w:vAlign w:val="bottom"/>
            <w:gridSpan w:val="3"/>
          </w:tcPr>
          <w:p>
            <w:pPr>
              <w:spacing w:after="0"/>
              <w:rPr>
                <w:sz w:val="20"/>
                <w:szCs w:val="20"/>
                <w:color w:val="auto"/>
              </w:rPr>
            </w:pPr>
            <w:r>
              <w:rPr>
                <w:rFonts w:ascii="Arial" w:cs="Arial" w:eastAsia="Arial" w:hAnsi="Arial"/>
                <w:sz w:val="16"/>
                <w:szCs w:val="16"/>
                <w:b w:val="1"/>
                <w:bCs w:val="1"/>
                <w:color w:val="auto"/>
                <w:w w:val="97"/>
              </w:rPr>
              <w:t>All Directors and Executive Officers as a Group</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8"/>
        </w:trPr>
        <w:tc>
          <w:tcPr>
            <w:tcW w:w="3520" w:type="dxa"/>
            <w:vAlign w:val="bottom"/>
            <w:gridSpan w:val="3"/>
          </w:tcPr>
          <w:p>
            <w:pPr>
              <w:spacing w:after="0" w:line="198" w:lineRule="exact"/>
              <w:rPr>
                <w:sz w:val="20"/>
                <w:szCs w:val="20"/>
                <w:color w:val="auto"/>
              </w:rPr>
            </w:pPr>
            <w:r>
              <w:rPr>
                <w:rFonts w:ascii="Arial" w:cs="Arial" w:eastAsia="Arial" w:hAnsi="Arial"/>
                <w:sz w:val="16"/>
                <w:szCs w:val="16"/>
                <w:b w:val="1"/>
                <w:bCs w:val="1"/>
                <w:color w:val="auto"/>
              </w:rPr>
              <w:t>(14 persons)</w:t>
            </w:r>
            <w:r>
              <w:rPr>
                <w:rFonts w:ascii="Arial" w:cs="Arial" w:eastAsia="Arial" w:hAnsi="Arial"/>
                <w:sz w:val="21"/>
                <w:szCs w:val="21"/>
                <w:b w:val="1"/>
                <w:bCs w:val="1"/>
                <w:color w:val="auto"/>
                <w:vertAlign w:val="superscript"/>
              </w:rPr>
              <w:t>(6)</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16,887,099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76.9%</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56.1%</w:t>
            </w:r>
          </w:p>
        </w:tc>
      </w:tr>
      <w:tr>
        <w:trPr>
          <w:trHeight w:val="206"/>
        </w:trPr>
        <w:tc>
          <w:tcPr>
            <w:tcW w:w="3380" w:type="dxa"/>
            <w:vAlign w:val="bottom"/>
            <w:gridSpan w:val="2"/>
          </w:tcPr>
          <w:p>
            <w:pPr>
              <w:spacing w:after="0"/>
              <w:rPr>
                <w:sz w:val="20"/>
                <w:szCs w:val="20"/>
                <w:color w:val="auto"/>
              </w:rPr>
            </w:pPr>
            <w:r>
              <w:rPr>
                <w:rFonts w:ascii="Arial" w:cs="Arial" w:eastAsia="Arial" w:hAnsi="Arial"/>
                <w:sz w:val="16"/>
                <w:szCs w:val="16"/>
                <w:color w:val="auto"/>
              </w:rPr>
              <w:t>________________</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3520" w:type="dxa"/>
            <w:vAlign w:val="bottom"/>
            <w:gridSpan w:val="3"/>
          </w:tcPr>
          <w:p>
            <w:pPr>
              <w:spacing w:after="0"/>
              <w:rPr>
                <w:sz w:val="20"/>
                <w:szCs w:val="20"/>
                <w:color w:val="auto"/>
              </w:rPr>
            </w:pPr>
            <w:r>
              <w:rPr>
                <w:rFonts w:ascii="Arial" w:cs="Arial" w:eastAsia="Arial" w:hAnsi="Arial"/>
                <w:sz w:val="16"/>
                <w:szCs w:val="16"/>
                <w:color w:val="auto"/>
              </w:rPr>
              <w:t>*   Less than 1%</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ind w:left="860" w:right="659" w:hanging="283"/>
        <w:spacing w:after="0" w:line="269" w:lineRule="auto"/>
        <w:tabs>
          <w:tab w:leader="none" w:pos="8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Consists of 2,408,740 ordinary shares and 12,628,741 ordinary shares issuable upon the conversion of Series A-1 Preferred Shares. Fortissimo Capital Fund II (GP), L.P. is a Cayman Island limited partnership, which serves as the general partner of Fortissimo Capital Fund II (Israel), L.P., an Israeli limited partnership: The general partner of Fortissimo Capital Fund II (GP), L.P. is Fortissimo Capital 2 Management (GP) Ltd., a Cayman Islands corporation (“Fortissimo Capital”). Messrs. Eli Blatt, Yuval Cohen and Marc Lesnick are members of the investment committee of Fortissimo Capital and share voting and dispositive power with respect to such shares. The principal address of Fortissimo Capital is 14 Hamelacha Street, Park Afek, Rosh Ha’Ayin 48091, Israel.</w:t>
      </w:r>
    </w:p>
    <w:p>
      <w:pPr>
        <w:spacing w:after="0" w:line="3" w:lineRule="exact"/>
        <w:rPr>
          <w:rFonts w:ascii="Arial" w:cs="Arial" w:eastAsia="Arial" w:hAnsi="Arial"/>
          <w:sz w:val="15"/>
          <w:szCs w:val="15"/>
          <w:color w:val="auto"/>
        </w:rPr>
      </w:pPr>
    </w:p>
    <w:p>
      <w:pPr>
        <w:ind w:left="860" w:hanging="283"/>
        <w:spacing w:after="0"/>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principal address of Mr. Weinshtock is 10 Bertonov Street, Petach Tikva, Israel.</w:t>
      </w:r>
    </w:p>
    <w:p>
      <w:pPr>
        <w:spacing w:after="0" w:line="9" w:lineRule="exact"/>
        <w:rPr>
          <w:rFonts w:ascii="Arial" w:cs="Arial" w:eastAsia="Arial" w:hAnsi="Arial"/>
          <w:sz w:val="16"/>
          <w:szCs w:val="16"/>
          <w:color w:val="auto"/>
        </w:rPr>
      </w:pPr>
    </w:p>
    <w:p>
      <w:pPr>
        <w:ind w:left="860" w:hanging="283"/>
        <w:spacing w:after="0"/>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principal address of Mr. Nuriel is 10 Ein Gedi Street, Ganei Tikva, Israel.</w:t>
      </w:r>
    </w:p>
    <w:p>
      <w:pPr>
        <w:spacing w:after="0" w:line="58" w:lineRule="exact"/>
        <w:rPr>
          <w:rFonts w:ascii="Arial" w:cs="Arial" w:eastAsia="Arial" w:hAnsi="Arial"/>
          <w:sz w:val="16"/>
          <w:szCs w:val="16"/>
          <w:color w:val="auto"/>
        </w:rPr>
      </w:pPr>
    </w:p>
    <w:p>
      <w:pPr>
        <w:ind w:left="860" w:right="759" w:hanging="283"/>
        <w:spacing w:after="0" w:line="193" w:lineRule="auto"/>
        <w:tabs>
          <w:tab w:leader="none" w:pos="866" w:val="left"/>
        </w:tabs>
        <w:numPr>
          <w:ilvl w:val="0"/>
          <w:numId w:val="66"/>
        </w:numPr>
        <w:rPr>
          <w:rFonts w:ascii="Arial" w:cs="Arial" w:eastAsia="Arial" w:hAnsi="Arial"/>
          <w:sz w:val="32"/>
          <w:szCs w:val="32"/>
          <w:color w:val="auto"/>
          <w:vertAlign w:val="superscript"/>
        </w:rPr>
      </w:pPr>
      <w:r>
        <w:rPr>
          <w:rFonts w:ascii="Arial" w:cs="Arial" w:eastAsia="Arial" w:hAnsi="Arial"/>
          <w:sz w:val="16"/>
          <w:szCs w:val="16"/>
          <w:color w:val="auto"/>
        </w:rPr>
        <w:t>The principal address of Yahel (Nur Group) Holdings Ltd., or Yahel, is 5 David Navon St., Magshimim, Israel. Substantially all of the shares of Yahel are held by Zevik Nur. The address of Yahel is Moshav Magshimim 56910, Israel.</w:t>
      </w:r>
    </w:p>
    <w:p>
      <w:pPr>
        <w:spacing w:after="0" w:line="1" w:lineRule="exact"/>
        <w:rPr>
          <w:rFonts w:ascii="Arial" w:cs="Arial" w:eastAsia="Arial" w:hAnsi="Arial"/>
          <w:sz w:val="32"/>
          <w:szCs w:val="32"/>
          <w:color w:val="auto"/>
          <w:vertAlign w:val="superscript"/>
        </w:rPr>
      </w:pPr>
    </w:p>
    <w:p>
      <w:pPr>
        <w:ind w:left="860" w:right="699" w:hanging="283"/>
        <w:spacing w:after="0" w:line="252"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1,467,829 ordinary shares and options to purchase 19,659 ordinary shares exercisable within 60 days of March 16, 2015.</w:t>
      </w:r>
    </w:p>
    <w:p>
      <w:pPr>
        <w:spacing w:after="0" w:line="1" w:lineRule="exact"/>
        <w:rPr>
          <w:rFonts w:ascii="Arial" w:cs="Arial" w:eastAsia="Arial" w:hAnsi="Arial"/>
          <w:sz w:val="16"/>
          <w:szCs w:val="16"/>
          <w:color w:val="auto"/>
        </w:rPr>
      </w:pPr>
    </w:p>
    <w:p>
      <w:pPr>
        <w:ind w:left="860" w:right="699" w:hanging="283"/>
        <w:spacing w:after="0" w:line="265"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16,541,847 ordinary shares and options to purchase 345,252 ordinary shares exercisable within 60 days of March 16, 2015.</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08" w:lineRule="exact"/>
        <w:rPr>
          <w:sz w:val="20"/>
          <w:szCs w:val="20"/>
          <w:color w:val="auto"/>
        </w:rPr>
      </w:pPr>
    </w:p>
    <w:p>
      <w:pPr>
        <w:ind w:left="580" w:right="739" w:firstLine="194"/>
        <w:spacing w:after="0" w:line="277" w:lineRule="auto"/>
        <w:rPr>
          <w:sz w:val="20"/>
          <w:szCs w:val="20"/>
          <w:color w:val="auto"/>
        </w:rPr>
      </w:pPr>
      <w:r>
        <w:rPr>
          <w:rFonts w:ascii="Arial" w:cs="Arial" w:eastAsia="Arial" w:hAnsi="Arial"/>
          <w:sz w:val="15"/>
          <w:szCs w:val="15"/>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2012 to which we were or will be a party and in which the other parties included or will include our directors, executive officers, holders of more than 5% of our voting securities or any member of the immediate family of any of the foregoing persons.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Agreements with Related Parties</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Financing Transactions</w:t>
      </w:r>
    </w:p>
    <w:p>
      <w:pPr>
        <w:spacing w:after="0" w:line="192" w:lineRule="exact"/>
        <w:rPr>
          <w:sz w:val="20"/>
          <w:szCs w:val="20"/>
          <w:color w:val="auto"/>
        </w:rPr>
      </w:pPr>
    </w:p>
    <w:p>
      <w:pPr>
        <w:ind w:left="580" w:right="639" w:firstLine="194"/>
        <w:spacing w:after="0" w:line="316" w:lineRule="auto"/>
        <w:rPr>
          <w:sz w:val="20"/>
          <w:szCs w:val="20"/>
          <w:color w:val="auto"/>
        </w:rPr>
      </w:pPr>
      <w:r>
        <w:rPr>
          <w:rFonts w:ascii="Arial" w:cs="Arial" w:eastAsia="Arial" w:hAnsi="Arial"/>
          <w:sz w:val="15"/>
          <w:szCs w:val="15"/>
          <w:i w:val="1"/>
          <w:iCs w:val="1"/>
          <w:color w:val="auto"/>
        </w:rPr>
        <w:t xml:space="preserve">Original Rounds of Financing. </w:t>
      </w:r>
      <w:r>
        <w:rPr>
          <w:rFonts w:ascii="Arial" w:cs="Arial" w:eastAsia="Arial" w:hAnsi="Arial"/>
          <w:sz w:val="15"/>
          <w:szCs w:val="15"/>
          <w:color w:val="auto"/>
        </w:rPr>
        <w:t>Since our founding, we have raised capital through equity financings. Between 2002</w:t>
      </w:r>
      <w:r>
        <w:rPr>
          <w:rFonts w:ascii="Arial" w:cs="Arial" w:eastAsia="Arial" w:hAnsi="Arial"/>
          <w:sz w:val="15"/>
          <w:szCs w:val="15"/>
          <w:i w:val="1"/>
          <w:iCs w:val="1"/>
          <w:color w:val="auto"/>
        </w:rPr>
        <w:t xml:space="preserve"> </w:t>
      </w:r>
      <w:r>
        <w:rPr>
          <w:rFonts w:ascii="Arial" w:cs="Arial" w:eastAsia="Arial" w:hAnsi="Arial"/>
          <w:sz w:val="15"/>
          <w:szCs w:val="15"/>
          <w:color w:val="auto"/>
        </w:rPr>
        <w:t>and 2011, we raised capital through sales of our ordinary shares and Series A and A-1 preferred shares.</w:t>
      </w:r>
    </w:p>
    <w:p>
      <w:pPr>
        <w:spacing w:after="0" w:line="115" w:lineRule="exact"/>
        <w:rPr>
          <w:sz w:val="20"/>
          <w:szCs w:val="20"/>
          <w:color w:val="auto"/>
        </w:rPr>
      </w:pPr>
    </w:p>
    <w:p>
      <w:pPr>
        <w:ind w:left="580" w:right="599" w:firstLine="194"/>
        <w:spacing w:after="0" w:line="276" w:lineRule="auto"/>
        <w:rPr>
          <w:sz w:val="20"/>
          <w:szCs w:val="20"/>
          <w:color w:val="auto"/>
        </w:rPr>
      </w:pPr>
      <w:r>
        <w:rPr>
          <w:rFonts w:ascii="Arial" w:cs="Arial" w:eastAsia="Arial" w:hAnsi="Arial"/>
          <w:sz w:val="15"/>
          <w:szCs w:val="15"/>
          <w:i w:val="1"/>
          <w:iCs w:val="1"/>
          <w:color w:val="auto"/>
        </w:rPr>
        <w:t xml:space="preserve">Series A-1 Financing. </w:t>
      </w:r>
      <w:r>
        <w:rPr>
          <w:rFonts w:ascii="Arial" w:cs="Arial" w:eastAsia="Arial" w:hAnsi="Arial"/>
          <w:sz w:val="15"/>
          <w:szCs w:val="15"/>
          <w:color w:val="auto"/>
        </w:rPr>
        <w:t>In 2011, we sold Series A-1 preferred shares convertible into 3,946,473 ordinary shares at a price</w:t>
      </w:r>
      <w:r>
        <w:rPr>
          <w:rFonts w:ascii="Arial" w:cs="Arial" w:eastAsia="Arial" w:hAnsi="Arial"/>
          <w:sz w:val="15"/>
          <w:szCs w:val="15"/>
          <w:i w:val="1"/>
          <w:iCs w:val="1"/>
          <w:color w:val="auto"/>
        </w:rPr>
        <w:t xml:space="preserve"> </w:t>
      </w:r>
      <w:r>
        <w:rPr>
          <w:rFonts w:ascii="Arial" w:cs="Arial" w:eastAsia="Arial" w:hAnsi="Arial"/>
          <w:sz w:val="15"/>
          <w:szCs w:val="15"/>
          <w:color w:val="auto"/>
        </w:rPr>
        <w:t>per underlying preferred share of $1.2669 for an aggregate purchase price of approximately $5 million. Concurrently with this transaction, Fortissimo Capital purchased Series A-1 preferred shares convertible into 8,682,268 ordinary shares from certain of our shareholders at a price per underlying preferred share of $1.2669 for an aggregate purchase price of approximately $11 million (these shares were reclassified as Series A-1 preferred shares immediately prior to this transaction). Each Series A-1 preferred share will convert into 6.5531 ordinary shares upon the closing of this offering. The following table sets forth the number of ordinary shares resulting from conversion upon the closing of this offering of the Series A-1 preferred shares purchased by Fortissimo Capital:</w:t>
      </w:r>
    </w:p>
    <w:p>
      <w:pPr>
        <w:spacing w:after="0" w:line="133" w:lineRule="exact"/>
        <w:rPr>
          <w:sz w:val="20"/>
          <w:szCs w:val="20"/>
          <w:color w:val="auto"/>
        </w:rPr>
      </w:pPr>
    </w:p>
    <w:p>
      <w:pPr>
        <w:jc w:val="center"/>
        <w:ind w:left="6460"/>
        <w:spacing w:after="0"/>
        <w:rPr>
          <w:sz w:val="20"/>
          <w:szCs w:val="20"/>
          <w:color w:val="auto"/>
        </w:rPr>
      </w:pPr>
      <w:r>
        <w:rPr>
          <w:rFonts w:ascii="Arial" w:cs="Arial" w:eastAsia="Arial" w:hAnsi="Arial"/>
          <w:sz w:val="15"/>
          <w:szCs w:val="15"/>
          <w:b w:val="1"/>
          <w:bCs w:val="1"/>
          <w:color w:val="auto"/>
        </w:rPr>
        <w:t>Number of</w:t>
      </w:r>
    </w:p>
    <w:p>
      <w:pPr>
        <w:spacing w:after="0" w:line="15" w:lineRule="exact"/>
        <w:rPr>
          <w:sz w:val="20"/>
          <w:szCs w:val="20"/>
          <w:color w:val="auto"/>
        </w:rPr>
      </w:pPr>
    </w:p>
    <w:p>
      <w:pPr>
        <w:jc w:val="center"/>
        <w:ind w:left="6460"/>
        <w:spacing w:after="0"/>
        <w:rPr>
          <w:sz w:val="20"/>
          <w:szCs w:val="20"/>
          <w:color w:val="auto"/>
        </w:rPr>
      </w:pPr>
      <w:r>
        <w:rPr>
          <w:rFonts w:ascii="Arial" w:cs="Arial" w:eastAsia="Arial" w:hAnsi="Arial"/>
          <w:sz w:val="15"/>
          <w:szCs w:val="15"/>
          <w:b w:val="1"/>
          <w:bCs w:val="1"/>
          <w:color w:val="auto"/>
        </w:rPr>
        <w:t>Ordinary</w:t>
      </w:r>
    </w:p>
    <w:p>
      <w:pPr>
        <w:spacing w:after="0" w:line="9" w:lineRule="exact"/>
        <w:rPr>
          <w:sz w:val="20"/>
          <w:szCs w:val="20"/>
          <w:color w:val="auto"/>
        </w:rPr>
      </w:pPr>
    </w:p>
    <w:p>
      <w:pPr>
        <w:jc w:val="center"/>
        <w:ind w:left="6460"/>
        <w:spacing w:after="0"/>
        <w:rPr>
          <w:sz w:val="20"/>
          <w:szCs w:val="20"/>
          <w:color w:val="auto"/>
        </w:rPr>
      </w:pPr>
      <w:r>
        <w:rPr>
          <w:rFonts w:ascii="Arial" w:cs="Arial" w:eastAsia="Arial" w:hAnsi="Arial"/>
          <w:sz w:val="15"/>
          <w:szCs w:val="15"/>
          <w:b w:val="1"/>
          <w:bCs w:val="1"/>
          <w:color w:val="auto"/>
        </w:rPr>
        <w:t>Shares</w:t>
      </w:r>
    </w:p>
    <w:p>
      <w:pPr>
        <w:spacing w:after="0" w:line="9" w:lineRule="exact"/>
        <w:rPr>
          <w:sz w:val="20"/>
          <w:szCs w:val="20"/>
          <w:color w:val="auto"/>
        </w:rPr>
      </w:pPr>
    </w:p>
    <w:p>
      <w:pPr>
        <w:jc w:val="center"/>
        <w:ind w:left="6460"/>
        <w:spacing w:after="0"/>
        <w:rPr>
          <w:sz w:val="20"/>
          <w:szCs w:val="20"/>
          <w:color w:val="auto"/>
        </w:rPr>
      </w:pPr>
      <w:r>
        <w:rPr>
          <w:rFonts w:ascii="Arial" w:cs="Arial" w:eastAsia="Arial" w:hAnsi="Arial"/>
          <w:sz w:val="15"/>
          <w:szCs w:val="15"/>
          <w:b w:val="1"/>
          <w:bCs w:val="1"/>
          <w:color w:val="auto"/>
        </w:rPr>
        <w:t>Resulting from</w:t>
      </w:r>
    </w:p>
    <w:p>
      <w:pPr>
        <w:spacing w:after="0" w:line="9" w:lineRule="exact"/>
        <w:rPr>
          <w:sz w:val="20"/>
          <w:szCs w:val="20"/>
          <w:color w:val="auto"/>
        </w:rPr>
      </w:pPr>
    </w:p>
    <w:p>
      <w:pPr>
        <w:jc w:val="center"/>
        <w:ind w:left="6460"/>
        <w:spacing w:after="0"/>
        <w:rPr>
          <w:sz w:val="20"/>
          <w:szCs w:val="20"/>
          <w:color w:val="auto"/>
        </w:rPr>
      </w:pPr>
      <w:r>
        <w:rPr>
          <w:rFonts w:ascii="Arial" w:cs="Arial" w:eastAsia="Arial" w:hAnsi="Arial"/>
          <w:sz w:val="15"/>
          <w:szCs w:val="15"/>
          <w:b w:val="1"/>
          <w:bCs w:val="1"/>
          <w:color w:val="auto"/>
        </w:rPr>
        <w:t>the Conversion</w:t>
      </w:r>
    </w:p>
    <w:p>
      <w:pPr>
        <w:spacing w:after="0" w:line="9" w:lineRule="exact"/>
        <w:rPr>
          <w:sz w:val="20"/>
          <w:szCs w:val="20"/>
          <w:color w:val="auto"/>
        </w:rPr>
      </w:pPr>
    </w:p>
    <w:p>
      <w:pPr>
        <w:jc w:val="center"/>
        <w:ind w:left="6460"/>
        <w:spacing w:after="0"/>
        <w:rPr>
          <w:sz w:val="20"/>
          <w:szCs w:val="20"/>
          <w:color w:val="auto"/>
        </w:rPr>
      </w:pPr>
      <w:r>
        <w:rPr>
          <w:rFonts w:ascii="Arial" w:cs="Arial" w:eastAsia="Arial" w:hAnsi="Arial"/>
          <w:sz w:val="15"/>
          <w:szCs w:val="15"/>
          <w:b w:val="1"/>
          <w:bCs w:val="1"/>
          <w:color w:val="auto"/>
        </w:rPr>
        <w:t>of Series A-1</w:t>
      </w:r>
    </w:p>
    <w:p>
      <w:pPr>
        <w:spacing w:after="0" w:line="9" w:lineRule="exact"/>
        <w:rPr>
          <w:sz w:val="20"/>
          <w:szCs w:val="20"/>
          <w:color w:val="auto"/>
        </w:rPr>
      </w:pPr>
    </w:p>
    <w:p>
      <w:pPr>
        <w:ind w:left="6000"/>
        <w:spacing w:after="0"/>
        <w:tabs>
          <w:tab w:leader="none" w:pos="7420" w:val="left"/>
        </w:tabs>
        <w:rPr>
          <w:sz w:val="20"/>
          <w:szCs w:val="20"/>
          <w:color w:val="auto"/>
        </w:rPr>
      </w:pPr>
      <w:r>
        <w:rPr>
          <w:rFonts w:ascii="Arial" w:cs="Arial" w:eastAsia="Arial" w:hAnsi="Arial"/>
          <w:sz w:val="15"/>
          <w:szCs w:val="15"/>
          <w:b w:val="1"/>
          <w:bCs w:val="1"/>
          <w:color w:val="auto"/>
        </w:rPr>
        <w:t>Aggregate</w:t>
      </w:r>
      <w:r>
        <w:rPr>
          <w:sz w:val="20"/>
          <w:szCs w:val="20"/>
          <w:color w:val="auto"/>
        </w:rPr>
        <w:tab/>
      </w:r>
      <w:r>
        <w:rPr>
          <w:rFonts w:ascii="Arial" w:cs="Arial" w:eastAsia="Arial" w:hAnsi="Arial"/>
          <w:sz w:val="15"/>
          <w:szCs w:val="15"/>
          <w:b w:val="1"/>
          <w:bCs w:val="1"/>
          <w:color w:val="auto"/>
        </w:rPr>
        <w:t>Preferred</w:t>
      </w:r>
    </w:p>
    <w:p>
      <w:pPr>
        <w:spacing w:after="0" w:line="9" w:lineRule="exact"/>
        <w:rPr>
          <w:sz w:val="20"/>
          <w:szCs w:val="20"/>
          <w:color w:val="auto"/>
        </w:rPr>
      </w:pPr>
    </w:p>
    <w:p>
      <w:pPr>
        <w:ind w:left="5860"/>
        <w:spacing w:after="0"/>
        <w:tabs>
          <w:tab w:leader="none" w:pos="7520" w:val="left"/>
        </w:tabs>
        <w:rPr>
          <w:sz w:val="20"/>
          <w:szCs w:val="20"/>
          <w:color w:val="auto"/>
        </w:rPr>
      </w:pPr>
      <w:r>
        <w:rPr>
          <w:rFonts w:ascii="Arial" w:cs="Arial" w:eastAsia="Arial" w:hAnsi="Arial"/>
          <w:sz w:val="15"/>
          <w:szCs w:val="15"/>
          <w:b w:val="1"/>
          <w:bCs w:val="1"/>
          <w:color w:val="auto"/>
        </w:rPr>
        <w:t>Purchase Price</w:t>
      </w:r>
      <w:r>
        <w:rPr>
          <w:sz w:val="20"/>
          <w:szCs w:val="20"/>
          <w:color w:val="auto"/>
        </w:rPr>
        <w:tab/>
      </w:r>
      <w:r>
        <w:rPr>
          <w:rFonts w:ascii="Arial" w:cs="Arial" w:eastAsia="Arial" w:hAnsi="Arial"/>
          <w:sz w:val="12"/>
          <w:szCs w:val="12"/>
          <w:b w:val="1"/>
          <w:bCs w:val="1"/>
          <w:color w:val="auto"/>
        </w:rPr>
        <w:t>Shares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5"/>
          <w:szCs w:val="15"/>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-108585</wp:posOffset>
            </wp:positionV>
            <wp:extent cx="159956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99565" cy="7620"/>
                    </a:xfrm>
                    <a:prstGeom prst="rect">
                      <a:avLst/>
                    </a:prstGeom>
                    <a:noFill/>
                  </pic:spPr>
                </pic:pic>
              </a:graphicData>
            </a:graphic>
          </wp:anchor>
        </w:drawing>
      </w:r>
    </w:p>
    <w:p>
      <w:pPr>
        <w:ind w:left="580"/>
        <w:spacing w:after="0"/>
        <w:tabs>
          <w:tab w:leader="none" w:pos="5760" w:val="left"/>
          <w:tab w:leader="none" w:pos="6420" w:val="left"/>
          <w:tab w:leader="none" w:pos="7540" w:val="left"/>
        </w:tabs>
        <w:rPr>
          <w:sz w:val="20"/>
          <w:szCs w:val="20"/>
          <w:color w:val="auto"/>
        </w:rPr>
      </w:pPr>
      <w:r>
        <w:rPr>
          <w:rFonts w:ascii="Arial" w:cs="Arial" w:eastAsia="Arial" w:hAnsi="Arial"/>
          <w:sz w:val="16"/>
          <w:szCs w:val="16"/>
          <w:color w:val="auto"/>
        </w:rPr>
        <w:t>Fortissimo Capital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16,000</w:t>
      </w:r>
      <w:r>
        <w:rPr>
          <w:sz w:val="20"/>
          <w:szCs w:val="20"/>
          <w:color w:val="auto"/>
        </w:rPr>
        <w:tab/>
      </w:r>
      <w:r>
        <w:rPr>
          <w:rFonts w:ascii="Arial" w:cs="Arial" w:eastAsia="Arial" w:hAnsi="Arial"/>
          <w:sz w:val="14"/>
          <w:szCs w:val="14"/>
          <w:color w:val="auto"/>
        </w:rPr>
        <w:t>12,628,741</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Investors’ Rights Agreement</w:t>
      </w:r>
    </w:p>
    <w:p>
      <w:pPr>
        <w:spacing w:after="0" w:line="179" w:lineRule="exact"/>
        <w:rPr>
          <w:sz w:val="20"/>
          <w:szCs w:val="20"/>
          <w:color w:val="auto"/>
        </w:rPr>
      </w:pPr>
    </w:p>
    <w:p>
      <w:pPr>
        <w:ind w:left="580" w:right="639" w:firstLine="194"/>
        <w:spacing w:after="0" w:line="275" w:lineRule="auto"/>
        <w:rPr>
          <w:sz w:val="20"/>
          <w:szCs w:val="20"/>
          <w:color w:val="auto"/>
        </w:rPr>
      </w:pPr>
      <w:r>
        <w:rPr>
          <w:rFonts w:ascii="Arial" w:cs="Arial" w:eastAsia="Arial" w:hAnsi="Arial"/>
          <w:sz w:val="15"/>
          <w:szCs w:val="15"/>
          <w:color w:val="auto"/>
        </w:rPr>
        <w:t>We are party to an amended and restated investors’ rights agreement, dated March 18, 2015, or the Investors’ Rights Agreement, with certain of our shareholders. The Investors’ Rights Agreement provides that certain holders of our ordinary shares and Series A-1 preferred shares have the right to demand that we file a registration statement or request that their ordinary shares be covered by a registration statement that we are otherwise filing.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 The Investors’ Rights Agreement also includes certain information rights, which will terminate upon the completion of this offering. The registration rights are described in more detail under “Description of Share Capital—Registration Rights.”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Management Services Agreement</w:t>
      </w:r>
    </w:p>
    <w:p>
      <w:pPr>
        <w:spacing w:after="0" w:line="192" w:lineRule="exact"/>
        <w:rPr>
          <w:sz w:val="20"/>
          <w:szCs w:val="20"/>
          <w:color w:val="auto"/>
        </w:rPr>
      </w:pPr>
    </w:p>
    <w:p>
      <w:pPr>
        <w:ind w:left="580" w:right="579" w:firstLine="194"/>
        <w:spacing w:after="0" w:line="256" w:lineRule="auto"/>
        <w:rPr>
          <w:sz w:val="20"/>
          <w:szCs w:val="20"/>
          <w:color w:val="auto"/>
        </w:rPr>
      </w:pPr>
      <w:r>
        <w:rPr>
          <w:rFonts w:ascii="Arial" w:cs="Arial" w:eastAsia="Arial" w:hAnsi="Arial"/>
          <w:sz w:val="16"/>
          <w:szCs w:val="16"/>
          <w:color w:val="auto"/>
        </w:rPr>
        <w:t>We are party to a management services agreement, dated August 11, 2011, pursuant to which our principal shareholder, Fortissimo Capital, assists and advises our management on matters concerning our business and renders other management services and advice as agreed from time to time. In consideration of these management services, we pay to Fortissimo Capital an annual management fee of $120,000 plus the amount by which 5% of our net income, as defined in the management services agreement, exceeds this management fee, up to a maximum of $250,000 per year in the aggregate. In 2012, 2013 and 2014, we recorded expenses for management fees paid to Fortissimo of $175,000, $120,000 and $160,000, respectively. The agreement may be terminated when our board of directors includes less than two directors appointed by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94" w:name="page95"/>
    <w:bookmarkEnd w:id="94"/>
    <w:p>
      <w:pPr>
        <w:jc w:val="both"/>
        <w:ind w:left="580" w:right="659" w:firstLine="194"/>
        <w:spacing w:after="0" w:line="281" w:lineRule="auto"/>
        <w:rPr>
          <w:sz w:val="20"/>
          <w:szCs w:val="20"/>
          <w:color w:val="auto"/>
        </w:rPr>
      </w:pPr>
      <w:r>
        <w:rPr>
          <w:rFonts w:ascii="Arial" w:cs="Arial" w:eastAsia="Arial" w:hAnsi="Arial"/>
          <w:sz w:val="16"/>
          <w:szCs w:val="16"/>
          <w:color w:val="auto"/>
        </w:rPr>
        <w:t>Fortissimo Capital, and the agreement terminates automatically in the event that Fortissimo Capital holds less than 15% of our issued share capital.</w:t>
      </w:r>
    </w:p>
    <w:p>
      <w:pPr>
        <w:spacing w:after="0" w:line="138" w:lineRule="exact"/>
        <w:rPr>
          <w:sz w:val="20"/>
          <w:szCs w:val="20"/>
          <w:color w:val="auto"/>
        </w:rPr>
      </w:pPr>
    </w:p>
    <w:p>
      <w:pPr>
        <w:jc w:val="both"/>
        <w:ind w:left="580" w:right="659" w:firstLine="194"/>
        <w:spacing w:after="0" w:line="311" w:lineRule="auto"/>
        <w:rPr>
          <w:sz w:val="20"/>
          <w:szCs w:val="20"/>
          <w:color w:val="auto"/>
        </w:rPr>
      </w:pPr>
      <w:r>
        <w:rPr>
          <w:rFonts w:ascii="Arial" w:cs="Arial" w:eastAsia="Arial" w:hAnsi="Arial"/>
          <w:sz w:val="14"/>
          <w:szCs w:val="14"/>
          <w:color w:val="auto"/>
        </w:rPr>
        <w:t>We and Fortissimo Capital have agreed to terminate the management services agreement upon the consummation of this offering. As consideration for Fortissimo Capital’s agreement to terminate the management services agreement, we will make a one-time payment of $750,000 to Fortissimo Capital. Fortissimo Capital will receive no other compensation from us in connection with this offering or in connection with the management services agreement.</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Rights of Appointment</w:t>
      </w:r>
    </w:p>
    <w:p>
      <w:pPr>
        <w:spacing w:after="0" w:line="208" w:lineRule="exact"/>
        <w:rPr>
          <w:sz w:val="20"/>
          <w:szCs w:val="20"/>
          <w:color w:val="auto"/>
        </w:rPr>
      </w:pPr>
    </w:p>
    <w:p>
      <w:pPr>
        <w:ind w:left="580" w:right="579" w:firstLine="194"/>
        <w:spacing w:after="0" w:line="262" w:lineRule="auto"/>
        <w:rPr>
          <w:sz w:val="20"/>
          <w:szCs w:val="20"/>
          <w:color w:val="auto"/>
        </w:rPr>
      </w:pPr>
      <w:r>
        <w:rPr>
          <w:rFonts w:ascii="Arial" w:cs="Arial" w:eastAsia="Arial" w:hAnsi="Arial"/>
          <w:sz w:val="16"/>
          <w:szCs w:val="16"/>
          <w:color w:val="auto"/>
        </w:rPr>
        <w:t>Our current board of directors consists of nine directors. Pursuant to our articles of association in effect prior to this offering, certain of our shareholders had rights to appoint members of our board of directors. The following table sets forth the shareholders who are entitled to appoint board members and the number and identities of the members they appointed:</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0"/>
              </w:rPr>
              <w:t>Number of</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91"/>
              </w:rPr>
              <w:t>Members</w:t>
            </w: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88"/>
              </w:rPr>
              <w:t>Members</w:t>
            </w:r>
          </w:p>
        </w:tc>
      </w:tr>
      <w:tr>
        <w:trPr>
          <w:trHeight w:val="188"/>
        </w:trPr>
        <w:tc>
          <w:tcPr>
            <w:tcW w:w="4880" w:type="dxa"/>
            <w:vAlign w:val="bottom"/>
            <w:gridSpan w:val="2"/>
          </w:tcPr>
          <w:p>
            <w:pPr>
              <w:ind w:left="1800"/>
              <w:spacing w:after="0"/>
              <w:rPr>
                <w:sz w:val="20"/>
                <w:szCs w:val="20"/>
                <w:color w:val="auto"/>
              </w:rPr>
            </w:pPr>
            <w:r>
              <w:rPr>
                <w:rFonts w:ascii="Arial" w:cs="Arial" w:eastAsia="Arial" w:hAnsi="Arial"/>
                <w:sz w:val="15"/>
                <w:szCs w:val="15"/>
                <w:b w:val="1"/>
                <w:bCs w:val="1"/>
                <w:color w:val="auto"/>
              </w:rPr>
              <w:t>Appointing Party</w:t>
            </w:r>
          </w:p>
        </w:tc>
        <w:tc>
          <w:tcPr>
            <w:tcW w:w="1320" w:type="dxa"/>
            <w:vAlign w:val="bottom"/>
          </w:tcPr>
          <w:p>
            <w:pPr>
              <w:jc w:val="center"/>
              <w:spacing w:after="0"/>
              <w:rPr>
                <w:sz w:val="20"/>
                <w:szCs w:val="20"/>
                <w:color w:val="auto"/>
              </w:rPr>
            </w:pPr>
            <w:r>
              <w:rPr>
                <w:rFonts w:ascii="Arial" w:cs="Arial" w:eastAsia="Arial" w:hAnsi="Arial"/>
                <w:sz w:val="15"/>
                <w:szCs w:val="15"/>
                <w:b w:val="1"/>
                <w:bCs w:val="1"/>
                <w:color w:val="auto"/>
                <w:w w:val="86"/>
              </w:rPr>
              <w:t>Appointed</w:t>
            </w:r>
          </w:p>
        </w:tc>
        <w:tc>
          <w:tcPr>
            <w:tcW w:w="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88"/>
              </w:rPr>
              <w:t>Appointed</w:t>
            </w:r>
          </w:p>
        </w:tc>
      </w:tr>
      <w:tr>
        <w:trPr>
          <w:trHeight w:val="55"/>
        </w:trPr>
        <w:tc>
          <w:tcPr>
            <w:tcW w:w="4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319"/>
        </w:trPr>
        <w:tc>
          <w:tcPr>
            <w:tcW w:w="4880" w:type="dxa"/>
            <w:vAlign w:val="bottom"/>
            <w:gridSpan w:val="2"/>
          </w:tcPr>
          <w:p>
            <w:pPr>
              <w:spacing w:after="0"/>
              <w:rPr>
                <w:sz w:val="20"/>
                <w:szCs w:val="20"/>
                <w:color w:val="auto"/>
              </w:rPr>
            </w:pPr>
            <w:r>
              <w:rPr>
                <w:rFonts w:ascii="Arial" w:cs="Arial" w:eastAsia="Arial" w:hAnsi="Arial"/>
                <w:sz w:val="16"/>
                <w:szCs w:val="16"/>
                <w:color w:val="auto"/>
              </w:rPr>
              <w:t>Fortissimo Capital</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Four</w:t>
            </w:r>
          </w:p>
        </w:tc>
        <w:tc>
          <w:tcPr>
            <w:tcW w:w="1540" w:type="dxa"/>
            <w:vAlign w:val="bottom"/>
            <w:gridSpan w:val="2"/>
          </w:tcPr>
          <w:p>
            <w:pPr>
              <w:ind w:left="160"/>
              <w:spacing w:after="0"/>
              <w:rPr>
                <w:sz w:val="20"/>
                <w:szCs w:val="20"/>
                <w:color w:val="auto"/>
              </w:rPr>
            </w:pPr>
            <w:r>
              <w:rPr>
                <w:rFonts w:ascii="Arial" w:cs="Arial" w:eastAsia="Arial" w:hAnsi="Arial"/>
                <w:sz w:val="16"/>
                <w:szCs w:val="16"/>
                <w:color w:val="auto"/>
              </w:rPr>
              <w:t>Yuval Cohen, Eli</w:t>
            </w:r>
          </w:p>
        </w:tc>
      </w:tr>
      <w:tr>
        <w:trPr>
          <w:trHeight w:val="194"/>
        </w:trPr>
        <w:tc>
          <w:tcPr>
            <w:tcW w:w="4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color w:val="auto"/>
              </w:rPr>
              <w:t>Blatt, Marc Lesnick</w:t>
            </w:r>
          </w:p>
        </w:tc>
      </w:tr>
      <w:tr>
        <w:trPr>
          <w:trHeight w:val="206"/>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color w:val="auto"/>
                <w:w w:val="97"/>
              </w:rPr>
              <w:t>and Gabi Seligsohn</w:t>
            </w:r>
          </w:p>
        </w:tc>
      </w:tr>
      <w:tr>
        <w:trPr>
          <w:trHeight w:val="327"/>
        </w:trPr>
        <w:tc>
          <w:tcPr>
            <w:tcW w:w="4880" w:type="dxa"/>
            <w:vAlign w:val="bottom"/>
            <w:gridSpan w:val="2"/>
          </w:tcPr>
          <w:p>
            <w:pPr>
              <w:spacing w:after="0"/>
              <w:rPr>
                <w:sz w:val="20"/>
                <w:szCs w:val="20"/>
                <w:color w:val="auto"/>
              </w:rPr>
            </w:pPr>
            <w:r>
              <w:rPr>
                <w:rFonts w:ascii="Arial" w:cs="Arial" w:eastAsia="Arial" w:hAnsi="Arial"/>
                <w:sz w:val="16"/>
                <w:szCs w:val="16"/>
                <w:color w:val="auto"/>
                <w:w w:val="99"/>
              </w:rPr>
              <w:t>Ofer Ben-Zur, together with other shareholders who are not directors,</w:t>
            </w: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One</w:t>
            </w:r>
          </w:p>
        </w:tc>
        <w:tc>
          <w:tcPr>
            <w:tcW w:w="1540" w:type="dxa"/>
            <w:vAlign w:val="bottom"/>
            <w:gridSpan w:val="2"/>
          </w:tcPr>
          <w:p>
            <w:pPr>
              <w:ind w:left="160"/>
              <w:spacing w:after="0"/>
              <w:rPr>
                <w:sz w:val="20"/>
                <w:szCs w:val="20"/>
                <w:color w:val="auto"/>
              </w:rPr>
            </w:pPr>
            <w:r>
              <w:rPr>
                <w:rFonts w:ascii="Arial" w:cs="Arial" w:eastAsia="Arial" w:hAnsi="Arial"/>
                <w:sz w:val="16"/>
                <w:szCs w:val="16"/>
                <w:color w:val="auto"/>
              </w:rPr>
              <w:t>Ofer Ben-Zur</w:t>
            </w:r>
          </w:p>
        </w:tc>
      </w:tr>
      <w:tr>
        <w:trPr>
          <w:trHeight w:val="194"/>
        </w:trPr>
        <w:tc>
          <w:tcPr>
            <w:tcW w:w="4880" w:type="dxa"/>
            <w:vAlign w:val="bottom"/>
            <w:gridSpan w:val="2"/>
          </w:tcPr>
          <w:p>
            <w:pPr>
              <w:spacing w:after="0"/>
              <w:rPr>
                <w:sz w:val="20"/>
                <w:szCs w:val="20"/>
                <w:color w:val="auto"/>
              </w:rPr>
            </w:pPr>
            <w:r>
              <w:rPr>
                <w:rFonts w:ascii="Arial" w:cs="Arial" w:eastAsia="Arial" w:hAnsi="Arial"/>
                <w:sz w:val="16"/>
                <w:szCs w:val="16"/>
                <w:color w:val="auto"/>
              </w:rPr>
              <w:t>officers or 5% shareholders provided such group holds 9% of our</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6"/>
        </w:trPr>
        <w:tc>
          <w:tcPr>
            <w:tcW w:w="4880" w:type="dxa"/>
            <w:vAlign w:val="bottom"/>
            <w:gridSpan w:val="2"/>
          </w:tcPr>
          <w:p>
            <w:pPr>
              <w:spacing w:after="0"/>
              <w:rPr>
                <w:sz w:val="20"/>
                <w:szCs w:val="20"/>
                <w:color w:val="auto"/>
              </w:rPr>
            </w:pPr>
            <w:r>
              <w:rPr>
                <w:rFonts w:ascii="Arial" w:cs="Arial" w:eastAsia="Arial" w:hAnsi="Arial"/>
                <w:sz w:val="16"/>
                <w:szCs w:val="16"/>
                <w:color w:val="auto"/>
              </w:rPr>
              <w:t>outstanding ordinary shares</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27"/>
        </w:trPr>
        <w:tc>
          <w:tcPr>
            <w:tcW w:w="4880" w:type="dxa"/>
            <w:vAlign w:val="bottom"/>
            <w:gridSpan w:val="2"/>
          </w:tcPr>
          <w:p>
            <w:pPr>
              <w:spacing w:after="0"/>
              <w:rPr>
                <w:sz w:val="20"/>
                <w:szCs w:val="20"/>
                <w:color w:val="auto"/>
              </w:rPr>
            </w:pPr>
            <w:r>
              <w:rPr>
                <w:rFonts w:ascii="Arial" w:cs="Arial" w:eastAsia="Arial" w:hAnsi="Arial"/>
                <w:sz w:val="16"/>
                <w:szCs w:val="16"/>
                <w:color w:val="auto"/>
                <w:w w:val="96"/>
              </w:rPr>
              <w:t>Gavriel Weinshtock, Yossef Nuriel and Yahel (Nur Group) Holdings Ltd.</w:t>
            </w: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One</w:t>
            </w:r>
          </w:p>
        </w:tc>
        <w:tc>
          <w:tcPr>
            <w:tcW w:w="1540" w:type="dxa"/>
            <w:vAlign w:val="bottom"/>
            <w:gridSpan w:val="2"/>
          </w:tcPr>
          <w:p>
            <w:pPr>
              <w:ind w:left="160"/>
              <w:spacing w:after="0"/>
              <w:rPr>
                <w:sz w:val="20"/>
                <w:szCs w:val="20"/>
                <w:color w:val="auto"/>
              </w:rPr>
            </w:pPr>
            <w:r>
              <w:rPr>
                <w:rFonts w:ascii="Arial" w:cs="Arial" w:eastAsia="Arial" w:hAnsi="Arial"/>
                <w:sz w:val="16"/>
                <w:szCs w:val="16"/>
                <w:color w:val="auto"/>
              </w:rPr>
              <w:t>None</w:t>
            </w:r>
          </w:p>
        </w:tc>
      </w:tr>
      <w:tr>
        <w:trPr>
          <w:trHeight w:val="194"/>
        </w:trPr>
        <w:tc>
          <w:tcPr>
            <w:tcW w:w="4880" w:type="dxa"/>
            <w:vAlign w:val="bottom"/>
            <w:gridSpan w:val="2"/>
          </w:tcPr>
          <w:p>
            <w:pPr>
              <w:spacing w:after="0"/>
              <w:rPr>
                <w:sz w:val="20"/>
                <w:szCs w:val="20"/>
                <w:color w:val="auto"/>
              </w:rPr>
            </w:pPr>
            <w:r>
              <w:rPr>
                <w:rFonts w:ascii="Arial" w:cs="Arial" w:eastAsia="Arial" w:hAnsi="Arial"/>
                <w:sz w:val="16"/>
                <w:szCs w:val="16"/>
                <w:color w:val="auto"/>
              </w:rPr>
              <w:t>(formerly Yahel Productions K.D.M. and Events Ltd.), together with</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4"/>
        </w:trPr>
        <w:tc>
          <w:tcPr>
            <w:tcW w:w="4880" w:type="dxa"/>
            <w:vAlign w:val="bottom"/>
            <w:gridSpan w:val="2"/>
          </w:tcPr>
          <w:p>
            <w:pPr>
              <w:spacing w:after="0"/>
              <w:rPr>
                <w:sz w:val="20"/>
                <w:szCs w:val="20"/>
                <w:color w:val="auto"/>
              </w:rPr>
            </w:pPr>
            <w:r>
              <w:rPr>
                <w:rFonts w:ascii="Arial" w:cs="Arial" w:eastAsia="Arial" w:hAnsi="Arial"/>
                <w:sz w:val="16"/>
                <w:szCs w:val="16"/>
                <w:color w:val="auto"/>
                <w:w w:val="98"/>
              </w:rPr>
              <w:t>other shareholders who are not directors, officers or 5% shareholders</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6"/>
        </w:trPr>
        <w:tc>
          <w:tcPr>
            <w:tcW w:w="4880" w:type="dxa"/>
            <w:vAlign w:val="bottom"/>
            <w:gridSpan w:val="2"/>
          </w:tcPr>
          <w:p>
            <w:pPr>
              <w:spacing w:after="0"/>
              <w:rPr>
                <w:sz w:val="20"/>
                <w:szCs w:val="20"/>
                <w:color w:val="auto"/>
              </w:rPr>
            </w:pPr>
            <w:r>
              <w:rPr>
                <w:rFonts w:ascii="Arial" w:cs="Arial" w:eastAsia="Arial" w:hAnsi="Arial"/>
                <w:sz w:val="16"/>
                <w:szCs w:val="16"/>
                <w:color w:val="auto"/>
              </w:rPr>
              <w:t>provided such group holds 9% of our outstanding ordinary shares</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194" w:lineRule="exact"/>
        <w:rPr>
          <w:sz w:val="20"/>
          <w:szCs w:val="20"/>
          <w:color w:val="auto"/>
        </w:rPr>
      </w:pPr>
    </w:p>
    <w:p>
      <w:pPr>
        <w:ind w:left="580" w:right="579" w:firstLine="194"/>
        <w:spacing w:after="0" w:line="267" w:lineRule="auto"/>
        <w:rPr>
          <w:sz w:val="20"/>
          <w:szCs w:val="20"/>
          <w:color w:val="auto"/>
        </w:rPr>
      </w:pPr>
      <w:r>
        <w:rPr>
          <w:rFonts w:ascii="Arial" w:cs="Arial" w:eastAsia="Arial" w:hAnsi="Arial"/>
          <w:sz w:val="16"/>
          <w:szCs w:val="16"/>
          <w:color w:val="auto"/>
        </w:rPr>
        <w:t>All rights to appoint directors will terminate following the adoption of our amended and restated articles of association upon the closing of this offering, although the existing board members will continue to serve until the end of their respective terms absent their earlier resignation or removal.</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Agreements and Arrangements with, and Compensation of, Directors and Executive Officers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204" w:lineRule="exact"/>
        <w:rPr>
          <w:sz w:val="20"/>
          <w:szCs w:val="20"/>
          <w:color w:val="auto"/>
        </w:rPr>
      </w:pPr>
    </w:p>
    <w:p>
      <w:pPr>
        <w:ind w:left="580" w:right="579" w:firstLine="194"/>
        <w:spacing w:after="0" w:line="258" w:lineRule="auto"/>
        <w:rPr>
          <w:sz w:val="20"/>
          <w:szCs w:val="20"/>
          <w:color w:val="auto"/>
        </w:rPr>
      </w:pPr>
      <w:r>
        <w:rPr>
          <w:rFonts w:ascii="Arial" w:cs="Arial" w:eastAsia="Arial" w:hAnsi="Arial"/>
          <w:sz w:val="16"/>
          <w:szCs w:val="16"/>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Options</w:t>
      </w:r>
    </w:p>
    <w:p>
      <w:pPr>
        <w:spacing w:after="0" w:line="204" w:lineRule="exact"/>
        <w:rPr>
          <w:sz w:val="20"/>
          <w:szCs w:val="20"/>
          <w:color w:val="auto"/>
        </w:rPr>
      </w:pPr>
    </w:p>
    <w:p>
      <w:pPr>
        <w:ind w:left="580" w:right="879" w:firstLine="194"/>
        <w:spacing w:after="0" w:line="305" w:lineRule="auto"/>
        <w:rPr>
          <w:sz w:val="20"/>
          <w:szCs w:val="20"/>
          <w:color w:val="auto"/>
        </w:rPr>
      </w:pPr>
      <w:r>
        <w:rPr>
          <w:rFonts w:ascii="Arial" w:cs="Arial" w:eastAsia="Arial" w:hAnsi="Arial"/>
          <w:sz w:val="14"/>
          <w:szCs w:val="14"/>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“Management—Share Incentive Plans”. “ If the relationship between us and an executive officer or a director is terminated, except for cause (as defined in the option plans), all options that are vested will generally remain exercisable for ninety days after such termination.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95" w:name="page96"/>
    <w:bookmarkEnd w:id="95"/>
    <w:p>
      <w:pPr>
        <w:ind w:left="580" w:right="819" w:firstLine="194"/>
        <w:spacing w:after="0" w:line="267" w:lineRule="auto"/>
        <w:rPr>
          <w:sz w:val="20"/>
          <w:szCs w:val="20"/>
          <w:color w:val="auto"/>
        </w:rPr>
      </w:pPr>
      <w:r>
        <w:rPr>
          <w:rFonts w:ascii="Arial" w:cs="Arial" w:eastAsia="Arial" w:hAnsi="Arial"/>
          <w:sz w:val="16"/>
          <w:szCs w:val="16"/>
          <w:color w:val="auto"/>
        </w:rPr>
        <w:t>The following table provides information regarding the options to purchase our ordinary shares held by each of our directors and officers who beneficially owns greater than one percent of our ordinary shares immediately prior to the closing of this offering:</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7"/>
              </w:rPr>
              <w:t>Number of</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3"/>
              </w:rPr>
              <w:t>Shares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Underlying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3760" w:type="dxa"/>
            <w:vAlign w:val="bottom"/>
            <w:gridSpan w:val="2"/>
          </w:tcPr>
          <w:p>
            <w:pPr>
              <w:ind w:left="1440"/>
              <w:spacing w:after="0"/>
              <w:rPr>
                <w:sz w:val="20"/>
                <w:szCs w:val="20"/>
                <w:color w:val="auto"/>
              </w:rPr>
            </w:pPr>
            <w:r>
              <w:rPr>
                <w:rFonts w:ascii="Arial" w:cs="Arial" w:eastAsia="Arial" w:hAnsi="Arial"/>
                <w:sz w:val="15"/>
                <w:szCs w:val="15"/>
                <w:b w:val="1"/>
                <w:bCs w:val="1"/>
                <w:color w:val="auto"/>
              </w:rPr>
              <w:t>Name/Title</w:t>
            </w: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8"/>
              </w:rPr>
              <w:t>Options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5"/>
                <w:szCs w:val="15"/>
                <w:b w:val="1"/>
                <w:bCs w:val="1"/>
                <w:color w:val="auto"/>
              </w:rPr>
              <w:t>Exercise Price</w:t>
            </w:r>
          </w:p>
        </w:tc>
        <w:tc>
          <w:tcPr>
            <w:tcW w:w="1100" w:type="dxa"/>
            <w:vAlign w:val="bottom"/>
          </w:tcPr>
          <w:p>
            <w:pPr>
              <w:ind w:left="40"/>
              <w:spacing w:after="0"/>
              <w:rPr>
                <w:sz w:val="20"/>
                <w:szCs w:val="20"/>
                <w:color w:val="auto"/>
              </w:rPr>
            </w:pPr>
            <w:r>
              <w:rPr>
                <w:rFonts w:ascii="Arial" w:cs="Arial" w:eastAsia="Arial" w:hAnsi="Arial"/>
                <w:sz w:val="15"/>
                <w:szCs w:val="15"/>
                <w:b w:val="1"/>
                <w:bCs w:val="1"/>
                <w:color w:val="auto"/>
                <w:w w:val="94"/>
              </w:rPr>
              <w:t>Expiration Date</w:t>
            </w:r>
          </w:p>
        </w:tc>
      </w:tr>
      <w:tr>
        <w:trPr>
          <w:trHeight w:val="180"/>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93"/>
              </w:rPr>
              <w:t>Ofer Ben-Zur, President and Chief Technology Officer</w:t>
            </w:r>
          </w:p>
        </w:tc>
        <w:tc>
          <w:tcPr>
            <w:tcW w:w="1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6"/>
        </w:trPr>
        <w:tc>
          <w:tcPr>
            <w:tcW w:w="3780" w:type="dxa"/>
            <w:vAlign w:val="bottom"/>
            <w:gridSpan w:val="3"/>
          </w:tcPr>
          <w:p>
            <w:pPr>
              <w:spacing w:after="0"/>
              <w:rPr>
                <w:sz w:val="20"/>
                <w:szCs w:val="20"/>
                <w:color w:val="auto"/>
              </w:rPr>
            </w:pPr>
            <w:r>
              <w:rPr>
                <w:rFonts w:ascii="Arial" w:cs="Arial" w:eastAsia="Arial" w:hAnsi="Arial"/>
                <w:sz w:val="16"/>
                <w:szCs w:val="16"/>
                <w:color w:val="auto"/>
              </w:rPr>
              <w:t>and Director</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19,659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0.36</w:t>
            </w:r>
          </w:p>
        </w:tc>
        <w:tc>
          <w:tcPr>
            <w:tcW w:w="1100" w:type="dxa"/>
            <w:vAlign w:val="bottom"/>
          </w:tcPr>
          <w:p>
            <w:pPr>
              <w:ind w:left="20"/>
              <w:spacing w:after="0"/>
              <w:rPr>
                <w:sz w:val="20"/>
                <w:szCs w:val="20"/>
                <w:color w:val="auto"/>
              </w:rPr>
            </w:pPr>
            <w:r>
              <w:rPr>
                <w:rFonts w:ascii="Arial" w:cs="Arial" w:eastAsia="Arial" w:hAnsi="Arial"/>
                <w:sz w:val="16"/>
                <w:szCs w:val="16"/>
                <w:color w:val="auto"/>
                <w:w w:val="95"/>
              </w:rPr>
              <w:t>March 27, 2017</w:t>
            </w:r>
          </w:p>
        </w:tc>
      </w:tr>
      <w:tr>
        <w:trPr>
          <w:trHeight w:val="363"/>
        </w:trPr>
        <w:tc>
          <w:tcPr>
            <w:tcW w:w="37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Indemnification Agreements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82" w:lineRule="exact"/>
        <w:rPr>
          <w:sz w:val="20"/>
          <w:szCs w:val="20"/>
          <w:color w:val="auto"/>
        </w:rPr>
      </w:pPr>
    </w:p>
    <w:p>
      <w:pPr>
        <w:ind w:left="580" w:right="599" w:firstLine="194"/>
        <w:spacing w:after="0" w:line="257"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DESCRIPTION OF SHARE CAPITAL</w:t>
      </w:r>
    </w:p>
    <w:p>
      <w:pPr>
        <w:spacing w:after="0" w:line="208" w:lineRule="exact"/>
        <w:rPr>
          <w:sz w:val="20"/>
          <w:szCs w:val="20"/>
          <w:color w:val="auto"/>
        </w:rPr>
      </w:pPr>
    </w:p>
    <w:p>
      <w:pPr>
        <w:ind w:left="580" w:right="999" w:firstLine="194"/>
        <w:spacing w:after="0" w:line="355" w:lineRule="auto"/>
        <w:rPr>
          <w:sz w:val="20"/>
          <w:szCs w:val="20"/>
          <w:color w:val="auto"/>
        </w:rPr>
      </w:pPr>
      <w:r>
        <w:rPr>
          <w:rFonts w:ascii="Arial" w:cs="Arial" w:eastAsia="Arial" w:hAnsi="Arial"/>
          <w:sz w:val="14"/>
          <w:szCs w:val="14"/>
          <w:color w:val="auto"/>
        </w:rPr>
        <w:t>The following description of our share capital and provisions of our amended and restated articles of association which will be effective upon the completion of this offering are summaries and do not purport to be complete.</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General</w:t>
      </w:r>
    </w:p>
    <w:p>
      <w:pPr>
        <w:spacing w:after="0" w:line="208" w:lineRule="exact"/>
        <w:rPr>
          <w:sz w:val="20"/>
          <w:szCs w:val="20"/>
          <w:color w:val="auto"/>
        </w:rPr>
      </w:pPr>
    </w:p>
    <w:p>
      <w:pPr>
        <w:ind w:left="580" w:right="759" w:firstLine="194"/>
        <w:spacing w:after="0" w:line="267" w:lineRule="auto"/>
        <w:rPr>
          <w:sz w:val="20"/>
          <w:szCs w:val="20"/>
          <w:color w:val="auto"/>
        </w:rPr>
      </w:pPr>
      <w:r>
        <w:rPr>
          <w:rFonts w:ascii="Arial" w:cs="Arial" w:eastAsia="Arial" w:hAnsi="Arial"/>
          <w:sz w:val="16"/>
          <w:szCs w:val="16"/>
          <w:color w:val="auto"/>
        </w:rPr>
        <w:t>Upon the closing of this offering, our authorized share capital will consist of 200,000,000 ordinary shares, par value NIS 0.01 per share, of which 28,701,965 shares will be issued and outstanding (assuming that the underwriters do not exercise their option to purchase additional ordinary shares).</w:t>
      </w:r>
    </w:p>
    <w:p>
      <w:pPr>
        <w:spacing w:after="0" w:line="161" w:lineRule="exact"/>
        <w:rPr>
          <w:sz w:val="20"/>
          <w:szCs w:val="20"/>
          <w:color w:val="auto"/>
        </w:rPr>
      </w:pPr>
    </w:p>
    <w:p>
      <w:pPr>
        <w:ind w:left="580" w:right="799" w:firstLine="194"/>
        <w:spacing w:after="0" w:line="281" w:lineRule="auto"/>
        <w:rPr>
          <w:sz w:val="20"/>
          <w:szCs w:val="20"/>
          <w:color w:val="auto"/>
        </w:rPr>
      </w:pPr>
      <w:r>
        <w:rPr>
          <w:rFonts w:ascii="Arial" w:cs="Arial" w:eastAsia="Arial" w:hAnsi="Arial"/>
          <w:sz w:val="16"/>
          <w:szCs w:val="16"/>
          <w:color w:val="auto"/>
        </w:rPr>
        <w:t>All of our outstanding ordinary shares are validly issued, fully paid and non-assessable. Our ordinary shares are not redeemable and do not have any preemptive rights.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Registration Number and Purposes of the Company</w:t>
      </w:r>
    </w:p>
    <w:p>
      <w:pPr>
        <w:spacing w:after="0" w:line="208" w:lineRule="exact"/>
        <w:rPr>
          <w:sz w:val="20"/>
          <w:szCs w:val="20"/>
          <w:color w:val="auto"/>
        </w:rPr>
      </w:pPr>
    </w:p>
    <w:p>
      <w:pPr>
        <w:ind w:left="580" w:right="1139" w:firstLine="194"/>
        <w:spacing w:after="0" w:line="281" w:lineRule="auto"/>
        <w:rPr>
          <w:sz w:val="20"/>
          <w:szCs w:val="20"/>
          <w:color w:val="auto"/>
        </w:rPr>
      </w:pPr>
      <w:r>
        <w:rPr>
          <w:rFonts w:ascii="Arial" w:cs="Arial" w:eastAsia="Arial" w:hAnsi="Arial"/>
          <w:sz w:val="16"/>
          <w:szCs w:val="16"/>
          <w:color w:val="auto"/>
        </w:rPr>
        <w:t>Our registration number with the Israeli Registrar of Companies is 513195420. Our purpose as set forth in our amended and restated articles of association is to engage in any lawful activity.</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Voting Rights and Conversion</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All ordinary shares will have identical voting and other rights in all respects.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Transfer of Shares</w:t>
      </w:r>
    </w:p>
    <w:p>
      <w:pPr>
        <w:spacing w:after="0" w:line="208" w:lineRule="exact"/>
        <w:rPr>
          <w:sz w:val="20"/>
          <w:szCs w:val="20"/>
          <w:color w:val="auto"/>
        </w:rPr>
      </w:pPr>
    </w:p>
    <w:p>
      <w:pPr>
        <w:ind w:left="580" w:right="599" w:firstLine="194"/>
        <w:spacing w:after="0" w:line="305" w:lineRule="auto"/>
        <w:rPr>
          <w:sz w:val="20"/>
          <w:szCs w:val="20"/>
          <w:color w:val="auto"/>
        </w:rPr>
      </w:pPr>
      <w:r>
        <w:rPr>
          <w:rFonts w:ascii="Arial" w:cs="Arial" w:eastAsia="Arial" w:hAnsi="Arial"/>
          <w:sz w:val="14"/>
          <w:szCs w:val="14"/>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Election of Directors</w:t>
      </w:r>
    </w:p>
    <w:p>
      <w:pPr>
        <w:spacing w:after="0" w:line="208" w:lineRule="exact"/>
        <w:rPr>
          <w:sz w:val="20"/>
          <w:szCs w:val="20"/>
          <w:color w:val="auto"/>
        </w:rPr>
      </w:pPr>
    </w:p>
    <w:p>
      <w:pPr>
        <w:ind w:left="580" w:right="639" w:firstLine="194"/>
        <w:spacing w:after="0" w:line="262" w:lineRule="auto"/>
        <w:rPr>
          <w:sz w:val="20"/>
          <w:szCs w:val="20"/>
          <w:color w:val="auto"/>
        </w:rPr>
      </w:pPr>
      <w:r>
        <w:rPr>
          <w:rFonts w:ascii="Arial" w:cs="Arial" w:eastAsia="Arial" w:hAnsi="Arial"/>
          <w:sz w:val="16"/>
          <w:szCs w:val="16"/>
          <w:color w:val="auto"/>
        </w:rPr>
        <w:t>Our ordinary shares do not have cumulative voting rights for the election of directors. As a result, the holders of a majority of the voting power represented at a meeting of shareholders have the power to elect all of our directors that are proposed for election at that meeting, subject to the special approval requirements for external directors described under “Management—Board Practices—External Directors.”</w:t>
      </w:r>
    </w:p>
    <w:p>
      <w:pPr>
        <w:spacing w:after="0" w:line="166" w:lineRule="exact"/>
        <w:rPr>
          <w:sz w:val="20"/>
          <w:szCs w:val="20"/>
          <w:color w:val="auto"/>
        </w:rPr>
      </w:pPr>
    </w:p>
    <w:p>
      <w:pPr>
        <w:ind w:left="580" w:right="579" w:firstLine="194"/>
        <w:spacing w:after="0" w:line="272" w:lineRule="auto"/>
        <w:rPr>
          <w:sz w:val="20"/>
          <w:szCs w:val="20"/>
          <w:color w:val="auto"/>
        </w:rPr>
      </w:pPr>
      <w:r>
        <w:rPr>
          <w:rFonts w:ascii="Arial" w:cs="Arial" w:eastAsia="Arial" w:hAnsi="Arial"/>
          <w:sz w:val="15"/>
          <w:szCs w:val="15"/>
          <w:color w:val="auto"/>
        </w:rPr>
        <w:t>Under our amended and restated articles of association to be effective upon completion of this offering, our board of directors must consist of not less than five but no more than nine directors, including two external directors as required by the Israeli Companies Law. Pursuant to our amended and restated articles of association,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until they are removed by a vote of 65% of the total voting power of our shareholders at a general meeting of our shareholders or upon the occurrence of certain events, in accordance with the Israeli Companies Law and our articles of association. In addition, our articles of association allow our board of directors to fill vacancies on the board of directors or to appoint new directors up to the maximum number of directors permitted under our articles of association.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 See “Management—Board Practices— External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97" w:name="page98"/>
    <w:bookmarkEnd w:id="97"/>
    <w:p>
      <w:pPr>
        <w:ind w:left="580"/>
        <w:spacing w:after="0"/>
        <w:rPr>
          <w:sz w:val="20"/>
          <w:szCs w:val="20"/>
          <w:color w:val="auto"/>
        </w:rPr>
      </w:pPr>
      <w:r>
        <w:rPr>
          <w:rFonts w:ascii="Arial" w:cs="Arial" w:eastAsia="Arial" w:hAnsi="Arial"/>
          <w:sz w:val="16"/>
          <w:szCs w:val="16"/>
          <w:b w:val="1"/>
          <w:bCs w:val="1"/>
          <w:color w:val="auto"/>
        </w:rPr>
        <w:t>Dividend and Liquidation Rights</w:t>
      </w:r>
    </w:p>
    <w:p>
      <w:pPr>
        <w:spacing w:after="0" w:line="196" w:lineRule="exact"/>
        <w:rPr>
          <w:sz w:val="20"/>
          <w:szCs w:val="20"/>
          <w:color w:val="auto"/>
        </w:rPr>
      </w:pPr>
    </w:p>
    <w:p>
      <w:pPr>
        <w:ind w:left="580" w:right="599" w:firstLine="194"/>
        <w:spacing w:after="0" w:line="281" w:lineRule="auto"/>
        <w:rPr>
          <w:sz w:val="20"/>
          <w:szCs w:val="20"/>
          <w:color w:val="auto"/>
        </w:rPr>
      </w:pPr>
      <w:r>
        <w:rPr>
          <w:rFonts w:ascii="Arial" w:cs="Arial" w:eastAsia="Arial" w:hAnsi="Arial"/>
          <w:sz w:val="15"/>
          <w:szCs w:val="15"/>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29" w:lineRule="exact"/>
        <w:rPr>
          <w:sz w:val="20"/>
          <w:szCs w:val="20"/>
          <w:color w:val="auto"/>
        </w:rPr>
      </w:pPr>
    </w:p>
    <w:p>
      <w:pPr>
        <w:ind w:left="580" w:right="579" w:firstLine="194"/>
        <w:spacing w:after="0" w:line="25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59" w:lineRule="exact"/>
        <w:rPr>
          <w:sz w:val="20"/>
          <w:szCs w:val="20"/>
          <w:color w:val="auto"/>
        </w:rPr>
      </w:pPr>
    </w:p>
    <w:p>
      <w:pPr>
        <w:ind w:left="580" w:right="739" w:firstLine="194"/>
        <w:spacing w:after="0" w:line="262"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Exchange Controls</w:t>
      </w:r>
    </w:p>
    <w:p>
      <w:pPr>
        <w:spacing w:after="0" w:line="183" w:lineRule="exact"/>
        <w:rPr>
          <w:sz w:val="20"/>
          <w:szCs w:val="20"/>
          <w:color w:val="auto"/>
        </w:rPr>
      </w:pPr>
    </w:p>
    <w:p>
      <w:pPr>
        <w:ind w:left="580" w:right="679" w:firstLine="194"/>
        <w:spacing w:after="0" w:line="267"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Shareholder Meetings</w:t>
      </w:r>
    </w:p>
    <w:p>
      <w:pPr>
        <w:spacing w:after="0" w:line="196" w:lineRule="exact"/>
        <w:rPr>
          <w:sz w:val="20"/>
          <w:szCs w:val="20"/>
          <w:color w:val="auto"/>
        </w:rPr>
      </w:pPr>
    </w:p>
    <w:p>
      <w:pPr>
        <w:ind w:left="580" w:right="599" w:firstLine="194"/>
        <w:spacing w:after="0" w:line="275" w:lineRule="auto"/>
        <w:rPr>
          <w:sz w:val="20"/>
          <w:szCs w:val="20"/>
          <w:color w:val="auto"/>
        </w:rPr>
      </w:pPr>
      <w:r>
        <w:rPr>
          <w:rFonts w:ascii="Arial" w:cs="Arial" w:eastAsia="Arial" w:hAnsi="Arial"/>
          <w:sz w:val="15"/>
          <w:szCs w:val="15"/>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Israeli Companies Law provides that our board of directors is required to convene an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35" w:lineRule="exact"/>
        <w:rPr>
          <w:sz w:val="20"/>
          <w:szCs w:val="20"/>
          <w:color w:val="auto"/>
        </w:rPr>
      </w:pPr>
    </w:p>
    <w:p>
      <w:pPr>
        <w:ind w:left="580" w:right="679" w:firstLine="194"/>
        <w:spacing w:after="0" w:line="281"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21 days prior to the date of the meeting, and in certain circumstances, between 4 and 40 days prior to the date of the meeting. Furthermore, the Israeli Companies Law requires that resolutions regarding the following matters must be passed at a general meeting of our shareholders:</w:t>
      </w:r>
    </w:p>
    <w:p>
      <w:pPr>
        <w:spacing w:after="0" w:line="153" w:lineRule="exact"/>
        <w:rPr>
          <w:sz w:val="20"/>
          <w:szCs w:val="20"/>
          <w:color w:val="auto"/>
        </w:rPr>
      </w:pPr>
    </w:p>
    <w:p>
      <w:pPr>
        <w:ind w:left="940" w:hanging="169"/>
        <w:spacing w:after="0"/>
        <w:tabs>
          <w:tab w:leader="none" w:pos="940" w:val="left"/>
        </w:tabs>
        <w:numPr>
          <w:ilvl w:val="0"/>
          <w:numId w:val="67"/>
        </w:numPr>
        <w:rPr>
          <w:rFonts w:ascii="Arial" w:cs="Arial" w:eastAsia="Arial" w:hAnsi="Arial"/>
          <w:sz w:val="19"/>
          <w:szCs w:val="19"/>
          <w:color w:val="auto"/>
        </w:rPr>
      </w:pPr>
      <w:r>
        <w:rPr>
          <w:rFonts w:ascii="Arial" w:cs="Arial" w:eastAsia="Arial" w:hAnsi="Arial"/>
          <w:sz w:val="16"/>
          <w:szCs w:val="16"/>
          <w:color w:val="auto"/>
        </w:rPr>
        <w:t>amendments to our articles of association;</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7"/>
        </w:numPr>
        <w:rPr>
          <w:rFonts w:ascii="Arial" w:cs="Arial" w:eastAsia="Arial" w:hAnsi="Arial"/>
          <w:sz w:val="19"/>
          <w:szCs w:val="19"/>
          <w:color w:val="auto"/>
        </w:rPr>
      </w:pPr>
      <w:r>
        <w:rPr>
          <w:rFonts w:ascii="Arial" w:cs="Arial" w:eastAsia="Arial" w:hAnsi="Arial"/>
          <w:sz w:val="16"/>
          <w:szCs w:val="16"/>
          <w:color w:val="auto"/>
        </w:rPr>
        <w:t>appointment or termination of our auditors;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7"/>
        </w:numPr>
        <w:rPr>
          <w:rFonts w:ascii="Arial" w:cs="Arial" w:eastAsia="Arial" w:hAnsi="Arial"/>
          <w:sz w:val="19"/>
          <w:szCs w:val="19"/>
          <w:color w:val="auto"/>
        </w:rPr>
      </w:pPr>
      <w:r>
        <w:rPr>
          <w:rFonts w:ascii="Arial" w:cs="Arial" w:eastAsia="Arial" w:hAnsi="Arial"/>
          <w:sz w:val="16"/>
          <w:szCs w:val="16"/>
          <w:color w:val="auto"/>
        </w:rPr>
        <w:t>appointment of external directors;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7"/>
        </w:numPr>
        <w:rPr>
          <w:rFonts w:ascii="Arial" w:cs="Arial" w:eastAsia="Arial" w:hAnsi="Arial"/>
          <w:sz w:val="19"/>
          <w:szCs w:val="19"/>
          <w:color w:val="auto"/>
        </w:rPr>
      </w:pPr>
      <w:r>
        <w:rPr>
          <w:rFonts w:ascii="Arial" w:cs="Arial" w:eastAsia="Arial" w:hAnsi="Arial"/>
          <w:sz w:val="16"/>
          <w:szCs w:val="16"/>
          <w:color w:val="auto"/>
        </w:rPr>
        <w:t>approval of certain related party transactions;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7"/>
        </w:numPr>
        <w:rPr>
          <w:rFonts w:ascii="Arial" w:cs="Arial" w:eastAsia="Arial" w:hAnsi="Arial"/>
          <w:sz w:val="19"/>
          <w:szCs w:val="19"/>
          <w:color w:val="auto"/>
        </w:rPr>
      </w:pPr>
      <w:r>
        <w:rPr>
          <w:rFonts w:ascii="Arial" w:cs="Arial" w:eastAsia="Arial" w:hAnsi="Arial"/>
          <w:sz w:val="16"/>
          <w:szCs w:val="16"/>
          <w:color w:val="auto"/>
        </w:rPr>
        <w:t>increases or reductions of our authorized share capital;</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67"/>
        </w:numPr>
        <w:rPr>
          <w:rFonts w:ascii="Arial" w:cs="Arial" w:eastAsia="Arial" w:hAnsi="Arial"/>
          <w:sz w:val="19"/>
          <w:szCs w:val="19"/>
          <w:color w:val="auto"/>
        </w:rPr>
      </w:pPr>
      <w:r>
        <w:rPr>
          <w:rFonts w:ascii="Arial" w:cs="Arial" w:eastAsia="Arial" w:hAnsi="Arial"/>
          <w:sz w:val="16"/>
          <w:szCs w:val="16"/>
          <w:color w:val="auto"/>
        </w:rPr>
        <w:t>a merger; and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8" w:name="page99"/>
    <w:bookmarkEnd w:id="98"/>
    <w:p>
      <w:pPr>
        <w:ind w:left="960" w:right="579" w:hanging="189"/>
        <w:spacing w:after="0" w:line="238" w:lineRule="auto"/>
        <w:tabs>
          <w:tab w:leader="none" w:pos="943" w:val="left"/>
        </w:tabs>
        <w:numPr>
          <w:ilvl w:val="0"/>
          <w:numId w:val="68"/>
        </w:numPr>
        <w:rPr>
          <w:rFonts w:ascii="Arial" w:cs="Arial" w:eastAsia="Arial" w:hAnsi="Arial"/>
          <w:sz w:val="19"/>
          <w:szCs w:val="19"/>
          <w:color w:val="auto"/>
        </w:rPr>
      </w:pPr>
      <w:r>
        <w:rPr>
          <w:rFonts w:ascii="Arial" w:cs="Arial" w:eastAsia="Arial" w:hAnsi="Arial"/>
          <w:sz w:val="16"/>
          <w:szCs w:val="16"/>
          <w:color w:val="auto"/>
        </w:rPr>
        <w:t>the exercise of our board of director’s powers by a general meeting, if our board of directors is unable to exercise its powers and the exercise of any of its powers is required for our proper management.</w:t>
      </w:r>
    </w:p>
    <w:p>
      <w:pPr>
        <w:spacing w:after="0" w:line="146" w:lineRule="exact"/>
        <w:rPr>
          <w:sz w:val="20"/>
          <w:szCs w:val="20"/>
          <w:color w:val="auto"/>
        </w:rPr>
      </w:pPr>
    </w:p>
    <w:p>
      <w:pPr>
        <w:ind w:left="580" w:right="679" w:firstLine="194"/>
        <w:spacing w:after="0" w:line="262" w:lineRule="auto"/>
        <w:rPr>
          <w:sz w:val="20"/>
          <w:szCs w:val="20"/>
          <w:color w:val="auto"/>
        </w:rPr>
      </w:pPr>
      <w:r>
        <w:rPr>
          <w:rFonts w:ascii="Arial" w:cs="Arial" w:eastAsia="Arial" w:hAnsi="Arial"/>
          <w:sz w:val="16"/>
          <w:szCs w:val="16"/>
          <w:color w:val="auto"/>
        </w:rPr>
        <w:t>The Israeli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41" w:lineRule="exact"/>
        <w:rPr>
          <w:sz w:val="20"/>
          <w:szCs w:val="20"/>
          <w:color w:val="auto"/>
        </w:rPr>
      </w:pPr>
    </w:p>
    <w:p>
      <w:pPr>
        <w:ind w:left="580" w:right="619" w:firstLine="194"/>
        <w:spacing w:after="0" w:line="281" w:lineRule="auto"/>
        <w:rPr>
          <w:sz w:val="20"/>
          <w:szCs w:val="20"/>
          <w:color w:val="auto"/>
        </w:rPr>
      </w:pPr>
      <w:r>
        <w:rPr>
          <w:rFonts w:ascii="Arial" w:cs="Arial" w:eastAsia="Arial" w:hAnsi="Arial"/>
          <w:sz w:val="16"/>
          <w:szCs w:val="16"/>
          <w:color w:val="auto"/>
        </w:rPr>
        <w:t>Under the Israeli Companies Law and our amended and restated articles of association, shareholders are not permitted to take action by way of written consent in lieu of a meeting.</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Voting Rights</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Quorum Requirements</w:t>
      </w:r>
    </w:p>
    <w:p>
      <w:pPr>
        <w:spacing w:after="0" w:line="192" w:lineRule="exact"/>
        <w:rPr>
          <w:sz w:val="20"/>
          <w:szCs w:val="20"/>
          <w:color w:val="auto"/>
        </w:rPr>
      </w:pPr>
    </w:p>
    <w:p>
      <w:pPr>
        <w:ind w:left="580" w:right="619" w:firstLine="194"/>
        <w:spacing w:after="0" w:line="297" w:lineRule="auto"/>
        <w:rPr>
          <w:sz w:val="20"/>
          <w:szCs w:val="20"/>
          <w:color w:val="auto"/>
        </w:rPr>
      </w:pPr>
      <w:r>
        <w:rPr>
          <w:rFonts w:ascii="Arial" w:cs="Arial" w:eastAsia="Arial" w:hAnsi="Arial"/>
          <w:sz w:val="14"/>
          <w:szCs w:val="14"/>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Vote Requirements</w:t>
      </w:r>
    </w:p>
    <w:p>
      <w:pPr>
        <w:spacing w:after="0" w:line="192" w:lineRule="exact"/>
        <w:rPr>
          <w:sz w:val="20"/>
          <w:szCs w:val="20"/>
          <w:color w:val="auto"/>
        </w:rPr>
      </w:pPr>
    </w:p>
    <w:p>
      <w:pPr>
        <w:ind w:left="580" w:right="599" w:firstLine="194"/>
        <w:spacing w:after="0" w:line="293" w:lineRule="auto"/>
        <w:rPr>
          <w:sz w:val="20"/>
          <w:szCs w:val="20"/>
          <w:color w:val="auto"/>
        </w:rPr>
      </w:pPr>
      <w:r>
        <w:rPr>
          <w:rFonts w:ascii="Arial" w:cs="Arial" w:eastAsia="Arial" w:hAnsi="Arial"/>
          <w:sz w:val="14"/>
          <w:szCs w:val="14"/>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Law—Disclosure of Personal Interests of Controlling Shareholders and Approval of Certain Transactions” and (iii) approval of certain compensation-related matters require the approval described above under “—Board Committees—Compensation Committee and Compensation Policy.” Under our amended and restated articles of association,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and voting on the resolution.</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Access to Corporate Records</w:t>
      </w:r>
    </w:p>
    <w:p>
      <w:pPr>
        <w:spacing w:after="0" w:line="192" w:lineRule="exact"/>
        <w:rPr>
          <w:sz w:val="20"/>
          <w:szCs w:val="20"/>
          <w:color w:val="auto"/>
        </w:rPr>
      </w:pPr>
    </w:p>
    <w:p>
      <w:pPr>
        <w:ind w:left="580" w:right="579" w:firstLine="194"/>
        <w:spacing w:after="0" w:line="256"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Modification of Class Rights</w:t>
      </w:r>
    </w:p>
    <w:p>
      <w:pPr>
        <w:spacing w:after="0" w:line="196" w:lineRule="exact"/>
        <w:rPr>
          <w:sz w:val="20"/>
          <w:szCs w:val="20"/>
          <w:color w:val="auto"/>
        </w:rPr>
      </w:pPr>
    </w:p>
    <w:p>
      <w:pPr>
        <w:ind w:left="580" w:right="599" w:firstLine="194"/>
        <w:spacing w:after="0" w:line="355" w:lineRule="auto"/>
        <w:rPr>
          <w:sz w:val="20"/>
          <w:szCs w:val="20"/>
          <w:color w:val="auto"/>
        </w:rPr>
      </w:pPr>
      <w:r>
        <w:rPr>
          <w:rFonts w:ascii="Arial" w:cs="Arial" w:eastAsia="Arial" w:hAnsi="Arial"/>
          <w:sz w:val="14"/>
          <w:szCs w:val="14"/>
          <w:color w:val="auto"/>
        </w:rPr>
        <w:t>Under the Israeli Companies Law and our amended and restated articles of association, the rights attached to any class of share, such as voting, liquidation and dividend rights, may be amended by adoption of a resolution by the holders of a</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9" w:name="page100"/>
    <w:bookmarkEnd w:id="99"/>
    <w:p>
      <w:pPr>
        <w:ind w:left="580" w:right="599"/>
        <w:spacing w:after="0" w:line="281" w:lineRule="auto"/>
        <w:rPr>
          <w:sz w:val="20"/>
          <w:szCs w:val="20"/>
          <w:color w:val="auto"/>
        </w:rPr>
      </w:pPr>
      <w:r>
        <w:rPr>
          <w:rFonts w:ascii="Arial" w:cs="Arial" w:eastAsia="Arial" w:hAnsi="Arial"/>
          <w:sz w:val="16"/>
          <w:szCs w:val="16"/>
          <w:color w:val="auto"/>
        </w:rPr>
        <w:t>majority of the shares of that class present at a separate class meeting, or otherwise in accordance with the rights attached to such class of shares, as set forth in our amended and restated articles of association.</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Registration Rights</w:t>
      </w:r>
    </w:p>
    <w:p>
      <w:pPr>
        <w:spacing w:after="0" w:line="183" w:lineRule="exact"/>
        <w:rPr>
          <w:sz w:val="20"/>
          <w:szCs w:val="20"/>
          <w:color w:val="auto"/>
        </w:rPr>
      </w:pPr>
    </w:p>
    <w:p>
      <w:pPr>
        <w:ind w:left="580" w:right="599" w:firstLine="194"/>
        <w:spacing w:after="0" w:line="259" w:lineRule="auto"/>
        <w:rPr>
          <w:sz w:val="20"/>
          <w:szCs w:val="20"/>
          <w:color w:val="auto"/>
        </w:rPr>
      </w:pPr>
      <w:r>
        <w:rPr>
          <w:rFonts w:ascii="Arial" w:cs="Arial" w:eastAsia="Arial" w:hAnsi="Arial"/>
          <w:sz w:val="16"/>
          <w:szCs w:val="16"/>
          <w:color w:val="auto"/>
        </w:rPr>
        <w:t>We have entered into the Investors’ Rights Agreement with certain of our shareholders. Upon the closing of this offering, the holders of a total of 20,837,174 shares of our ordinary shares,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204" w:lineRule="exact"/>
        <w:rPr>
          <w:sz w:val="20"/>
          <w:szCs w:val="20"/>
          <w:color w:val="auto"/>
        </w:rPr>
      </w:pPr>
    </w:p>
    <w:p>
      <w:pPr>
        <w:ind w:left="580" w:right="579" w:firstLine="194"/>
        <w:spacing w:after="0" w:line="276" w:lineRule="auto"/>
        <w:rPr>
          <w:sz w:val="20"/>
          <w:szCs w:val="20"/>
          <w:color w:val="auto"/>
        </w:rPr>
      </w:pPr>
      <w:r>
        <w:rPr>
          <w:rFonts w:ascii="Arial" w:cs="Arial" w:eastAsia="Arial" w:hAnsi="Arial"/>
          <w:sz w:val="15"/>
          <w:szCs w:val="15"/>
          <w:color w:val="auto"/>
        </w:rPr>
        <w:t>At any time after the closing of this offering, subject to any lock-up agreement entered into with the underwriters of this offering, Fortissimo Capital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204" w:lineRule="exact"/>
        <w:rPr>
          <w:sz w:val="20"/>
          <w:szCs w:val="20"/>
          <w:color w:val="auto"/>
        </w:rPr>
      </w:pPr>
    </w:p>
    <w:p>
      <w:pPr>
        <w:jc w:val="both"/>
        <w:ind w:left="580" w:right="639" w:firstLine="194"/>
        <w:spacing w:after="0" w:line="322" w:lineRule="auto"/>
        <w:rPr>
          <w:sz w:val="20"/>
          <w:szCs w:val="20"/>
          <w:color w:val="auto"/>
        </w:rPr>
      </w:pPr>
      <w:r>
        <w:rPr>
          <w:rFonts w:ascii="Arial" w:cs="Arial" w:eastAsia="Arial" w:hAnsi="Arial"/>
          <w:sz w:val="14"/>
          <w:szCs w:val="14"/>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Shelf Registration Rights</w:t>
      </w:r>
    </w:p>
    <w:p>
      <w:pPr>
        <w:spacing w:after="0" w:line="204" w:lineRule="exact"/>
        <w:rPr>
          <w:sz w:val="20"/>
          <w:szCs w:val="20"/>
          <w:color w:val="auto"/>
        </w:rPr>
      </w:pPr>
    </w:p>
    <w:p>
      <w:pPr>
        <w:ind w:left="580" w:right="579" w:firstLine="194"/>
        <w:spacing w:after="0" w:line="256" w:lineRule="auto"/>
        <w:rPr>
          <w:sz w:val="20"/>
          <w:szCs w:val="20"/>
          <w:color w:val="auto"/>
        </w:rPr>
      </w:pPr>
      <w:r>
        <w:rPr>
          <w:rFonts w:ascii="Arial" w:cs="Arial" w:eastAsia="Arial" w:hAnsi="Arial"/>
          <w:sz w:val="16"/>
          <w:szCs w:val="16"/>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Other Provisions</w:t>
      </w:r>
    </w:p>
    <w:p>
      <w:pPr>
        <w:spacing w:after="0" w:line="192" w:lineRule="exact"/>
        <w:rPr>
          <w:sz w:val="20"/>
          <w:szCs w:val="20"/>
          <w:color w:val="auto"/>
        </w:rPr>
      </w:pPr>
    </w:p>
    <w:p>
      <w:pPr>
        <w:ind w:left="580" w:right="739" w:firstLine="194"/>
        <w:spacing w:after="0" w:line="267" w:lineRule="auto"/>
        <w:rPr>
          <w:sz w:val="20"/>
          <w:szCs w:val="20"/>
          <w:color w:val="auto"/>
        </w:rPr>
      </w:pPr>
      <w:r>
        <w:rPr>
          <w:rFonts w:ascii="Arial" w:cs="Arial" w:eastAsia="Arial" w:hAnsi="Arial"/>
          <w:sz w:val="16"/>
          <w:szCs w:val="16"/>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37" w:lineRule="exact"/>
        <w:rPr>
          <w:sz w:val="20"/>
          <w:szCs w:val="20"/>
          <w:color w:val="auto"/>
        </w:rPr>
      </w:pPr>
    </w:p>
    <w:p>
      <w:pPr>
        <w:jc w:val="both"/>
        <w:ind w:left="580" w:right="639" w:firstLine="194"/>
        <w:spacing w:after="0" w:line="355" w:lineRule="auto"/>
        <w:rPr>
          <w:sz w:val="20"/>
          <w:szCs w:val="20"/>
          <w:color w:val="auto"/>
        </w:rPr>
      </w:pPr>
      <w:r>
        <w:rPr>
          <w:rFonts w:ascii="Arial" w:cs="Arial" w:eastAsia="Arial" w:hAnsi="Arial"/>
          <w:sz w:val="14"/>
          <w:szCs w:val="14"/>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93" w:lineRule="exact"/>
        <w:rPr>
          <w:sz w:val="20"/>
          <w:szCs w:val="20"/>
          <w:color w:val="auto"/>
        </w:rPr>
      </w:pPr>
    </w:p>
    <w:p>
      <w:pPr>
        <w:jc w:val="both"/>
        <w:ind w:left="580" w:right="639" w:firstLine="194"/>
        <w:spacing w:after="0" w:line="285" w:lineRule="auto"/>
        <w:rPr>
          <w:sz w:val="20"/>
          <w:szCs w:val="20"/>
          <w:color w:val="auto"/>
        </w:rPr>
      </w:pPr>
      <w:r>
        <w:rPr>
          <w:rFonts w:ascii="Arial" w:cs="Arial" w:eastAsia="Arial" w:hAnsi="Arial"/>
          <w:sz w:val="15"/>
          <w:szCs w:val="15"/>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0" w:name="page101"/>
    <w:bookmarkEnd w:id="100"/>
    <w:p>
      <w:pPr>
        <w:ind w:left="580"/>
        <w:spacing w:after="0"/>
        <w:rPr>
          <w:sz w:val="20"/>
          <w:szCs w:val="20"/>
          <w:color w:val="auto"/>
        </w:rPr>
      </w:pPr>
      <w:r>
        <w:rPr>
          <w:rFonts w:ascii="Arial" w:cs="Arial" w:eastAsia="Arial" w:hAnsi="Arial"/>
          <w:sz w:val="16"/>
          <w:szCs w:val="16"/>
          <w:b w:val="1"/>
          <w:bCs w:val="1"/>
          <w:color w:val="auto"/>
        </w:rPr>
        <w:t>Acquisitions under Israeli Law</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Full Tender Offer</w:t>
      </w:r>
    </w:p>
    <w:p>
      <w:pPr>
        <w:spacing w:after="0" w:line="179" w:lineRule="exact"/>
        <w:rPr>
          <w:sz w:val="20"/>
          <w:szCs w:val="20"/>
          <w:color w:val="auto"/>
        </w:rPr>
      </w:pPr>
    </w:p>
    <w:p>
      <w:pPr>
        <w:ind w:left="580" w:right="599" w:firstLine="194"/>
        <w:spacing w:after="0" w:line="274" w:lineRule="auto"/>
        <w:rPr>
          <w:sz w:val="20"/>
          <w:szCs w:val="20"/>
          <w:color w:val="auto"/>
        </w:rPr>
      </w:pPr>
      <w:r>
        <w:rPr>
          <w:rFonts w:ascii="Arial" w:cs="Arial" w:eastAsia="Arial" w:hAnsi="Arial"/>
          <w:sz w:val="15"/>
          <w:szCs w:val="15"/>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59" w:lineRule="exact"/>
        <w:rPr>
          <w:sz w:val="20"/>
          <w:szCs w:val="20"/>
          <w:color w:val="auto"/>
        </w:rPr>
      </w:pPr>
    </w:p>
    <w:p>
      <w:pPr>
        <w:ind w:left="580" w:right="659" w:firstLine="194"/>
        <w:spacing w:after="0" w:line="258"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70" w:lineRule="exact"/>
        <w:rPr>
          <w:sz w:val="20"/>
          <w:szCs w:val="20"/>
          <w:color w:val="auto"/>
        </w:rPr>
      </w:pPr>
    </w:p>
    <w:p>
      <w:pPr>
        <w:ind w:left="580" w:right="599" w:firstLine="194"/>
        <w:spacing w:after="0" w:line="267"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Special Tender Offer</w:t>
      </w:r>
    </w:p>
    <w:p>
      <w:pPr>
        <w:spacing w:after="0" w:line="204" w:lineRule="exact"/>
        <w:rPr>
          <w:sz w:val="20"/>
          <w:szCs w:val="20"/>
          <w:color w:val="auto"/>
        </w:rPr>
      </w:pPr>
    </w:p>
    <w:p>
      <w:pPr>
        <w:ind w:left="580" w:right="619" w:firstLine="194"/>
        <w:spacing w:after="0" w:line="277" w:lineRule="auto"/>
        <w:rPr>
          <w:sz w:val="20"/>
          <w:szCs w:val="20"/>
          <w:color w:val="auto"/>
        </w:rPr>
      </w:pPr>
      <w:r>
        <w:rPr>
          <w:rFonts w:ascii="Arial" w:cs="Arial" w:eastAsia="Arial" w:hAnsi="Arial"/>
          <w:sz w:val="15"/>
          <w:szCs w:val="15"/>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57" w:lineRule="exact"/>
        <w:rPr>
          <w:sz w:val="20"/>
          <w:szCs w:val="20"/>
          <w:color w:val="auto"/>
        </w:rPr>
      </w:pPr>
    </w:p>
    <w:p>
      <w:pPr>
        <w:ind w:left="580" w:right="619" w:firstLine="194"/>
        <w:spacing w:after="0" w:line="273" w:lineRule="auto"/>
        <w:rPr>
          <w:sz w:val="20"/>
          <w:szCs w:val="20"/>
          <w:color w:val="auto"/>
        </w:rPr>
      </w:pPr>
      <w:r>
        <w:rPr>
          <w:rFonts w:ascii="Arial" w:cs="Arial" w:eastAsia="Arial" w:hAnsi="Arial"/>
          <w:sz w:val="15"/>
          <w:szCs w:val="15"/>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1" w:name="page102"/>
    <w:bookmarkEnd w:id="101"/>
    <w:p>
      <w:pPr>
        <w:ind w:left="580"/>
        <w:spacing w:after="0"/>
        <w:rPr>
          <w:sz w:val="20"/>
          <w:szCs w:val="20"/>
          <w:color w:val="auto"/>
        </w:rPr>
      </w:pPr>
      <w:r>
        <w:rPr>
          <w:rFonts w:ascii="Arial" w:cs="Arial" w:eastAsia="Arial" w:hAnsi="Arial"/>
          <w:sz w:val="16"/>
          <w:szCs w:val="16"/>
          <w:b w:val="1"/>
          <w:bCs w:val="1"/>
          <w:i w:val="1"/>
          <w:iCs w:val="1"/>
          <w:color w:val="auto"/>
        </w:rPr>
        <w:t>Merger</w:t>
      </w:r>
    </w:p>
    <w:p>
      <w:pPr>
        <w:spacing w:after="0" w:line="204" w:lineRule="exact"/>
        <w:rPr>
          <w:sz w:val="20"/>
          <w:szCs w:val="20"/>
          <w:color w:val="auto"/>
        </w:rPr>
      </w:pPr>
    </w:p>
    <w:p>
      <w:pPr>
        <w:ind w:left="580" w:right="619" w:firstLine="194"/>
        <w:spacing w:after="0" w:line="322" w:lineRule="auto"/>
        <w:rPr>
          <w:sz w:val="20"/>
          <w:szCs w:val="20"/>
          <w:color w:val="auto"/>
        </w:rPr>
      </w:pPr>
      <w:r>
        <w:rPr>
          <w:rFonts w:ascii="Arial" w:cs="Arial" w:eastAsia="Arial" w:hAnsi="Arial"/>
          <w:sz w:val="14"/>
          <w:szCs w:val="14"/>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2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For purposes of the shareholder vote, unless a court rules otherwise, the merger will not be deemed approved if a</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majority of the votes of shares represented at the meeting of shareholders that are held by parties other than the other</w:t>
      </w:r>
    </w:p>
    <w:p>
      <w:pPr>
        <w:spacing w:after="0" w:line="21" w:lineRule="exact"/>
        <w:rPr>
          <w:sz w:val="20"/>
          <w:szCs w:val="20"/>
          <w:color w:val="auto"/>
        </w:rPr>
      </w:pPr>
    </w:p>
    <w:p>
      <w:pPr>
        <w:ind w:left="580" w:right="639"/>
        <w:spacing w:after="0" w:line="254" w:lineRule="auto"/>
        <w:rPr>
          <w:sz w:val="20"/>
          <w:szCs w:val="20"/>
          <w:color w:val="auto"/>
        </w:rPr>
      </w:pPr>
      <w:r>
        <w:rPr>
          <w:rFonts w:ascii="Arial" w:cs="Arial" w:eastAsia="Arial" w:hAnsi="Arial"/>
          <w:sz w:val="16"/>
          <w:szCs w:val="16"/>
          <w:color w:val="auto"/>
        </w:rPr>
        <w:t>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Approval of Related Party Transactions under Israeli Law—Disclosure of Personal Interests of Controlling Shareholders and Approval of Certain Transactions.”)</w:t>
      </w:r>
    </w:p>
    <w:p>
      <w:pPr>
        <w:spacing w:after="0" w:line="175" w:lineRule="exact"/>
        <w:rPr>
          <w:sz w:val="20"/>
          <w:szCs w:val="20"/>
          <w:color w:val="auto"/>
        </w:rPr>
      </w:pPr>
    </w:p>
    <w:p>
      <w:pPr>
        <w:ind w:left="580" w:right="599" w:firstLine="194"/>
        <w:spacing w:after="0" w:line="281" w:lineRule="auto"/>
        <w:rPr>
          <w:sz w:val="20"/>
          <w:szCs w:val="20"/>
          <w:color w:val="auto"/>
        </w:rPr>
      </w:pPr>
      <w:r>
        <w:rPr>
          <w:rFonts w:ascii="Arial" w:cs="Arial" w:eastAsia="Arial" w:hAnsi="Arial"/>
          <w:sz w:val="15"/>
          <w:szCs w:val="15"/>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53" w:lineRule="exact"/>
        <w:rPr>
          <w:sz w:val="20"/>
          <w:szCs w:val="20"/>
          <w:color w:val="auto"/>
        </w:rPr>
      </w:pPr>
    </w:p>
    <w:p>
      <w:pPr>
        <w:jc w:val="both"/>
        <w:ind w:left="580" w:right="759" w:firstLine="194"/>
        <w:spacing w:after="0" w:line="322" w:lineRule="auto"/>
        <w:rPr>
          <w:sz w:val="20"/>
          <w:szCs w:val="20"/>
          <w:color w:val="auto"/>
        </w:rPr>
      </w:pPr>
      <w:r>
        <w:rPr>
          <w:rFonts w:ascii="Arial" w:cs="Arial" w:eastAsia="Arial" w:hAnsi="Arial"/>
          <w:sz w:val="14"/>
          <w:szCs w:val="14"/>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27" w:lineRule="exact"/>
        <w:rPr>
          <w:sz w:val="20"/>
          <w:szCs w:val="20"/>
          <w:color w:val="auto"/>
        </w:rPr>
      </w:pPr>
    </w:p>
    <w:p>
      <w:pPr>
        <w:jc w:val="both"/>
        <w:ind w:left="580" w:right="659" w:firstLine="194"/>
        <w:spacing w:after="0" w:line="267" w:lineRule="auto"/>
        <w:rPr>
          <w:sz w:val="20"/>
          <w:szCs w:val="20"/>
          <w:color w:val="auto"/>
        </w:rPr>
      </w:pPr>
      <w:r>
        <w:rPr>
          <w:rFonts w:ascii="Arial" w:cs="Arial" w:eastAsia="Arial" w:hAnsi="Arial"/>
          <w:sz w:val="16"/>
          <w:szCs w:val="16"/>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Anti-Takeover Measures under Israeli Law</w:t>
      </w:r>
    </w:p>
    <w:p>
      <w:pPr>
        <w:spacing w:after="0" w:line="204" w:lineRule="exact"/>
        <w:rPr>
          <w:sz w:val="20"/>
          <w:szCs w:val="20"/>
          <w:color w:val="auto"/>
        </w:rPr>
      </w:pPr>
    </w:p>
    <w:p>
      <w:pPr>
        <w:ind w:left="580" w:right="599" w:firstLine="194"/>
        <w:spacing w:after="0" w:line="274" w:lineRule="auto"/>
        <w:rPr>
          <w:sz w:val="20"/>
          <w:szCs w:val="20"/>
          <w:color w:val="auto"/>
        </w:rPr>
      </w:pPr>
      <w:r>
        <w:rPr>
          <w:rFonts w:ascii="Arial" w:cs="Arial" w:eastAsia="Arial" w:hAnsi="Arial"/>
          <w:sz w:val="15"/>
          <w:szCs w:val="15"/>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Borrowing Powers</w:t>
      </w:r>
    </w:p>
    <w:p>
      <w:pPr>
        <w:spacing w:after="0" w:line="208" w:lineRule="exact"/>
        <w:rPr>
          <w:sz w:val="20"/>
          <w:szCs w:val="20"/>
          <w:color w:val="auto"/>
        </w:rPr>
      </w:pPr>
    </w:p>
    <w:p>
      <w:pPr>
        <w:ind w:left="580" w:right="619" w:firstLine="194"/>
        <w:spacing w:after="0" w:line="322" w:lineRule="auto"/>
        <w:rPr>
          <w:sz w:val="20"/>
          <w:szCs w:val="20"/>
          <w:color w:val="auto"/>
        </w:rPr>
      </w:pPr>
      <w:r>
        <w:rPr>
          <w:rFonts w:ascii="Arial" w:cs="Arial" w:eastAsia="Arial" w:hAnsi="Arial"/>
          <w:sz w:val="14"/>
          <w:szCs w:val="14"/>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Changes in Capital</w:t>
      </w:r>
    </w:p>
    <w:p>
      <w:pPr>
        <w:spacing w:after="0" w:line="208" w:lineRule="exact"/>
        <w:rPr>
          <w:sz w:val="20"/>
          <w:szCs w:val="20"/>
          <w:color w:val="auto"/>
        </w:rPr>
      </w:pPr>
    </w:p>
    <w:p>
      <w:pPr>
        <w:ind w:left="580" w:right="739" w:firstLine="194"/>
        <w:spacing w:after="0" w:line="26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2" w:name="page103"/>
    <w:bookmarkEnd w:id="102"/>
    <w:p>
      <w:pPr>
        <w:ind w:left="580" w:right="759"/>
        <w:spacing w:after="0" w:line="281" w:lineRule="auto"/>
        <w:rPr>
          <w:sz w:val="20"/>
          <w:szCs w:val="20"/>
          <w:color w:val="auto"/>
        </w:rPr>
      </w:pPr>
      <w:r>
        <w:rPr>
          <w:rFonts w:ascii="Arial" w:cs="Arial" w:eastAsia="Arial" w:hAnsi="Arial"/>
          <w:sz w:val="16"/>
          <w:szCs w:val="16"/>
          <w:color w:val="auto"/>
        </w:rPr>
        <w:t>payment of dividends in the absence of sufficient retained earnings or profits, require the approval of both our board of directors and an Israeli court.</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Transfer Agent and Registrar</w:t>
      </w:r>
    </w:p>
    <w:p>
      <w:pPr>
        <w:spacing w:after="0" w:line="208" w:lineRule="exact"/>
        <w:rPr>
          <w:sz w:val="20"/>
          <w:szCs w:val="20"/>
          <w:color w:val="auto"/>
        </w:rPr>
      </w:pPr>
    </w:p>
    <w:p>
      <w:pPr>
        <w:ind w:left="580" w:right="1059" w:firstLine="194"/>
        <w:spacing w:after="0" w:line="341" w:lineRule="auto"/>
        <w:rPr>
          <w:sz w:val="20"/>
          <w:szCs w:val="20"/>
          <w:color w:val="auto"/>
        </w:rPr>
      </w:pPr>
      <w:r>
        <w:rPr>
          <w:rFonts w:ascii="Arial" w:cs="Arial" w:eastAsia="Arial" w:hAnsi="Arial"/>
          <w:sz w:val="15"/>
          <w:szCs w:val="15"/>
          <w:color w:val="auto"/>
        </w:rPr>
        <w:t>The transfer agent and registrar for our ordinary shares is American Stock Transfer &amp; Trust Company, LLC. Its address is 6201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Avenue, Brooklyn, New York 11219, and its telephone number is (800) 937-5449.</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Listing</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have applied to have our ordinary shares listed on the NASDAQ Global Market under the symbol “KRNT”.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6"/>
          <w:szCs w:val="16"/>
          <w:b w:val="1"/>
          <w:bCs w:val="1"/>
          <w:color w:val="auto"/>
        </w:rPr>
        <w:t>SHARES ELIGIBLE FOR FUTURE SALE</w:t>
      </w:r>
    </w:p>
    <w:p>
      <w:pPr>
        <w:spacing w:after="0" w:line="208" w:lineRule="exact"/>
        <w:rPr>
          <w:sz w:val="20"/>
          <w:szCs w:val="20"/>
          <w:color w:val="auto"/>
        </w:rPr>
      </w:pPr>
    </w:p>
    <w:p>
      <w:pPr>
        <w:ind w:left="580" w:right="559" w:firstLine="194"/>
        <w:spacing w:after="0" w:line="275" w:lineRule="auto"/>
        <w:rPr>
          <w:sz w:val="20"/>
          <w:szCs w:val="20"/>
          <w:color w:val="auto"/>
        </w:rPr>
      </w:pPr>
      <w:r>
        <w:rPr>
          <w:rFonts w:ascii="Arial" w:cs="Arial" w:eastAsia="Arial" w:hAnsi="Arial"/>
          <w:sz w:val="15"/>
          <w:szCs w:val="15"/>
          <w:color w:val="auto"/>
        </w:rPr>
        <w:t>Prior to this offering, no public market existed for our ordinary shares. Sales of substantial amounts of our ordinary shares, including shares issued upon the exercise of outstanding options in the public market following this offering, or the possibility of these sales occurring, could adversely affect the prevailing market price of our ordinary shares and could impair our future ability to obtain capital, especially through an offering of equity securities. Assuming no exercise of options outstanding following this offering, we will have an aggregate of 28,701,965 ordinary shares outstanding upon the completion of this offering. Of these shares, the 7,100,000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59" w:lineRule="exact"/>
        <w:rPr>
          <w:sz w:val="20"/>
          <w:szCs w:val="20"/>
          <w:color w:val="auto"/>
        </w:rPr>
      </w:pPr>
    </w:p>
    <w:p>
      <w:pPr>
        <w:ind w:left="580" w:right="759" w:firstLine="194"/>
        <w:spacing w:after="0" w:line="258" w:lineRule="auto"/>
        <w:rPr>
          <w:sz w:val="20"/>
          <w:szCs w:val="20"/>
          <w:color w:val="auto"/>
        </w:rPr>
      </w:pPr>
      <w:r>
        <w:rPr>
          <w:rFonts w:ascii="Arial" w:cs="Arial" w:eastAsia="Arial" w:hAnsi="Arial"/>
          <w:sz w:val="16"/>
          <w:szCs w:val="16"/>
          <w:color w:val="auto"/>
        </w:rPr>
        <w:t>The remaining 21,601,965 ordinary shares will be held by our existing shareholders and will be deemed to be “restricted securities” (as that phrase is defined under Rule 144 of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and Rule 701 under the Securities Act. These rules are summarized below.</w:t>
      </w:r>
    </w:p>
    <w:p>
      <w:pPr>
        <w:spacing w:after="0" w:line="170" w:lineRule="exact"/>
        <w:rPr>
          <w:sz w:val="20"/>
          <w:szCs w:val="20"/>
          <w:color w:val="auto"/>
        </w:rPr>
      </w:pPr>
    </w:p>
    <w:p>
      <w:pPr>
        <w:ind w:left="580" w:right="779" w:firstLine="194"/>
        <w:spacing w:after="0" w:line="281" w:lineRule="auto"/>
        <w:rPr>
          <w:sz w:val="20"/>
          <w:szCs w:val="20"/>
          <w:color w:val="auto"/>
        </w:rPr>
      </w:pPr>
      <w:r>
        <w:rPr>
          <w:rFonts w:ascii="Arial" w:cs="Arial" w:eastAsia="Arial" w:hAnsi="Arial"/>
          <w:sz w:val="16"/>
          <w:szCs w:val="16"/>
          <w:color w:val="auto"/>
        </w:rPr>
        <w:t>As a result of the lock-up agreements described below and the provisions of Rules 144 and 701 under the Securities Act, the restricted securities will be available for sale in the public market as follows: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880" w:type="dxa"/>
            <w:vAlign w:val="bottom"/>
            <w:gridSpan w:val="3"/>
          </w:tcPr>
          <w:p>
            <w:pPr>
              <w:spacing w:after="0"/>
              <w:rPr>
                <w:sz w:val="20"/>
                <w:szCs w:val="20"/>
                <w:color w:val="auto"/>
              </w:rPr>
            </w:pPr>
            <w:r>
              <w:rPr>
                <w:rFonts w:ascii="Arial" w:cs="Arial" w:eastAsia="Arial" w:hAnsi="Arial"/>
                <w:sz w:val="16"/>
                <w:szCs w:val="16"/>
                <w:b w:val="1"/>
                <w:bCs w:val="1"/>
                <w:color w:val="auto"/>
              </w:rPr>
              <w:t>Date</w:t>
            </w:r>
          </w:p>
        </w:tc>
        <w:tc>
          <w:tcPr>
            <w:tcW w:w="4000" w:type="dxa"/>
            <w:vAlign w:val="bottom"/>
          </w:tcPr>
          <w:p>
            <w:pPr>
              <w:spacing w:after="0"/>
              <w:rPr>
                <w:sz w:val="20"/>
                <w:szCs w:val="20"/>
                <w:color w:val="auto"/>
              </w:rPr>
            </w:pPr>
            <w:r>
              <w:rPr>
                <w:rFonts w:ascii="Arial" w:cs="Arial" w:eastAsia="Arial" w:hAnsi="Arial"/>
                <w:sz w:val="16"/>
                <w:szCs w:val="16"/>
                <w:b w:val="1"/>
                <w:bCs w:val="1"/>
                <w:color w:val="auto"/>
              </w:rPr>
              <w:t>Number of Shares Eligible for Sale</w:t>
            </w:r>
          </w:p>
        </w:tc>
      </w:tr>
      <w:tr>
        <w:trPr>
          <w:trHeight w:val="174"/>
        </w:trPr>
        <w:tc>
          <w:tcPr>
            <w:tcW w:w="20" w:type="dxa"/>
            <w:vAlign w:val="bottom"/>
          </w:tcPr>
          <w:p>
            <w:pPr>
              <w:spacing w:after="0"/>
              <w:rPr>
                <w:sz w:val="15"/>
                <w:szCs w:val="15"/>
                <w:color w:val="auto"/>
              </w:rPr>
            </w:pPr>
          </w:p>
        </w:tc>
        <w:tc>
          <w:tcPr>
            <w:tcW w:w="370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At the date of this prospectus</w:t>
            </w:r>
          </w:p>
        </w:tc>
        <w:tc>
          <w:tcPr>
            <w:tcW w:w="160" w:type="dxa"/>
            <w:vAlign w:val="bottom"/>
          </w:tcPr>
          <w:p>
            <w:pPr>
              <w:spacing w:after="0"/>
              <w:rPr>
                <w:sz w:val="15"/>
                <w:szCs w:val="15"/>
                <w:color w:val="auto"/>
              </w:rPr>
            </w:pPr>
          </w:p>
        </w:tc>
        <w:tc>
          <w:tcPr>
            <w:tcW w:w="400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0.3 million</w:t>
            </w:r>
          </w:p>
        </w:tc>
      </w:tr>
      <w:tr>
        <w:trPr>
          <w:trHeight w:val="194"/>
        </w:trPr>
        <w:tc>
          <w:tcPr>
            <w:tcW w:w="3880" w:type="dxa"/>
            <w:vAlign w:val="bottom"/>
            <w:gridSpan w:val="3"/>
          </w:tcPr>
          <w:p>
            <w:pPr>
              <w:spacing w:after="0"/>
              <w:rPr>
                <w:sz w:val="20"/>
                <w:szCs w:val="20"/>
                <w:color w:val="auto"/>
              </w:rPr>
            </w:pPr>
            <w:r>
              <w:rPr>
                <w:rFonts w:ascii="Arial" w:cs="Arial" w:eastAsia="Arial" w:hAnsi="Arial"/>
                <w:sz w:val="16"/>
                <w:szCs w:val="16"/>
                <w:color w:val="auto"/>
              </w:rPr>
              <w:t>Up to 180 days after the date of this prospectus</w:t>
            </w:r>
          </w:p>
        </w:tc>
        <w:tc>
          <w:tcPr>
            <w:tcW w:w="4000" w:type="dxa"/>
            <w:vAlign w:val="bottom"/>
          </w:tcPr>
          <w:p>
            <w:pPr>
              <w:spacing w:after="0"/>
              <w:rPr>
                <w:sz w:val="20"/>
                <w:szCs w:val="20"/>
                <w:color w:val="auto"/>
              </w:rPr>
            </w:pPr>
            <w:r>
              <w:rPr>
                <w:rFonts w:ascii="Arial" w:cs="Arial" w:eastAsia="Arial" w:hAnsi="Arial"/>
                <w:sz w:val="16"/>
                <w:szCs w:val="16"/>
                <w:color w:val="auto"/>
              </w:rPr>
              <w:t>—</w:t>
            </w:r>
          </w:p>
        </w:tc>
      </w:tr>
      <w:tr>
        <w:trPr>
          <w:trHeight w:val="194"/>
        </w:trPr>
        <w:tc>
          <w:tcPr>
            <w:tcW w:w="3880" w:type="dxa"/>
            <w:vAlign w:val="bottom"/>
            <w:gridSpan w:val="3"/>
          </w:tcPr>
          <w:p>
            <w:pPr>
              <w:spacing w:after="0"/>
              <w:rPr>
                <w:sz w:val="20"/>
                <w:szCs w:val="20"/>
                <w:color w:val="auto"/>
              </w:rPr>
            </w:pPr>
            <w:r>
              <w:rPr>
                <w:rFonts w:ascii="Arial" w:cs="Arial" w:eastAsia="Arial" w:hAnsi="Arial"/>
                <w:sz w:val="16"/>
                <w:szCs w:val="16"/>
                <w:color w:val="auto"/>
              </w:rPr>
              <w:t>180 days after the date of this prospectus</w:t>
            </w:r>
          </w:p>
        </w:tc>
        <w:tc>
          <w:tcPr>
            <w:tcW w:w="4000" w:type="dxa"/>
            <w:vAlign w:val="bottom"/>
          </w:tcPr>
          <w:p>
            <w:pPr>
              <w:spacing w:after="0"/>
              <w:rPr>
                <w:sz w:val="20"/>
                <w:szCs w:val="20"/>
                <w:color w:val="auto"/>
              </w:rPr>
            </w:pPr>
            <w:r>
              <w:rPr>
                <w:rFonts w:ascii="Arial" w:cs="Arial" w:eastAsia="Arial" w:hAnsi="Arial"/>
                <w:sz w:val="16"/>
                <w:szCs w:val="16"/>
                <w:color w:val="auto"/>
              </w:rPr>
              <w:t>21.3 million of which 16.5 million shares are subject to</w:t>
            </w:r>
          </w:p>
        </w:tc>
      </w:tr>
      <w:tr>
        <w:trPr>
          <w:trHeight w:val="206"/>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w w:val="93"/>
              </w:rPr>
              <w:t>volume, manner of sale and other limitations under Rule 144</w:t>
            </w:r>
          </w:p>
        </w:tc>
      </w:tr>
    </w:tbl>
    <w:p>
      <w:pPr>
        <w:spacing w:after="0" w:line="182" w:lineRule="exact"/>
        <w:rPr>
          <w:sz w:val="20"/>
          <w:szCs w:val="20"/>
          <w:color w:val="auto"/>
        </w:rPr>
      </w:pPr>
    </w:p>
    <w:p>
      <w:pPr>
        <w:ind w:left="580" w:right="739" w:firstLine="194"/>
        <w:spacing w:after="0" w:line="267" w:lineRule="auto"/>
        <w:rPr>
          <w:sz w:val="20"/>
          <w:szCs w:val="20"/>
          <w:color w:val="auto"/>
        </w:rPr>
      </w:pPr>
      <w:r>
        <w:rPr>
          <w:rFonts w:ascii="Arial" w:cs="Arial" w:eastAsia="Arial" w:hAnsi="Arial"/>
          <w:sz w:val="16"/>
          <w:szCs w:val="16"/>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Lock-Up Agreements</w:t>
      </w:r>
    </w:p>
    <w:p>
      <w:pPr>
        <w:spacing w:after="0" w:line="208" w:lineRule="exact"/>
        <w:rPr>
          <w:sz w:val="20"/>
          <w:szCs w:val="20"/>
          <w:color w:val="auto"/>
        </w:rPr>
      </w:pPr>
    </w:p>
    <w:p>
      <w:pPr>
        <w:ind w:left="580" w:right="799" w:firstLine="291"/>
        <w:spacing w:after="0" w:line="281" w:lineRule="auto"/>
        <w:rPr>
          <w:sz w:val="20"/>
          <w:szCs w:val="20"/>
          <w:color w:val="auto"/>
        </w:rPr>
      </w:pPr>
      <w:r>
        <w:rPr>
          <w:rFonts w:ascii="Arial" w:cs="Arial" w:eastAsia="Arial" w:hAnsi="Arial"/>
          <w:sz w:val="15"/>
          <w:szCs w:val="15"/>
          <w:color w:val="auto"/>
        </w:rPr>
        <w:t>We, all of our directors and executive officers and holders of substantially all of our outstanding shares and shares issuable upon the exercise of options,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Citigroup Global Markets Inc. for a period of 180 days after the date of this prospectus.</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Eligibility of Restricted Shares for Sale in the Public Market</w:t>
      </w:r>
    </w:p>
    <w:p>
      <w:pPr>
        <w:spacing w:after="0" w:line="208" w:lineRule="exact"/>
        <w:rPr>
          <w:sz w:val="20"/>
          <w:szCs w:val="20"/>
          <w:color w:val="auto"/>
        </w:rPr>
      </w:pPr>
    </w:p>
    <w:p>
      <w:pPr>
        <w:jc w:val="both"/>
        <w:ind w:left="580" w:right="799" w:firstLine="194"/>
        <w:spacing w:after="0" w:line="292" w:lineRule="auto"/>
        <w:rPr>
          <w:sz w:val="20"/>
          <w:szCs w:val="20"/>
          <w:color w:val="auto"/>
        </w:rPr>
      </w:pPr>
      <w:r>
        <w:rPr>
          <w:rFonts w:ascii="Arial" w:cs="Arial" w:eastAsia="Arial" w:hAnsi="Arial"/>
          <w:sz w:val="15"/>
          <w:szCs w:val="15"/>
          <w:color w:val="auto"/>
        </w:rPr>
        <w:t>The ordinary shares that are not being sold in this offering, but which will be outstanding at the time this offering is complete, will be eligible for sale into the public market under the provisions of Rule 144 and Rule 701 (but subject to the further contractual restrictions arising under the lock-up agreements described above).</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Rule 144</w:t>
      </w:r>
    </w:p>
    <w:p>
      <w:pPr>
        <w:spacing w:after="0" w:line="208" w:lineRule="exact"/>
        <w:rPr>
          <w:sz w:val="20"/>
          <w:szCs w:val="20"/>
          <w:color w:val="auto"/>
        </w:rPr>
      </w:pPr>
    </w:p>
    <w:p>
      <w:pPr>
        <w:ind w:left="580" w:right="739" w:firstLine="194"/>
        <w:spacing w:after="0" w:line="257"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104" w:name="page105"/>
    <w:bookmarkEnd w:id="104"/>
    <w:p>
      <w:pPr>
        <w:ind w:left="580" w:right="719" w:firstLine="194"/>
        <w:spacing w:after="0" w:line="278" w:lineRule="auto"/>
        <w:rPr>
          <w:sz w:val="20"/>
          <w:szCs w:val="20"/>
          <w:color w:val="auto"/>
        </w:rPr>
      </w:pPr>
      <w:r>
        <w:rPr>
          <w:rFonts w:ascii="Arial" w:cs="Arial" w:eastAsia="Arial" w:hAnsi="Arial"/>
          <w:sz w:val="15"/>
          <w:szCs w:val="15"/>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Rule 701</w:t>
      </w:r>
    </w:p>
    <w:p>
      <w:pPr>
        <w:spacing w:after="0" w:line="208" w:lineRule="exact"/>
        <w:rPr>
          <w:sz w:val="20"/>
          <w:szCs w:val="20"/>
          <w:color w:val="auto"/>
        </w:rPr>
      </w:pPr>
    </w:p>
    <w:p>
      <w:pPr>
        <w:ind w:left="580" w:right="599" w:firstLine="194"/>
        <w:spacing w:after="0" w:line="267" w:lineRule="auto"/>
        <w:rPr>
          <w:sz w:val="20"/>
          <w:szCs w:val="20"/>
          <w:color w:val="auto"/>
        </w:rPr>
      </w:pPr>
      <w:r>
        <w:rPr>
          <w:rFonts w:ascii="Arial" w:cs="Arial" w:eastAsia="Arial" w:hAnsi="Arial"/>
          <w:sz w:val="16"/>
          <w:szCs w:val="16"/>
          <w:color w:val="auto"/>
        </w:rPr>
        <w:t>In general, under Rule 701, any of our employees, directors, officers, consultants or advisors who received or purchased ordinary shares from us under our 2004 Plan or 2012 Plan or other written agreement before the closing of this offering is entitled to resell these shares.</w:t>
      </w:r>
    </w:p>
    <w:p>
      <w:pPr>
        <w:spacing w:after="0" w:line="161" w:lineRule="exact"/>
        <w:rPr>
          <w:sz w:val="20"/>
          <w:szCs w:val="20"/>
          <w:color w:val="auto"/>
        </w:rPr>
      </w:pPr>
    </w:p>
    <w:p>
      <w:pPr>
        <w:ind w:left="580" w:right="579" w:firstLine="194"/>
        <w:spacing w:after="0" w:line="259" w:lineRule="auto"/>
        <w:rPr>
          <w:sz w:val="20"/>
          <w:szCs w:val="20"/>
          <w:color w:val="auto"/>
        </w:rPr>
      </w:pPr>
      <w:r>
        <w:rPr>
          <w:rFonts w:ascii="Arial" w:cs="Arial" w:eastAsia="Arial" w:hAnsi="Arial"/>
          <w:sz w:val="16"/>
          <w:szCs w:val="16"/>
          <w:color w:val="auto"/>
        </w:rPr>
        <w:t>The Commission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(under “—Lock-Up Agreements”), may be sold beginning 90 days after the closing of this offering in reliance on Rule 144 by:</w:t>
      </w:r>
    </w:p>
    <w:p>
      <w:pPr>
        <w:spacing w:after="0" w:line="170" w:lineRule="exact"/>
        <w:rPr>
          <w:sz w:val="20"/>
          <w:szCs w:val="20"/>
          <w:color w:val="auto"/>
        </w:rPr>
      </w:pPr>
    </w:p>
    <w:p>
      <w:pPr>
        <w:ind w:left="940" w:hanging="169"/>
        <w:spacing w:after="0"/>
        <w:tabs>
          <w:tab w:leader="none" w:pos="940" w:val="left"/>
        </w:tabs>
        <w:numPr>
          <w:ilvl w:val="0"/>
          <w:numId w:val="69"/>
        </w:numPr>
        <w:rPr>
          <w:rFonts w:ascii="Arial" w:cs="Arial" w:eastAsia="Arial" w:hAnsi="Arial"/>
          <w:sz w:val="19"/>
          <w:szCs w:val="19"/>
          <w:color w:val="auto"/>
        </w:rPr>
      </w:pPr>
      <w:r>
        <w:rPr>
          <w:rFonts w:ascii="Arial" w:cs="Arial" w:eastAsia="Arial" w:hAnsi="Arial"/>
          <w:sz w:val="16"/>
          <w:szCs w:val="16"/>
          <w:color w:val="auto"/>
        </w:rPr>
        <w:t>persons other than affiliates, without restriction; and</w:t>
      </w:r>
    </w:p>
    <w:p>
      <w:pPr>
        <w:spacing w:after="0" w:line="193" w:lineRule="exact"/>
        <w:rPr>
          <w:rFonts w:ascii="Arial" w:cs="Arial" w:eastAsia="Arial" w:hAnsi="Arial"/>
          <w:sz w:val="19"/>
          <w:szCs w:val="19"/>
          <w:color w:val="auto"/>
        </w:rPr>
      </w:pPr>
    </w:p>
    <w:p>
      <w:pPr>
        <w:ind w:left="780" w:right="1379" w:hanging="9"/>
        <w:spacing w:after="0" w:line="487" w:lineRule="auto"/>
        <w:tabs>
          <w:tab w:leader="none" w:pos="957" w:val="left"/>
        </w:tabs>
        <w:numPr>
          <w:ilvl w:val="0"/>
          <w:numId w:val="69"/>
        </w:numPr>
        <w:rPr>
          <w:rFonts w:ascii="Arial" w:cs="Arial" w:eastAsia="Arial" w:hAnsi="Arial"/>
          <w:sz w:val="18"/>
          <w:szCs w:val="18"/>
          <w:color w:val="auto"/>
        </w:rPr>
      </w:pPr>
      <w:r>
        <w:rPr>
          <w:rFonts w:ascii="Arial" w:cs="Arial" w:eastAsia="Arial" w:hAnsi="Arial"/>
          <w:sz w:val="15"/>
          <w:szCs w:val="15"/>
          <w:color w:val="auto"/>
        </w:rPr>
        <w:t>affiliates, subject to the manner-of-sale, current public information and filing requirements of Rule 144, in each case, without compliance with the six-month holding period requirement of Rule 144.</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Options</w:t>
      </w:r>
    </w:p>
    <w:p>
      <w:pPr>
        <w:spacing w:after="0" w:line="208" w:lineRule="exact"/>
        <w:rPr>
          <w:sz w:val="20"/>
          <w:szCs w:val="20"/>
          <w:color w:val="auto"/>
        </w:rPr>
      </w:pPr>
    </w:p>
    <w:p>
      <w:pPr>
        <w:jc w:val="both"/>
        <w:ind w:left="580" w:right="699" w:firstLine="194"/>
        <w:spacing w:after="0" w:line="292" w:lineRule="auto"/>
        <w:rPr>
          <w:sz w:val="20"/>
          <w:szCs w:val="20"/>
          <w:color w:val="auto"/>
        </w:rPr>
      </w:pPr>
      <w:r>
        <w:rPr>
          <w:rFonts w:ascii="Arial" w:cs="Arial" w:eastAsia="Arial" w:hAnsi="Arial"/>
          <w:sz w:val="15"/>
          <w:szCs w:val="15"/>
          <w:color w:val="auto"/>
        </w:rPr>
        <w:t>Following the completion of this offering, we intend to file a registration statement on Form S-8 under the Securities Act to register up to 3,456,281 ordinary shares issued or reserved for issuance under the 2004 Plan, 2012 Plan and 2015 Plan. The registration statement on Form S-8 will become effective automatically upon filing.</w:t>
      </w:r>
    </w:p>
    <w:p>
      <w:pPr>
        <w:spacing w:after="0" w:line="146" w:lineRule="exact"/>
        <w:rPr>
          <w:sz w:val="20"/>
          <w:szCs w:val="20"/>
          <w:color w:val="auto"/>
        </w:rPr>
      </w:pPr>
    </w:p>
    <w:p>
      <w:pPr>
        <w:ind w:left="580" w:right="699" w:firstLine="194"/>
        <w:spacing w:after="0" w:line="262" w:lineRule="auto"/>
        <w:rPr>
          <w:sz w:val="20"/>
          <w:szCs w:val="20"/>
          <w:color w:val="auto"/>
        </w:rPr>
      </w:pPr>
      <w:r>
        <w:rPr>
          <w:rFonts w:ascii="Arial" w:cs="Arial" w:eastAsia="Arial" w:hAnsi="Arial"/>
          <w:sz w:val="16"/>
          <w:szCs w:val="16"/>
          <w:color w:val="auto"/>
        </w:rPr>
        <w:t>Ordinary shares issued upon exercise of a share option and registered under the Form S-8 registration statement will, subject to vesting provisions, lock-up agreements with the underwriters and Rule 144 volume limitations applicable to our affiliates, be available for sale in the open market immediately after the 180-day lock-up period expires. See “Management—Share Incentive Plans.”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Registration Rights</w:t>
      </w:r>
    </w:p>
    <w:p>
      <w:pPr>
        <w:spacing w:after="0" w:line="208" w:lineRule="exact"/>
        <w:rPr>
          <w:sz w:val="20"/>
          <w:szCs w:val="20"/>
          <w:color w:val="auto"/>
        </w:rPr>
      </w:pPr>
    </w:p>
    <w:p>
      <w:pPr>
        <w:ind w:left="580" w:right="659" w:firstLine="194"/>
        <w:spacing w:after="0" w:line="300" w:lineRule="auto"/>
        <w:rPr>
          <w:sz w:val="20"/>
          <w:szCs w:val="20"/>
          <w:color w:val="auto"/>
        </w:rPr>
      </w:pPr>
      <w:r>
        <w:rPr>
          <w:rFonts w:ascii="Arial" w:cs="Arial" w:eastAsia="Arial" w:hAnsi="Arial"/>
          <w:sz w:val="14"/>
          <w:szCs w:val="14"/>
          <w:color w:val="auto"/>
        </w:rPr>
        <w:t>Following the completion of this offering, the holders of up to 20,837,174 ordinary shares are entitled to request that we register their ordinary shares under the 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“Description of Share Capital—Registration Rights.” Any sales of securities by these shareholders could have a material adverse effect on the trading price of our ordinary shares.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5" w:name="page106"/>
    <w:bookmarkEnd w:id="105"/>
    <w:p>
      <w:pPr>
        <w:ind w:left="1120"/>
        <w:spacing w:after="0"/>
        <w:rPr>
          <w:sz w:val="20"/>
          <w:szCs w:val="20"/>
          <w:color w:val="auto"/>
        </w:rPr>
      </w:pPr>
      <w:r>
        <w:rPr>
          <w:rFonts w:ascii="Arial" w:cs="Arial" w:eastAsia="Arial" w:hAnsi="Arial"/>
          <w:sz w:val="16"/>
          <w:szCs w:val="16"/>
          <w:b w:val="1"/>
          <w:bCs w:val="1"/>
          <w:color w:val="auto"/>
        </w:rPr>
        <w:t>TAXATION AND ISRAELI GOVERNMENT PROGRAMS APPLICABLE TO OUR COMPANY</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Israeli Tax Considerations and Government Programs</w:t>
      </w:r>
    </w:p>
    <w:p>
      <w:pPr>
        <w:spacing w:after="0" w:line="208" w:lineRule="exact"/>
        <w:rPr>
          <w:sz w:val="20"/>
          <w:szCs w:val="20"/>
          <w:color w:val="auto"/>
        </w:rPr>
      </w:pPr>
    </w:p>
    <w:p>
      <w:pPr>
        <w:ind w:left="580" w:right="939" w:firstLine="194"/>
        <w:spacing w:after="0" w:line="281" w:lineRule="auto"/>
        <w:rPr>
          <w:sz w:val="20"/>
          <w:szCs w:val="20"/>
          <w:color w:val="auto"/>
        </w:rPr>
      </w:pPr>
      <w:r>
        <w:rPr>
          <w:rFonts w:ascii="Arial" w:cs="Arial" w:eastAsia="Arial" w:hAnsi="Arial"/>
          <w:sz w:val="16"/>
          <w:szCs w:val="16"/>
          <w:color w:val="auto"/>
        </w:rPr>
        <w:t>The following is a brief summary of the material Israeli tax laws applicable to us, and certain Israeli Government programs that benefit us.</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General Corporate Tax Structure in Israel</w:t>
      </w:r>
    </w:p>
    <w:p>
      <w:pPr>
        <w:spacing w:after="0" w:line="204" w:lineRule="exact"/>
        <w:rPr>
          <w:sz w:val="20"/>
          <w:szCs w:val="20"/>
          <w:color w:val="auto"/>
        </w:rPr>
      </w:pPr>
    </w:p>
    <w:p>
      <w:pPr>
        <w:ind w:left="580" w:right="719" w:firstLine="194"/>
        <w:spacing w:after="0" w:line="259" w:lineRule="auto"/>
        <w:rPr>
          <w:sz w:val="20"/>
          <w:szCs w:val="20"/>
          <w:color w:val="auto"/>
        </w:rPr>
      </w:pPr>
      <w:r>
        <w:rPr>
          <w:rFonts w:ascii="Arial" w:cs="Arial" w:eastAsia="Arial" w:hAnsi="Arial"/>
          <w:sz w:val="16"/>
          <w:szCs w:val="16"/>
          <w:color w:val="auto"/>
        </w:rPr>
        <w:t>Israeli companies are generally subject to corporate tax. In 2013, the corporate tax rate was 25% of their taxable income. In August 2014 the Israeli Knesset amended the corporate tax rate from 2014 and thereafter to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Law for the Encouragement of Industry (Taxes), 5729-1969</w:t>
      </w:r>
    </w:p>
    <w:p>
      <w:pPr>
        <w:spacing w:after="0" w:line="204" w:lineRule="exact"/>
        <w:rPr>
          <w:sz w:val="20"/>
          <w:szCs w:val="20"/>
          <w:color w:val="auto"/>
        </w:rPr>
      </w:pPr>
    </w:p>
    <w:p>
      <w:pPr>
        <w:jc w:val="both"/>
        <w:ind w:left="580" w:right="639" w:firstLine="194"/>
        <w:spacing w:after="0" w:line="267" w:lineRule="auto"/>
        <w:rPr>
          <w:sz w:val="20"/>
          <w:szCs w:val="20"/>
          <w:color w:val="auto"/>
        </w:rPr>
      </w:pPr>
      <w:r>
        <w:rPr>
          <w:rFonts w:ascii="Arial" w:cs="Arial" w:eastAsia="Arial" w:hAnsi="Arial"/>
          <w:sz w:val="16"/>
          <w:szCs w:val="16"/>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61" w:lineRule="exact"/>
        <w:rPr>
          <w:sz w:val="20"/>
          <w:szCs w:val="20"/>
          <w:color w:val="auto"/>
        </w:rPr>
      </w:pPr>
    </w:p>
    <w:p>
      <w:pPr>
        <w:ind w:left="580" w:right="579" w:firstLine="194"/>
        <w:spacing w:after="0" w:line="262" w:lineRule="auto"/>
        <w:rPr>
          <w:sz w:val="20"/>
          <w:szCs w:val="20"/>
          <w:color w:val="auto"/>
        </w:rPr>
      </w:pPr>
      <w:r>
        <w:rPr>
          <w:rFonts w:ascii="Arial" w:cs="Arial" w:eastAsia="Arial" w:hAnsi="Arial"/>
          <w:sz w:val="16"/>
          <w:szCs w:val="16"/>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corporate tax benefits, among others, are available to Industrial Companies:</w:t>
      </w:r>
    </w:p>
    <w:p>
      <w:pPr>
        <w:spacing w:after="0" w:line="216" w:lineRule="exact"/>
        <w:rPr>
          <w:sz w:val="20"/>
          <w:szCs w:val="20"/>
          <w:color w:val="auto"/>
        </w:rPr>
      </w:pPr>
    </w:p>
    <w:p>
      <w:pPr>
        <w:ind w:left="960" w:right="579" w:hanging="189"/>
        <w:spacing w:after="0" w:line="238" w:lineRule="auto"/>
        <w:tabs>
          <w:tab w:leader="none" w:pos="943" w:val="left"/>
        </w:tabs>
        <w:numPr>
          <w:ilvl w:val="0"/>
          <w:numId w:val="70"/>
        </w:numPr>
        <w:rPr>
          <w:rFonts w:ascii="Arial" w:cs="Arial" w:eastAsia="Arial" w:hAnsi="Arial"/>
          <w:sz w:val="19"/>
          <w:szCs w:val="19"/>
          <w:color w:val="auto"/>
        </w:rPr>
      </w:pPr>
      <w:r>
        <w:rPr>
          <w:rFonts w:ascii="Arial" w:cs="Arial" w:eastAsia="Arial" w:hAnsi="Arial"/>
          <w:sz w:val="16"/>
          <w:szCs w:val="16"/>
          <w:color w:val="auto"/>
        </w:rPr>
        <w:t>amortization over an eight-year period of the cost of purchased know-how and patents and rights to use a patent and know-how which are used for the development or advancement of the company;</w:t>
      </w:r>
    </w:p>
    <w:p>
      <w:pPr>
        <w:spacing w:after="0" w:line="193" w:lineRule="exact"/>
        <w:rPr>
          <w:rFonts w:ascii="Arial" w:cs="Arial" w:eastAsia="Arial" w:hAnsi="Arial"/>
          <w:sz w:val="19"/>
          <w:szCs w:val="19"/>
          <w:color w:val="auto"/>
        </w:rPr>
      </w:pPr>
    </w:p>
    <w:p>
      <w:pPr>
        <w:ind w:left="940" w:hanging="169"/>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5"/>
          <w:szCs w:val="15"/>
          <w:color w:val="auto"/>
        </w:rPr>
        <w:t>under limited conditions, an election to file consolidated tax returns with related Israeli Industrial Companies; and</w:t>
      </w:r>
    </w:p>
    <w:p>
      <w:pPr>
        <w:spacing w:after="0" w:line="181" w:lineRule="exact"/>
        <w:rPr>
          <w:rFonts w:ascii="Arial" w:cs="Arial" w:eastAsia="Arial" w:hAnsi="Arial"/>
          <w:sz w:val="18"/>
          <w:szCs w:val="18"/>
          <w:color w:val="auto"/>
        </w:rPr>
      </w:pPr>
    </w:p>
    <w:p>
      <w:pPr>
        <w:ind w:left="940" w:hanging="169"/>
        <w:spacing w:after="0"/>
        <w:tabs>
          <w:tab w:leader="none" w:pos="940" w:val="left"/>
        </w:tabs>
        <w:numPr>
          <w:ilvl w:val="0"/>
          <w:numId w:val="70"/>
        </w:numPr>
        <w:rPr>
          <w:rFonts w:ascii="Arial" w:cs="Arial" w:eastAsia="Arial" w:hAnsi="Arial"/>
          <w:sz w:val="19"/>
          <w:szCs w:val="19"/>
          <w:color w:val="auto"/>
        </w:rPr>
      </w:pPr>
      <w:r>
        <w:rPr>
          <w:rFonts w:ascii="Arial" w:cs="Arial" w:eastAsia="Arial" w:hAnsi="Arial"/>
          <w:sz w:val="16"/>
          <w:szCs w:val="16"/>
          <w:color w:val="auto"/>
        </w:rPr>
        <w:t>expenses related to a public offering are deductible in equal amounts over three years.</w:t>
      </w:r>
    </w:p>
    <w:p>
      <w:pPr>
        <w:spacing w:after="0" w:line="182" w:lineRule="exact"/>
        <w:rPr>
          <w:sz w:val="20"/>
          <w:szCs w:val="20"/>
          <w:color w:val="auto"/>
        </w:rPr>
      </w:pPr>
    </w:p>
    <w:p>
      <w:pPr>
        <w:ind w:left="580" w:right="879" w:firstLine="194"/>
        <w:spacing w:after="0" w:line="281" w:lineRule="auto"/>
        <w:rPr>
          <w:sz w:val="20"/>
          <w:szCs w:val="20"/>
          <w:color w:val="auto"/>
        </w:rPr>
      </w:pPr>
      <w:r>
        <w:rPr>
          <w:rFonts w:ascii="Arial" w:cs="Arial" w:eastAsia="Arial" w:hAnsi="Arial"/>
          <w:sz w:val="16"/>
          <w:szCs w:val="16"/>
          <w:color w:val="auto"/>
        </w:rPr>
        <w:t>There can be no assurance that we will continue to qualify as an Industrial Company or that the benefits described above will be available in the future.</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Law for the Encouragement of Capital Investments, 5719-1959</w:t>
      </w:r>
    </w:p>
    <w:p>
      <w:pPr>
        <w:spacing w:after="0" w:line="204" w:lineRule="exact"/>
        <w:rPr>
          <w:sz w:val="20"/>
          <w:szCs w:val="20"/>
          <w:color w:val="auto"/>
        </w:rPr>
      </w:pPr>
    </w:p>
    <w:p>
      <w:pPr>
        <w:ind w:left="580" w:right="939" w:firstLine="194"/>
        <w:spacing w:after="0" w:line="267" w:lineRule="auto"/>
        <w:rPr>
          <w:sz w:val="20"/>
          <w:szCs w:val="20"/>
          <w:color w:val="auto"/>
        </w:rPr>
      </w:pPr>
      <w:r>
        <w:rPr>
          <w:rFonts w:ascii="Arial" w:cs="Arial" w:eastAsia="Arial" w:hAnsi="Arial"/>
          <w:sz w:val="16"/>
          <w:szCs w:val="16"/>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61" w:lineRule="exact"/>
        <w:rPr>
          <w:sz w:val="20"/>
          <w:szCs w:val="20"/>
          <w:color w:val="auto"/>
        </w:rPr>
      </w:pPr>
    </w:p>
    <w:p>
      <w:pPr>
        <w:ind w:left="580" w:right="579" w:firstLine="194"/>
        <w:spacing w:after="0" w:line="274" w:lineRule="auto"/>
        <w:rPr>
          <w:sz w:val="20"/>
          <w:szCs w:val="20"/>
          <w:color w:val="auto"/>
        </w:rPr>
      </w:pPr>
      <w:r>
        <w:rPr>
          <w:rFonts w:ascii="Arial" w:cs="Arial" w:eastAsia="Arial" w:hAnsi="Arial"/>
          <w:sz w:val="15"/>
          <w:szCs w:val="15"/>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106" w:name="page107"/>
    <w:bookmarkEnd w:id="106"/>
    <w:p>
      <w:pPr>
        <w:ind w:left="580"/>
        <w:spacing w:after="0"/>
        <w:rPr>
          <w:sz w:val="20"/>
          <w:szCs w:val="20"/>
          <w:color w:val="auto"/>
        </w:rPr>
      </w:pPr>
      <w:r>
        <w:rPr>
          <w:rFonts w:ascii="Arial" w:cs="Arial" w:eastAsia="Arial" w:hAnsi="Arial"/>
          <w:sz w:val="16"/>
          <w:szCs w:val="16"/>
          <w:b w:val="1"/>
          <w:bCs w:val="1"/>
          <w:i w:val="1"/>
          <w:iCs w:val="1"/>
          <w:color w:val="auto"/>
        </w:rPr>
        <w:t>Tax Benefits Subsequent to the 2005 Amendment</w:t>
      </w:r>
    </w:p>
    <w:p>
      <w:pPr>
        <w:spacing w:after="0" w:line="204" w:lineRule="exact"/>
        <w:rPr>
          <w:sz w:val="20"/>
          <w:szCs w:val="20"/>
          <w:color w:val="auto"/>
        </w:rPr>
      </w:pPr>
    </w:p>
    <w:p>
      <w:pPr>
        <w:ind w:left="580" w:right="579" w:firstLine="194"/>
        <w:spacing w:after="0" w:line="276" w:lineRule="auto"/>
        <w:rPr>
          <w:sz w:val="20"/>
          <w:szCs w:val="20"/>
          <w:color w:val="auto"/>
        </w:rPr>
      </w:pPr>
      <w:r>
        <w:rPr>
          <w:rFonts w:ascii="Arial" w:cs="Arial" w:eastAsia="Arial" w:hAnsi="Arial"/>
          <w:sz w:val="15"/>
          <w:szCs w:val="15"/>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157" w:lineRule="exact"/>
        <w:rPr>
          <w:sz w:val="20"/>
          <w:szCs w:val="20"/>
          <w:color w:val="auto"/>
        </w:rPr>
      </w:pPr>
    </w:p>
    <w:p>
      <w:pPr>
        <w:ind w:left="580" w:right="639" w:firstLine="194"/>
        <w:spacing w:after="0" w:line="275" w:lineRule="auto"/>
        <w:rPr>
          <w:sz w:val="20"/>
          <w:szCs w:val="20"/>
          <w:color w:val="auto"/>
        </w:rPr>
      </w:pPr>
      <w:r>
        <w:rPr>
          <w:rFonts w:ascii="Arial" w:cs="Arial" w:eastAsia="Arial" w:hAnsi="Arial"/>
          <w:sz w:val="15"/>
          <w:szCs w:val="15"/>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w:t>
      </w:r>
    </w:p>
    <w:p>
      <w:pPr>
        <w:spacing w:after="0" w:line="159" w:lineRule="exact"/>
        <w:rPr>
          <w:sz w:val="20"/>
          <w:szCs w:val="20"/>
          <w:color w:val="auto"/>
        </w:rPr>
      </w:pPr>
    </w:p>
    <w:p>
      <w:pPr>
        <w:ind w:left="580" w:right="619" w:firstLine="194"/>
        <w:spacing w:after="0" w:line="294" w:lineRule="auto"/>
        <w:rPr>
          <w:sz w:val="20"/>
          <w:szCs w:val="20"/>
          <w:color w:val="auto"/>
        </w:rPr>
      </w:pPr>
      <w:r>
        <w:rPr>
          <w:rFonts w:ascii="Arial" w:cs="Arial" w:eastAsia="Arial" w:hAnsi="Arial"/>
          <w:sz w:val="14"/>
          <w:szCs w:val="14"/>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to 25%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rate of 25%, or a lower rate in the case of a qualified FIC which is at least 49% owned by non-Israeli residents. Dividends paid out of income attributed to a Benefited Enterprise are generally subject to withholding tax at source at the rate of 15% or such lower rate as may be provided in an applicable tax treaty. The 15% tax rate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an FIC, the 12-year limitation on reduced withholding tax on dividends does not apply.</w:t>
      </w:r>
    </w:p>
    <w:p>
      <w:pPr>
        <w:spacing w:after="0" w:line="146" w:lineRule="exact"/>
        <w:rPr>
          <w:sz w:val="20"/>
          <w:szCs w:val="20"/>
          <w:color w:val="auto"/>
        </w:rPr>
      </w:pPr>
    </w:p>
    <w:p>
      <w:pPr>
        <w:ind w:left="580" w:right="579" w:firstLine="194"/>
        <w:spacing w:after="0" w:line="294" w:lineRule="auto"/>
        <w:rPr>
          <w:sz w:val="20"/>
          <w:szCs w:val="20"/>
          <w:color w:val="auto"/>
        </w:rPr>
      </w:pPr>
      <w:r>
        <w:rPr>
          <w:rFonts w:ascii="Arial" w:cs="Arial" w:eastAsia="Arial" w:hAnsi="Arial"/>
          <w:sz w:val="14"/>
          <w:szCs w:val="14"/>
          <w:color w:val="auto"/>
        </w:rPr>
        <w:t>The benefits available to a Benefited Enterprise are subject to the fulfillment of conditions stipulated in the Investment Law and its regulations, which are generally required to derive more than 25% of their business income from export to specific markets with a population of at least 14 million in 2012 (with such export criteria increasing in the future by</w:t>
      </w:r>
    </w:p>
    <w:p>
      <w:pPr>
        <w:spacing w:after="0" w:line="2" w:lineRule="exact"/>
        <w:rPr>
          <w:sz w:val="20"/>
          <w:szCs w:val="20"/>
          <w:color w:val="auto"/>
        </w:rPr>
      </w:pPr>
    </w:p>
    <w:p>
      <w:pPr>
        <w:ind w:left="580" w:right="599"/>
        <w:spacing w:after="0" w:line="272" w:lineRule="auto"/>
        <w:rPr>
          <w:sz w:val="20"/>
          <w:szCs w:val="20"/>
          <w:color w:val="auto"/>
        </w:rPr>
      </w:pPr>
      <w:r>
        <w:rPr>
          <w:rFonts w:ascii="Arial" w:cs="Arial" w:eastAsia="Arial" w:hAnsi="Arial"/>
          <w:sz w:val="15"/>
          <w:szCs w:val="15"/>
          <w:color w:val="auto"/>
        </w:rPr>
        <w:t>1.4% per annum). In order to receive the tax benefits, the amendment states that the company must make an investment which meets all of the conditions that are set out in the amendment for tax benefits and which exceeds a minimum amount specified in the Investment Law. Such investment allows the company to receive a beneficiary enterprise status, and may be made over a period of no more than three years ending at the end of the year in which the company requested to have the tax benefits apply to the beneficiary enterprise. Where the company requests to have the tax benefits apply to an expansion of existing facilities, only the expansion will be considered to be a beneficiary enterprise, and the company's effective tax rate will be the weighted average of the applicable rates. In this case, the minimum investment required in order to qualify as a Benefited Enterprise is required to exceed a certain percentage of the value of the company's production assets before the expansion. If a company does not meet these conditions, it may be required to refund the amount of tax benefits, as adjusted by the Israeli consumer price index, and interest, or other monetary penalties.</w:t>
      </w:r>
    </w:p>
    <w:p>
      <w:pPr>
        <w:spacing w:after="0" w:line="163" w:lineRule="exact"/>
        <w:rPr>
          <w:sz w:val="20"/>
          <w:szCs w:val="20"/>
          <w:color w:val="auto"/>
        </w:rPr>
      </w:pPr>
    </w:p>
    <w:p>
      <w:pPr>
        <w:ind w:left="580" w:right="659" w:firstLine="194"/>
        <w:spacing w:after="0" w:line="285" w:lineRule="auto"/>
        <w:rPr>
          <w:sz w:val="20"/>
          <w:szCs w:val="20"/>
          <w:color w:val="auto"/>
        </w:rPr>
      </w:pPr>
      <w:r>
        <w:rPr>
          <w:rFonts w:ascii="Arial" w:cs="Arial" w:eastAsia="Arial" w:hAnsi="Arial"/>
          <w:sz w:val="15"/>
          <w:szCs w:val="15"/>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Digital Technologies Ltd. is subject to the 2011 Amendment (as described below) and thus the tax benefits will not be subject to time limitations.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7" w:name="page108"/>
    <w:bookmarkEnd w:id="107"/>
    <w:p>
      <w:pPr>
        <w:ind w:left="580"/>
        <w:spacing w:after="0"/>
        <w:rPr>
          <w:sz w:val="20"/>
          <w:szCs w:val="20"/>
          <w:color w:val="auto"/>
        </w:rPr>
      </w:pPr>
      <w:r>
        <w:rPr>
          <w:rFonts w:ascii="Arial" w:cs="Arial" w:eastAsia="Arial" w:hAnsi="Arial"/>
          <w:sz w:val="16"/>
          <w:szCs w:val="16"/>
          <w:b w:val="1"/>
          <w:bCs w:val="1"/>
          <w:i w:val="1"/>
          <w:iCs w:val="1"/>
          <w:color w:val="auto"/>
        </w:rPr>
        <w:t>Tax Benefits Under the 2011 Amendment</w:t>
      </w:r>
    </w:p>
    <w:p>
      <w:pPr>
        <w:spacing w:after="0" w:line="204" w:lineRule="exact"/>
        <w:rPr>
          <w:sz w:val="20"/>
          <w:szCs w:val="20"/>
          <w:color w:val="auto"/>
        </w:rPr>
      </w:pPr>
    </w:p>
    <w:p>
      <w:pPr>
        <w:ind w:left="580" w:right="639" w:firstLine="194"/>
        <w:spacing w:after="0" w:line="255" w:lineRule="auto"/>
        <w:rPr>
          <w:sz w:val="20"/>
          <w:szCs w:val="20"/>
          <w:color w:val="auto"/>
        </w:rPr>
      </w:pPr>
      <w:r>
        <w:rPr>
          <w:rFonts w:ascii="Arial" w:cs="Arial" w:eastAsia="Arial" w:hAnsi="Arial"/>
          <w:sz w:val="16"/>
          <w:szCs w:val="16"/>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 2012, unless the Preferred Enterprise is located in a certain development zone, in which case the rate will be 10%. Such corporate tax rate reduced to 12.5% and 7%, respectively, in 2013 and increased to 16% and 9% in 2014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w:t>
      </w:r>
    </w:p>
    <w:p>
      <w:pPr>
        <w:spacing w:after="0" w:line="174" w:lineRule="exact"/>
        <w:rPr>
          <w:sz w:val="20"/>
          <w:szCs w:val="20"/>
          <w:color w:val="auto"/>
        </w:rPr>
      </w:pPr>
    </w:p>
    <w:p>
      <w:pPr>
        <w:jc w:val="both"/>
        <w:ind w:left="580" w:right="619" w:firstLine="194"/>
        <w:spacing w:after="0" w:line="311" w:lineRule="auto"/>
        <w:rPr>
          <w:sz w:val="20"/>
          <w:szCs w:val="20"/>
          <w:color w:val="auto"/>
        </w:rPr>
      </w:pPr>
      <w:r>
        <w:rPr>
          <w:rFonts w:ascii="Arial" w:cs="Arial" w:eastAsia="Arial" w:hAnsi="Arial"/>
          <w:sz w:val="14"/>
          <w:szCs w:val="14"/>
          <w:color w:val="auto"/>
        </w:rPr>
        <w:t>As of 2014, dividends paid out of income attributed to a Preferred Enterprise are generally subject to withholding tax at source at the rate of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35" w:lineRule="exact"/>
        <w:rPr>
          <w:sz w:val="20"/>
          <w:szCs w:val="20"/>
          <w:color w:val="auto"/>
        </w:rPr>
      </w:pPr>
    </w:p>
    <w:p>
      <w:pPr>
        <w:ind w:left="580" w:right="679" w:firstLine="194"/>
        <w:spacing w:after="0" w:line="295" w:lineRule="auto"/>
        <w:rPr>
          <w:sz w:val="20"/>
          <w:szCs w:val="20"/>
          <w:color w:val="auto"/>
        </w:rPr>
      </w:pPr>
      <w:r>
        <w:rPr>
          <w:rFonts w:ascii="Arial" w:cs="Arial" w:eastAsia="Arial" w:hAnsi="Arial"/>
          <w:sz w:val="14"/>
          <w:szCs w:val="14"/>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w:t>
      </w:r>
    </w:p>
    <w:p>
      <w:pPr>
        <w:spacing w:after="0" w:line="149" w:lineRule="exact"/>
        <w:rPr>
          <w:sz w:val="20"/>
          <w:szCs w:val="20"/>
          <w:color w:val="auto"/>
        </w:rPr>
      </w:pPr>
    </w:p>
    <w:p>
      <w:pPr>
        <w:ind w:left="580" w:right="579" w:firstLine="194"/>
        <w:spacing w:after="0" w:line="267" w:lineRule="auto"/>
        <w:rPr>
          <w:sz w:val="20"/>
          <w:szCs w:val="20"/>
          <w:color w:val="auto"/>
        </w:rPr>
      </w:pPr>
      <w:r>
        <w:rPr>
          <w:rFonts w:ascii="Arial" w:cs="Arial" w:eastAsia="Arial" w:hAnsi="Arial"/>
          <w:sz w:val="16"/>
          <w:szCs w:val="16"/>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U.S. AND ISRAELI TAX CONSEQUENCES FOR OUR SHAREHOLDERS</w:t>
      </w:r>
    </w:p>
    <w:p>
      <w:pPr>
        <w:spacing w:after="0" w:line="208" w:lineRule="exact"/>
        <w:rPr>
          <w:sz w:val="20"/>
          <w:szCs w:val="20"/>
          <w:color w:val="auto"/>
        </w:rPr>
      </w:pPr>
    </w:p>
    <w:p>
      <w:pPr>
        <w:ind w:left="580" w:right="599" w:firstLine="194"/>
        <w:spacing w:after="0" w:line="281" w:lineRule="auto"/>
        <w:rPr>
          <w:sz w:val="20"/>
          <w:szCs w:val="20"/>
          <w:color w:val="auto"/>
        </w:rPr>
      </w:pPr>
      <w:r>
        <w:rPr>
          <w:rFonts w:ascii="Arial" w:cs="Arial" w:eastAsia="Arial" w:hAnsi="Arial"/>
          <w:sz w:val="15"/>
          <w:szCs w:val="15"/>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Material Israeli Tax Consequences</w:t>
      </w:r>
    </w:p>
    <w:p>
      <w:pPr>
        <w:spacing w:after="0" w:line="208" w:lineRule="exact"/>
        <w:rPr>
          <w:sz w:val="20"/>
          <w:szCs w:val="20"/>
          <w:color w:val="auto"/>
        </w:rPr>
      </w:pPr>
    </w:p>
    <w:p>
      <w:pPr>
        <w:ind w:left="580" w:right="579" w:firstLine="194"/>
        <w:spacing w:after="0" w:line="297" w:lineRule="auto"/>
        <w:rPr>
          <w:sz w:val="20"/>
          <w:szCs w:val="20"/>
          <w:color w:val="auto"/>
        </w:rPr>
      </w:pPr>
      <w:r>
        <w:rPr>
          <w:rFonts w:ascii="Arial" w:cs="Arial" w:eastAsia="Arial" w:hAnsi="Arial"/>
          <w:sz w:val="14"/>
          <w:szCs w:val="14"/>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Taxation of our Shareholders</w:t>
      </w:r>
    </w:p>
    <w:p>
      <w:pPr>
        <w:spacing w:after="0" w:line="204" w:lineRule="exact"/>
        <w:rPr>
          <w:sz w:val="20"/>
          <w:szCs w:val="20"/>
          <w:color w:val="auto"/>
        </w:rPr>
      </w:pPr>
    </w:p>
    <w:p>
      <w:pPr>
        <w:ind w:left="580" w:right="579" w:firstLine="194"/>
        <w:spacing w:after="0" w:line="276" w:lineRule="auto"/>
        <w:rPr>
          <w:sz w:val="20"/>
          <w:szCs w:val="20"/>
          <w:color w:val="auto"/>
        </w:rPr>
      </w:pPr>
      <w:r>
        <w:rPr>
          <w:rFonts w:ascii="Arial" w:cs="Arial" w:eastAsia="Arial" w:hAnsi="Arial"/>
          <w:sz w:val="15"/>
          <w:szCs w:val="15"/>
          <w:i w:val="1"/>
          <w:iCs w:val="1"/>
          <w:color w:val="auto"/>
        </w:rPr>
        <w:t xml:space="preserve">Capital Gains Taxes Applicable to Non-Israeli Resident Shareholders. </w:t>
      </w:r>
      <w:r>
        <w:rPr>
          <w:rFonts w:ascii="Arial" w:cs="Arial" w:eastAsia="Arial" w:hAnsi="Arial"/>
          <w:sz w:val="15"/>
          <w:szCs w:val="15"/>
          <w:color w:val="auto"/>
        </w:rPr>
        <w:t>Generally, a non-Israeli resident who derives capital</w:t>
      </w:r>
      <w:r>
        <w:rPr>
          <w:rFonts w:ascii="Arial" w:cs="Arial" w:eastAsia="Arial" w:hAnsi="Arial"/>
          <w:sz w:val="15"/>
          <w:szCs w:val="15"/>
          <w:i w:val="1"/>
          <w:iCs w:val="1"/>
          <w:color w:val="auto"/>
        </w:rPr>
        <w:t xml:space="preserve"> </w:t>
      </w:r>
      <w:r>
        <w:rPr>
          <w:rFonts w:ascii="Arial" w:cs="Arial" w:eastAsia="Arial" w:hAnsi="Arial"/>
          <w:sz w:val="15"/>
          <w:szCs w:val="15"/>
          <w:color w:val="auto"/>
        </w:rPr>
        <w:t>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25% or more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57" w:lineRule="exact"/>
        <w:rPr>
          <w:sz w:val="20"/>
          <w:szCs w:val="20"/>
          <w:color w:val="auto"/>
        </w:rPr>
      </w:pPr>
    </w:p>
    <w:p>
      <w:pPr>
        <w:ind w:left="580" w:right="659" w:firstLine="194"/>
        <w:spacing w:after="0" w:line="294" w:lineRule="auto"/>
        <w:rPr>
          <w:sz w:val="20"/>
          <w:szCs w:val="20"/>
          <w:color w:val="auto"/>
        </w:rPr>
      </w:pPr>
      <w:r>
        <w:rPr>
          <w:rFonts w:ascii="Arial" w:cs="Arial" w:eastAsia="Arial" w:hAnsi="Arial"/>
          <w:sz w:val="14"/>
          <w:szCs w:val="14"/>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53" w:lineRule="exact"/>
        <w:rPr>
          <w:sz w:val="20"/>
          <w:szCs w:val="20"/>
          <w:color w:val="auto"/>
        </w:rPr>
      </w:pPr>
    </w:p>
    <w:p>
      <w:pPr>
        <w:ind w:left="580" w:right="579" w:firstLine="194"/>
        <w:spacing w:after="0" w:line="256"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174" w:lineRule="exact"/>
        <w:rPr>
          <w:sz w:val="20"/>
          <w:szCs w:val="20"/>
          <w:color w:val="auto"/>
        </w:rPr>
      </w:pPr>
    </w:p>
    <w:p>
      <w:pPr>
        <w:ind w:left="580" w:right="639" w:firstLine="194"/>
        <w:spacing w:after="0" w:line="257" w:lineRule="auto"/>
        <w:rPr>
          <w:sz w:val="20"/>
          <w:szCs w:val="20"/>
          <w:color w:val="auto"/>
        </w:rPr>
      </w:pPr>
      <w:r>
        <w:rPr>
          <w:rFonts w:ascii="Arial" w:cs="Arial" w:eastAsia="Arial" w:hAnsi="Arial"/>
          <w:sz w:val="16"/>
          <w:szCs w:val="16"/>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109" w:name="page110"/>
    <w:bookmarkEnd w:id="109"/>
    <w:p>
      <w:pPr>
        <w:ind w:left="580" w:right="899"/>
        <w:spacing w:after="0" w:line="316" w:lineRule="auto"/>
        <w:rPr>
          <w:sz w:val="20"/>
          <w:szCs w:val="20"/>
          <w:color w:val="auto"/>
        </w:rPr>
      </w:pPr>
      <w:r>
        <w:rPr>
          <w:rFonts w:ascii="Arial" w:cs="Arial" w:eastAsia="Arial" w:hAnsi="Arial"/>
          <w:sz w:val="15"/>
          <w:szCs w:val="15"/>
          <w:color w:val="auto"/>
        </w:rPr>
        <w:t>the tax deferral, a pre-ruling from the Israel Tax Authority might be required only with respect to shareholders which cannot demonstrate that they are exempt from tax on their capital gains from such transaction.</w:t>
      </w:r>
    </w:p>
    <w:p>
      <w:pPr>
        <w:spacing w:after="0" w:line="127" w:lineRule="exact"/>
        <w:rPr>
          <w:sz w:val="20"/>
          <w:szCs w:val="20"/>
          <w:color w:val="auto"/>
        </w:rPr>
      </w:pPr>
    </w:p>
    <w:p>
      <w:pPr>
        <w:ind w:left="580" w:right="579" w:firstLine="194"/>
        <w:spacing w:after="0" w:line="272" w:lineRule="auto"/>
        <w:rPr>
          <w:sz w:val="20"/>
          <w:szCs w:val="20"/>
          <w:color w:val="auto"/>
        </w:rPr>
      </w:pPr>
      <w:r>
        <w:rPr>
          <w:rFonts w:ascii="Arial" w:cs="Arial" w:eastAsia="Arial" w:hAnsi="Arial"/>
          <w:sz w:val="15"/>
          <w:szCs w:val="15"/>
          <w:i w:val="1"/>
          <w:iCs w:val="1"/>
          <w:color w:val="auto"/>
        </w:rPr>
        <w:t xml:space="preserve">Taxation of Non-Israeli Shareholders on Receipt of Dividends. </w:t>
      </w:r>
      <w:r>
        <w:rPr>
          <w:rFonts w:ascii="Arial" w:cs="Arial" w:eastAsia="Arial" w:hAnsi="Arial"/>
          <w:sz w:val="15"/>
          <w:szCs w:val="15"/>
          <w:color w:val="auto"/>
        </w:rPr>
        <w:t>Non-Israeli residents are generally subject to Israeli</w:t>
      </w:r>
      <w:r>
        <w:rPr>
          <w:rFonts w:ascii="Arial" w:cs="Arial" w:eastAsia="Arial" w:hAnsi="Arial"/>
          <w:sz w:val="15"/>
          <w:szCs w:val="15"/>
          <w:i w:val="1"/>
          <w:iCs w:val="1"/>
          <w:color w:val="auto"/>
        </w:rPr>
        <w:t xml:space="preserve"> </w:t>
      </w:r>
      <w:r>
        <w:rPr>
          <w:rFonts w:ascii="Arial" w:cs="Arial" w:eastAsia="Arial" w:hAnsi="Arial"/>
          <w:sz w:val="15"/>
          <w:szCs w:val="15"/>
          <w:color w:val="auto"/>
        </w:rPr>
        <w:t>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80" w:lineRule="exact"/>
        <w:rPr>
          <w:sz w:val="20"/>
          <w:szCs w:val="20"/>
          <w:color w:val="auto"/>
        </w:rPr>
      </w:pPr>
    </w:p>
    <w:p>
      <w:pPr>
        <w:ind w:left="580" w:right="619" w:firstLine="194"/>
        <w:spacing w:after="0" w:line="274" w:lineRule="auto"/>
        <w:rPr>
          <w:sz w:val="20"/>
          <w:szCs w:val="20"/>
          <w:color w:val="auto"/>
        </w:rPr>
      </w:pPr>
      <w:r>
        <w:rPr>
          <w:rFonts w:ascii="Arial" w:cs="Arial" w:eastAsia="Arial" w:hAnsi="Arial"/>
          <w:sz w:val="15"/>
          <w:szCs w:val="15"/>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90" w:lineRule="exact"/>
        <w:rPr>
          <w:sz w:val="20"/>
          <w:szCs w:val="20"/>
          <w:color w:val="auto"/>
        </w:rPr>
      </w:pPr>
    </w:p>
    <w:p>
      <w:pPr>
        <w:ind w:left="580" w:right="579" w:firstLine="194"/>
        <w:spacing w:after="0" w:line="259" w:lineRule="auto"/>
        <w:rPr>
          <w:sz w:val="20"/>
          <w:szCs w:val="20"/>
          <w:color w:val="auto"/>
        </w:rPr>
      </w:pPr>
      <w:r>
        <w:rPr>
          <w:rFonts w:ascii="Arial" w:cs="Arial" w:eastAsia="Arial" w:hAnsi="Arial"/>
          <w:sz w:val="16"/>
          <w:szCs w:val="16"/>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85" w:lineRule="exact"/>
        <w:rPr>
          <w:sz w:val="20"/>
          <w:szCs w:val="20"/>
          <w:color w:val="auto"/>
        </w:rPr>
      </w:pPr>
    </w:p>
    <w:p>
      <w:pPr>
        <w:ind w:left="580" w:right="599" w:firstLine="194"/>
        <w:spacing w:after="0" w:line="262" w:lineRule="auto"/>
        <w:rPr>
          <w:sz w:val="20"/>
          <w:szCs w:val="20"/>
          <w:color w:val="auto"/>
        </w:rPr>
      </w:pPr>
      <w:r>
        <w:rPr>
          <w:rFonts w:ascii="Arial" w:cs="Arial" w:eastAsia="Arial" w:hAnsi="Arial"/>
          <w:sz w:val="16"/>
          <w:szCs w:val="16"/>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Excess Tax</w:t>
      </w:r>
    </w:p>
    <w:p>
      <w:pPr>
        <w:spacing w:after="0" w:line="155" w:lineRule="exact"/>
        <w:rPr>
          <w:sz w:val="20"/>
          <w:szCs w:val="20"/>
          <w:color w:val="auto"/>
        </w:rPr>
      </w:pPr>
    </w:p>
    <w:p>
      <w:pPr>
        <w:ind w:left="580" w:right="899" w:firstLine="194"/>
        <w:spacing w:after="0" w:line="322" w:lineRule="auto"/>
        <w:rPr>
          <w:sz w:val="20"/>
          <w:szCs w:val="20"/>
          <w:color w:val="auto"/>
        </w:rPr>
      </w:pPr>
      <w:r>
        <w:rPr>
          <w:rFonts w:ascii="Arial" w:cs="Arial" w:eastAsia="Arial" w:hAnsi="Arial"/>
          <w:sz w:val="14"/>
          <w:szCs w:val="14"/>
          <w:color w:val="auto"/>
        </w:rPr>
        <w:t>Individuals who are subject to tax in Israel are also subject to an additional tax at a rate of 2% on annual income exceeding NIS 811,560 for 2014, which amount is linked to the annual change in the Israeli consumer price index, including, but not limited to, dividends, interest and capital gain, subject to the provisions of an applicable tax treaty.</w:t>
      </w:r>
    </w:p>
    <w:p>
      <w:pPr>
        <w:spacing w:after="0" w:line="5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Estate and Gift Tax</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Israeli law presently does not impose estate or gift taxes.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United States Federal Income Tax Consequences</w:t>
      </w:r>
    </w:p>
    <w:p>
      <w:pPr>
        <w:spacing w:after="0" w:line="159" w:lineRule="exact"/>
        <w:rPr>
          <w:sz w:val="20"/>
          <w:szCs w:val="20"/>
          <w:color w:val="auto"/>
        </w:rPr>
      </w:pPr>
    </w:p>
    <w:p>
      <w:pPr>
        <w:ind w:left="580" w:right="579" w:firstLine="194"/>
        <w:spacing w:after="0" w:line="281" w:lineRule="auto"/>
        <w:rPr>
          <w:sz w:val="20"/>
          <w:szCs w:val="20"/>
          <w:color w:val="auto"/>
        </w:rPr>
      </w:pPr>
      <w:r>
        <w:rPr>
          <w:rFonts w:ascii="Arial" w:cs="Arial" w:eastAsia="Arial" w:hAnsi="Arial"/>
          <w:sz w:val="15"/>
          <w:szCs w:val="15"/>
          <w:color w:val="auto"/>
        </w:rPr>
        <w:t>The following is a description of the United States federal income tax consequences relating to the ownership and disposition of our ordinary shares by a U.S. Holder (as defined below). This description addresses only the United States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68" w:lineRule="exact"/>
        <w:rPr>
          <w:sz w:val="20"/>
          <w:szCs w:val="20"/>
          <w:color w:val="auto"/>
        </w:rPr>
      </w:pPr>
    </w:p>
    <w:p>
      <w:pPr>
        <w:ind w:left="940" w:hanging="169"/>
        <w:spacing w:after="0"/>
        <w:tabs>
          <w:tab w:leader="none" w:pos="940" w:val="left"/>
        </w:tabs>
        <w:numPr>
          <w:ilvl w:val="0"/>
          <w:numId w:val="71"/>
        </w:numPr>
        <w:rPr>
          <w:rFonts w:ascii="Arial" w:cs="Arial" w:eastAsia="Arial" w:hAnsi="Arial"/>
          <w:sz w:val="19"/>
          <w:szCs w:val="19"/>
          <w:color w:val="auto"/>
        </w:rPr>
      </w:pPr>
      <w:r>
        <w:rPr>
          <w:rFonts w:ascii="Arial" w:cs="Arial" w:eastAsia="Arial" w:hAnsi="Arial"/>
          <w:sz w:val="16"/>
          <w:szCs w:val="16"/>
          <w:color w:val="auto"/>
        </w:rPr>
        <w:t>banks, financial institutions or insurance companies;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0" w:name="page111"/>
    <w:bookmarkEnd w:id="110"/>
    <w:p>
      <w:pPr>
        <w:ind w:left="940" w:hanging="169"/>
        <w:spacing w:after="0"/>
        <w:tabs>
          <w:tab w:leader="none" w:pos="940" w:val="left"/>
        </w:tabs>
        <w:numPr>
          <w:ilvl w:val="0"/>
          <w:numId w:val="72"/>
        </w:numPr>
        <w:rPr>
          <w:rFonts w:ascii="Arial" w:cs="Arial" w:eastAsia="Arial" w:hAnsi="Arial"/>
          <w:sz w:val="19"/>
          <w:szCs w:val="19"/>
          <w:color w:val="auto"/>
        </w:rPr>
      </w:pPr>
      <w:r>
        <w:rPr>
          <w:rFonts w:ascii="Arial" w:cs="Arial" w:eastAsia="Arial" w:hAnsi="Arial"/>
          <w:sz w:val="16"/>
          <w:szCs w:val="16"/>
          <w:color w:val="auto"/>
        </w:rPr>
        <w:t>real estate investment trusts, regulated investment companies or grantor trusts;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2"/>
        </w:numPr>
        <w:rPr>
          <w:rFonts w:ascii="Arial" w:cs="Arial" w:eastAsia="Arial" w:hAnsi="Arial"/>
          <w:sz w:val="19"/>
          <w:szCs w:val="19"/>
          <w:color w:val="auto"/>
        </w:rPr>
      </w:pPr>
      <w:r>
        <w:rPr>
          <w:rFonts w:ascii="Arial" w:cs="Arial" w:eastAsia="Arial" w:hAnsi="Arial"/>
          <w:sz w:val="16"/>
          <w:szCs w:val="16"/>
          <w:color w:val="auto"/>
        </w:rPr>
        <w:t>brokers, dealers or traders in securities, commodities or currencies;</w:t>
      </w:r>
    </w:p>
    <w:p>
      <w:pPr>
        <w:spacing w:after="0" w:line="193" w:lineRule="exact"/>
        <w:rPr>
          <w:rFonts w:ascii="Arial" w:cs="Arial" w:eastAsia="Arial" w:hAnsi="Arial"/>
          <w:sz w:val="19"/>
          <w:szCs w:val="19"/>
          <w:color w:val="auto"/>
        </w:rPr>
      </w:pPr>
    </w:p>
    <w:p>
      <w:pPr>
        <w:ind w:left="960" w:right="939" w:hanging="189"/>
        <w:spacing w:after="0" w:line="238" w:lineRule="auto"/>
        <w:tabs>
          <w:tab w:leader="none" w:pos="943" w:val="left"/>
        </w:tabs>
        <w:numPr>
          <w:ilvl w:val="0"/>
          <w:numId w:val="72"/>
        </w:numPr>
        <w:rPr>
          <w:rFonts w:ascii="Arial" w:cs="Arial" w:eastAsia="Arial" w:hAnsi="Arial"/>
          <w:sz w:val="19"/>
          <w:szCs w:val="19"/>
          <w:color w:val="auto"/>
        </w:rPr>
      </w:pPr>
      <w:r>
        <w:rPr>
          <w:rFonts w:ascii="Arial" w:cs="Arial" w:eastAsia="Arial" w:hAnsi="Arial"/>
          <w:sz w:val="16"/>
          <w:szCs w:val="16"/>
          <w:color w:val="auto"/>
        </w:rPr>
        <w:t>tax-exempt entities or organizations, including an “individual retirement account” or “Roth IRA” as defined in Section 408 or 408A of the Code, respectively;</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2"/>
        </w:numPr>
        <w:rPr>
          <w:rFonts w:ascii="Arial" w:cs="Arial" w:eastAsia="Arial" w:hAnsi="Arial"/>
          <w:sz w:val="19"/>
          <w:szCs w:val="19"/>
          <w:color w:val="auto"/>
        </w:rPr>
      </w:pPr>
      <w:r>
        <w:rPr>
          <w:rFonts w:ascii="Arial" w:cs="Arial" w:eastAsia="Arial" w:hAnsi="Arial"/>
          <w:sz w:val="16"/>
          <w:szCs w:val="16"/>
          <w:color w:val="auto"/>
        </w:rPr>
        <w:t>certain former citizens or long-term residents of the United States;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2"/>
        </w:numPr>
        <w:rPr>
          <w:rFonts w:ascii="Arial" w:cs="Arial" w:eastAsia="Arial" w:hAnsi="Arial"/>
          <w:sz w:val="19"/>
          <w:szCs w:val="19"/>
          <w:color w:val="auto"/>
        </w:rPr>
      </w:pPr>
      <w:r>
        <w:rPr>
          <w:rFonts w:ascii="Arial" w:cs="Arial" w:eastAsia="Arial" w:hAnsi="Arial"/>
          <w:sz w:val="16"/>
          <w:szCs w:val="16"/>
          <w:color w:val="auto"/>
        </w:rPr>
        <w:t>persons that received our shares as compensation for the performance of services;</w:t>
      </w:r>
    </w:p>
    <w:p>
      <w:pPr>
        <w:spacing w:after="0" w:line="193" w:lineRule="exact"/>
        <w:rPr>
          <w:rFonts w:ascii="Arial" w:cs="Arial" w:eastAsia="Arial" w:hAnsi="Arial"/>
          <w:sz w:val="19"/>
          <w:szCs w:val="19"/>
          <w:color w:val="auto"/>
        </w:rPr>
      </w:pPr>
    </w:p>
    <w:p>
      <w:pPr>
        <w:ind w:left="960" w:right="639" w:hanging="189"/>
        <w:spacing w:after="0" w:line="238" w:lineRule="auto"/>
        <w:tabs>
          <w:tab w:leader="none" w:pos="943" w:val="left"/>
        </w:tabs>
        <w:numPr>
          <w:ilvl w:val="0"/>
          <w:numId w:val="72"/>
        </w:numPr>
        <w:rPr>
          <w:rFonts w:ascii="Arial" w:cs="Arial" w:eastAsia="Arial" w:hAnsi="Arial"/>
          <w:sz w:val="19"/>
          <w:szCs w:val="19"/>
          <w:color w:val="auto"/>
        </w:rPr>
      </w:pPr>
      <w:r>
        <w:rPr>
          <w:rFonts w:ascii="Arial" w:cs="Arial" w:eastAsia="Arial" w:hAnsi="Arial"/>
          <w:sz w:val="16"/>
          <w:szCs w:val="16"/>
          <w:color w:val="auto"/>
        </w:rPr>
        <w:t>persons that will hold our shares as part of a “hedging,” “integrated” or “conversion” transaction or as a position in a “straddle” for U.S. federal income tax purposes;</w:t>
      </w:r>
    </w:p>
    <w:p>
      <w:pPr>
        <w:spacing w:after="0" w:line="194" w:lineRule="exact"/>
        <w:rPr>
          <w:rFonts w:ascii="Arial" w:cs="Arial" w:eastAsia="Arial" w:hAnsi="Arial"/>
          <w:sz w:val="19"/>
          <w:szCs w:val="19"/>
          <w:color w:val="auto"/>
        </w:rPr>
      </w:pPr>
    </w:p>
    <w:p>
      <w:pPr>
        <w:ind w:left="960" w:right="899" w:hanging="189"/>
        <w:spacing w:after="0" w:line="238" w:lineRule="auto"/>
        <w:tabs>
          <w:tab w:leader="none" w:pos="943" w:val="left"/>
        </w:tabs>
        <w:numPr>
          <w:ilvl w:val="0"/>
          <w:numId w:val="72"/>
        </w:numPr>
        <w:rPr>
          <w:rFonts w:ascii="Arial" w:cs="Arial" w:eastAsia="Arial" w:hAnsi="Arial"/>
          <w:sz w:val="19"/>
          <w:szCs w:val="19"/>
          <w:color w:val="auto"/>
        </w:rPr>
      </w:pPr>
      <w:r>
        <w:rPr>
          <w:rFonts w:ascii="Arial" w:cs="Arial" w:eastAsia="Arial" w:hAnsi="Arial"/>
          <w:sz w:val="16"/>
          <w:szCs w:val="16"/>
          <w:color w:val="auto"/>
        </w:rPr>
        <w:t>partnerships (including entities classified as partnerships for United State federal income tax purposes) or other pass-through entities, or holders that will hold our shares through such an entity;</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2"/>
        </w:numPr>
        <w:rPr>
          <w:rFonts w:ascii="Arial" w:cs="Arial" w:eastAsia="Arial" w:hAnsi="Arial"/>
          <w:sz w:val="19"/>
          <w:szCs w:val="19"/>
          <w:color w:val="auto"/>
        </w:rPr>
      </w:pPr>
      <w:r>
        <w:rPr>
          <w:rFonts w:ascii="Arial" w:cs="Arial" w:eastAsia="Arial" w:hAnsi="Arial"/>
          <w:sz w:val="16"/>
          <w:szCs w:val="16"/>
          <w:color w:val="auto"/>
        </w:rPr>
        <w:t>S corporations;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2"/>
        </w:numPr>
        <w:rPr>
          <w:rFonts w:ascii="Arial" w:cs="Arial" w:eastAsia="Arial" w:hAnsi="Arial"/>
          <w:sz w:val="19"/>
          <w:szCs w:val="19"/>
          <w:color w:val="auto"/>
        </w:rPr>
      </w:pPr>
      <w:r>
        <w:rPr>
          <w:rFonts w:ascii="Arial" w:cs="Arial" w:eastAsia="Arial" w:hAnsi="Arial"/>
          <w:sz w:val="16"/>
          <w:szCs w:val="16"/>
          <w:color w:val="auto"/>
        </w:rPr>
        <w:t>holders that acquire ordinary shares as a result of holding or owning our preferred shares;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2"/>
        </w:numPr>
        <w:rPr>
          <w:rFonts w:ascii="Arial" w:cs="Arial" w:eastAsia="Arial" w:hAnsi="Arial"/>
          <w:sz w:val="19"/>
          <w:szCs w:val="19"/>
          <w:color w:val="auto"/>
        </w:rPr>
      </w:pPr>
      <w:r>
        <w:rPr>
          <w:rFonts w:ascii="Arial" w:cs="Arial" w:eastAsia="Arial" w:hAnsi="Arial"/>
          <w:sz w:val="16"/>
          <w:szCs w:val="16"/>
          <w:color w:val="auto"/>
        </w:rPr>
        <w:t>U.S. holders whose “functional currency” is not the U.S. Dollar; or</w:t>
      </w:r>
    </w:p>
    <w:p>
      <w:pPr>
        <w:spacing w:after="0" w:line="193" w:lineRule="exact"/>
        <w:rPr>
          <w:rFonts w:ascii="Arial" w:cs="Arial" w:eastAsia="Arial" w:hAnsi="Arial"/>
          <w:sz w:val="19"/>
          <w:szCs w:val="19"/>
          <w:color w:val="auto"/>
        </w:rPr>
      </w:pPr>
    </w:p>
    <w:p>
      <w:pPr>
        <w:ind w:left="960" w:right="1039" w:hanging="189"/>
        <w:spacing w:after="0" w:line="238" w:lineRule="auto"/>
        <w:tabs>
          <w:tab w:leader="none" w:pos="943" w:val="left"/>
        </w:tabs>
        <w:numPr>
          <w:ilvl w:val="0"/>
          <w:numId w:val="72"/>
        </w:numPr>
        <w:rPr>
          <w:rFonts w:ascii="Arial" w:cs="Arial" w:eastAsia="Arial" w:hAnsi="Arial"/>
          <w:sz w:val="19"/>
          <w:szCs w:val="19"/>
          <w:color w:val="auto"/>
        </w:rPr>
      </w:pPr>
      <w:r>
        <w:rPr>
          <w:rFonts w:ascii="Arial" w:cs="Arial" w:eastAsia="Arial" w:hAnsi="Arial"/>
          <w:sz w:val="16"/>
          <w:szCs w:val="16"/>
          <w:color w:val="auto"/>
        </w:rPr>
        <w:t>holders that own directly, indirectly or through attribution 10.0% or more of the voting power or value of our shares.</w:t>
      </w:r>
    </w:p>
    <w:p>
      <w:pPr>
        <w:spacing w:after="0" w:line="182" w:lineRule="exact"/>
        <w:rPr>
          <w:sz w:val="20"/>
          <w:szCs w:val="20"/>
          <w:color w:val="auto"/>
        </w:rPr>
      </w:pPr>
    </w:p>
    <w:p>
      <w:pPr>
        <w:ind w:left="580" w:right="799" w:firstLine="194"/>
        <w:spacing w:after="0" w:line="355" w:lineRule="auto"/>
        <w:rPr>
          <w:sz w:val="20"/>
          <w:szCs w:val="20"/>
          <w:color w:val="auto"/>
        </w:rPr>
      </w:pPr>
      <w:r>
        <w:rPr>
          <w:rFonts w:ascii="Arial" w:cs="Arial" w:eastAsia="Arial" w:hAnsi="Arial"/>
          <w:sz w:val="14"/>
          <w:szCs w:val="14"/>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05" w:lineRule="exact"/>
        <w:rPr>
          <w:sz w:val="20"/>
          <w:szCs w:val="20"/>
          <w:color w:val="auto"/>
        </w:rPr>
      </w:pPr>
    </w:p>
    <w:p>
      <w:pPr>
        <w:ind w:left="580" w:right="739" w:firstLine="194"/>
        <w:spacing w:after="0" w:line="300" w:lineRule="auto"/>
        <w:rPr>
          <w:sz w:val="20"/>
          <w:szCs w:val="20"/>
          <w:color w:val="auto"/>
        </w:rPr>
      </w:pPr>
      <w:r>
        <w:rPr>
          <w:rFonts w:ascii="Arial" w:cs="Arial" w:eastAsia="Arial" w:hAnsi="Arial"/>
          <w:sz w:val="14"/>
          <w:szCs w:val="14"/>
          <w:color w:val="auto"/>
        </w:rPr>
        <w:t>This description is based on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ownership and disposition of our ordinary shares or that such a position would not be sustained. Holders should consult their own tax advisors concerning the U.S. federal, state, local and foreign tax consequences of owning and disposing of our ordinary shares in their particular circumstances.</w:t>
      </w:r>
    </w:p>
    <w:p>
      <w:pPr>
        <w:spacing w:after="0" w:line="142" w:lineRule="exact"/>
        <w:rPr>
          <w:sz w:val="20"/>
          <w:szCs w:val="20"/>
          <w:color w:val="auto"/>
        </w:rPr>
      </w:pPr>
    </w:p>
    <w:p>
      <w:pPr>
        <w:ind w:left="580" w:right="799" w:firstLine="194"/>
        <w:spacing w:after="0" w:line="281" w:lineRule="auto"/>
        <w:rPr>
          <w:sz w:val="20"/>
          <w:szCs w:val="20"/>
          <w:color w:val="auto"/>
        </w:rPr>
      </w:pPr>
      <w:r>
        <w:rPr>
          <w:rFonts w:ascii="Arial" w:cs="Arial" w:eastAsia="Arial" w:hAnsi="Arial"/>
          <w:sz w:val="16"/>
          <w:szCs w:val="16"/>
          <w:color w:val="auto"/>
        </w:rPr>
        <w:t>For purposes of this description, a “U.S. Holder” is a beneficial owner of our ordinary shares that, for United States federal income tax purposes, is:</w:t>
      </w:r>
    </w:p>
    <w:p>
      <w:pPr>
        <w:spacing w:after="0" w:line="150" w:lineRule="exact"/>
        <w:rPr>
          <w:sz w:val="20"/>
          <w:szCs w:val="20"/>
          <w:color w:val="auto"/>
        </w:rPr>
      </w:pPr>
    </w:p>
    <w:p>
      <w:pPr>
        <w:ind w:left="940" w:hanging="169"/>
        <w:spacing w:after="0"/>
        <w:tabs>
          <w:tab w:leader="none" w:pos="940" w:val="left"/>
        </w:tabs>
        <w:numPr>
          <w:ilvl w:val="0"/>
          <w:numId w:val="73"/>
        </w:numPr>
        <w:rPr>
          <w:rFonts w:ascii="Arial" w:cs="Arial" w:eastAsia="Arial" w:hAnsi="Arial"/>
          <w:sz w:val="19"/>
          <w:szCs w:val="19"/>
          <w:color w:val="auto"/>
        </w:rPr>
      </w:pPr>
      <w:r>
        <w:rPr>
          <w:rFonts w:ascii="Arial" w:cs="Arial" w:eastAsia="Arial" w:hAnsi="Arial"/>
          <w:sz w:val="16"/>
          <w:szCs w:val="16"/>
          <w:color w:val="auto"/>
        </w:rPr>
        <w:t>a citizen or individual resident of the United States;</w:t>
      </w:r>
    </w:p>
    <w:p>
      <w:pPr>
        <w:spacing w:after="0" w:line="193" w:lineRule="exact"/>
        <w:rPr>
          <w:rFonts w:ascii="Arial" w:cs="Arial" w:eastAsia="Arial" w:hAnsi="Arial"/>
          <w:sz w:val="19"/>
          <w:szCs w:val="19"/>
          <w:color w:val="auto"/>
        </w:rPr>
      </w:pPr>
    </w:p>
    <w:p>
      <w:pPr>
        <w:ind w:left="960" w:right="1019" w:hanging="189"/>
        <w:spacing w:after="0" w:line="238" w:lineRule="auto"/>
        <w:tabs>
          <w:tab w:leader="none" w:pos="943" w:val="left"/>
        </w:tabs>
        <w:numPr>
          <w:ilvl w:val="0"/>
          <w:numId w:val="73"/>
        </w:numPr>
        <w:rPr>
          <w:rFonts w:ascii="Arial" w:cs="Arial" w:eastAsia="Arial" w:hAnsi="Arial"/>
          <w:sz w:val="19"/>
          <w:szCs w:val="19"/>
          <w:color w:val="auto"/>
        </w:rPr>
      </w:pPr>
      <w:r>
        <w:rPr>
          <w:rFonts w:ascii="Arial" w:cs="Arial" w:eastAsia="Arial" w:hAnsi="Arial"/>
          <w:sz w:val="16"/>
          <w:szCs w:val="16"/>
          <w:color w:val="auto"/>
        </w:rPr>
        <w:t>a corporation created or organized in or under the laws of the United States or any state thereof, including the District of Columbia;</w:t>
      </w:r>
    </w:p>
    <w:p>
      <w:pPr>
        <w:spacing w:after="0" w:line="193" w:lineRule="exact"/>
        <w:rPr>
          <w:rFonts w:ascii="Arial" w:cs="Arial" w:eastAsia="Arial" w:hAnsi="Arial"/>
          <w:sz w:val="19"/>
          <w:szCs w:val="19"/>
          <w:color w:val="auto"/>
        </w:rPr>
      </w:pPr>
    </w:p>
    <w:p>
      <w:pPr>
        <w:ind w:left="940" w:hanging="169"/>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5"/>
          <w:szCs w:val="15"/>
          <w:color w:val="auto"/>
        </w:rPr>
        <w:t>an estate the income of which is subject to United States federal income taxation regardless of its source; or</w:t>
      </w:r>
    </w:p>
    <w:p>
      <w:pPr>
        <w:spacing w:after="0" w:line="193" w:lineRule="exact"/>
        <w:rPr>
          <w:rFonts w:ascii="Arial" w:cs="Arial" w:eastAsia="Arial" w:hAnsi="Arial"/>
          <w:sz w:val="18"/>
          <w:szCs w:val="18"/>
          <w:color w:val="auto"/>
        </w:rPr>
      </w:pPr>
    </w:p>
    <w:p>
      <w:pPr>
        <w:jc w:val="both"/>
        <w:ind w:left="960" w:right="679" w:hanging="189"/>
        <w:spacing w:after="0" w:line="291" w:lineRule="auto"/>
        <w:tabs>
          <w:tab w:leader="none" w:pos="943" w:val="left"/>
        </w:tabs>
        <w:numPr>
          <w:ilvl w:val="0"/>
          <w:numId w:val="73"/>
        </w:numPr>
        <w:rPr>
          <w:rFonts w:ascii="Arial" w:cs="Arial" w:eastAsia="Arial" w:hAnsi="Arial"/>
          <w:sz w:val="17"/>
          <w:szCs w:val="17"/>
          <w:color w:val="auto"/>
        </w:rPr>
      </w:pPr>
      <w:r>
        <w:rPr>
          <w:rFonts w:ascii="Arial" w:cs="Arial" w:eastAsia="Arial" w:hAnsi="Arial"/>
          <w:sz w:val="14"/>
          <w:szCs w:val="14"/>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48" w:lineRule="exact"/>
        <w:rPr>
          <w:sz w:val="20"/>
          <w:szCs w:val="20"/>
          <w:color w:val="auto"/>
        </w:rPr>
      </w:pPr>
    </w:p>
    <w:p>
      <w:pPr>
        <w:ind w:left="580" w:right="659" w:firstLine="194"/>
        <w:spacing w:after="0" w:line="311" w:lineRule="auto"/>
        <w:rPr>
          <w:sz w:val="20"/>
          <w:szCs w:val="20"/>
          <w:color w:val="auto"/>
        </w:rPr>
      </w:pPr>
      <w:r>
        <w:rPr>
          <w:rFonts w:ascii="Arial" w:cs="Arial" w:eastAsia="Arial" w:hAnsi="Arial"/>
          <w:sz w:val="14"/>
          <w:szCs w:val="14"/>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11" w:name="page112"/>
    <w:bookmarkEnd w:id="111"/>
    <w:p>
      <w:pPr>
        <w:ind w:left="580" w:right="779"/>
        <w:spacing w:after="0" w:line="286" w:lineRule="auto"/>
        <w:rPr>
          <w:sz w:val="20"/>
          <w:szCs w:val="20"/>
          <w:color w:val="auto"/>
        </w:rPr>
      </w:pPr>
      <w:r>
        <w:rPr>
          <w:rFonts w:ascii="Arial" w:cs="Arial" w:eastAsia="Arial" w:hAnsi="Arial"/>
          <w:sz w:val="16"/>
          <w:szCs w:val="16"/>
          <w:b w:val="1"/>
          <w:bCs w:val="1"/>
          <w:color w:val="auto"/>
        </w:rPr>
        <w:t>You should consult your tax advisor with respect to the U.S. federal, state, local and foreign tax consequences of owning and disposing of our ordinary shares.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Distributions</w:t>
      </w:r>
    </w:p>
    <w:p>
      <w:pPr>
        <w:spacing w:after="0" w:line="204" w:lineRule="exact"/>
        <w:rPr>
          <w:sz w:val="20"/>
          <w:szCs w:val="20"/>
          <w:color w:val="auto"/>
        </w:rPr>
      </w:pPr>
    </w:p>
    <w:p>
      <w:pPr>
        <w:ind w:left="580" w:right="619" w:firstLine="194"/>
        <w:spacing w:after="0" w:line="298" w:lineRule="auto"/>
        <w:rPr>
          <w:sz w:val="20"/>
          <w:szCs w:val="20"/>
          <w:color w:val="auto"/>
        </w:rPr>
      </w:pPr>
      <w:r>
        <w:rPr>
          <w:rFonts w:ascii="Arial" w:cs="Arial" w:eastAsia="Arial" w:hAnsi="Arial"/>
          <w:sz w:val="14"/>
          <w:szCs w:val="14"/>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09" w:lineRule="exact"/>
        <w:rPr>
          <w:sz w:val="20"/>
          <w:szCs w:val="20"/>
          <w:color w:val="auto"/>
        </w:rPr>
      </w:pPr>
    </w:p>
    <w:p>
      <w:pPr>
        <w:ind w:left="580" w:right="559" w:firstLine="194"/>
        <w:spacing w:after="0" w:line="272" w:lineRule="auto"/>
        <w:rPr>
          <w:sz w:val="20"/>
          <w:szCs w:val="20"/>
          <w:color w:val="auto"/>
        </w:rPr>
      </w:pPr>
      <w:r>
        <w:rPr>
          <w:rFonts w:ascii="Arial" w:cs="Arial" w:eastAsia="Arial" w:hAnsi="Arial"/>
          <w:sz w:val="15"/>
          <w:szCs w:val="15"/>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if the company (i) is eligible for the benefits of a comprehensive income tax treaty with the United States that the IRS has approved for the purposes of the qualified dividend rules, and (ii) was not, in the year prior to the year in which the dividend was paid, and is not, in the year in which the dividend is paid, a PFIC, for U.S. federal income tax purposes. The Convention between the Government of the United States of America and the Government of the State of Israel for the “Avoidance of Double Taxation and the Prevention of Fiscal Evasion with respect to Taxes on Income” together with the related Protocol (the “Treaty”) has been approved for the purposes of the qualified dividend rules. However, if the company is classified as a PFIC, for U.S. federal income tax purposes, for the current taxable year or any subsequent taxable year, the company will not be treated as a qualified foreign corporation for these purposes in those taxable years in which we are classified as a PFIC, and, thus, a non-corporate recipient of dividend income will not be eligible for the preferential rates of taxation. Although no assurances can be given, we believe that we will be treated as a qualified foreign corporation for these purposes for any taxable year in which such dividend was paid provided that we are not classified as a PFIC in the last year prior to the year in which such dividend is paid and the year in which such dividend is paid.</w:t>
      </w:r>
    </w:p>
    <w:p>
      <w:pPr>
        <w:spacing w:after="0" w:line="141" w:lineRule="exact"/>
        <w:rPr>
          <w:sz w:val="20"/>
          <w:szCs w:val="20"/>
          <w:color w:val="auto"/>
        </w:rPr>
      </w:pPr>
    </w:p>
    <w:p>
      <w:pPr>
        <w:ind w:left="580" w:right="579" w:firstLine="194"/>
        <w:spacing w:after="0" w:line="292" w:lineRule="auto"/>
        <w:rPr>
          <w:sz w:val="20"/>
          <w:szCs w:val="20"/>
          <w:color w:val="auto"/>
        </w:rPr>
      </w:pPr>
      <w:r>
        <w:rPr>
          <w:rFonts w:ascii="Arial" w:cs="Arial" w:eastAsia="Arial" w:hAnsi="Arial"/>
          <w:sz w:val="14"/>
          <w:szCs w:val="14"/>
          <w:color w:val="auto"/>
        </w:rPr>
        <w:t>The amount of any dividend paid in a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w:t>
      </w:r>
    </w:p>
    <w:p>
      <w:pPr>
        <w:spacing w:after="0" w:line="2" w:lineRule="exact"/>
        <w:rPr>
          <w:sz w:val="20"/>
          <w:szCs w:val="20"/>
          <w:color w:val="auto"/>
        </w:rPr>
      </w:pPr>
    </w:p>
    <w:p>
      <w:pPr>
        <w:ind w:left="580" w:right="579" w:hanging="3"/>
        <w:spacing w:after="0" w:line="256" w:lineRule="auto"/>
        <w:tabs>
          <w:tab w:leader="none" w:pos="76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33" w:lineRule="exact"/>
        <w:rPr>
          <w:sz w:val="20"/>
          <w:szCs w:val="20"/>
          <w:color w:val="auto"/>
        </w:rPr>
      </w:pPr>
    </w:p>
    <w:p>
      <w:pPr>
        <w:ind w:left="580" w:right="579" w:firstLine="194"/>
        <w:spacing w:after="0" w:line="275" w:lineRule="auto"/>
        <w:rPr>
          <w:sz w:val="20"/>
          <w:szCs w:val="20"/>
          <w:color w:val="auto"/>
        </w:rPr>
      </w:pPr>
      <w:r>
        <w:rPr>
          <w:rFonts w:ascii="Arial" w:cs="Arial" w:eastAsia="Arial" w:hAnsi="Arial"/>
          <w:sz w:val="15"/>
          <w:szCs w:val="15"/>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taking into account Treaty benefits,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w:t>
      </w:r>
    </w:p>
    <w:p>
      <w:pPr>
        <w:spacing w:after="0" w:line="123" w:lineRule="exact"/>
        <w:rPr>
          <w:sz w:val="20"/>
          <w:szCs w:val="20"/>
          <w:color w:val="auto"/>
        </w:rPr>
      </w:pPr>
    </w:p>
    <w:p>
      <w:pPr>
        <w:ind w:left="580" w:right="899" w:firstLine="194"/>
        <w:spacing w:after="0" w:line="281" w:lineRule="auto"/>
        <w:rPr>
          <w:sz w:val="20"/>
          <w:szCs w:val="20"/>
          <w:color w:val="auto"/>
        </w:rPr>
      </w:pPr>
      <w:r>
        <w:rPr>
          <w:rFonts w:ascii="Arial" w:cs="Arial" w:eastAsia="Arial" w:hAnsi="Arial"/>
          <w:sz w:val="16"/>
          <w:szCs w:val="16"/>
          <w:color w:val="auto"/>
        </w:rPr>
        <w:t>U.S. Holders should consult their tax advisers regarding the availability of the foreign tax credit in their particular circumstances.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Sale, Exchange, Redemption or other Taxable Disposition of Ordinary Shares</w:t>
      </w:r>
    </w:p>
    <w:p>
      <w:pPr>
        <w:spacing w:after="0" w:line="204" w:lineRule="exact"/>
        <w:rPr>
          <w:sz w:val="20"/>
          <w:szCs w:val="20"/>
          <w:color w:val="auto"/>
        </w:rPr>
      </w:pPr>
    </w:p>
    <w:p>
      <w:pPr>
        <w:jc w:val="both"/>
        <w:ind w:left="580" w:right="1139" w:firstLine="194"/>
        <w:spacing w:after="0" w:line="267" w:lineRule="auto"/>
        <w:rPr>
          <w:sz w:val="20"/>
          <w:szCs w:val="20"/>
          <w:color w:val="auto"/>
        </w:rPr>
      </w:pPr>
      <w:r>
        <w:rPr>
          <w:rFonts w:ascii="Arial" w:cs="Arial" w:eastAsia="Arial" w:hAnsi="Arial"/>
          <w:sz w:val="16"/>
          <w:szCs w:val="16"/>
          <w:color w:val="auto"/>
        </w:rPr>
        <w:t>Subject to the discussion below under “Passive Foreign Investment Company Considerations,” a U.S. Holder generally will recognize gain or loss, for U.S. federal income tax purposes, on the sale, exchange or other taxable disposition of our</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2" w:name="page113"/>
    <w:bookmarkEnd w:id="112"/>
    <w:p>
      <w:pPr>
        <w:ind w:left="580" w:right="599"/>
        <w:spacing w:after="0" w:line="275" w:lineRule="auto"/>
        <w:rPr>
          <w:sz w:val="20"/>
          <w:szCs w:val="20"/>
          <w:color w:val="auto"/>
        </w:rPr>
      </w:pPr>
      <w:r>
        <w:rPr>
          <w:rFonts w:ascii="Arial" w:cs="Arial" w:eastAsia="Arial" w:hAnsi="Arial"/>
          <w:sz w:val="15"/>
          <w:szCs w:val="15"/>
          <w:color w:val="auto"/>
        </w:rPr>
        <w:t>ordinary shares, in an amount equal to the difference, if any, between the amount realized on such sale, exchange or other taxable disposition and the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Except as discussed below with respect to foreign currency gain or loss, if you are a non-corporate U.S. Holder, long-term capital gain from the sale, exchange or other taxable disposition of ordinary shares is generally eligible for a preferential rate of taxation applicable to capital gains.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159" w:lineRule="exact"/>
        <w:rPr>
          <w:sz w:val="20"/>
          <w:szCs w:val="20"/>
          <w:color w:val="auto"/>
        </w:rPr>
      </w:pPr>
    </w:p>
    <w:p>
      <w:pPr>
        <w:ind w:left="580" w:right="579" w:firstLine="194"/>
        <w:spacing w:after="0" w:line="275" w:lineRule="auto"/>
        <w:rPr>
          <w:sz w:val="20"/>
          <w:szCs w:val="20"/>
          <w:color w:val="auto"/>
        </w:rPr>
      </w:pPr>
      <w:r>
        <w:rPr>
          <w:rFonts w:ascii="Arial" w:cs="Arial" w:eastAsia="Arial" w:hAnsi="Arial"/>
          <w:sz w:val="15"/>
          <w:szCs w:val="15"/>
          <w:color w:val="auto"/>
        </w:rPr>
        <w:t>A U.S. Holder’s initial tax basis in the ordinary shares will generally be the U.S. dollar value of the purchase price of our ordinary shares on the date of purchase. The amount realized on a sale or other disposition of ordinary shares, for an amount in foreign currency, will be the U.S. dollar value of this amount on the date of sale or disposition. 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Passive Foreign Investment Company Considerations</w:t>
      </w:r>
    </w:p>
    <w:p>
      <w:pPr>
        <w:spacing w:after="0" w:line="204" w:lineRule="exact"/>
        <w:rPr>
          <w:sz w:val="20"/>
          <w:szCs w:val="20"/>
          <w:color w:val="auto"/>
        </w:rPr>
      </w:pPr>
    </w:p>
    <w:p>
      <w:pPr>
        <w:ind w:left="580" w:right="699" w:firstLine="194"/>
        <w:spacing w:after="0" w:line="262" w:lineRule="auto"/>
        <w:rPr>
          <w:sz w:val="20"/>
          <w:szCs w:val="20"/>
          <w:color w:val="auto"/>
        </w:rPr>
      </w:pPr>
      <w:r>
        <w:rPr>
          <w:rFonts w:ascii="Arial" w:cs="Arial" w:eastAsia="Arial" w:hAnsi="Arial"/>
          <w:sz w:val="16"/>
          <w:szCs w:val="16"/>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66" w:lineRule="exact"/>
        <w:rPr>
          <w:sz w:val="20"/>
          <w:szCs w:val="20"/>
          <w:color w:val="auto"/>
        </w:rPr>
      </w:pPr>
    </w:p>
    <w:p>
      <w:pPr>
        <w:jc w:val="both"/>
        <w:ind w:left="580" w:right="899" w:firstLine="194"/>
        <w:spacing w:after="0" w:line="267" w:lineRule="auto"/>
        <w:rPr>
          <w:sz w:val="20"/>
          <w:szCs w:val="20"/>
          <w:color w:val="auto"/>
        </w:rPr>
      </w:pPr>
      <w:r>
        <w:rPr>
          <w:rFonts w:ascii="Arial" w:cs="Arial" w:eastAsia="Arial" w:hAnsi="Arial"/>
          <w:sz w:val="16"/>
          <w:szCs w:val="16"/>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61" w:lineRule="exact"/>
        <w:rPr>
          <w:sz w:val="20"/>
          <w:szCs w:val="20"/>
          <w:color w:val="auto"/>
        </w:rPr>
      </w:pPr>
    </w:p>
    <w:p>
      <w:pPr>
        <w:ind w:left="940" w:hanging="169"/>
        <w:spacing w:after="0"/>
        <w:tabs>
          <w:tab w:leader="none" w:pos="940" w:val="left"/>
        </w:tabs>
        <w:numPr>
          <w:ilvl w:val="0"/>
          <w:numId w:val="75"/>
        </w:numPr>
        <w:rPr>
          <w:rFonts w:ascii="Arial" w:cs="Arial" w:eastAsia="Arial" w:hAnsi="Arial"/>
          <w:sz w:val="19"/>
          <w:szCs w:val="19"/>
          <w:color w:val="auto"/>
        </w:rPr>
      </w:pPr>
      <w:r>
        <w:rPr>
          <w:rFonts w:ascii="Arial" w:cs="Arial" w:eastAsia="Arial" w:hAnsi="Arial"/>
          <w:sz w:val="16"/>
          <w:szCs w:val="16"/>
          <w:color w:val="auto"/>
        </w:rPr>
        <w:t>at least 75% of its gross income is “passive income”; or</w:t>
      </w:r>
    </w:p>
    <w:p>
      <w:pPr>
        <w:spacing w:after="0" w:line="193" w:lineRule="exact"/>
        <w:rPr>
          <w:rFonts w:ascii="Arial" w:cs="Arial" w:eastAsia="Arial" w:hAnsi="Arial"/>
          <w:sz w:val="19"/>
          <w:szCs w:val="19"/>
          <w:color w:val="auto"/>
        </w:rPr>
      </w:pPr>
    </w:p>
    <w:p>
      <w:pPr>
        <w:jc w:val="both"/>
        <w:ind w:left="960" w:right="639" w:hanging="189"/>
        <w:spacing w:after="0" w:line="248" w:lineRule="auto"/>
        <w:tabs>
          <w:tab w:leader="none" w:pos="943" w:val="left"/>
        </w:tabs>
        <w:numPr>
          <w:ilvl w:val="0"/>
          <w:numId w:val="75"/>
        </w:numPr>
        <w:rPr>
          <w:rFonts w:ascii="Arial" w:cs="Arial" w:eastAsia="Arial" w:hAnsi="Arial"/>
          <w:sz w:val="19"/>
          <w:szCs w:val="19"/>
          <w:color w:val="auto"/>
        </w:rPr>
      </w:pPr>
      <w:r>
        <w:rPr>
          <w:rFonts w:ascii="Arial" w:cs="Arial" w:eastAsia="Arial" w:hAnsi="Arial"/>
          <w:sz w:val="16"/>
          <w:szCs w:val="16"/>
          <w:color w:val="auto"/>
        </w:rPr>
        <w:t>at least 50% of the average quarterly value of its total gross assets (which, assuming we were a non-publicly traded controlled foreign corporation, or CFC, for the year being tested may be measured by the adjusted tax basis of our assets or, if we were a publicly traded CFC or not a CFC, the total value of our assets may be measured in part by the market value of our ordinary shares, which is subject to change) is attributable to assets that produce “passive income” or are held for the production of passive income.</w:t>
      </w:r>
    </w:p>
    <w:p>
      <w:pPr>
        <w:spacing w:after="0" w:line="177" w:lineRule="exact"/>
        <w:rPr>
          <w:sz w:val="20"/>
          <w:szCs w:val="20"/>
          <w:color w:val="auto"/>
        </w:rPr>
      </w:pPr>
    </w:p>
    <w:p>
      <w:pPr>
        <w:ind w:left="580" w:right="579" w:firstLine="194"/>
        <w:spacing w:after="0" w:line="275" w:lineRule="auto"/>
        <w:rPr>
          <w:sz w:val="20"/>
          <w:szCs w:val="20"/>
          <w:color w:val="auto"/>
        </w:rPr>
      </w:pPr>
      <w:r>
        <w:rPr>
          <w:rFonts w:ascii="Arial" w:cs="Arial" w:eastAsia="Arial" w:hAnsi="Arial"/>
          <w:sz w:val="15"/>
          <w:szCs w:val="15"/>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159" w:lineRule="exact"/>
        <w:rPr>
          <w:sz w:val="20"/>
          <w:szCs w:val="20"/>
          <w:color w:val="auto"/>
        </w:rPr>
      </w:pPr>
    </w:p>
    <w:p>
      <w:pPr>
        <w:ind w:left="580" w:right="579" w:firstLine="194"/>
        <w:spacing w:after="0" w:line="276" w:lineRule="auto"/>
        <w:rPr>
          <w:sz w:val="20"/>
          <w:szCs w:val="20"/>
          <w:color w:val="auto"/>
        </w:rPr>
      </w:pPr>
      <w:r>
        <w:rPr>
          <w:rFonts w:ascii="Arial" w:cs="Arial" w:eastAsia="Arial" w:hAnsi="Arial"/>
          <w:sz w:val="15"/>
          <w:szCs w:val="15"/>
          <w:color w:val="auto"/>
        </w:rPr>
        <w:t>Based on certain estimates of our gross income and gross assets, our intended use of the proceeds of this offering, and the nature of our business, we do not expect that we will be classified as a PFIC for the taxable year ending December 31, 2015. However, because PFIC status is based on our income, assets and activities for the entire taxable year, it is not possible to determine whether we will be characterized as a PFIC for the 2015 taxable year until after the close of the year. Moreover, we must determine our PFIC status annually based on tests which are factual in nature, and our status in future years will depend on our income, assets and activities in those years. In addition, our status as a PFIC may depend on how quickly we utilize the cash proceeds from this offering in our business. There can be no assurance that we will not be considered a PFIC for any taxable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3" w:name="page114"/>
    <w:bookmarkEnd w:id="113"/>
    <w:p>
      <w:pPr>
        <w:ind w:left="580" w:right="659" w:firstLine="194"/>
        <w:spacing w:after="0" w:line="285" w:lineRule="auto"/>
        <w:rPr>
          <w:sz w:val="20"/>
          <w:szCs w:val="20"/>
          <w:color w:val="auto"/>
        </w:rPr>
      </w:pPr>
      <w:r>
        <w:rPr>
          <w:rFonts w:ascii="Arial" w:cs="Arial" w:eastAsia="Arial" w:hAnsi="Arial"/>
          <w:sz w:val="15"/>
          <w:szCs w:val="15"/>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150" w:lineRule="exact"/>
        <w:rPr>
          <w:sz w:val="20"/>
          <w:szCs w:val="20"/>
          <w:color w:val="auto"/>
        </w:rPr>
      </w:pPr>
    </w:p>
    <w:p>
      <w:pPr>
        <w:ind w:left="580" w:right="639" w:firstLine="194"/>
        <w:spacing w:after="0" w:line="294" w:lineRule="auto"/>
        <w:rPr>
          <w:sz w:val="20"/>
          <w:szCs w:val="20"/>
          <w:color w:val="auto"/>
        </w:rPr>
      </w:pPr>
      <w:r>
        <w:rPr>
          <w:rFonts w:ascii="Arial" w:cs="Arial" w:eastAsia="Arial" w:hAnsi="Arial"/>
          <w:sz w:val="14"/>
          <w:szCs w:val="14"/>
          <w:color w:val="auto"/>
        </w:rPr>
        <w:t>If we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49" w:lineRule="exact"/>
        <w:rPr>
          <w:sz w:val="20"/>
          <w:szCs w:val="20"/>
          <w:color w:val="auto"/>
        </w:rPr>
      </w:pPr>
    </w:p>
    <w:p>
      <w:pPr>
        <w:ind w:left="580" w:right="719" w:firstLine="194"/>
        <w:spacing w:after="0" w:line="285" w:lineRule="auto"/>
        <w:rPr>
          <w:sz w:val="20"/>
          <w:szCs w:val="20"/>
          <w:color w:val="auto"/>
        </w:rPr>
      </w:pPr>
      <w:r>
        <w:rPr>
          <w:rFonts w:ascii="Arial" w:cs="Arial" w:eastAsia="Arial" w:hAnsi="Arial"/>
          <w:sz w:val="15"/>
          <w:szCs w:val="15"/>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50" w:lineRule="exact"/>
        <w:rPr>
          <w:sz w:val="20"/>
          <w:szCs w:val="20"/>
          <w:color w:val="auto"/>
        </w:rPr>
      </w:pPr>
    </w:p>
    <w:p>
      <w:pPr>
        <w:ind w:left="580" w:right="619" w:firstLine="194"/>
        <w:spacing w:after="0" w:line="273" w:lineRule="auto"/>
        <w:rPr>
          <w:sz w:val="20"/>
          <w:szCs w:val="20"/>
          <w:color w:val="auto"/>
        </w:rPr>
      </w:pPr>
      <w:r>
        <w:rPr>
          <w:rFonts w:ascii="Arial" w:cs="Arial" w:eastAsia="Arial" w:hAnsi="Arial"/>
          <w:sz w:val="15"/>
          <w:szCs w:val="15"/>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65" w:lineRule="exact"/>
        <w:rPr>
          <w:sz w:val="20"/>
          <w:szCs w:val="20"/>
          <w:color w:val="auto"/>
        </w:rPr>
      </w:pPr>
    </w:p>
    <w:p>
      <w:pPr>
        <w:ind w:left="580" w:right="599" w:firstLine="194"/>
        <w:spacing w:after="0" w:line="273" w:lineRule="auto"/>
        <w:rPr>
          <w:sz w:val="20"/>
          <w:szCs w:val="20"/>
          <w:color w:val="auto"/>
        </w:rPr>
      </w:pPr>
      <w:r>
        <w:rPr>
          <w:rFonts w:ascii="Arial" w:cs="Arial" w:eastAsia="Arial" w:hAnsi="Arial"/>
          <w:sz w:val="15"/>
          <w:szCs w:val="15"/>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63" w:lineRule="exact"/>
        <w:rPr>
          <w:sz w:val="20"/>
          <w:szCs w:val="20"/>
          <w:color w:val="auto"/>
        </w:rPr>
      </w:pPr>
    </w:p>
    <w:p>
      <w:pPr>
        <w:ind w:left="580" w:right="619" w:firstLine="194"/>
        <w:spacing w:after="0" w:line="259" w:lineRule="auto"/>
        <w:rPr>
          <w:sz w:val="20"/>
          <w:szCs w:val="20"/>
          <w:color w:val="auto"/>
        </w:rPr>
      </w:pPr>
      <w:r>
        <w:rPr>
          <w:rFonts w:ascii="Arial" w:cs="Arial" w:eastAsia="Arial" w:hAnsi="Arial"/>
          <w:sz w:val="16"/>
          <w:szCs w:val="16"/>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4" w:name="page115"/>
    <w:bookmarkEnd w:id="114"/>
    <w:p>
      <w:pPr>
        <w:ind w:left="580" w:right="819" w:firstLine="194"/>
        <w:spacing w:after="0" w:line="281" w:lineRule="auto"/>
        <w:rPr>
          <w:sz w:val="20"/>
          <w:szCs w:val="20"/>
          <w:color w:val="auto"/>
        </w:rPr>
      </w:pPr>
      <w:r>
        <w:rPr>
          <w:rFonts w:ascii="Arial" w:cs="Arial" w:eastAsia="Arial" w:hAnsi="Arial"/>
          <w:sz w:val="16"/>
          <w:szCs w:val="16"/>
          <w:color w:val="auto"/>
        </w:rPr>
        <w:t>U.S. Holders should consult their tax advisors regarding whether we are a PFIC and the potential application of the PFIC rules.</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Medicare Tax</w:t>
      </w:r>
    </w:p>
    <w:p>
      <w:pPr>
        <w:spacing w:after="0" w:line="204" w:lineRule="exact"/>
        <w:rPr>
          <w:sz w:val="20"/>
          <w:szCs w:val="20"/>
          <w:color w:val="auto"/>
        </w:rPr>
      </w:pPr>
    </w:p>
    <w:p>
      <w:pPr>
        <w:ind w:left="580" w:right="799" w:firstLine="194"/>
        <w:spacing w:after="0" w:line="311" w:lineRule="auto"/>
        <w:rPr>
          <w:sz w:val="20"/>
          <w:szCs w:val="20"/>
          <w:color w:val="auto"/>
        </w:rPr>
      </w:pPr>
      <w:r>
        <w:rPr>
          <w:rFonts w:ascii="Arial" w:cs="Arial" w:eastAsia="Arial" w:hAnsi="Arial"/>
          <w:sz w:val="14"/>
          <w:szCs w:val="14"/>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Backup Withholding Tax and Information Reporting Requirements</w:t>
      </w:r>
    </w:p>
    <w:p>
      <w:pPr>
        <w:spacing w:after="0" w:line="204" w:lineRule="exact"/>
        <w:rPr>
          <w:sz w:val="20"/>
          <w:szCs w:val="20"/>
          <w:color w:val="auto"/>
        </w:rPr>
      </w:pPr>
    </w:p>
    <w:p>
      <w:pPr>
        <w:ind w:left="580" w:right="599" w:firstLine="194"/>
        <w:spacing w:after="0" w:line="273" w:lineRule="auto"/>
        <w:rPr>
          <w:sz w:val="20"/>
          <w:szCs w:val="20"/>
          <w:color w:val="auto"/>
        </w:rPr>
      </w:pPr>
      <w:r>
        <w:rPr>
          <w:rFonts w:ascii="Arial" w:cs="Arial" w:eastAsia="Arial" w:hAnsi="Arial"/>
          <w:sz w:val="15"/>
          <w:szCs w:val="15"/>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Foreign Asset Reporting</w:t>
      </w:r>
    </w:p>
    <w:p>
      <w:pPr>
        <w:spacing w:after="0" w:line="204" w:lineRule="exact"/>
        <w:rPr>
          <w:sz w:val="20"/>
          <w:szCs w:val="20"/>
          <w:color w:val="auto"/>
        </w:rPr>
      </w:pPr>
    </w:p>
    <w:p>
      <w:pPr>
        <w:ind w:left="580" w:right="679" w:firstLine="194"/>
        <w:spacing w:after="0" w:line="259" w:lineRule="auto"/>
        <w:rPr>
          <w:sz w:val="20"/>
          <w:szCs w:val="20"/>
          <w:color w:val="auto"/>
        </w:rPr>
      </w:pPr>
      <w:r>
        <w:rPr>
          <w:rFonts w:ascii="Arial" w:cs="Arial" w:eastAsia="Arial" w:hAnsi="Arial"/>
          <w:sz w:val="16"/>
          <w:szCs w:val="16"/>
          <w:color w:val="auto"/>
        </w:rPr>
        <w:t>Certain U.S. Holders who are 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color w:val="auto"/>
        </w:rPr>
        <w:t>UNDERWRITING</w:t>
      </w:r>
    </w:p>
    <w:p>
      <w:pPr>
        <w:spacing w:after="0" w:line="208" w:lineRule="exact"/>
        <w:rPr>
          <w:sz w:val="20"/>
          <w:szCs w:val="20"/>
          <w:color w:val="auto"/>
        </w:rPr>
      </w:pPr>
    </w:p>
    <w:p>
      <w:pPr>
        <w:ind w:left="580" w:right="679" w:firstLine="194"/>
        <w:spacing w:after="0" w:line="262" w:lineRule="auto"/>
        <w:rPr>
          <w:sz w:val="20"/>
          <w:szCs w:val="20"/>
          <w:color w:val="auto"/>
        </w:rPr>
      </w:pPr>
      <w:r>
        <w:rPr>
          <w:rFonts w:ascii="Arial" w:cs="Arial" w:eastAsia="Arial" w:hAnsi="Arial"/>
          <w:sz w:val="16"/>
          <w:szCs w:val="16"/>
          <w:color w:val="auto"/>
        </w:rPr>
        <w:t>Barclays Capital Inc. and Citigroup Global Markets Inc. are acting as representatives of the underwriters and joint book-running managers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0"/>
              </w:rPr>
              <w:t>Number of</w:t>
            </w:r>
          </w:p>
        </w:tc>
      </w:tr>
      <w:tr>
        <w:trPr>
          <w:trHeight w:val="191"/>
        </w:trPr>
        <w:tc>
          <w:tcPr>
            <w:tcW w:w="64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Underwriters</w:t>
            </w: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Shares</w:t>
            </w:r>
          </w:p>
        </w:tc>
        <w:tc>
          <w:tcPr>
            <w:tcW w:w="20" w:type="dxa"/>
            <w:vAlign w:val="bottom"/>
          </w:tcPr>
          <w:p>
            <w:pPr>
              <w:spacing w:after="0"/>
              <w:rPr>
                <w:sz w:val="16"/>
                <w:szCs w:val="16"/>
                <w:color w:val="auto"/>
              </w:rPr>
            </w:pPr>
          </w:p>
        </w:tc>
      </w:tr>
      <w:tr>
        <w:trPr>
          <w:trHeight w:val="358"/>
        </w:trPr>
        <w:tc>
          <w:tcPr>
            <w:tcW w:w="6620" w:type="dxa"/>
            <w:vAlign w:val="bottom"/>
            <w:gridSpan w:val="2"/>
          </w:tcPr>
          <w:p>
            <w:pPr>
              <w:spacing w:after="0"/>
              <w:rPr>
                <w:sz w:val="20"/>
                <w:szCs w:val="20"/>
                <w:color w:val="auto"/>
              </w:rPr>
            </w:pPr>
            <w:r>
              <w:rPr>
                <w:rFonts w:ascii="Arial" w:cs="Arial" w:eastAsia="Arial" w:hAnsi="Arial"/>
                <w:sz w:val="16"/>
                <w:szCs w:val="16"/>
                <w:color w:val="auto"/>
              </w:rPr>
              <w:t>Barclays Capital Inc.</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6620" w:type="dxa"/>
            <w:vAlign w:val="bottom"/>
            <w:gridSpan w:val="2"/>
          </w:tcPr>
          <w:p>
            <w:pPr>
              <w:spacing w:after="0"/>
              <w:rPr>
                <w:sz w:val="20"/>
                <w:szCs w:val="20"/>
                <w:color w:val="auto"/>
              </w:rPr>
            </w:pPr>
            <w:r>
              <w:rPr>
                <w:rFonts w:ascii="Arial" w:cs="Arial" w:eastAsia="Arial" w:hAnsi="Arial"/>
                <w:sz w:val="16"/>
                <w:szCs w:val="16"/>
                <w:color w:val="auto"/>
              </w:rPr>
              <w:t>Citigroup Global Markets Inc.</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620" w:type="dxa"/>
            <w:vAlign w:val="bottom"/>
            <w:gridSpan w:val="2"/>
          </w:tcPr>
          <w:p>
            <w:pPr>
              <w:spacing w:after="0"/>
              <w:rPr>
                <w:sz w:val="20"/>
                <w:szCs w:val="20"/>
                <w:color w:val="auto"/>
              </w:rPr>
            </w:pPr>
            <w:r>
              <w:rPr>
                <w:rFonts w:ascii="Arial" w:cs="Arial" w:eastAsia="Arial" w:hAnsi="Arial"/>
                <w:sz w:val="16"/>
                <w:szCs w:val="16"/>
                <w:color w:val="auto"/>
              </w:rPr>
              <w:t>William Blair &amp; Company, L.L.C.</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620" w:type="dxa"/>
            <w:vAlign w:val="bottom"/>
            <w:gridSpan w:val="2"/>
          </w:tcPr>
          <w:p>
            <w:pPr>
              <w:spacing w:after="0"/>
              <w:rPr>
                <w:sz w:val="20"/>
                <w:szCs w:val="20"/>
                <w:color w:val="auto"/>
              </w:rPr>
            </w:pPr>
            <w:r>
              <w:rPr>
                <w:rFonts w:ascii="Arial" w:cs="Arial" w:eastAsia="Arial" w:hAnsi="Arial"/>
                <w:sz w:val="16"/>
                <w:szCs w:val="16"/>
                <w:color w:val="auto"/>
              </w:rPr>
              <w:t>Stifel, Nicolaus &amp; Company, Incorporated</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620" w:type="dxa"/>
            <w:vAlign w:val="bottom"/>
            <w:gridSpan w:val="2"/>
          </w:tcPr>
          <w:p>
            <w:pPr>
              <w:spacing w:after="0"/>
              <w:rPr>
                <w:sz w:val="20"/>
                <w:szCs w:val="20"/>
                <w:color w:val="auto"/>
              </w:rPr>
            </w:pPr>
            <w:r>
              <w:rPr>
                <w:rFonts w:ascii="Arial" w:cs="Arial" w:eastAsia="Arial" w:hAnsi="Arial"/>
                <w:sz w:val="16"/>
                <w:szCs w:val="16"/>
                <w:color w:val="auto"/>
              </w:rPr>
              <w:t>Canaccord Genuity Inc.</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620" w:type="dxa"/>
            <w:vAlign w:val="bottom"/>
            <w:gridSpan w:val="2"/>
          </w:tcPr>
          <w:p>
            <w:pPr>
              <w:spacing w:after="0"/>
              <w:rPr>
                <w:sz w:val="20"/>
                <w:szCs w:val="20"/>
                <w:color w:val="auto"/>
              </w:rPr>
            </w:pPr>
            <w:r>
              <w:rPr>
                <w:rFonts w:ascii="Arial" w:cs="Arial" w:eastAsia="Arial" w:hAnsi="Arial"/>
                <w:sz w:val="16"/>
                <w:szCs w:val="16"/>
                <w:color w:val="auto"/>
              </w:rPr>
              <w:t>Needham &amp; Company, LLC</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6620" w:type="dxa"/>
            <w:vAlign w:val="bottom"/>
            <w:gridSpan w:val="2"/>
          </w:tcPr>
          <w:p>
            <w:pPr>
              <w:ind w:left="3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7,100,000</w:t>
            </w:r>
          </w:p>
        </w:tc>
        <w:tc>
          <w:tcPr>
            <w:tcW w:w="20" w:type="dxa"/>
            <w:vAlign w:val="bottom"/>
            <w:tcBorders>
              <w:bottom w:val="single" w:sz="8" w:color="auto"/>
            </w:tcBorders>
          </w:tcPr>
          <w:p>
            <w:pPr>
              <w:spacing w:after="0"/>
              <w:rPr>
                <w:sz w:val="16"/>
                <w:szCs w:val="16"/>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5" w:lineRule="exact"/>
        <w:rPr>
          <w:sz w:val="20"/>
          <w:szCs w:val="20"/>
          <w:color w:val="auto"/>
        </w:rPr>
      </w:pPr>
    </w:p>
    <w:p>
      <w:pPr>
        <w:ind w:left="580" w:right="859" w:firstLine="194"/>
        <w:spacing w:after="0" w:line="281" w:lineRule="auto"/>
        <w:rPr>
          <w:sz w:val="20"/>
          <w:szCs w:val="20"/>
          <w:color w:val="auto"/>
        </w:rPr>
      </w:pPr>
      <w:r>
        <w:rPr>
          <w:rFonts w:ascii="Arial" w:cs="Arial" w:eastAsia="Arial" w:hAnsi="Arial"/>
          <w:sz w:val="16"/>
          <w:szCs w:val="16"/>
          <w:color w:val="auto"/>
        </w:rPr>
        <w:t>The underwriting agreement provides that the underwriters’ obligation to purchase ordinary shares depends on the satisfaction of the conditions contained in the underwriting agreement including:</w:t>
      </w:r>
    </w:p>
    <w:p>
      <w:pPr>
        <w:spacing w:after="0" w:line="138" w:lineRule="exact"/>
        <w:rPr>
          <w:sz w:val="20"/>
          <w:szCs w:val="20"/>
          <w:color w:val="auto"/>
        </w:rPr>
      </w:pPr>
    </w:p>
    <w:p>
      <w:pPr>
        <w:ind w:left="960" w:right="859" w:hanging="189"/>
        <w:spacing w:after="0" w:line="304" w:lineRule="auto"/>
        <w:tabs>
          <w:tab w:leader="none" w:pos="943" w:val="left"/>
        </w:tabs>
        <w:numPr>
          <w:ilvl w:val="0"/>
          <w:numId w:val="76"/>
        </w:numPr>
        <w:rPr>
          <w:rFonts w:ascii="Arial" w:cs="Arial" w:eastAsia="Arial" w:hAnsi="Arial"/>
          <w:sz w:val="17"/>
          <w:szCs w:val="17"/>
          <w:color w:val="auto"/>
        </w:rPr>
      </w:pPr>
      <w:r>
        <w:rPr>
          <w:rFonts w:ascii="Arial" w:cs="Arial" w:eastAsia="Arial" w:hAnsi="Arial"/>
          <w:sz w:val="14"/>
          <w:szCs w:val="14"/>
          <w:color w:val="auto"/>
        </w:rPr>
        <w:t>the obligation to purchase all of the ordinary shares offered hereby (other than those ordinary shares covered by their option to purchase additional shares as described below), if any of the shares are purchased;</w:t>
      </w:r>
    </w:p>
    <w:p>
      <w:pPr>
        <w:spacing w:after="0" w:line="93" w:lineRule="exact"/>
        <w:rPr>
          <w:rFonts w:ascii="Arial" w:cs="Arial" w:eastAsia="Arial" w:hAnsi="Arial"/>
          <w:sz w:val="17"/>
          <w:szCs w:val="17"/>
          <w:color w:val="auto"/>
        </w:rPr>
      </w:pPr>
    </w:p>
    <w:p>
      <w:pPr>
        <w:ind w:left="940" w:hanging="169"/>
        <w:spacing w:after="0"/>
        <w:tabs>
          <w:tab w:leader="none" w:pos="940" w:val="left"/>
        </w:tabs>
        <w:numPr>
          <w:ilvl w:val="0"/>
          <w:numId w:val="76"/>
        </w:numPr>
        <w:rPr>
          <w:rFonts w:ascii="Arial" w:cs="Arial" w:eastAsia="Arial" w:hAnsi="Arial"/>
          <w:sz w:val="19"/>
          <w:szCs w:val="19"/>
          <w:color w:val="auto"/>
        </w:rPr>
      </w:pPr>
      <w:r>
        <w:rPr>
          <w:rFonts w:ascii="Arial" w:cs="Arial" w:eastAsia="Arial" w:hAnsi="Arial"/>
          <w:sz w:val="16"/>
          <w:szCs w:val="16"/>
          <w:color w:val="auto"/>
        </w:rPr>
        <w:t>the representations and warranties made by us to the underwriters are true;</w:t>
      </w:r>
    </w:p>
    <w:p>
      <w:pPr>
        <w:spacing w:after="0" w:line="144" w:lineRule="exact"/>
        <w:rPr>
          <w:rFonts w:ascii="Arial" w:cs="Arial" w:eastAsia="Arial" w:hAnsi="Arial"/>
          <w:sz w:val="19"/>
          <w:szCs w:val="19"/>
          <w:color w:val="auto"/>
        </w:rPr>
      </w:pPr>
    </w:p>
    <w:p>
      <w:pPr>
        <w:ind w:left="940" w:hanging="169"/>
        <w:spacing w:after="0"/>
        <w:tabs>
          <w:tab w:leader="none" w:pos="940" w:val="left"/>
        </w:tabs>
        <w:numPr>
          <w:ilvl w:val="0"/>
          <w:numId w:val="76"/>
        </w:numPr>
        <w:rPr>
          <w:rFonts w:ascii="Arial" w:cs="Arial" w:eastAsia="Arial" w:hAnsi="Arial"/>
          <w:sz w:val="19"/>
          <w:szCs w:val="19"/>
          <w:color w:val="auto"/>
        </w:rPr>
      </w:pPr>
      <w:r>
        <w:rPr>
          <w:rFonts w:ascii="Arial" w:cs="Arial" w:eastAsia="Arial" w:hAnsi="Arial"/>
          <w:sz w:val="16"/>
          <w:szCs w:val="16"/>
          <w:color w:val="auto"/>
        </w:rPr>
        <w:t>there is no material change in our business or the financial markets; and</w:t>
      </w:r>
    </w:p>
    <w:p>
      <w:pPr>
        <w:spacing w:after="0" w:line="157" w:lineRule="exact"/>
        <w:rPr>
          <w:rFonts w:ascii="Arial" w:cs="Arial" w:eastAsia="Arial" w:hAnsi="Arial"/>
          <w:sz w:val="19"/>
          <w:szCs w:val="19"/>
          <w:color w:val="auto"/>
        </w:rPr>
      </w:pPr>
    </w:p>
    <w:p>
      <w:pPr>
        <w:ind w:left="940" w:hanging="169"/>
        <w:spacing w:after="0"/>
        <w:tabs>
          <w:tab w:leader="none" w:pos="940" w:val="left"/>
        </w:tabs>
        <w:numPr>
          <w:ilvl w:val="0"/>
          <w:numId w:val="76"/>
        </w:numPr>
        <w:rPr>
          <w:rFonts w:ascii="Arial" w:cs="Arial" w:eastAsia="Arial" w:hAnsi="Arial"/>
          <w:sz w:val="19"/>
          <w:szCs w:val="19"/>
          <w:color w:val="auto"/>
        </w:rPr>
      </w:pPr>
      <w:r>
        <w:rPr>
          <w:rFonts w:ascii="Arial" w:cs="Arial" w:eastAsia="Arial" w:hAnsi="Arial"/>
          <w:sz w:val="16"/>
          <w:szCs w:val="16"/>
          <w:color w:val="auto"/>
        </w:rPr>
        <w:t>we deliver customary closing documents to the underwriters.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Commissions and Expenses</w:t>
      </w:r>
    </w:p>
    <w:p>
      <w:pPr>
        <w:spacing w:after="0" w:line="208" w:lineRule="exact"/>
        <w:rPr>
          <w:sz w:val="20"/>
          <w:szCs w:val="20"/>
          <w:color w:val="auto"/>
        </w:rPr>
      </w:pPr>
    </w:p>
    <w:p>
      <w:pPr>
        <w:ind w:left="580" w:right="579" w:firstLine="194"/>
        <w:spacing w:after="0" w:line="262" w:lineRule="auto"/>
        <w:rPr>
          <w:sz w:val="20"/>
          <w:szCs w:val="20"/>
          <w:color w:val="auto"/>
        </w:rPr>
      </w:pPr>
      <w:r>
        <w:rPr>
          <w:rFonts w:ascii="Arial" w:cs="Arial" w:eastAsia="Arial" w:hAnsi="Arial"/>
          <w:sz w:val="16"/>
          <w:szCs w:val="16"/>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ordinary shares.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2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No Exercise</w:t>
            </w:r>
          </w:p>
        </w:tc>
        <w:tc>
          <w:tcPr>
            <w:tcW w:w="320" w:type="dxa"/>
            <w:vAlign w:val="bottom"/>
          </w:tcPr>
          <w:p>
            <w:pPr>
              <w:spacing w:after="0"/>
              <w:rPr>
                <w:sz w:val="16"/>
                <w:szCs w:val="16"/>
                <w:color w:val="auto"/>
              </w:rPr>
            </w:pP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9"/>
              </w:rPr>
              <w:t>Full Exercise</w:t>
            </w:r>
          </w:p>
        </w:tc>
      </w:tr>
      <w:tr>
        <w:trPr>
          <w:trHeight w:val="180"/>
        </w:trPr>
        <w:tc>
          <w:tcPr>
            <w:tcW w:w="2900" w:type="dxa"/>
            <w:vAlign w:val="bottom"/>
          </w:tcPr>
          <w:p>
            <w:pPr>
              <w:spacing w:after="0" w:line="180" w:lineRule="exact"/>
              <w:rPr>
                <w:sz w:val="20"/>
                <w:szCs w:val="20"/>
                <w:color w:val="auto"/>
              </w:rPr>
            </w:pPr>
            <w:r>
              <w:rPr>
                <w:rFonts w:ascii="Arial" w:cs="Arial" w:eastAsia="Arial" w:hAnsi="Arial"/>
                <w:sz w:val="16"/>
                <w:szCs w:val="16"/>
                <w:color w:val="auto"/>
              </w:rPr>
              <w:t>Per Share</w:t>
            </w:r>
          </w:p>
        </w:tc>
        <w:tc>
          <w:tcPr>
            <w:tcW w:w="2300" w:type="dxa"/>
            <w:vAlign w:val="bottom"/>
          </w:tcPr>
          <w:p>
            <w:pPr>
              <w:spacing w:after="0"/>
              <w:rPr>
                <w:sz w:val="15"/>
                <w:szCs w:val="15"/>
                <w:color w:val="auto"/>
              </w:rPr>
            </w:pP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5"/>
                <w:szCs w:val="15"/>
                <w:color w:val="auto"/>
              </w:rPr>
            </w:pP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r>
      <w:tr>
        <w:trPr>
          <w:trHeight w:val="206"/>
        </w:trPr>
        <w:tc>
          <w:tcPr>
            <w:tcW w:w="2900" w:type="dxa"/>
            <w:vAlign w:val="bottom"/>
          </w:tcPr>
          <w:p>
            <w:pPr>
              <w:spacing w:after="0"/>
              <w:rPr>
                <w:sz w:val="20"/>
                <w:szCs w:val="20"/>
                <w:color w:val="auto"/>
              </w:rPr>
            </w:pPr>
            <w:r>
              <w:rPr>
                <w:rFonts w:ascii="Arial" w:cs="Arial" w:eastAsia="Arial" w:hAnsi="Arial"/>
                <w:sz w:val="16"/>
                <w:szCs w:val="16"/>
                <w:color w:val="auto"/>
              </w:rPr>
              <w:t>Total</w:t>
            </w:r>
          </w:p>
        </w:tc>
        <w:tc>
          <w:tcPr>
            <w:tcW w:w="3400" w:type="dxa"/>
            <w:vAlign w:val="bottom"/>
            <w:gridSpan w:val="2"/>
          </w:tcPr>
          <w:p>
            <w:pPr>
              <w:jc w:val="right"/>
              <w:ind w:right="946"/>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946"/>
              <w:spacing w:after="0"/>
              <w:rPr>
                <w:sz w:val="20"/>
                <w:szCs w:val="20"/>
                <w:color w:val="auto"/>
              </w:rPr>
            </w:pPr>
            <w:r>
              <w:rPr>
                <w:rFonts w:ascii="Arial" w:cs="Arial" w:eastAsia="Arial" w:hAnsi="Arial"/>
                <w:sz w:val="16"/>
                <w:szCs w:val="16"/>
                <w:color w:val="auto"/>
              </w:rPr>
              <w:t>$</w:t>
            </w:r>
          </w:p>
        </w:tc>
      </w:tr>
    </w:tbl>
    <w:p>
      <w:pPr>
        <w:spacing w:after="0" w:line="145" w:lineRule="exact"/>
        <w:rPr>
          <w:sz w:val="20"/>
          <w:szCs w:val="20"/>
          <w:color w:val="auto"/>
        </w:rPr>
      </w:pPr>
    </w:p>
    <w:p>
      <w:pPr>
        <w:ind w:left="580" w:right="679" w:firstLine="194"/>
        <w:spacing w:after="0" w:line="297" w:lineRule="auto"/>
        <w:rPr>
          <w:sz w:val="20"/>
          <w:szCs w:val="20"/>
          <w:color w:val="auto"/>
        </w:rPr>
      </w:pPr>
      <w:r>
        <w:rPr>
          <w:rFonts w:ascii="Arial" w:cs="Arial" w:eastAsia="Arial" w:hAnsi="Arial"/>
          <w:sz w:val="14"/>
          <w:szCs w:val="14"/>
          <w:color w:val="auto"/>
        </w:rPr>
        <w:t>The representatives have advised us that the underwriters propose to offer the ordinary shares directly to the public at the public offering price set forth on the cover of this prospectus and to selected dealers, which may include the</w:t>
      </w:r>
    </w:p>
    <w:p>
      <w:pPr>
        <w:spacing w:after="0" w:line="1" w:lineRule="exact"/>
        <w:rPr>
          <w:sz w:val="20"/>
          <w:szCs w:val="20"/>
          <w:color w:val="auto"/>
        </w:rPr>
      </w:pPr>
    </w:p>
    <w:p>
      <w:pPr>
        <w:ind w:left="580" w:right="999"/>
        <w:spacing w:after="0" w:line="265" w:lineRule="auto"/>
        <w:rPr>
          <w:sz w:val="20"/>
          <w:szCs w:val="20"/>
          <w:color w:val="auto"/>
        </w:rPr>
      </w:pPr>
      <w:r>
        <w:rPr>
          <w:rFonts w:ascii="Arial" w:cs="Arial" w:eastAsia="Arial" w:hAnsi="Arial"/>
          <w:sz w:val="16"/>
          <w:szCs w:val="16"/>
          <w:color w:val="auto"/>
        </w:rPr>
        <w:t>underwriters, at such offering price less a selling concession not in excess of $ per share. After the offering, the representatives may change the offering price and other selling terms.</w:t>
      </w:r>
    </w:p>
    <w:p>
      <w:pPr>
        <w:spacing w:after="0" w:line="127" w:lineRule="exact"/>
        <w:rPr>
          <w:sz w:val="20"/>
          <w:szCs w:val="20"/>
          <w:color w:val="auto"/>
        </w:rPr>
      </w:pPr>
    </w:p>
    <w:p>
      <w:pPr>
        <w:jc w:val="both"/>
        <w:ind w:left="580" w:right="1139" w:firstLine="194"/>
        <w:spacing w:after="0" w:line="292" w:lineRule="auto"/>
        <w:rPr>
          <w:sz w:val="20"/>
          <w:szCs w:val="20"/>
          <w:color w:val="auto"/>
        </w:rPr>
      </w:pPr>
      <w:r>
        <w:rPr>
          <w:rFonts w:ascii="Arial" w:cs="Arial" w:eastAsia="Arial" w:hAnsi="Arial"/>
          <w:sz w:val="15"/>
          <w:szCs w:val="15"/>
          <w:color w:val="auto"/>
        </w:rPr>
        <w:t>The expenses of the offering that are payable by us are estimated to be approximately $2.4 million (excluding underwriting discounts and commissions). We have agreed to reimburse the underwriters for expenses relating to clearance of this offering with the Financial Industry Regulatory Authority up to $30,000.</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Option to Purchase Additional Shares</w:t>
      </w:r>
    </w:p>
    <w:p>
      <w:pPr>
        <w:spacing w:after="0" w:line="208" w:lineRule="exact"/>
        <w:rPr>
          <w:sz w:val="20"/>
          <w:szCs w:val="20"/>
          <w:color w:val="auto"/>
        </w:rPr>
      </w:pPr>
    </w:p>
    <w:p>
      <w:pPr>
        <w:ind w:left="580" w:right="659" w:firstLine="194"/>
        <w:spacing w:after="0" w:line="258" w:lineRule="auto"/>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 time to time, in whole or in part, up to an aggregate of 1,065,000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17" w:right="1440" w:bottom="1440" w:gutter="0" w:footer="0" w:header="0"/>
        </w:sectPr>
      </w:pPr>
    </w:p>
    <w:bookmarkStart w:id="116" w:name="page117"/>
    <w:bookmarkEnd w:id="116"/>
    <w:p>
      <w:pPr>
        <w:ind w:left="580"/>
        <w:spacing w:after="0"/>
        <w:rPr>
          <w:sz w:val="20"/>
          <w:szCs w:val="20"/>
          <w:color w:val="auto"/>
        </w:rPr>
      </w:pPr>
      <w:r>
        <w:rPr>
          <w:rFonts w:ascii="Arial" w:cs="Arial" w:eastAsia="Arial" w:hAnsi="Arial"/>
          <w:sz w:val="16"/>
          <w:szCs w:val="16"/>
          <w:b w:val="1"/>
          <w:bCs w:val="1"/>
          <w:color w:val="auto"/>
        </w:rPr>
        <w:t>Lock-Up Agreements</w:t>
      </w:r>
    </w:p>
    <w:p>
      <w:pPr>
        <w:spacing w:after="0" w:line="208" w:lineRule="exact"/>
        <w:rPr>
          <w:sz w:val="20"/>
          <w:szCs w:val="20"/>
          <w:color w:val="auto"/>
        </w:rPr>
      </w:pPr>
    </w:p>
    <w:p>
      <w:pPr>
        <w:ind w:left="580" w:right="559" w:firstLine="194"/>
        <w:spacing w:after="0" w:line="290" w:lineRule="auto"/>
        <w:rPr>
          <w:sz w:val="20"/>
          <w:szCs w:val="20"/>
          <w:color w:val="auto"/>
        </w:rPr>
      </w:pPr>
      <w:r>
        <w:rPr>
          <w:rFonts w:ascii="Arial" w:cs="Arial" w:eastAsia="Arial" w:hAnsi="Arial"/>
          <w:sz w:val="14"/>
          <w:szCs w:val="14"/>
          <w:color w:val="auto"/>
        </w:rPr>
        <w:t>We, all of our directors and executive officers and holders of substantially all of our outstanding shares and shares issuable upon the exercise of options, have agreed that, for a period of 180 days after the date of this prospectus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or sell or grant options or rights with respect to any ordinary shares or securities convertible into or exchangeable for ordinary shares (other than, with respect to us, the grant of options pursuant to option plans existing on the date of this prospectus),</w:t>
      </w:r>
    </w:p>
    <w:p>
      <w:pPr>
        <w:spacing w:after="0" w:line="3" w:lineRule="exact"/>
        <w:rPr>
          <w:sz w:val="20"/>
          <w:szCs w:val="20"/>
          <w:color w:val="auto"/>
        </w:rPr>
      </w:pPr>
    </w:p>
    <w:p>
      <w:pPr>
        <w:ind w:left="580" w:right="599" w:hanging="3"/>
        <w:spacing w:after="0" w:line="254" w:lineRule="auto"/>
        <w:tabs>
          <w:tab w:leader="none" w:pos="809"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75" w:lineRule="exact"/>
        <w:rPr>
          <w:sz w:val="20"/>
          <w:szCs w:val="20"/>
          <w:color w:val="auto"/>
        </w:rPr>
      </w:pPr>
    </w:p>
    <w:p>
      <w:pPr>
        <w:ind w:left="580" w:right="619" w:firstLine="194"/>
        <w:spacing w:after="0" w:line="273" w:lineRule="auto"/>
        <w:rPr>
          <w:sz w:val="20"/>
          <w:szCs w:val="20"/>
          <w:color w:val="auto"/>
        </w:rPr>
      </w:pPr>
      <w:r>
        <w:rPr>
          <w:rFonts w:ascii="Arial" w:cs="Arial" w:eastAsia="Arial" w:hAnsi="Arial"/>
          <w:sz w:val="15"/>
          <w:szCs w:val="15"/>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any of our officers or directors, Barclays Capital Inc. and Citigroup Global Markets Inc.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Offering Price Determination</w:t>
      </w:r>
    </w:p>
    <w:p>
      <w:pPr>
        <w:spacing w:after="0" w:line="208" w:lineRule="exact"/>
        <w:rPr>
          <w:sz w:val="20"/>
          <w:szCs w:val="20"/>
          <w:color w:val="auto"/>
        </w:rPr>
      </w:pPr>
    </w:p>
    <w:p>
      <w:pPr>
        <w:ind w:left="580" w:right="699" w:firstLine="194"/>
        <w:spacing w:after="0" w:line="267"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was negotiated between the representatives and us. In determining the initial public offering price of our ordinary shares, the representatives considered:</w:t>
      </w:r>
    </w:p>
    <w:p>
      <w:pPr>
        <w:spacing w:after="0" w:line="161" w:lineRule="exact"/>
        <w:rPr>
          <w:sz w:val="20"/>
          <w:szCs w:val="20"/>
          <w:color w:val="auto"/>
        </w:rPr>
      </w:pPr>
    </w:p>
    <w:p>
      <w:pPr>
        <w:ind w:left="940" w:hanging="169"/>
        <w:spacing w:after="0"/>
        <w:tabs>
          <w:tab w:leader="none" w:pos="940" w:val="left"/>
        </w:tabs>
        <w:numPr>
          <w:ilvl w:val="0"/>
          <w:numId w:val="78"/>
        </w:numPr>
        <w:rPr>
          <w:rFonts w:ascii="Arial" w:cs="Arial" w:eastAsia="Arial" w:hAnsi="Arial"/>
          <w:sz w:val="19"/>
          <w:szCs w:val="19"/>
          <w:color w:val="auto"/>
        </w:rPr>
      </w:pPr>
      <w:r>
        <w:rPr>
          <w:rFonts w:ascii="Arial" w:cs="Arial" w:eastAsia="Arial" w:hAnsi="Arial"/>
          <w:sz w:val="16"/>
          <w:szCs w:val="16"/>
          <w:color w:val="auto"/>
        </w:rPr>
        <w:t>the history and prospects for the industry in which we compete;</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8"/>
        </w:numPr>
        <w:rPr>
          <w:rFonts w:ascii="Arial" w:cs="Arial" w:eastAsia="Arial" w:hAnsi="Arial"/>
          <w:sz w:val="19"/>
          <w:szCs w:val="19"/>
          <w:color w:val="auto"/>
        </w:rPr>
      </w:pPr>
      <w:r>
        <w:rPr>
          <w:rFonts w:ascii="Arial" w:cs="Arial" w:eastAsia="Arial" w:hAnsi="Arial"/>
          <w:sz w:val="16"/>
          <w:szCs w:val="16"/>
          <w:color w:val="auto"/>
        </w:rPr>
        <w:t>our financial information;</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8"/>
        </w:numPr>
        <w:rPr>
          <w:rFonts w:ascii="Arial" w:cs="Arial" w:eastAsia="Arial" w:hAnsi="Arial"/>
          <w:sz w:val="19"/>
          <w:szCs w:val="19"/>
          <w:color w:val="auto"/>
        </w:rPr>
      </w:pPr>
      <w:r>
        <w:rPr>
          <w:rFonts w:ascii="Arial" w:cs="Arial" w:eastAsia="Arial" w:hAnsi="Arial"/>
          <w:sz w:val="16"/>
          <w:szCs w:val="16"/>
          <w:color w:val="auto"/>
        </w:rPr>
        <w:t>the ability of our management and our business potential and earning prospects;</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78"/>
        </w:numPr>
        <w:rPr>
          <w:rFonts w:ascii="Arial" w:cs="Arial" w:eastAsia="Arial" w:hAnsi="Arial"/>
          <w:sz w:val="19"/>
          <w:szCs w:val="19"/>
          <w:color w:val="auto"/>
        </w:rPr>
      </w:pPr>
      <w:r>
        <w:rPr>
          <w:rFonts w:ascii="Arial" w:cs="Arial" w:eastAsia="Arial" w:hAnsi="Arial"/>
          <w:sz w:val="16"/>
          <w:szCs w:val="16"/>
          <w:color w:val="auto"/>
        </w:rPr>
        <w:t>the prevailing securities markets at the time of this offering; and</w:t>
      </w:r>
    </w:p>
    <w:p>
      <w:pPr>
        <w:spacing w:after="0" w:line="192" w:lineRule="exact"/>
        <w:rPr>
          <w:rFonts w:ascii="Arial" w:cs="Arial" w:eastAsia="Arial" w:hAnsi="Arial"/>
          <w:sz w:val="19"/>
          <w:szCs w:val="19"/>
          <w:color w:val="auto"/>
        </w:rPr>
      </w:pPr>
    </w:p>
    <w:p>
      <w:pPr>
        <w:ind w:left="940" w:hanging="169"/>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5"/>
          <w:szCs w:val="15"/>
          <w:color w:val="auto"/>
        </w:rPr>
        <w:t>the recent market prices of, and the demand for, publicly traded shares of generally comparable companies.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Indemnification</w:t>
      </w:r>
    </w:p>
    <w:p>
      <w:pPr>
        <w:spacing w:after="0" w:line="208" w:lineRule="exact"/>
        <w:rPr>
          <w:sz w:val="20"/>
          <w:szCs w:val="20"/>
          <w:color w:val="auto"/>
        </w:rPr>
      </w:pPr>
    </w:p>
    <w:p>
      <w:pPr>
        <w:ind w:left="580" w:right="679" w:firstLine="194"/>
        <w:spacing w:after="0" w:line="316" w:lineRule="auto"/>
        <w:rPr>
          <w:sz w:val="20"/>
          <w:szCs w:val="20"/>
          <w:color w:val="auto"/>
        </w:rPr>
      </w:pPr>
      <w:r>
        <w:rPr>
          <w:rFonts w:ascii="Arial" w:cs="Arial" w:eastAsia="Arial" w:hAnsi="Arial"/>
          <w:sz w:val="15"/>
          <w:szCs w:val="15"/>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7" w:name="page118"/>
    <w:bookmarkEnd w:id="117"/>
    <w:p>
      <w:pPr>
        <w:ind w:left="580"/>
        <w:spacing w:after="0"/>
        <w:rPr>
          <w:sz w:val="20"/>
          <w:szCs w:val="20"/>
          <w:color w:val="auto"/>
        </w:rPr>
      </w:pPr>
      <w:r>
        <w:rPr>
          <w:rFonts w:ascii="Arial" w:cs="Arial" w:eastAsia="Arial" w:hAnsi="Arial"/>
          <w:sz w:val="16"/>
          <w:szCs w:val="16"/>
          <w:b w:val="1"/>
          <w:bCs w:val="1"/>
          <w:color w:val="auto"/>
        </w:rPr>
        <w:t>Stabilization, Short Positions and Penalty Bids</w:t>
      </w:r>
    </w:p>
    <w:p>
      <w:pPr>
        <w:spacing w:after="0" w:line="208" w:lineRule="exact"/>
        <w:rPr>
          <w:sz w:val="20"/>
          <w:szCs w:val="20"/>
          <w:color w:val="auto"/>
        </w:rPr>
      </w:pPr>
    </w:p>
    <w:p>
      <w:pPr>
        <w:ind w:left="580" w:right="879" w:firstLine="194"/>
        <w:spacing w:after="0" w:line="267" w:lineRule="auto"/>
        <w:rPr>
          <w:sz w:val="20"/>
          <w:szCs w:val="20"/>
          <w:color w:val="auto"/>
        </w:rPr>
      </w:pPr>
      <w:r>
        <w:rPr>
          <w:rFonts w:ascii="Arial" w:cs="Arial" w:eastAsia="Arial" w:hAnsi="Arial"/>
          <w:sz w:val="16"/>
          <w:szCs w:val="16"/>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73" w:lineRule="exact"/>
        <w:rPr>
          <w:sz w:val="20"/>
          <w:szCs w:val="20"/>
          <w:color w:val="auto"/>
        </w:rPr>
      </w:pPr>
    </w:p>
    <w:p>
      <w:pPr>
        <w:ind w:left="960" w:right="599" w:hanging="189"/>
        <w:spacing w:after="0" w:line="238" w:lineRule="auto"/>
        <w:tabs>
          <w:tab w:leader="none" w:pos="943" w:val="left"/>
        </w:tabs>
        <w:numPr>
          <w:ilvl w:val="0"/>
          <w:numId w:val="79"/>
        </w:numPr>
        <w:rPr>
          <w:rFonts w:ascii="Arial" w:cs="Arial" w:eastAsia="Arial" w:hAnsi="Arial"/>
          <w:sz w:val="19"/>
          <w:szCs w:val="19"/>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94" w:lineRule="exact"/>
        <w:rPr>
          <w:rFonts w:ascii="Arial" w:cs="Arial" w:eastAsia="Arial" w:hAnsi="Arial"/>
          <w:sz w:val="19"/>
          <w:szCs w:val="19"/>
          <w:color w:val="auto"/>
        </w:rPr>
      </w:pPr>
    </w:p>
    <w:p>
      <w:pPr>
        <w:ind w:left="960" w:right="619" w:hanging="189"/>
        <w:spacing w:after="0" w:line="269" w:lineRule="auto"/>
        <w:tabs>
          <w:tab w:leader="none" w:pos="943" w:val="left"/>
        </w:tabs>
        <w:numPr>
          <w:ilvl w:val="0"/>
          <w:numId w:val="79"/>
        </w:numPr>
        <w:rPr>
          <w:rFonts w:ascii="Arial" w:cs="Arial" w:eastAsia="Arial" w:hAnsi="Arial"/>
          <w:sz w:val="18"/>
          <w:szCs w:val="18"/>
          <w:color w:val="auto"/>
        </w:rPr>
      </w:pPr>
      <w:r>
        <w:rPr>
          <w:rFonts w:ascii="Arial" w:cs="Arial" w:eastAsia="Arial" w:hAnsi="Arial"/>
          <w:sz w:val="15"/>
          <w:szCs w:val="15"/>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73" w:lineRule="exact"/>
        <w:rPr>
          <w:rFonts w:ascii="Arial" w:cs="Arial" w:eastAsia="Arial" w:hAnsi="Arial"/>
          <w:sz w:val="18"/>
          <w:szCs w:val="18"/>
          <w:color w:val="auto"/>
        </w:rPr>
      </w:pPr>
    </w:p>
    <w:p>
      <w:pPr>
        <w:ind w:left="960" w:right="759" w:hanging="189"/>
        <w:spacing w:after="0" w:line="238" w:lineRule="auto"/>
        <w:tabs>
          <w:tab w:leader="none" w:pos="943" w:val="left"/>
        </w:tabs>
        <w:numPr>
          <w:ilvl w:val="0"/>
          <w:numId w:val="79"/>
        </w:numPr>
        <w:rPr>
          <w:rFonts w:ascii="Arial" w:cs="Arial" w:eastAsia="Arial" w:hAnsi="Arial"/>
          <w:sz w:val="19"/>
          <w:szCs w:val="19"/>
          <w:color w:val="auto"/>
        </w:rPr>
      </w:pPr>
      <w:r>
        <w:rPr>
          <w:rFonts w:ascii="Arial" w:cs="Arial" w:eastAsia="Arial" w:hAnsi="Arial"/>
          <w:sz w:val="16"/>
          <w:szCs w:val="16"/>
          <w:color w:val="auto"/>
        </w:rPr>
        <w:t>Syndicate covering transactions involve purchases of the ordinary shares in the open market after the distribution has been completed in order to cover syndicate short positions.</w:t>
      </w:r>
    </w:p>
    <w:p>
      <w:pPr>
        <w:spacing w:after="0" w:line="194" w:lineRule="exact"/>
        <w:rPr>
          <w:rFonts w:ascii="Arial" w:cs="Arial" w:eastAsia="Arial" w:hAnsi="Arial"/>
          <w:sz w:val="19"/>
          <w:szCs w:val="19"/>
          <w:color w:val="auto"/>
        </w:rPr>
      </w:pPr>
    </w:p>
    <w:p>
      <w:pPr>
        <w:ind w:left="960" w:right="639" w:hanging="189"/>
        <w:spacing w:after="0" w:line="244" w:lineRule="auto"/>
        <w:tabs>
          <w:tab w:leader="none" w:pos="943" w:val="left"/>
        </w:tabs>
        <w:numPr>
          <w:ilvl w:val="0"/>
          <w:numId w:val="79"/>
        </w:numPr>
        <w:rPr>
          <w:rFonts w:ascii="Arial" w:cs="Arial" w:eastAsia="Arial" w:hAnsi="Arial"/>
          <w:sz w:val="19"/>
          <w:szCs w:val="19"/>
          <w:color w:val="auto"/>
        </w:rPr>
      </w:pPr>
      <w:r>
        <w:rPr>
          <w:rFonts w:ascii="Arial" w:cs="Arial" w:eastAsia="Arial" w:hAnsi="Arial"/>
          <w:sz w:val="16"/>
          <w:szCs w:val="16"/>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179" w:lineRule="exact"/>
        <w:rPr>
          <w:sz w:val="20"/>
          <w:szCs w:val="20"/>
          <w:color w:val="auto"/>
        </w:rPr>
      </w:pPr>
    </w:p>
    <w:p>
      <w:pPr>
        <w:ind w:left="580" w:right="599" w:firstLine="194"/>
        <w:spacing w:after="0" w:line="259"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70" w:lineRule="exact"/>
        <w:rPr>
          <w:sz w:val="20"/>
          <w:szCs w:val="20"/>
          <w:color w:val="auto"/>
        </w:rPr>
      </w:pPr>
    </w:p>
    <w:p>
      <w:pPr>
        <w:jc w:val="both"/>
        <w:ind w:left="580" w:right="679" w:firstLine="194"/>
        <w:spacing w:after="0" w:line="285"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Listing on the NASDAQ Global Market</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have applied to have our ordinary shares listed on the NASDAQ Global Market under the symbol “KRNT.”</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Stamp Taxes</w:t>
      </w:r>
    </w:p>
    <w:p>
      <w:pPr>
        <w:spacing w:after="0" w:line="208" w:lineRule="exact"/>
        <w:rPr>
          <w:sz w:val="20"/>
          <w:szCs w:val="20"/>
          <w:color w:val="auto"/>
        </w:rPr>
      </w:pPr>
    </w:p>
    <w:p>
      <w:pPr>
        <w:jc w:val="both"/>
        <w:ind w:left="580" w:right="619" w:firstLine="194"/>
        <w:spacing w:after="0" w:line="267" w:lineRule="auto"/>
        <w:rPr>
          <w:sz w:val="20"/>
          <w:szCs w:val="20"/>
          <w:color w:val="auto"/>
        </w:rPr>
      </w:pPr>
      <w:r>
        <w:rPr>
          <w:rFonts w:ascii="Arial" w:cs="Arial" w:eastAsia="Arial" w:hAnsi="Arial"/>
          <w:sz w:val="16"/>
          <w:szCs w:val="16"/>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Other Relationships</w:t>
      </w:r>
    </w:p>
    <w:p>
      <w:pPr>
        <w:spacing w:after="0" w:line="208" w:lineRule="exact"/>
        <w:rPr>
          <w:sz w:val="20"/>
          <w:szCs w:val="20"/>
          <w:color w:val="auto"/>
        </w:rPr>
      </w:pPr>
    </w:p>
    <w:p>
      <w:pPr>
        <w:ind w:left="580" w:right="719" w:firstLine="194"/>
        <w:spacing w:after="0" w:line="267"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8" w:name="page119"/>
    <w:bookmarkEnd w:id="118"/>
    <w:p>
      <w:pPr>
        <w:ind w:left="580" w:right="579"/>
        <w:spacing w:after="0" w:line="267" w:lineRule="auto"/>
        <w:rPr>
          <w:sz w:val="20"/>
          <w:szCs w:val="20"/>
          <w:color w:val="auto"/>
        </w:rPr>
      </w:pPr>
      <w:r>
        <w:rPr>
          <w:rFonts w:ascii="Arial" w:cs="Arial" w:eastAsia="Arial" w:hAnsi="Arial"/>
          <w:sz w:val="16"/>
          <w:szCs w:val="16"/>
          <w:color w:val="auto"/>
        </w:rPr>
        <w:t>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61" w:lineRule="exact"/>
        <w:rPr>
          <w:sz w:val="20"/>
          <w:szCs w:val="20"/>
          <w:color w:val="auto"/>
        </w:rPr>
      </w:pPr>
    </w:p>
    <w:p>
      <w:pPr>
        <w:ind w:left="580" w:right="699" w:firstLine="194"/>
        <w:spacing w:after="0" w:line="273" w:lineRule="auto"/>
        <w:rPr>
          <w:sz w:val="20"/>
          <w:szCs w:val="20"/>
          <w:color w:val="auto"/>
        </w:rPr>
      </w:pPr>
      <w:r>
        <w:rPr>
          <w:rFonts w:ascii="Arial" w:cs="Arial" w:eastAsia="Arial" w:hAnsi="Arial"/>
          <w:sz w:val="15"/>
          <w:szCs w:val="15"/>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Selling Restrictions Outside the United States</w:t>
      </w:r>
    </w:p>
    <w:p>
      <w:pPr>
        <w:spacing w:after="0" w:line="208" w:lineRule="exact"/>
        <w:rPr>
          <w:sz w:val="20"/>
          <w:szCs w:val="20"/>
          <w:color w:val="auto"/>
        </w:rPr>
      </w:pPr>
    </w:p>
    <w:p>
      <w:pPr>
        <w:ind w:left="580" w:right="579" w:firstLine="194"/>
        <w:spacing w:after="0" w:line="274" w:lineRule="auto"/>
        <w:rPr>
          <w:sz w:val="20"/>
          <w:szCs w:val="20"/>
          <w:color w:val="auto"/>
        </w:rPr>
      </w:pPr>
      <w:r>
        <w:rPr>
          <w:rFonts w:ascii="Arial" w:cs="Arial" w:eastAsia="Arial" w:hAnsi="Arial"/>
          <w:sz w:val="15"/>
          <w:szCs w:val="15"/>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204" w:lineRule="exact"/>
        <w:rPr>
          <w:sz w:val="20"/>
          <w:szCs w:val="20"/>
          <w:color w:val="auto"/>
        </w:rPr>
      </w:pPr>
    </w:p>
    <w:p>
      <w:pPr>
        <w:ind w:left="580" w:right="739" w:firstLine="194"/>
        <w:spacing w:after="0" w:line="281"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53" w:lineRule="exact"/>
        <w:rPr>
          <w:sz w:val="20"/>
          <w:szCs w:val="20"/>
          <w:color w:val="auto"/>
        </w:rPr>
      </w:pPr>
    </w:p>
    <w:p>
      <w:pPr>
        <w:ind w:left="940" w:hanging="169"/>
        <w:spacing w:after="0"/>
        <w:tabs>
          <w:tab w:leader="none" w:pos="940" w:val="left"/>
        </w:tabs>
        <w:numPr>
          <w:ilvl w:val="0"/>
          <w:numId w:val="80"/>
        </w:numPr>
        <w:rPr>
          <w:rFonts w:ascii="Arial" w:cs="Arial" w:eastAsia="Arial" w:hAnsi="Arial"/>
          <w:sz w:val="19"/>
          <w:szCs w:val="19"/>
          <w:color w:val="auto"/>
        </w:rPr>
      </w:pPr>
      <w:r>
        <w:rPr>
          <w:rFonts w:ascii="Arial" w:cs="Arial" w:eastAsia="Arial" w:hAnsi="Arial"/>
          <w:sz w:val="16"/>
          <w:szCs w:val="16"/>
          <w:color w:val="auto"/>
        </w:rPr>
        <w:t>to legal entities which are qualified investors as defined under the Prospectus Directive;</w:t>
      </w:r>
    </w:p>
    <w:p>
      <w:pPr>
        <w:spacing w:after="0" w:line="193" w:lineRule="exact"/>
        <w:rPr>
          <w:rFonts w:ascii="Arial" w:cs="Arial" w:eastAsia="Arial" w:hAnsi="Arial"/>
          <w:sz w:val="19"/>
          <w:szCs w:val="19"/>
          <w:color w:val="auto"/>
        </w:rPr>
      </w:pPr>
    </w:p>
    <w:p>
      <w:pPr>
        <w:ind w:left="960" w:right="619" w:hanging="189"/>
        <w:spacing w:after="0" w:line="246" w:lineRule="auto"/>
        <w:tabs>
          <w:tab w:leader="none" w:pos="943" w:val="left"/>
        </w:tabs>
        <w:numPr>
          <w:ilvl w:val="0"/>
          <w:numId w:val="80"/>
        </w:numPr>
        <w:rPr>
          <w:rFonts w:ascii="Arial" w:cs="Arial" w:eastAsia="Arial" w:hAnsi="Arial"/>
          <w:sz w:val="19"/>
          <w:szCs w:val="19"/>
          <w:color w:val="auto"/>
        </w:rPr>
      </w:pPr>
      <w:r>
        <w:rPr>
          <w:rFonts w:ascii="Arial" w:cs="Arial" w:eastAsia="Arial" w:hAnsi="Arial"/>
          <w:sz w:val="16"/>
          <w:szCs w:val="16"/>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78" w:lineRule="exact"/>
        <w:rPr>
          <w:rFonts w:ascii="Arial" w:cs="Arial" w:eastAsia="Arial" w:hAnsi="Arial"/>
          <w:sz w:val="19"/>
          <w:szCs w:val="19"/>
          <w:color w:val="auto"/>
        </w:rPr>
      </w:pPr>
    </w:p>
    <w:p>
      <w:pPr>
        <w:ind w:left="940" w:hanging="169"/>
        <w:spacing w:after="0"/>
        <w:tabs>
          <w:tab w:leader="none" w:pos="940" w:val="left"/>
        </w:tabs>
        <w:numPr>
          <w:ilvl w:val="0"/>
          <w:numId w:val="80"/>
        </w:numPr>
        <w:rPr>
          <w:rFonts w:ascii="Arial" w:cs="Arial" w:eastAsia="Arial" w:hAnsi="Arial"/>
          <w:sz w:val="19"/>
          <w:szCs w:val="19"/>
          <w:color w:val="auto"/>
        </w:rPr>
      </w:pPr>
      <w:r>
        <w:rPr>
          <w:rFonts w:ascii="Arial" w:cs="Arial" w:eastAsia="Arial" w:hAnsi="Arial"/>
          <w:sz w:val="16"/>
          <w:szCs w:val="16"/>
          <w:color w:val="auto"/>
        </w:rPr>
        <w:t>in any other circumstances falling within Article 3(2) of the Prospectus Directive,</w:t>
      </w:r>
    </w:p>
    <w:p>
      <w:pPr>
        <w:spacing w:after="0" w:line="182" w:lineRule="exact"/>
        <w:rPr>
          <w:sz w:val="20"/>
          <w:szCs w:val="20"/>
          <w:color w:val="auto"/>
        </w:rPr>
      </w:pPr>
    </w:p>
    <w:p>
      <w:pPr>
        <w:ind w:left="580" w:right="919" w:firstLine="194"/>
        <w:spacing w:after="0" w:line="267" w:lineRule="auto"/>
        <w:rPr>
          <w:sz w:val="20"/>
          <w:szCs w:val="20"/>
          <w:color w:val="auto"/>
        </w:rPr>
      </w:pPr>
      <w:r>
        <w:rPr>
          <w:rFonts w:ascii="Arial" w:cs="Arial" w:eastAsia="Arial" w:hAnsi="Arial"/>
          <w:sz w:val="16"/>
          <w:szCs w:val="16"/>
          <w:color w:val="auto"/>
        </w:rPr>
        <w:t>provided that no such offer of ordinary shares shall result in a requirement for us or any underwriter to publish a prospectus pursuant to Article 3 of the Prospectus Directive or supplement a prospectus pursuant to Article 16 of the Prospectus Directive.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9" w:name="page120"/>
    <w:bookmarkEnd w:id="119"/>
    <w:p>
      <w:pPr>
        <w:jc w:val="both"/>
        <w:ind w:left="580" w:right="579" w:firstLine="194"/>
        <w:spacing w:after="0" w:line="267"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161" w:lineRule="exact"/>
        <w:rPr>
          <w:sz w:val="20"/>
          <w:szCs w:val="20"/>
          <w:color w:val="auto"/>
        </w:rPr>
      </w:pPr>
    </w:p>
    <w:p>
      <w:pPr>
        <w:ind w:left="940" w:hanging="169"/>
        <w:spacing w:after="0"/>
        <w:tabs>
          <w:tab w:leader="none" w:pos="940" w:val="left"/>
        </w:tabs>
        <w:numPr>
          <w:ilvl w:val="0"/>
          <w:numId w:val="81"/>
        </w:numPr>
        <w:rPr>
          <w:rFonts w:ascii="Arial" w:cs="Arial" w:eastAsia="Arial" w:hAnsi="Arial"/>
          <w:sz w:val="19"/>
          <w:szCs w:val="19"/>
          <w:color w:val="auto"/>
        </w:rPr>
      </w:pPr>
      <w:r>
        <w:rPr>
          <w:rFonts w:ascii="Arial" w:cs="Arial" w:eastAsia="Arial" w:hAnsi="Arial"/>
          <w:sz w:val="16"/>
          <w:szCs w:val="16"/>
          <w:color w:val="auto"/>
        </w:rPr>
        <w:t>it is a qualified investor as defined under the Prospectus Directive; and</w:t>
      </w:r>
    </w:p>
    <w:p>
      <w:pPr>
        <w:spacing w:after="0" w:line="193" w:lineRule="exact"/>
        <w:rPr>
          <w:rFonts w:ascii="Arial" w:cs="Arial" w:eastAsia="Arial" w:hAnsi="Arial"/>
          <w:sz w:val="19"/>
          <w:szCs w:val="19"/>
          <w:color w:val="auto"/>
        </w:rPr>
      </w:pPr>
    </w:p>
    <w:p>
      <w:pPr>
        <w:ind w:left="960" w:right="699" w:hanging="189"/>
        <w:spacing w:after="0" w:line="250" w:lineRule="auto"/>
        <w:tabs>
          <w:tab w:leader="none" w:pos="943" w:val="left"/>
        </w:tabs>
        <w:numPr>
          <w:ilvl w:val="0"/>
          <w:numId w:val="81"/>
        </w:numPr>
        <w:rPr>
          <w:rFonts w:ascii="Arial" w:cs="Arial" w:eastAsia="Arial" w:hAnsi="Arial"/>
          <w:sz w:val="19"/>
          <w:szCs w:val="19"/>
          <w:color w:val="auto"/>
        </w:rPr>
      </w:pPr>
      <w:r>
        <w:rPr>
          <w:rFonts w:ascii="Arial" w:cs="Arial" w:eastAsia="Arial" w:hAnsi="Arial"/>
          <w:sz w:val="16"/>
          <w:szCs w:val="16"/>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175" w:lineRule="exact"/>
        <w:rPr>
          <w:sz w:val="20"/>
          <w:szCs w:val="20"/>
          <w:color w:val="auto"/>
        </w:rPr>
      </w:pPr>
    </w:p>
    <w:p>
      <w:pPr>
        <w:ind w:left="580" w:right="679" w:firstLine="194"/>
        <w:spacing w:after="0" w:line="298" w:lineRule="auto"/>
        <w:rPr>
          <w:sz w:val="20"/>
          <w:szCs w:val="20"/>
          <w:color w:val="auto"/>
        </w:rPr>
      </w:pPr>
      <w:r>
        <w:rPr>
          <w:rFonts w:ascii="Arial" w:cs="Arial" w:eastAsia="Arial" w:hAnsi="Arial"/>
          <w:sz w:val="14"/>
          <w:szCs w:val="14"/>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United Kingdom</w:t>
      </w:r>
    </w:p>
    <w:p>
      <w:pPr>
        <w:spacing w:after="0" w:line="204" w:lineRule="exact"/>
        <w:rPr>
          <w:sz w:val="20"/>
          <w:szCs w:val="20"/>
          <w:color w:val="auto"/>
        </w:rPr>
      </w:pPr>
    </w:p>
    <w:p>
      <w:pPr>
        <w:ind w:left="580" w:right="659" w:firstLine="194"/>
        <w:spacing w:after="0" w:line="258" w:lineRule="auto"/>
        <w:rPr>
          <w:sz w:val="20"/>
          <w:szCs w:val="20"/>
          <w:color w:val="auto"/>
        </w:rPr>
      </w:pPr>
      <w:r>
        <w:rPr>
          <w:rFonts w:ascii="Arial" w:cs="Arial" w:eastAsia="Arial" w:hAnsi="Arial"/>
          <w:sz w:val="16"/>
          <w:szCs w:val="16"/>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Israel</w:t>
      </w:r>
    </w:p>
    <w:p>
      <w:pPr>
        <w:spacing w:after="0" w:line="204" w:lineRule="exact"/>
        <w:rPr>
          <w:sz w:val="20"/>
          <w:szCs w:val="20"/>
          <w:color w:val="auto"/>
        </w:rPr>
      </w:pPr>
    </w:p>
    <w:p>
      <w:pPr>
        <w:ind w:left="580" w:right="599" w:firstLine="194"/>
        <w:spacing w:after="0" w:line="276" w:lineRule="auto"/>
        <w:rPr>
          <w:sz w:val="20"/>
          <w:szCs w:val="20"/>
          <w:color w:val="auto"/>
        </w:rPr>
      </w:pPr>
      <w:r>
        <w:rPr>
          <w:rFonts w:ascii="Arial" w:cs="Arial" w:eastAsia="Arial" w:hAnsi="Arial"/>
          <w:sz w:val="15"/>
          <w:szCs w:val="15"/>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EXPENSES RELATED TO THIS OFFERING</w:t>
      </w:r>
    </w:p>
    <w:p>
      <w:pPr>
        <w:spacing w:after="0" w:line="171" w:lineRule="exact"/>
        <w:rPr>
          <w:sz w:val="20"/>
          <w:szCs w:val="20"/>
          <w:color w:val="auto"/>
        </w:rPr>
      </w:pPr>
    </w:p>
    <w:p>
      <w:pPr>
        <w:ind w:left="580" w:right="719" w:firstLine="194"/>
        <w:spacing w:after="0" w:line="267" w:lineRule="auto"/>
        <w:rPr>
          <w:sz w:val="20"/>
          <w:szCs w:val="20"/>
          <w:color w:val="auto"/>
        </w:rPr>
      </w:pPr>
      <w:r>
        <w:rPr>
          <w:rFonts w:ascii="Arial" w:cs="Arial" w:eastAsia="Arial" w:hAnsi="Arial"/>
          <w:sz w:val="16"/>
          <w:szCs w:val="16"/>
          <w:color w:val="auto"/>
        </w:rPr>
        <w:t>The following table sets forth all expenses to be paid by us, other than estimated underwriting discounts and commissions, in connection with this offering. All amounts shown are estimates except for the Securities and Exchange Commission registration fee, NASDAQ listing fee and FINRA filing fee:</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SEC registration fee</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FINRA filing fee</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NASDAQ listing fee</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Accounting fees and expenses</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Printing and engraving expenses</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Legal fees and expenses</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Transfer Agent and Registrar fees</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Miscellaneous fees and expenses</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jc w:val="right"/>
        <w:ind w:right="1591"/>
        <w:spacing w:after="0"/>
        <w:rPr>
          <w:sz w:val="20"/>
          <w:szCs w:val="20"/>
          <w:color w:val="auto"/>
        </w:rPr>
      </w:pPr>
      <w:r>
        <w:rPr>
          <w:rFonts w:ascii="Arial" w:cs="Arial" w:eastAsia="Arial" w:hAnsi="Arial"/>
          <w:sz w:val="16"/>
          <w:szCs w:val="16"/>
          <w:b w:val="1"/>
          <w:bCs w:val="1"/>
          <w:color w:val="auto"/>
        </w:rPr>
        <w:t>EXPERTS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710"/>
        <w:spacing w:after="0"/>
        <w:rPr>
          <w:sz w:val="20"/>
          <w:szCs w:val="20"/>
          <w:color w:val="auto"/>
        </w:rPr>
      </w:pPr>
      <w:r>
        <w:rPr>
          <w:rFonts w:ascii="Arial" w:cs="Arial" w:eastAsia="Arial" w:hAnsi="Arial"/>
          <w:sz w:val="15"/>
          <w:szCs w:val="15"/>
          <w:b w:val="1"/>
          <w:bCs w:val="1"/>
          <w:color w:val="auto"/>
        </w:rPr>
        <w:t>Amount to be</w:t>
      </w:r>
    </w:p>
    <w:p>
      <w:pPr>
        <w:spacing w:after="0" w:line="15" w:lineRule="exact"/>
        <w:rPr>
          <w:sz w:val="20"/>
          <w:szCs w:val="20"/>
          <w:color w:val="auto"/>
        </w:rPr>
      </w:pPr>
    </w:p>
    <w:p>
      <w:pPr>
        <w:jc w:val="center"/>
        <w:ind w:right="710"/>
        <w:spacing w:after="0"/>
        <w:rPr>
          <w:sz w:val="20"/>
          <w:szCs w:val="20"/>
          <w:color w:val="auto"/>
        </w:rPr>
      </w:pPr>
      <w:r>
        <w:rPr>
          <w:rFonts w:ascii="Arial" w:cs="Arial" w:eastAsia="Arial" w:hAnsi="Arial"/>
          <w:sz w:val="15"/>
          <w:szCs w:val="15"/>
          <w:b w:val="1"/>
          <w:bCs w:val="1"/>
          <w:color w:val="auto"/>
        </w:rPr>
        <w:t>Paid</w:t>
      </w:r>
    </w:p>
    <w:p>
      <w:pPr>
        <w:spacing w:after="0" w:line="15" w:lineRule="exact"/>
        <w:rPr>
          <w:sz w:val="20"/>
          <w:szCs w:val="20"/>
          <w:color w:val="auto"/>
        </w:rPr>
      </w:pPr>
    </w:p>
    <w:p>
      <w:pPr>
        <w:ind w:left="649" w:hanging="649"/>
        <w:spacing w:after="0"/>
        <w:tabs>
          <w:tab w:leader="none" w:pos="649" w:val="left"/>
        </w:tabs>
        <w:numPr>
          <w:ilvl w:val="0"/>
          <w:numId w:val="82"/>
        </w:numPr>
        <w:rPr>
          <w:rFonts w:ascii="Arial" w:cs="Arial" w:eastAsia="Arial" w:hAnsi="Arial"/>
          <w:sz w:val="15"/>
          <w:szCs w:val="15"/>
          <w:color w:val="auto"/>
        </w:rPr>
      </w:pPr>
      <w:r>
        <w:rPr>
          <w:rFonts w:ascii="Arial" w:cs="Arial" w:eastAsia="Arial" w:hAnsi="Arial"/>
          <w:sz w:val="15"/>
          <w:szCs w:val="15"/>
          <w:color w:val="auto"/>
        </w:rPr>
        <w:t>14,232</w:t>
      </w:r>
    </w:p>
    <w:p>
      <w:pPr>
        <w:spacing w:after="0" w:line="33" w:lineRule="exact"/>
        <w:rPr>
          <w:rFonts w:ascii="Arial" w:cs="Arial" w:eastAsia="Arial" w:hAnsi="Arial"/>
          <w:sz w:val="15"/>
          <w:szCs w:val="15"/>
          <w:color w:val="auto"/>
        </w:rPr>
      </w:pPr>
    </w:p>
    <w:p>
      <w:pPr>
        <w:ind w:left="649"/>
        <w:spacing w:after="0"/>
        <w:rPr>
          <w:rFonts w:ascii="Arial" w:cs="Arial" w:eastAsia="Arial" w:hAnsi="Arial"/>
          <w:sz w:val="15"/>
          <w:szCs w:val="15"/>
          <w:color w:val="auto"/>
        </w:rPr>
      </w:pPr>
      <w:r>
        <w:rPr>
          <w:rFonts w:ascii="Arial" w:cs="Arial" w:eastAsia="Arial" w:hAnsi="Arial"/>
          <w:sz w:val="15"/>
          <w:szCs w:val="15"/>
          <w:color w:val="auto"/>
        </w:rPr>
        <w:t>18,871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9977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 cy="7620"/>
                    </a:xfrm>
                    <a:prstGeom prst="rect">
                      <a:avLst/>
                    </a:prstGeom>
                    <a:noFill/>
                  </pic:spPr>
                </pic:pic>
              </a:graphicData>
            </a:graphic>
          </wp:anchor>
        </w:drawing>
      </w:r>
    </w:p>
    <w:p>
      <w:pPr>
        <w:spacing w:after="0" w:line="1" w:lineRule="exact"/>
        <w:rPr>
          <w:sz w:val="20"/>
          <w:szCs w:val="20"/>
          <w:color w:val="auto"/>
        </w:rPr>
      </w:pPr>
    </w:p>
    <w:p>
      <w:pPr>
        <w:jc w:val="right"/>
        <w:ind w:right="719"/>
        <w:spacing w:after="0"/>
        <w:rPr>
          <w:sz w:val="20"/>
          <w:szCs w:val="20"/>
          <w:color w:val="auto"/>
        </w:rPr>
      </w:pPr>
      <w:r>
        <w:rPr>
          <w:rFonts w:ascii="Arial" w:cs="Arial" w:eastAsia="Arial" w:hAnsi="Arial"/>
          <w:sz w:val="16"/>
          <w:szCs w:val="16"/>
          <w:color w:val="auto"/>
        </w:rPr>
        <w:t>150,000</w:t>
      </w:r>
    </w:p>
    <w:p>
      <w:pPr>
        <w:spacing w:after="0" w:line="10" w:lineRule="exact"/>
        <w:rPr>
          <w:sz w:val="20"/>
          <w:szCs w:val="20"/>
          <w:color w:val="auto"/>
        </w:rPr>
      </w:pPr>
    </w:p>
    <w:p>
      <w:pPr>
        <w:jc w:val="right"/>
        <w:ind w:right="719"/>
        <w:spacing w:after="0"/>
        <w:rPr>
          <w:sz w:val="20"/>
          <w:szCs w:val="20"/>
          <w:color w:val="auto"/>
        </w:rPr>
      </w:pPr>
      <w:r>
        <w:rPr>
          <w:rFonts w:ascii="Arial" w:cs="Arial" w:eastAsia="Arial" w:hAnsi="Arial"/>
          <w:sz w:val="16"/>
          <w:szCs w:val="16"/>
          <w:color w:val="auto"/>
        </w:rPr>
        <w:t>403,000</w:t>
      </w:r>
    </w:p>
    <w:p>
      <w:pPr>
        <w:spacing w:after="0" w:line="10" w:lineRule="exact"/>
        <w:rPr>
          <w:sz w:val="20"/>
          <w:szCs w:val="20"/>
          <w:color w:val="auto"/>
        </w:rPr>
      </w:pPr>
    </w:p>
    <w:p>
      <w:pPr>
        <w:jc w:val="right"/>
        <w:ind w:right="719"/>
        <w:spacing w:after="0"/>
        <w:rPr>
          <w:sz w:val="20"/>
          <w:szCs w:val="20"/>
          <w:color w:val="auto"/>
        </w:rPr>
      </w:pPr>
      <w:r>
        <w:rPr>
          <w:rFonts w:ascii="Arial" w:cs="Arial" w:eastAsia="Arial" w:hAnsi="Arial"/>
          <w:sz w:val="16"/>
          <w:szCs w:val="16"/>
          <w:color w:val="auto"/>
        </w:rPr>
        <w:t>90,000</w:t>
      </w:r>
    </w:p>
    <w:p>
      <w:pPr>
        <w:spacing w:after="0" w:line="10" w:lineRule="exact"/>
        <w:rPr>
          <w:sz w:val="20"/>
          <w:szCs w:val="20"/>
          <w:color w:val="auto"/>
        </w:rPr>
      </w:pPr>
    </w:p>
    <w:p>
      <w:pPr>
        <w:jc w:val="right"/>
        <w:ind w:right="719"/>
        <w:spacing w:after="0"/>
        <w:rPr>
          <w:sz w:val="20"/>
          <w:szCs w:val="20"/>
          <w:color w:val="auto"/>
        </w:rPr>
      </w:pPr>
      <w:r>
        <w:rPr>
          <w:rFonts w:ascii="Arial" w:cs="Arial" w:eastAsia="Arial" w:hAnsi="Arial"/>
          <w:sz w:val="16"/>
          <w:szCs w:val="16"/>
          <w:color w:val="auto"/>
        </w:rPr>
        <w:t>1,500,000</w:t>
      </w:r>
    </w:p>
    <w:p>
      <w:pPr>
        <w:spacing w:after="0" w:line="10" w:lineRule="exact"/>
        <w:rPr>
          <w:sz w:val="20"/>
          <w:szCs w:val="20"/>
          <w:color w:val="auto"/>
        </w:rPr>
      </w:pPr>
    </w:p>
    <w:p>
      <w:pPr>
        <w:jc w:val="right"/>
        <w:ind w:right="719"/>
        <w:spacing w:after="0"/>
        <w:rPr>
          <w:sz w:val="20"/>
          <w:szCs w:val="20"/>
          <w:color w:val="auto"/>
        </w:rPr>
      </w:pPr>
      <w:r>
        <w:rPr>
          <w:rFonts w:ascii="Arial" w:cs="Arial" w:eastAsia="Arial" w:hAnsi="Arial"/>
          <w:sz w:val="16"/>
          <w:szCs w:val="16"/>
          <w:color w:val="auto"/>
        </w:rPr>
        <w:t>5,000</w:t>
      </w:r>
    </w:p>
    <w:p>
      <w:pPr>
        <w:spacing w:after="0" w:line="10" w:lineRule="exact"/>
        <w:rPr>
          <w:sz w:val="20"/>
          <w:szCs w:val="20"/>
          <w:color w:val="auto"/>
        </w:rPr>
      </w:pPr>
    </w:p>
    <w:p>
      <w:pPr>
        <w:jc w:val="right"/>
        <w:ind w:right="719"/>
        <w:spacing w:after="0"/>
        <w:rPr>
          <w:sz w:val="20"/>
          <w:szCs w:val="20"/>
          <w:color w:val="auto"/>
        </w:rPr>
      </w:pPr>
      <w:r>
        <w:rPr>
          <w:rFonts w:ascii="Arial" w:cs="Arial" w:eastAsia="Arial" w:hAnsi="Arial"/>
          <w:sz w:val="16"/>
          <w:szCs w:val="16"/>
          <w:color w:val="auto"/>
        </w:rPr>
        <w:t>218,897</w:t>
      </w:r>
    </w:p>
    <w:p>
      <w:pPr>
        <w:spacing w:after="0" w:line="10" w:lineRule="exact"/>
        <w:rPr>
          <w:sz w:val="20"/>
          <w:szCs w:val="20"/>
          <w:color w:val="auto"/>
        </w:rPr>
      </w:pPr>
    </w:p>
    <w:p>
      <w:pPr>
        <w:ind w:left="449" w:hanging="449"/>
        <w:spacing w:after="0"/>
        <w:tabs>
          <w:tab w:leader="none" w:pos="449" w:val="left"/>
        </w:tabs>
        <w:numPr>
          <w:ilvl w:val="0"/>
          <w:numId w:val="83"/>
        </w:numPr>
        <w:rPr>
          <w:rFonts w:ascii="Arial" w:cs="Arial" w:eastAsia="Arial" w:hAnsi="Arial"/>
          <w:sz w:val="14"/>
          <w:szCs w:val="14"/>
          <w:color w:val="auto"/>
        </w:rPr>
      </w:pPr>
      <w:r>
        <w:rPr>
          <w:rFonts w:ascii="Arial" w:cs="Arial" w:eastAsia="Arial" w:hAnsi="Arial"/>
          <w:sz w:val="14"/>
          <w:szCs w:val="14"/>
          <w:color w:val="auto"/>
        </w:rPr>
        <w:t>2,400,000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69977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-101600</wp:posOffset>
            </wp:positionV>
            <wp:extent cx="69977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 cy="7620"/>
                    </a:xfrm>
                    <a:prstGeom prst="rect">
                      <a:avLst/>
                    </a:prstGeom>
                    <a:noFill/>
                  </pic:spPr>
                </pic:pic>
              </a:graphicData>
            </a:graphic>
          </wp:anchor>
        </w:drawing>
      </w:r>
    </w:p>
    <w:p>
      <w:pPr>
        <w:spacing w:after="0" w:line="541" w:lineRule="exact"/>
        <w:rPr>
          <w:sz w:val="20"/>
          <w:szCs w:val="20"/>
          <w:color w:val="auto"/>
        </w:rPr>
      </w:pPr>
    </w:p>
    <w:p>
      <w:pPr>
        <w:sectPr>
          <w:pgSz w:w="11900" w:h="16838" w:orient="portrait"/>
          <w:cols w:equalWidth="0" w:num="2">
            <w:col w:w="6471" w:space="720"/>
            <w:col w:w="1828"/>
          </w:cols>
          <w:pgMar w:left="1440" w:top="123" w:right="1440" w:bottom="1440" w:gutter="0" w:footer="0" w:header="0"/>
          <w:type w:val="continuous"/>
        </w:sectPr>
      </w:pPr>
    </w:p>
    <w:p>
      <w:pPr>
        <w:ind w:left="580" w:right="599" w:firstLine="194"/>
        <w:spacing w:after="0" w:line="281" w:lineRule="auto"/>
        <w:rPr>
          <w:sz w:val="20"/>
          <w:szCs w:val="20"/>
          <w:color w:val="auto"/>
        </w:rPr>
      </w:pPr>
      <w:r>
        <w:rPr>
          <w:rFonts w:ascii="Arial" w:cs="Arial" w:eastAsia="Arial" w:hAnsi="Arial"/>
          <w:sz w:val="15"/>
          <w:szCs w:val="15"/>
          <w:color w:val="auto"/>
        </w:rPr>
        <w:t>The consolidated financial statements of Kornit Digital Ltd. at December 31, 2013 and 2014, and for each of the three years in the period ended December 31, 2014, appearing in this Prospectus and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135" w:lineRule="exact"/>
        <w:rPr>
          <w:sz w:val="20"/>
          <w:szCs w:val="20"/>
          <w:color w:val="auto"/>
        </w:rPr>
      </w:pPr>
    </w:p>
    <w:p>
      <w:pPr>
        <w:ind w:left="580" w:right="619" w:firstLine="194"/>
        <w:spacing w:after="0" w:line="278" w:lineRule="auto"/>
        <w:rPr>
          <w:sz w:val="20"/>
          <w:szCs w:val="20"/>
          <w:color w:val="auto"/>
        </w:rPr>
      </w:pPr>
      <w:r>
        <w:rPr>
          <w:rFonts w:ascii="Arial" w:cs="Arial" w:eastAsia="Arial" w:hAnsi="Arial"/>
          <w:sz w:val="15"/>
          <w:szCs w:val="15"/>
          <w:color w:val="auto"/>
        </w:rPr>
        <w:t>The validity of the ordinary shares being offered by this prospectus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ENFORCEABILITY OF CIVIL LIABILITIES</w:t>
      </w:r>
    </w:p>
    <w:p>
      <w:pPr>
        <w:spacing w:after="0" w:line="147" w:lineRule="exact"/>
        <w:rPr>
          <w:sz w:val="20"/>
          <w:szCs w:val="20"/>
          <w:color w:val="auto"/>
        </w:rPr>
      </w:pPr>
    </w:p>
    <w:p>
      <w:pPr>
        <w:ind w:left="580" w:right="579" w:firstLine="194"/>
        <w:spacing w:after="0" w:line="281" w:lineRule="auto"/>
        <w:rPr>
          <w:sz w:val="20"/>
          <w:szCs w:val="20"/>
          <w:color w:val="auto"/>
        </w:rPr>
      </w:pPr>
      <w:r>
        <w:rPr>
          <w:rFonts w:ascii="Arial" w:cs="Arial" w:eastAsia="Arial" w:hAnsi="Arial"/>
          <w:sz w:val="15"/>
          <w:szCs w:val="15"/>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be difficult to collect within the United States.</w:t>
      </w:r>
    </w:p>
    <w:p>
      <w:pPr>
        <w:spacing w:after="0" w:line="80" w:lineRule="exact"/>
        <w:rPr>
          <w:sz w:val="20"/>
          <w:szCs w:val="20"/>
          <w:color w:val="auto"/>
        </w:rPr>
      </w:pPr>
    </w:p>
    <w:p>
      <w:pPr>
        <w:ind w:left="580" w:right="659" w:firstLine="194"/>
        <w:spacing w:after="0" w:line="302" w:lineRule="auto"/>
        <w:rPr>
          <w:sz w:val="20"/>
          <w:szCs w:val="20"/>
          <w:color w:val="auto"/>
        </w:rPr>
      </w:pPr>
      <w:r>
        <w:rPr>
          <w:rFonts w:ascii="Arial" w:cs="Arial" w:eastAsia="Arial" w:hAnsi="Arial"/>
          <w:sz w:val="14"/>
          <w:szCs w:val="14"/>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81" w:lineRule="exact"/>
        <w:rPr>
          <w:sz w:val="20"/>
          <w:szCs w:val="20"/>
          <w:color w:val="auto"/>
        </w:rPr>
      </w:pPr>
    </w:p>
    <w:p>
      <w:pPr>
        <w:ind w:left="580" w:right="739" w:firstLine="194"/>
        <w:spacing w:after="0" w:line="278" w:lineRule="auto"/>
        <w:rPr>
          <w:sz w:val="20"/>
          <w:szCs w:val="20"/>
          <w:color w:val="auto"/>
        </w:rPr>
      </w:pPr>
      <w:r>
        <w:rPr>
          <w:rFonts w:ascii="Arial" w:cs="Arial" w:eastAsia="Arial" w:hAnsi="Arial"/>
          <w:sz w:val="15"/>
          <w:szCs w:val="15"/>
          <w:color w:val="auto"/>
        </w:rPr>
        <w:t>We have irrevocably appointed Kornit Digital North America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09" w:lineRule="exact"/>
        <w:rPr>
          <w:sz w:val="20"/>
          <w:szCs w:val="20"/>
          <w:color w:val="auto"/>
        </w:rPr>
      </w:pPr>
    </w:p>
    <w:p>
      <w:pPr>
        <w:ind w:left="960" w:right="739" w:hanging="189"/>
        <w:spacing w:after="0" w:line="304" w:lineRule="auto"/>
        <w:tabs>
          <w:tab w:leader="none" w:pos="943" w:val="left"/>
        </w:tabs>
        <w:numPr>
          <w:ilvl w:val="0"/>
          <w:numId w:val="84"/>
        </w:numPr>
        <w:rPr>
          <w:rFonts w:ascii="Arial" w:cs="Arial" w:eastAsia="Arial" w:hAnsi="Arial"/>
          <w:sz w:val="17"/>
          <w:szCs w:val="17"/>
          <w:color w:val="auto"/>
        </w:rPr>
      </w:pPr>
      <w:r>
        <w:rPr>
          <w:rFonts w:ascii="Arial" w:cs="Arial" w:eastAsia="Arial" w:hAnsi="Arial"/>
          <w:sz w:val="14"/>
          <w:szCs w:val="14"/>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21" w:name="page122"/>
    <w:bookmarkEnd w:id="121"/>
    <w:p>
      <w:pPr>
        <w:ind w:left="940" w:hanging="169"/>
        <w:spacing w:after="0"/>
        <w:tabs>
          <w:tab w:leader="none" w:pos="940" w:val="left"/>
        </w:tabs>
        <w:numPr>
          <w:ilvl w:val="0"/>
          <w:numId w:val="85"/>
        </w:numPr>
        <w:rPr>
          <w:rFonts w:ascii="Arial" w:cs="Arial" w:eastAsia="Arial" w:hAnsi="Arial"/>
          <w:sz w:val="19"/>
          <w:szCs w:val="19"/>
          <w:color w:val="auto"/>
        </w:rPr>
      </w:pPr>
      <w:r>
        <w:rPr>
          <w:rFonts w:ascii="Arial" w:cs="Arial" w:eastAsia="Arial" w:hAnsi="Arial"/>
          <w:sz w:val="16"/>
          <w:szCs w:val="16"/>
          <w:color w:val="auto"/>
        </w:rPr>
        <w:t>the judgment may no longer be appealed;</w:t>
      </w:r>
    </w:p>
    <w:p>
      <w:pPr>
        <w:spacing w:after="0" w:line="133" w:lineRule="exact"/>
        <w:rPr>
          <w:rFonts w:ascii="Arial" w:cs="Arial" w:eastAsia="Arial" w:hAnsi="Arial"/>
          <w:sz w:val="19"/>
          <w:szCs w:val="19"/>
          <w:color w:val="auto"/>
        </w:rPr>
      </w:pPr>
    </w:p>
    <w:p>
      <w:pPr>
        <w:ind w:left="960" w:right="599" w:hanging="189"/>
        <w:spacing w:after="0" w:line="238" w:lineRule="auto"/>
        <w:tabs>
          <w:tab w:leader="none" w:pos="943" w:val="left"/>
        </w:tabs>
        <w:numPr>
          <w:ilvl w:val="0"/>
          <w:numId w:val="85"/>
        </w:numPr>
        <w:rPr>
          <w:rFonts w:ascii="Arial" w:cs="Arial" w:eastAsia="Arial" w:hAnsi="Arial"/>
          <w:sz w:val="19"/>
          <w:szCs w:val="19"/>
          <w:color w:val="auto"/>
        </w:rPr>
      </w:pPr>
      <w:r>
        <w:rPr>
          <w:rFonts w:ascii="Arial" w:cs="Arial" w:eastAsia="Arial" w:hAnsi="Arial"/>
          <w:sz w:val="16"/>
          <w:szCs w:val="16"/>
          <w:color w:val="auto"/>
        </w:rPr>
        <w:t>the prevailing law of the foreign state in which the judgment was rendered allows for the enforcement of judgments of Israeli courts;</w:t>
      </w:r>
    </w:p>
    <w:p>
      <w:pPr>
        <w:spacing w:after="0" w:line="133" w:lineRule="exact"/>
        <w:rPr>
          <w:rFonts w:ascii="Arial" w:cs="Arial" w:eastAsia="Arial" w:hAnsi="Arial"/>
          <w:sz w:val="19"/>
          <w:szCs w:val="19"/>
          <w:color w:val="auto"/>
        </w:rPr>
      </w:pPr>
    </w:p>
    <w:p>
      <w:pPr>
        <w:ind w:left="960" w:right="599" w:hanging="189"/>
        <w:spacing w:after="0" w:line="238" w:lineRule="auto"/>
        <w:tabs>
          <w:tab w:leader="none" w:pos="943" w:val="left"/>
        </w:tabs>
        <w:numPr>
          <w:ilvl w:val="0"/>
          <w:numId w:val="85"/>
        </w:numPr>
        <w:rPr>
          <w:rFonts w:ascii="Arial" w:cs="Arial" w:eastAsia="Arial" w:hAnsi="Arial"/>
          <w:sz w:val="19"/>
          <w:szCs w:val="19"/>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121" w:lineRule="exact"/>
        <w:rPr>
          <w:rFonts w:ascii="Arial" w:cs="Arial" w:eastAsia="Arial" w:hAnsi="Arial"/>
          <w:sz w:val="19"/>
          <w:szCs w:val="19"/>
          <w:color w:val="auto"/>
        </w:rPr>
      </w:pPr>
    </w:p>
    <w:p>
      <w:pPr>
        <w:ind w:left="960" w:right="859" w:hanging="189"/>
        <w:spacing w:after="0" w:line="238" w:lineRule="auto"/>
        <w:tabs>
          <w:tab w:leader="none" w:pos="943" w:val="left"/>
        </w:tabs>
        <w:numPr>
          <w:ilvl w:val="0"/>
          <w:numId w:val="85"/>
        </w:numPr>
        <w:rPr>
          <w:rFonts w:ascii="Arial" w:cs="Arial" w:eastAsia="Arial" w:hAnsi="Arial"/>
          <w:sz w:val="19"/>
          <w:szCs w:val="19"/>
          <w:color w:val="auto"/>
        </w:rPr>
      </w:pPr>
      <w:r>
        <w:rPr>
          <w:rFonts w:ascii="Arial" w:cs="Arial" w:eastAsia="Arial" w:hAnsi="Arial"/>
          <w:sz w:val="16"/>
          <w:szCs w:val="16"/>
          <w:color w:val="auto"/>
        </w:rPr>
        <w:t>the judgment is not contrary to public policy of Israel, and the enforcement of the civil liabilities set forth in the judgment is not likely to impair the security or sovereignty of Israel;</w:t>
      </w:r>
    </w:p>
    <w:p>
      <w:pPr>
        <w:spacing w:after="0" w:line="133" w:lineRule="exact"/>
        <w:rPr>
          <w:rFonts w:ascii="Arial" w:cs="Arial" w:eastAsia="Arial" w:hAnsi="Arial"/>
          <w:sz w:val="19"/>
          <w:szCs w:val="19"/>
          <w:color w:val="auto"/>
        </w:rPr>
      </w:pPr>
    </w:p>
    <w:p>
      <w:pPr>
        <w:ind w:left="960" w:right="979" w:hanging="189"/>
        <w:spacing w:after="0" w:line="238" w:lineRule="auto"/>
        <w:tabs>
          <w:tab w:leader="none" w:pos="943" w:val="left"/>
        </w:tabs>
        <w:numPr>
          <w:ilvl w:val="0"/>
          <w:numId w:val="85"/>
        </w:numPr>
        <w:rPr>
          <w:rFonts w:ascii="Arial" w:cs="Arial" w:eastAsia="Arial" w:hAnsi="Arial"/>
          <w:sz w:val="19"/>
          <w:szCs w:val="19"/>
          <w:color w:val="auto"/>
        </w:rPr>
      </w:pPr>
      <w:r>
        <w:rPr>
          <w:rFonts w:ascii="Arial" w:cs="Arial" w:eastAsia="Arial" w:hAnsi="Arial"/>
          <w:sz w:val="16"/>
          <w:szCs w:val="16"/>
          <w:color w:val="auto"/>
        </w:rPr>
        <w:t>the judgment was not obtained by fraud and do not conflict with any other valid judgments in the same matter between the same parties;</w:t>
      </w:r>
    </w:p>
    <w:p>
      <w:pPr>
        <w:spacing w:after="0" w:line="133" w:lineRule="exact"/>
        <w:rPr>
          <w:rFonts w:ascii="Arial" w:cs="Arial" w:eastAsia="Arial" w:hAnsi="Arial"/>
          <w:sz w:val="19"/>
          <w:szCs w:val="19"/>
          <w:color w:val="auto"/>
        </w:rPr>
      </w:pPr>
    </w:p>
    <w:p>
      <w:pPr>
        <w:ind w:left="960" w:right="779" w:hanging="189"/>
        <w:spacing w:after="0" w:line="238" w:lineRule="auto"/>
        <w:tabs>
          <w:tab w:leader="none" w:pos="943" w:val="left"/>
        </w:tabs>
        <w:numPr>
          <w:ilvl w:val="0"/>
          <w:numId w:val="85"/>
        </w:numPr>
        <w:rPr>
          <w:rFonts w:ascii="Arial" w:cs="Arial" w:eastAsia="Arial" w:hAnsi="Arial"/>
          <w:sz w:val="19"/>
          <w:szCs w:val="19"/>
          <w:color w:val="auto"/>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121" w:lineRule="exact"/>
        <w:rPr>
          <w:rFonts w:ascii="Arial" w:cs="Arial" w:eastAsia="Arial" w:hAnsi="Arial"/>
          <w:sz w:val="19"/>
          <w:szCs w:val="19"/>
          <w:color w:val="auto"/>
        </w:rPr>
      </w:pPr>
    </w:p>
    <w:p>
      <w:pPr>
        <w:ind w:left="960" w:right="579" w:hanging="189"/>
        <w:spacing w:after="0" w:line="238" w:lineRule="auto"/>
        <w:tabs>
          <w:tab w:leader="none" w:pos="943" w:val="left"/>
        </w:tabs>
        <w:numPr>
          <w:ilvl w:val="0"/>
          <w:numId w:val="85"/>
        </w:numPr>
        <w:rPr>
          <w:rFonts w:ascii="Arial" w:cs="Arial" w:eastAsia="Arial" w:hAnsi="Arial"/>
          <w:sz w:val="19"/>
          <w:szCs w:val="19"/>
          <w:color w:val="auto"/>
        </w:rPr>
      </w:pPr>
      <w:r>
        <w:rPr>
          <w:rFonts w:ascii="Arial" w:cs="Arial" w:eastAsia="Arial" w:hAnsi="Arial"/>
          <w:sz w:val="16"/>
          <w:szCs w:val="16"/>
          <w:color w:val="auto"/>
        </w:rPr>
        <w:t>the judgment is enforceable according to the laws of Israel and according to the law of the foreign state in which the relief was granted.</w:t>
      </w:r>
    </w:p>
    <w:p>
      <w:pPr>
        <w:spacing w:after="0" w:line="182" w:lineRule="exact"/>
        <w:rPr>
          <w:sz w:val="20"/>
          <w:szCs w:val="20"/>
          <w:color w:val="auto"/>
        </w:rPr>
      </w:pPr>
    </w:p>
    <w:p>
      <w:pPr>
        <w:ind w:left="580" w:right="579" w:firstLine="194"/>
        <w:spacing w:after="0" w:line="277" w:lineRule="auto"/>
        <w:rPr>
          <w:sz w:val="20"/>
          <w:szCs w:val="20"/>
          <w:color w:val="auto"/>
        </w:rPr>
      </w:pPr>
      <w:r>
        <w:rPr>
          <w:rFonts w:ascii="Arial" w:cs="Arial" w:eastAsia="Arial" w:hAnsi="Arial"/>
          <w:sz w:val="15"/>
          <w:szCs w:val="15"/>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171" w:lineRule="exact"/>
        <w:rPr>
          <w:sz w:val="20"/>
          <w:szCs w:val="20"/>
          <w:color w:val="auto"/>
        </w:rPr>
      </w:pPr>
    </w:p>
    <w:p>
      <w:pPr>
        <w:ind w:left="580" w:right="619" w:firstLine="194"/>
        <w:spacing w:after="0" w:line="277" w:lineRule="auto"/>
        <w:rPr>
          <w:sz w:val="20"/>
          <w:szCs w:val="20"/>
          <w:color w:val="auto"/>
        </w:rPr>
      </w:pPr>
      <w:r>
        <w:rPr>
          <w:rFonts w:ascii="Arial" w:cs="Arial" w:eastAsia="Arial" w:hAnsi="Arial"/>
          <w:sz w:val="15"/>
          <w:szCs w:val="15"/>
          <w:color w:val="auto"/>
        </w:rPr>
        <w:t>We have filed with the Commission a registration statement on Form F-1 under the Securities Act relating to this offering of our ordinary shares. This prospectus does not contain all of the information contained in the registration statement. The rules and regulations of the Commission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57" w:lineRule="exact"/>
        <w:rPr>
          <w:sz w:val="20"/>
          <w:szCs w:val="20"/>
          <w:color w:val="auto"/>
        </w:rPr>
      </w:pPr>
    </w:p>
    <w:p>
      <w:pPr>
        <w:ind w:left="580" w:right="659" w:firstLine="194"/>
        <w:spacing w:after="0" w:line="256"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Commission without charge at the Commission’s public reference room at 100 F Street, N.E., Room 1580, Washington, DC 20549. You may also obtain copies of the documents at prescribed rates by writing to the Public Reference Section of the Commission at 100 F Street, N.E., Room 1580, Washington, DC 20549. Please call the Commission at 1-800-SEC-0330 for further information on the public reference room. The Commission also maintains an Internet website that contains reports and other information regarding issuers that file electronically with the Commission. Our filings with the Commission are also available to the public through the Commission’s website at http://www.sec.gov.</w:t>
      </w:r>
    </w:p>
    <w:p>
      <w:pPr>
        <w:spacing w:after="0" w:line="174" w:lineRule="exact"/>
        <w:rPr>
          <w:sz w:val="20"/>
          <w:szCs w:val="20"/>
          <w:color w:val="auto"/>
        </w:rPr>
      </w:pPr>
    </w:p>
    <w:p>
      <w:pPr>
        <w:ind w:left="580" w:right="639" w:firstLine="194"/>
        <w:spacing w:after="0" w:line="294" w:lineRule="auto"/>
        <w:rPr>
          <w:sz w:val="20"/>
          <w:szCs w:val="20"/>
          <w:color w:val="auto"/>
        </w:rPr>
      </w:pPr>
      <w:r>
        <w:rPr>
          <w:rFonts w:ascii="Arial" w:cs="Arial" w:eastAsia="Arial" w:hAnsi="Arial"/>
          <w:sz w:val="14"/>
          <w:szCs w:val="14"/>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Commission as frequently or as promptly as U.S. companies whose securities are registered under the Exchange Act. However, we will file with the Commission, within 120 days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TABLE OF CONTENTS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6760" w:type="dxa"/>
            <w:vAlign w:val="bottom"/>
            <w:vMerge w:val="restart"/>
          </w:tcPr>
          <w:p>
            <w:pPr>
              <w:spacing w:after="0"/>
              <w:rPr>
                <w:sz w:val="20"/>
                <w:szCs w:val="20"/>
                <w:color w:val="auto"/>
              </w:rPr>
            </w:pPr>
            <w:r>
              <w:rPr>
                <w:rFonts w:ascii="Arial" w:cs="Arial" w:eastAsia="Arial" w:hAnsi="Arial"/>
                <w:sz w:val="16"/>
                <w:szCs w:val="16"/>
                <w:b w:val="1"/>
                <w:bCs w:val="1"/>
                <w:color w:val="auto"/>
              </w:rPr>
              <w:t>REPORT OF INDEPENDENT REGISTERED PUBLIC ACCOUNTING FIRM</w:t>
            </w: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201"/>
        </w:trPr>
        <w:tc>
          <w:tcPr>
            <w:tcW w:w="6760" w:type="dxa"/>
            <w:vAlign w:val="bottom"/>
            <w:vMerge w:val="continue"/>
          </w:tcPr>
          <w:p>
            <w:pPr>
              <w:spacing w:after="0"/>
              <w:rPr>
                <w:sz w:val="17"/>
                <w:szCs w:val="17"/>
                <w:color w:val="auto"/>
              </w:rPr>
            </w:pPr>
          </w:p>
        </w:tc>
        <w:tc>
          <w:tcPr>
            <w:tcW w:w="1120" w:type="dxa"/>
            <w:vAlign w:val="bottom"/>
          </w:tcPr>
          <w:p>
            <w:pPr>
              <w:ind w:left="420"/>
              <w:spacing w:after="0"/>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387"/>
        </w:trPr>
        <w:tc>
          <w:tcPr>
            <w:tcW w:w="6760" w:type="dxa"/>
            <w:vAlign w:val="bottom"/>
          </w:tcPr>
          <w:p>
            <w:pPr>
              <w:spacing w:after="0"/>
              <w:rPr>
                <w:sz w:val="20"/>
                <w:szCs w:val="20"/>
                <w:color w:val="auto"/>
              </w:rPr>
            </w:pPr>
            <w:r>
              <w:rPr>
                <w:rFonts w:ascii="Arial" w:cs="Arial" w:eastAsia="Arial" w:hAnsi="Arial"/>
                <w:sz w:val="16"/>
                <w:szCs w:val="16"/>
                <w:color w:val="auto"/>
              </w:rPr>
              <w:t>Consolidated Balance Sheets as of December 31, 2013 and 2014</w:t>
            </w:r>
          </w:p>
        </w:tc>
        <w:tc>
          <w:tcPr>
            <w:tcW w:w="1120" w:type="dxa"/>
            <w:vAlign w:val="bottom"/>
          </w:tcPr>
          <w:p>
            <w:pPr>
              <w:ind w:left="420"/>
              <w:spacing w:after="0"/>
              <w:rPr>
                <w:sz w:val="20"/>
                <w:szCs w:val="20"/>
                <w:color w:val="auto"/>
              </w:rPr>
            </w:pPr>
            <w:r>
              <w:rPr>
                <w:rFonts w:ascii="Arial" w:cs="Arial" w:eastAsia="Arial" w:hAnsi="Arial"/>
                <w:sz w:val="16"/>
                <w:szCs w:val="16"/>
                <w:color w:val="auto"/>
              </w:rPr>
              <w:t>F-3</w:t>
            </w:r>
          </w:p>
        </w:tc>
        <w:tc>
          <w:tcPr>
            <w:tcW w:w="0" w:type="dxa"/>
            <w:vAlign w:val="bottom"/>
          </w:tcPr>
          <w:p>
            <w:pPr>
              <w:spacing w:after="0"/>
              <w:rPr>
                <w:sz w:val="1"/>
                <w:szCs w:val="1"/>
                <w:color w:val="auto"/>
              </w:rPr>
            </w:pPr>
          </w:p>
        </w:tc>
      </w:tr>
      <w:tr>
        <w:trPr>
          <w:trHeight w:val="194"/>
        </w:trPr>
        <w:tc>
          <w:tcPr>
            <w:tcW w:w="6760" w:type="dxa"/>
            <w:vAlign w:val="bottom"/>
          </w:tcPr>
          <w:p>
            <w:pPr>
              <w:spacing w:after="0"/>
              <w:rPr>
                <w:sz w:val="20"/>
                <w:szCs w:val="20"/>
                <w:color w:val="auto"/>
              </w:rPr>
            </w:pPr>
            <w:r>
              <w:rPr>
                <w:rFonts w:ascii="Arial" w:cs="Arial" w:eastAsia="Arial" w:hAnsi="Arial"/>
                <w:sz w:val="16"/>
                <w:szCs w:val="16"/>
                <w:color w:val="auto"/>
              </w:rPr>
              <w:t>Consolidated Statements of Income for the years ended December 31, 2012, 2013 and 2014</w:t>
            </w:r>
          </w:p>
        </w:tc>
        <w:tc>
          <w:tcPr>
            <w:tcW w:w="1120" w:type="dxa"/>
            <w:vAlign w:val="bottom"/>
          </w:tcPr>
          <w:p>
            <w:pPr>
              <w:ind w:left="420"/>
              <w:spacing w:after="0"/>
              <w:rPr>
                <w:sz w:val="20"/>
                <w:szCs w:val="20"/>
                <w:color w:val="auto"/>
              </w:rPr>
            </w:pPr>
            <w:r>
              <w:rPr>
                <w:rFonts w:ascii="Arial" w:cs="Arial" w:eastAsia="Arial" w:hAnsi="Arial"/>
                <w:sz w:val="16"/>
                <w:szCs w:val="16"/>
                <w:color w:val="auto"/>
              </w:rPr>
              <w:t>F-5</w:t>
            </w:r>
          </w:p>
        </w:tc>
        <w:tc>
          <w:tcPr>
            <w:tcW w:w="0" w:type="dxa"/>
            <w:vAlign w:val="bottom"/>
          </w:tcPr>
          <w:p>
            <w:pPr>
              <w:spacing w:after="0"/>
              <w:rPr>
                <w:sz w:val="1"/>
                <w:szCs w:val="1"/>
                <w:color w:val="auto"/>
              </w:rPr>
            </w:pPr>
          </w:p>
        </w:tc>
      </w:tr>
      <w:tr>
        <w:trPr>
          <w:trHeight w:val="194"/>
        </w:trPr>
        <w:tc>
          <w:tcPr>
            <w:tcW w:w="6760" w:type="dxa"/>
            <w:vAlign w:val="bottom"/>
          </w:tcPr>
          <w:p>
            <w:pPr>
              <w:spacing w:after="0"/>
              <w:rPr>
                <w:sz w:val="20"/>
                <w:szCs w:val="20"/>
                <w:color w:val="auto"/>
              </w:rPr>
            </w:pPr>
            <w:r>
              <w:rPr>
                <w:rFonts w:ascii="Arial" w:cs="Arial" w:eastAsia="Arial" w:hAnsi="Arial"/>
                <w:sz w:val="16"/>
                <w:szCs w:val="16"/>
                <w:color w:val="auto"/>
                <w:w w:val="96"/>
              </w:rPr>
              <w:t>Consolidated Statements of Comprehensive Income for the years ended December 31, 2012, 2013</w:t>
            </w:r>
          </w:p>
        </w:tc>
        <w:tc>
          <w:tcPr>
            <w:tcW w:w="1120" w:type="dxa"/>
            <w:vAlign w:val="bottom"/>
          </w:tcPr>
          <w:p>
            <w:pPr>
              <w:ind w:left="420"/>
              <w:spacing w:after="0"/>
              <w:rPr>
                <w:sz w:val="20"/>
                <w:szCs w:val="20"/>
                <w:color w:val="auto"/>
              </w:rPr>
            </w:pPr>
            <w:r>
              <w:rPr>
                <w:rFonts w:ascii="Arial" w:cs="Arial" w:eastAsia="Arial" w:hAnsi="Arial"/>
                <w:sz w:val="16"/>
                <w:szCs w:val="16"/>
                <w:color w:val="auto"/>
              </w:rPr>
              <w:t>F-6</w:t>
            </w:r>
          </w:p>
        </w:tc>
        <w:tc>
          <w:tcPr>
            <w:tcW w:w="0" w:type="dxa"/>
            <w:vAlign w:val="bottom"/>
          </w:tcPr>
          <w:p>
            <w:pPr>
              <w:spacing w:after="0"/>
              <w:rPr>
                <w:sz w:val="1"/>
                <w:szCs w:val="1"/>
                <w:color w:val="auto"/>
              </w:rPr>
            </w:pPr>
          </w:p>
        </w:tc>
      </w:tr>
      <w:tr>
        <w:trPr>
          <w:trHeight w:val="194"/>
        </w:trPr>
        <w:tc>
          <w:tcPr>
            <w:tcW w:w="6760" w:type="dxa"/>
            <w:vAlign w:val="bottom"/>
          </w:tcPr>
          <w:p>
            <w:pPr>
              <w:ind w:left="200"/>
              <w:spacing w:after="0"/>
              <w:rPr>
                <w:sz w:val="20"/>
                <w:szCs w:val="20"/>
                <w:color w:val="auto"/>
              </w:rPr>
            </w:pPr>
            <w:r>
              <w:rPr>
                <w:rFonts w:ascii="Arial" w:cs="Arial" w:eastAsia="Arial" w:hAnsi="Arial"/>
                <w:sz w:val="16"/>
                <w:szCs w:val="16"/>
                <w:color w:val="auto"/>
              </w:rPr>
              <w:t>and 2014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760" w:type="dxa"/>
            <w:vAlign w:val="bottom"/>
          </w:tcPr>
          <w:p>
            <w:pPr>
              <w:spacing w:after="0"/>
              <w:rPr>
                <w:sz w:val="20"/>
                <w:szCs w:val="20"/>
                <w:color w:val="auto"/>
              </w:rPr>
            </w:pPr>
            <w:r>
              <w:rPr>
                <w:rFonts w:ascii="Arial" w:cs="Arial" w:eastAsia="Arial" w:hAnsi="Arial"/>
                <w:sz w:val="16"/>
                <w:szCs w:val="16"/>
                <w:color w:val="auto"/>
                <w:w w:val="92"/>
              </w:rPr>
              <w:t>Consolidated Statements of Changes in Shareholders’ Equity for the years ended December 31, 2012,</w:t>
            </w:r>
          </w:p>
        </w:tc>
        <w:tc>
          <w:tcPr>
            <w:tcW w:w="1120" w:type="dxa"/>
            <w:vAlign w:val="bottom"/>
          </w:tcPr>
          <w:p>
            <w:pPr>
              <w:ind w:left="420"/>
              <w:spacing w:after="0"/>
              <w:rPr>
                <w:sz w:val="20"/>
                <w:szCs w:val="20"/>
                <w:color w:val="auto"/>
              </w:rPr>
            </w:pPr>
            <w:r>
              <w:rPr>
                <w:rFonts w:ascii="Arial" w:cs="Arial" w:eastAsia="Arial" w:hAnsi="Arial"/>
                <w:sz w:val="16"/>
                <w:szCs w:val="16"/>
                <w:color w:val="auto"/>
              </w:rPr>
              <w:t>F-7</w:t>
            </w:r>
          </w:p>
        </w:tc>
        <w:tc>
          <w:tcPr>
            <w:tcW w:w="0" w:type="dxa"/>
            <w:vAlign w:val="bottom"/>
          </w:tcPr>
          <w:p>
            <w:pPr>
              <w:spacing w:after="0"/>
              <w:rPr>
                <w:sz w:val="1"/>
                <w:szCs w:val="1"/>
                <w:color w:val="auto"/>
              </w:rPr>
            </w:pPr>
          </w:p>
        </w:tc>
      </w:tr>
      <w:tr>
        <w:trPr>
          <w:trHeight w:val="194"/>
        </w:trPr>
        <w:tc>
          <w:tcPr>
            <w:tcW w:w="6760" w:type="dxa"/>
            <w:vAlign w:val="bottom"/>
          </w:tcPr>
          <w:p>
            <w:pPr>
              <w:ind w:left="200"/>
              <w:spacing w:after="0"/>
              <w:rPr>
                <w:sz w:val="20"/>
                <w:szCs w:val="20"/>
                <w:color w:val="auto"/>
              </w:rPr>
            </w:pPr>
            <w:r>
              <w:rPr>
                <w:rFonts w:ascii="Arial" w:cs="Arial" w:eastAsia="Arial" w:hAnsi="Arial"/>
                <w:sz w:val="16"/>
                <w:szCs w:val="16"/>
                <w:color w:val="auto"/>
              </w:rPr>
              <w:t>2013 and 2014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760" w:type="dxa"/>
            <w:vAlign w:val="bottom"/>
          </w:tcPr>
          <w:p>
            <w:pPr>
              <w:spacing w:after="0"/>
              <w:rPr>
                <w:sz w:val="20"/>
                <w:szCs w:val="20"/>
                <w:color w:val="auto"/>
              </w:rPr>
            </w:pPr>
            <w:r>
              <w:rPr>
                <w:rFonts w:ascii="Arial" w:cs="Arial" w:eastAsia="Arial" w:hAnsi="Arial"/>
                <w:sz w:val="16"/>
                <w:szCs w:val="16"/>
                <w:color w:val="auto"/>
                <w:w w:val="98"/>
              </w:rPr>
              <w:t>Consolidated Statements of Cash Flows for the years ended December 31, 2012, 2013 and 2014</w:t>
            </w:r>
          </w:p>
        </w:tc>
        <w:tc>
          <w:tcPr>
            <w:tcW w:w="1120" w:type="dxa"/>
            <w:vAlign w:val="bottom"/>
          </w:tcPr>
          <w:p>
            <w:pPr>
              <w:ind w:left="420"/>
              <w:spacing w:after="0"/>
              <w:rPr>
                <w:sz w:val="20"/>
                <w:szCs w:val="20"/>
                <w:color w:val="auto"/>
              </w:rPr>
            </w:pPr>
            <w:r>
              <w:rPr>
                <w:rFonts w:ascii="Arial" w:cs="Arial" w:eastAsia="Arial" w:hAnsi="Arial"/>
                <w:sz w:val="16"/>
                <w:szCs w:val="16"/>
                <w:color w:val="auto"/>
              </w:rPr>
              <w:t>F-8</w:t>
            </w:r>
          </w:p>
        </w:tc>
        <w:tc>
          <w:tcPr>
            <w:tcW w:w="0" w:type="dxa"/>
            <w:vAlign w:val="bottom"/>
          </w:tcPr>
          <w:p>
            <w:pPr>
              <w:spacing w:after="0"/>
              <w:rPr>
                <w:sz w:val="1"/>
                <w:szCs w:val="1"/>
                <w:color w:val="auto"/>
              </w:rPr>
            </w:pPr>
          </w:p>
        </w:tc>
      </w:tr>
      <w:tr>
        <w:trPr>
          <w:trHeight w:val="206"/>
        </w:trPr>
        <w:tc>
          <w:tcPr>
            <w:tcW w:w="676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1120" w:type="dxa"/>
            <w:vAlign w:val="bottom"/>
          </w:tcPr>
          <w:p>
            <w:pPr>
              <w:ind w:left="380"/>
              <w:spacing w:after="0"/>
              <w:rPr>
                <w:sz w:val="20"/>
                <w:szCs w:val="20"/>
                <w:color w:val="auto"/>
              </w:rPr>
            </w:pPr>
            <w:r>
              <w:rPr>
                <w:rFonts w:ascii="Arial" w:cs="Arial" w:eastAsia="Arial" w:hAnsi="Arial"/>
                <w:sz w:val="16"/>
                <w:szCs w:val="16"/>
                <w:color w:val="auto"/>
              </w:rPr>
              <w:t>F-10</w:t>
            </w:r>
          </w:p>
        </w:tc>
        <w:tc>
          <w:tcPr>
            <w:tcW w:w="0" w:type="dxa"/>
            <w:vAlign w:val="bottom"/>
          </w:tcPr>
          <w:p>
            <w:pPr>
              <w:spacing w:after="0"/>
              <w:rPr>
                <w:sz w:val="1"/>
                <w:szCs w:val="1"/>
                <w:color w:val="auto"/>
              </w:rPr>
            </w:pPr>
          </w:p>
        </w:tc>
      </w:tr>
      <w:tr>
        <w:trPr>
          <w:trHeight w:val="255"/>
        </w:trPr>
        <w:tc>
          <w:tcPr>
            <w:tcW w:w="6760" w:type="dxa"/>
            <w:vAlign w:val="bottom"/>
            <w:tcBorders>
              <w:bottom w:val="single" w:sz="8" w:color="auto"/>
            </w:tcBorders>
          </w:tcPr>
          <w:p>
            <w:pPr>
              <w:ind w:left="3840"/>
              <w:spacing w:after="0"/>
              <w:rPr>
                <w:sz w:val="20"/>
                <w:szCs w:val="20"/>
                <w:color w:val="auto"/>
              </w:rPr>
            </w:pPr>
            <w:r>
              <w:rPr>
                <w:rFonts w:ascii="Arial" w:cs="Arial" w:eastAsia="Arial" w:hAnsi="Arial"/>
                <w:sz w:val="13"/>
                <w:szCs w:val="13"/>
                <w:color w:val="auto"/>
              </w:rPr>
              <w:t>F-1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3" w:right="1440"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212090</wp:posOffset>
            </wp:positionV>
            <wp:extent cx="753745" cy="8693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53745" cy="86931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 the Board of Directors and Shareholders of</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08" w:lineRule="exact"/>
        <w:rPr>
          <w:sz w:val="20"/>
          <w:szCs w:val="20"/>
          <w:color w:val="auto"/>
        </w:rPr>
      </w:pPr>
    </w:p>
    <w:p>
      <w:pPr>
        <w:ind w:left="580" w:right="559" w:firstLine="194"/>
        <w:spacing w:after="0" w:line="259" w:lineRule="auto"/>
        <w:rPr>
          <w:sz w:val="20"/>
          <w:szCs w:val="20"/>
          <w:color w:val="auto"/>
        </w:rPr>
      </w:pPr>
      <w:r>
        <w:rPr>
          <w:rFonts w:ascii="Arial" w:cs="Arial" w:eastAsia="Arial" w:hAnsi="Arial"/>
          <w:sz w:val="16"/>
          <w:szCs w:val="16"/>
          <w:color w:val="auto"/>
        </w:rPr>
        <w:t>We have audited the accompanying consolidated balance sheets of Kornit Digital Ltd. and its subsidiaries (the “Company”) as of December 31, 2013 and 2014, and the related consolidated statements of income, comprehensive income, shareholders’ equity and cash flows for each of the three years in the period ended December 31, 2014. These consolidated financial statements are the responsibility of the Company’s management. Our responsibility is to express an opinion on these financial statements based on our audits.</w:t>
      </w:r>
    </w:p>
    <w:p>
      <w:pPr>
        <w:spacing w:after="0" w:line="170" w:lineRule="exact"/>
        <w:rPr>
          <w:sz w:val="20"/>
          <w:szCs w:val="20"/>
          <w:color w:val="auto"/>
        </w:rPr>
      </w:pPr>
    </w:p>
    <w:p>
      <w:pPr>
        <w:ind w:left="580" w:right="619" w:firstLine="194"/>
        <w:spacing w:after="0" w:line="27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8" w:lineRule="exact"/>
        <w:rPr>
          <w:sz w:val="20"/>
          <w:szCs w:val="20"/>
          <w:color w:val="auto"/>
        </w:rPr>
      </w:pPr>
    </w:p>
    <w:p>
      <w:pPr>
        <w:ind w:left="580" w:right="819" w:firstLine="194"/>
        <w:spacing w:after="0" w:line="26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and its subsidiaries at December 31, 2013 and 2014, and the consolidated results of their operations and their cash flows for each of the three years in the period ended December 31, 2014, in conformity with U.S. generally accepted accounting principles.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3760" w:type="dxa"/>
            <w:vAlign w:val="bottom"/>
          </w:tcPr>
          <w:p>
            <w:pPr>
              <w:spacing w:after="0"/>
              <w:rPr>
                <w:sz w:val="17"/>
                <w:szCs w:val="17"/>
                <w:color w:val="auto"/>
              </w:rPr>
            </w:pPr>
          </w:p>
        </w:tc>
        <w:tc>
          <w:tcPr>
            <w:tcW w:w="4120" w:type="dxa"/>
            <w:vAlign w:val="bottom"/>
          </w:tcPr>
          <w:p>
            <w:pPr>
              <w:jc w:val="center"/>
              <w:spacing w:after="0"/>
              <w:rPr>
                <w:sz w:val="20"/>
                <w:szCs w:val="20"/>
                <w:color w:val="auto"/>
              </w:rPr>
            </w:pPr>
            <w:r>
              <w:rPr>
                <w:rFonts w:ascii="Arial" w:cs="Arial" w:eastAsia="Arial" w:hAnsi="Arial"/>
                <w:sz w:val="16"/>
                <w:szCs w:val="16"/>
                <w:color w:val="auto"/>
                <w:w w:val="92"/>
              </w:rPr>
              <w:t>/s/ Kost Forer Gabbay &amp; Kasierer</w:t>
            </w: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Tel-Aviv, Israel</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auto"/>
              </w:rPr>
              <w:t>KOST FORER GABBAY &amp; KASIERER</w:t>
            </w:r>
          </w:p>
        </w:tc>
      </w:tr>
      <w:tr>
        <w:trPr>
          <w:trHeight w:val="194"/>
        </w:trPr>
        <w:tc>
          <w:tcPr>
            <w:tcW w:w="3760" w:type="dxa"/>
            <w:vAlign w:val="bottom"/>
          </w:tcPr>
          <w:p>
            <w:pPr>
              <w:spacing w:after="0"/>
              <w:rPr>
                <w:sz w:val="20"/>
                <w:szCs w:val="20"/>
                <w:color w:val="auto"/>
              </w:rPr>
            </w:pPr>
            <w:r>
              <w:rPr>
                <w:rFonts w:ascii="Arial" w:cs="Arial" w:eastAsia="Arial" w:hAnsi="Arial"/>
                <w:sz w:val="16"/>
                <w:szCs w:val="16"/>
                <w:color w:val="auto"/>
              </w:rPr>
              <w:t>February 25, 2015</w:t>
            </w:r>
          </w:p>
        </w:tc>
        <w:tc>
          <w:tcPr>
            <w:tcW w:w="4120" w:type="dxa"/>
            <w:vAlign w:val="bottom"/>
          </w:tcPr>
          <w:p>
            <w:pPr>
              <w:jc w:val="center"/>
              <w:spacing w:after="0"/>
              <w:rPr>
                <w:sz w:val="20"/>
                <w:szCs w:val="20"/>
                <w:color w:val="auto"/>
              </w:rPr>
            </w:pPr>
            <w:r>
              <w:rPr>
                <w:rFonts w:ascii="Arial" w:cs="Arial" w:eastAsia="Arial" w:hAnsi="Arial"/>
                <w:sz w:val="16"/>
                <w:szCs w:val="16"/>
                <w:color w:val="auto"/>
                <w:w w:val="95"/>
              </w:rPr>
              <w:t>A Member of Ernst &amp; Young Global</w:t>
            </w:r>
          </w:p>
        </w:tc>
      </w:tr>
      <w:tr>
        <w:trPr>
          <w:trHeight w:val="194"/>
        </w:trPr>
        <w:tc>
          <w:tcPr>
            <w:tcW w:w="3760" w:type="dxa"/>
            <w:vAlign w:val="bottom"/>
          </w:tcPr>
          <w:p>
            <w:pPr>
              <w:spacing w:after="0"/>
              <w:rPr>
                <w:sz w:val="20"/>
                <w:szCs w:val="20"/>
                <w:color w:val="auto"/>
              </w:rPr>
            </w:pPr>
            <w:r>
              <w:rPr>
                <w:rFonts w:ascii="Arial" w:cs="Arial" w:eastAsia="Arial" w:hAnsi="Arial"/>
                <w:sz w:val="16"/>
                <w:szCs w:val="16"/>
                <w:color w:val="auto"/>
                <w:w w:val="93"/>
              </w:rPr>
              <w:t>Except for Notes 2v, 9, 10, 11i, 15c and 15d to which the</w:t>
            </w:r>
          </w:p>
        </w:tc>
        <w:tc>
          <w:tcPr>
            <w:tcW w:w="4120" w:type="dxa"/>
            <w:vAlign w:val="bottom"/>
          </w:tcPr>
          <w:p>
            <w:pPr>
              <w:spacing w:after="0"/>
              <w:rPr>
                <w:sz w:val="16"/>
                <w:szCs w:val="16"/>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date is March 18, 2015</w:t>
            </w:r>
          </w:p>
        </w:tc>
        <w:tc>
          <w:tcPr>
            <w:tcW w:w="4120" w:type="dxa"/>
            <w:vAlign w:val="bottom"/>
          </w:tcPr>
          <w:p>
            <w:pPr>
              <w:spacing w:after="0"/>
              <w:rPr>
                <w:sz w:val="17"/>
                <w:szCs w:val="17"/>
                <w:color w:val="auto"/>
              </w:rPr>
            </w:pPr>
          </w:p>
        </w:tc>
      </w:tr>
      <w:tr>
        <w:trPr>
          <w:trHeight w:val="255"/>
        </w:trPr>
        <w:tc>
          <w:tcPr>
            <w:tcW w:w="376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F-2</w:t>
            </w:r>
          </w:p>
        </w:tc>
      </w:tr>
    </w:tbl>
    <w:p>
      <w:pPr>
        <w:sectPr>
          <w:pgSz w:w="11900" w:h="16838" w:orient="portrait"/>
          <w:cols w:equalWidth="0" w:num="1">
            <w:col w:w="9019"/>
          </w:cols>
          <w:pgMar w:left="1440" w:top="1440" w:right="1440" w:bottom="1440" w:gutter="0" w:footer="0" w:header="0"/>
        </w:sectPr>
      </w:pPr>
    </w:p>
    <w:bookmarkStart w:id="124" w:name="page125"/>
    <w:bookmarkEnd w:id="124"/>
    <w:p>
      <w:pPr>
        <w:jc w:val="right"/>
        <w:ind w:right="559"/>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CONSOLIDATED BALANCE SHEETS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7"/>
        </w:trPr>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w w:val="95"/>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r>
      <w:tr>
        <w:trPr>
          <w:trHeight w:val="367"/>
        </w:trPr>
        <w:tc>
          <w:tcPr>
            <w:tcW w:w="3460" w:type="dxa"/>
            <w:vAlign w:val="bottom"/>
            <w:gridSpan w:val="2"/>
          </w:tcPr>
          <w:p>
            <w:pPr>
              <w:ind w:left="200"/>
              <w:spacing w:after="0"/>
              <w:rPr>
                <w:sz w:val="20"/>
                <w:szCs w:val="20"/>
                <w:color w:val="auto"/>
              </w:rPr>
            </w:pPr>
            <w:r>
              <w:rPr>
                <w:rFonts w:ascii="Arial" w:cs="Arial" w:eastAsia="Arial" w:hAnsi="Arial"/>
                <w:sz w:val="16"/>
                <w:szCs w:val="16"/>
                <w:color w:val="auto"/>
              </w:rPr>
              <w:t>ASSETS</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6"/>
        </w:trPr>
        <w:tc>
          <w:tcPr>
            <w:tcW w:w="34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5,329</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4,993</w:t>
            </w:r>
          </w:p>
        </w:tc>
        <w:tc>
          <w:tcPr>
            <w:tcW w:w="160" w:type="dxa"/>
            <w:vAlign w:val="bottom"/>
          </w:tcPr>
          <w:p>
            <w:pPr>
              <w:spacing w:after="0"/>
              <w:rPr>
                <w:sz w:val="16"/>
                <w:szCs w:val="16"/>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Short-term bank deposits</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2,635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Trade receivables, net</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5,644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9,770</w:t>
            </w:r>
          </w:p>
        </w:tc>
        <w:tc>
          <w:tcPr>
            <w:tcW w:w="160" w:type="dxa"/>
            <w:vAlign w:val="bottom"/>
          </w:tcPr>
          <w:p>
            <w:pPr>
              <w:spacing w:after="0"/>
              <w:rPr>
                <w:sz w:val="16"/>
                <w:szCs w:val="16"/>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w w:val="98"/>
              </w:rPr>
              <w:t>Other accounts receivable and prepaid expenses</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1,708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1,775</w:t>
            </w:r>
          </w:p>
        </w:tc>
        <w:tc>
          <w:tcPr>
            <w:tcW w:w="160" w:type="dxa"/>
            <w:vAlign w:val="bottom"/>
          </w:tcPr>
          <w:p>
            <w:pPr>
              <w:spacing w:after="0"/>
              <w:rPr>
                <w:sz w:val="16"/>
                <w:szCs w:val="16"/>
                <w:color w:val="auto"/>
              </w:rPr>
            </w:pPr>
          </w:p>
        </w:tc>
      </w:tr>
      <w:tr>
        <w:trPr>
          <w:trHeight w:val="206"/>
        </w:trPr>
        <w:tc>
          <w:tcPr>
            <w:tcW w:w="346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1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11,986</w:t>
            </w:r>
          </w:p>
        </w:tc>
        <w:tc>
          <w:tcPr>
            <w:tcW w:w="160" w:type="dxa"/>
            <w:vAlign w:val="bottom"/>
          </w:tcPr>
          <w:p>
            <w:pPr>
              <w:spacing w:after="0"/>
              <w:rPr>
                <w:sz w:val="17"/>
                <w:szCs w:val="17"/>
                <w:color w:val="auto"/>
              </w:rPr>
            </w:pPr>
          </w:p>
        </w:tc>
      </w:tr>
      <w:tr>
        <w:trPr>
          <w:trHeight w:val="344"/>
        </w:trPr>
        <w:tc>
          <w:tcPr>
            <w:tcW w:w="346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27,283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28,524</w:t>
            </w:r>
          </w:p>
        </w:tc>
        <w:tc>
          <w:tcPr>
            <w:tcW w:w="160" w:type="dxa"/>
            <w:vAlign w:val="bottom"/>
          </w:tcPr>
          <w:p>
            <w:pPr>
              <w:spacing w:after="0"/>
              <w:rPr>
                <w:sz w:val="24"/>
                <w:szCs w:val="24"/>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4"/>
        </w:trPr>
        <w:tc>
          <w:tcPr>
            <w:tcW w:w="3460" w:type="dxa"/>
            <w:vAlign w:val="bottom"/>
            <w:gridSpan w:val="2"/>
          </w:tcPr>
          <w:p>
            <w:pPr>
              <w:spacing w:after="0"/>
              <w:rPr>
                <w:sz w:val="20"/>
                <w:szCs w:val="20"/>
                <w:color w:val="auto"/>
              </w:rPr>
            </w:pPr>
            <w:r>
              <w:rPr>
                <w:rFonts w:ascii="Arial" w:cs="Arial" w:eastAsia="Arial" w:hAnsi="Arial"/>
                <w:sz w:val="16"/>
                <w:szCs w:val="16"/>
                <w:color w:val="auto"/>
              </w:rPr>
              <w:t>Severance pay fund</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1,120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1,187</w:t>
            </w:r>
          </w:p>
        </w:tc>
        <w:tc>
          <w:tcPr>
            <w:tcW w:w="160" w:type="dxa"/>
            <w:vAlign w:val="bottom"/>
          </w:tcPr>
          <w:p>
            <w:pPr>
              <w:spacing w:after="0"/>
              <w:rPr>
                <w:sz w:val="24"/>
                <w:szCs w:val="24"/>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2,653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3,660</w:t>
            </w:r>
          </w:p>
        </w:tc>
        <w:tc>
          <w:tcPr>
            <w:tcW w:w="160" w:type="dxa"/>
            <w:vAlign w:val="bottom"/>
          </w:tcPr>
          <w:p>
            <w:pPr>
              <w:spacing w:after="0"/>
              <w:rPr>
                <w:sz w:val="16"/>
                <w:szCs w:val="16"/>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Intangible assets, net</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371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w:t>
            </w:r>
          </w:p>
        </w:tc>
        <w:tc>
          <w:tcPr>
            <w:tcW w:w="160" w:type="dxa"/>
            <w:vAlign w:val="bottom"/>
          </w:tcPr>
          <w:p>
            <w:pPr>
              <w:spacing w:after="0"/>
              <w:rPr>
                <w:sz w:val="16"/>
                <w:szCs w:val="16"/>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Deferred issuance costs</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849</w:t>
            </w:r>
          </w:p>
        </w:tc>
        <w:tc>
          <w:tcPr>
            <w:tcW w:w="160" w:type="dxa"/>
            <w:vAlign w:val="bottom"/>
          </w:tcPr>
          <w:p>
            <w:pPr>
              <w:spacing w:after="0"/>
              <w:rPr>
                <w:sz w:val="16"/>
                <w:szCs w:val="16"/>
                <w:color w:val="auto"/>
              </w:rPr>
            </w:pPr>
          </w:p>
        </w:tc>
      </w:tr>
      <w:tr>
        <w:trPr>
          <w:trHeight w:val="206"/>
        </w:trPr>
        <w:tc>
          <w:tcPr>
            <w:tcW w:w="346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200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w:t>
            </w:r>
          </w:p>
        </w:tc>
        <w:tc>
          <w:tcPr>
            <w:tcW w:w="160" w:type="dxa"/>
            <w:vAlign w:val="bottom"/>
          </w:tcPr>
          <w:p>
            <w:pPr>
              <w:spacing w:after="0"/>
              <w:rPr>
                <w:sz w:val="17"/>
                <w:szCs w:val="17"/>
                <w:color w:val="auto"/>
              </w:rPr>
            </w:pPr>
          </w:p>
        </w:tc>
      </w:tr>
      <w:tr>
        <w:trPr>
          <w:trHeight w:val="150"/>
        </w:trPr>
        <w:tc>
          <w:tcPr>
            <w:tcW w:w="3460" w:type="dxa"/>
            <w:vAlign w:val="bottom"/>
            <w:gridSpan w:val="2"/>
          </w:tcPr>
          <w:p>
            <w:pPr>
              <w:spacing w:after="0" w:line="150" w:lineRule="exact"/>
              <w:rPr>
                <w:sz w:val="20"/>
                <w:szCs w:val="20"/>
                <w:color w:val="auto"/>
              </w:rPr>
            </w:pPr>
            <w:r>
              <w:rPr>
                <w:rFonts w:ascii="Arial" w:cs="Arial" w:eastAsia="Arial" w:hAnsi="Arial"/>
                <w:sz w:val="16"/>
                <w:szCs w:val="16"/>
                <w:color w:val="auto"/>
              </w:rPr>
              <w:t>Total long-term assets</w:t>
            </w:r>
          </w:p>
        </w:tc>
        <w:tc>
          <w:tcPr>
            <w:tcW w:w="17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6"/>
                <w:szCs w:val="16"/>
                <w:color w:val="auto"/>
              </w:rPr>
              <w:t>4,344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6"/>
                <w:szCs w:val="16"/>
                <w:color w:val="auto"/>
              </w:rPr>
              <w:t>6,190</w:t>
            </w:r>
          </w:p>
        </w:tc>
        <w:tc>
          <w:tcPr>
            <w:tcW w:w="160" w:type="dxa"/>
            <w:vAlign w:val="bottom"/>
          </w:tcPr>
          <w:p>
            <w:pPr>
              <w:spacing w:after="0"/>
              <w:rPr>
                <w:sz w:val="13"/>
                <w:szCs w:val="13"/>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6"/>
        </w:trPr>
        <w:tc>
          <w:tcPr>
            <w:tcW w:w="34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31,627</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34,714</w:t>
            </w:r>
          </w:p>
        </w:tc>
        <w:tc>
          <w:tcPr>
            <w:tcW w:w="1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9"/>
        </w:trPr>
        <w:tc>
          <w:tcPr>
            <w:tcW w:w="5560" w:type="dxa"/>
            <w:vAlign w:val="bottom"/>
            <w:gridSpan w:val="4"/>
          </w:tcPr>
          <w:p>
            <w:pPr>
              <w:spacing w:after="0"/>
              <w:rPr>
                <w:sz w:val="20"/>
                <w:szCs w:val="20"/>
                <w:color w:val="auto"/>
              </w:rPr>
            </w:pPr>
            <w:r>
              <w:rPr>
                <w:rFonts w:ascii="Arial" w:cs="Arial" w:eastAsia="Arial" w:hAnsi="Arial"/>
                <w:sz w:val="16"/>
                <w:szCs w:val="16"/>
                <w:color w:val="auto"/>
                <w:w w:val="91"/>
              </w:rPr>
              <w:t>The accompanying notes are an integral part of the consolidated financial statements.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7"/>
        </w:trPr>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540"/>
              <w:spacing w:after="0"/>
              <w:rPr>
                <w:sz w:val="20"/>
                <w:szCs w:val="20"/>
                <w:color w:val="auto"/>
              </w:rPr>
            </w:pPr>
            <w:r>
              <w:rPr>
                <w:rFonts w:ascii="Arial" w:cs="Arial" w:eastAsia="Arial" w:hAnsi="Arial"/>
                <w:sz w:val="13"/>
                <w:szCs w:val="13"/>
                <w:color w:val="auto"/>
              </w:rPr>
              <w:t>F-3</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0" w:right="1440" w:bottom="1440" w:gutter="0" w:footer="0" w:header="0"/>
        </w:sectPr>
      </w:pPr>
    </w:p>
    <w:bookmarkStart w:id="125" w:name="page126"/>
    <w:bookmarkEnd w:id="125"/>
    <w:p>
      <w:pPr>
        <w:jc w:val="right"/>
        <w:ind w:right="559"/>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CONSOLIDATED BALANCE SHEETS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0"/>
              </w:rPr>
              <w:t>Pro forma</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7"/>
              </w:rPr>
              <w:t>Liabilities and</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7"/>
              </w:rPr>
              <w:t>Shareholders’</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6"/>
              </w:rPr>
              <w:t>Equity as of</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w w:val="95"/>
              </w:rPr>
              <w:t>2014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3"/>
              </w:rPr>
              <w:t>2014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7"/>
              </w:rPr>
              <w:t>Unaudited</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3780" w:type="dxa"/>
            <w:vAlign w:val="bottom"/>
            <w:gridSpan w:val="4"/>
          </w:tcPr>
          <w:p>
            <w:pPr>
              <w:ind w:left="200"/>
              <w:spacing w:after="0"/>
              <w:rPr>
                <w:sz w:val="20"/>
                <w:szCs w:val="20"/>
                <w:color w:val="auto"/>
              </w:rPr>
            </w:pPr>
            <w:r>
              <w:rPr>
                <w:rFonts w:ascii="Arial" w:cs="Arial" w:eastAsia="Arial" w:hAnsi="Arial"/>
                <w:sz w:val="16"/>
                <w:szCs w:val="16"/>
                <w:color w:val="auto"/>
              </w:rPr>
              <w:t>LIABILITIES AND EQUITY</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780" w:type="dxa"/>
            <w:vAlign w:val="bottom"/>
            <w:gridSpan w:val="4"/>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6"/>
                <w:szCs w:val="16"/>
                <w:color w:val="auto"/>
              </w:rPr>
              <w:t>Trade payables</w:t>
            </w:r>
          </w:p>
        </w:tc>
        <w:tc>
          <w:tcPr>
            <w:tcW w:w="320" w:type="dxa"/>
            <w:vAlign w:val="bottom"/>
          </w:tcPr>
          <w:p>
            <w:pPr>
              <w:jc w:val="right"/>
              <w:ind w:right="168"/>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7,225</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5,901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6"/>
                <w:szCs w:val="16"/>
                <w:color w:val="auto"/>
              </w:rPr>
              <w:t>Employees and payroll accruals</w:t>
            </w:r>
          </w:p>
        </w:tc>
        <w:tc>
          <w:tcPr>
            <w:tcW w:w="3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2,133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2,968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6"/>
                <w:szCs w:val="16"/>
                <w:color w:val="auto"/>
              </w:rPr>
              <w:t>Deferred revenues and advances from customers</w:t>
            </w:r>
          </w:p>
        </w:tc>
        <w:tc>
          <w:tcPr>
            <w:tcW w:w="3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2,059</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1,863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gridSpan w:val="4"/>
          </w:tcPr>
          <w:p>
            <w:pPr>
              <w:spacing w:after="0"/>
              <w:rPr>
                <w:sz w:val="20"/>
                <w:szCs w:val="20"/>
                <w:color w:val="auto"/>
              </w:rPr>
            </w:pPr>
            <w:r>
              <w:rPr>
                <w:rFonts w:ascii="Arial" w:cs="Arial" w:eastAsia="Arial" w:hAnsi="Arial"/>
                <w:sz w:val="16"/>
                <w:szCs w:val="16"/>
                <w:color w:val="auto"/>
              </w:rPr>
              <w:t>Other payables and accrued expenses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4"/>
          </w:tcPr>
          <w:p>
            <w:pPr>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14,402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13,338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13,338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6"/>
                <w:szCs w:val="16"/>
                <w:color w:val="auto"/>
              </w:rPr>
              <w:t>LONG-TERM LIABILITIES:</w:t>
            </w: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78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6"/>
                <w:szCs w:val="16"/>
                <w:color w:val="auto"/>
              </w:rPr>
              <w:t>Accrued severance pay</w:t>
            </w:r>
          </w:p>
        </w:tc>
        <w:tc>
          <w:tcPr>
            <w:tcW w:w="3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1,551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1,903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gridSpan w:val="4"/>
          </w:tcPr>
          <w:p>
            <w:pPr>
              <w:spacing w:after="0"/>
              <w:rPr>
                <w:sz w:val="20"/>
                <w:szCs w:val="20"/>
                <w:color w:val="auto"/>
              </w:rPr>
            </w:pPr>
            <w:r>
              <w:rPr>
                <w:rFonts w:ascii="Arial" w:cs="Arial" w:eastAsia="Arial" w:hAnsi="Arial"/>
                <w:sz w:val="16"/>
                <w:szCs w:val="16"/>
                <w:color w:val="auto"/>
              </w:rPr>
              <w:t>Deferred taxes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4"/>
          </w:tcPr>
          <w:p>
            <w:pPr>
              <w:spacing w:after="0"/>
              <w:rPr>
                <w:sz w:val="20"/>
                <w:szCs w:val="20"/>
                <w:color w:val="auto"/>
              </w:rPr>
            </w:pPr>
            <w:r>
              <w:rPr>
                <w:rFonts w:ascii="Arial" w:cs="Arial" w:eastAsia="Arial" w:hAnsi="Arial"/>
                <w:sz w:val="16"/>
                <w:szCs w:val="16"/>
                <w:color w:val="auto"/>
              </w:rPr>
              <w:t>Total long-term liabilities</w:t>
            </w:r>
          </w:p>
        </w:tc>
        <w:tc>
          <w:tcPr>
            <w:tcW w:w="3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1,617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78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ind w:left="200"/>
              <w:spacing w:after="0"/>
              <w:rPr>
                <w:sz w:val="20"/>
                <w:szCs w:val="20"/>
                <w:color w:val="auto"/>
              </w:rPr>
            </w:pPr>
            <w:r>
              <w:rPr>
                <w:rFonts w:ascii="Arial" w:cs="Arial" w:eastAsia="Arial" w:hAnsi="Arial"/>
                <w:sz w:val="16"/>
                <w:szCs w:val="16"/>
                <w:color w:val="auto"/>
                <w:w w:val="96"/>
              </w:rPr>
              <w:t>Ordinary shares of NIS 0.01 par value – Authorized: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26,345,297 shares at December 31, 2013 and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w w:val="97"/>
              </w:rPr>
              <w:t>2014; Issued and Outstanding: 8,953,565 shares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w w:val="96"/>
              </w:rPr>
              <w:t>and 8,973,224 shares at December 31, 2013 and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w w:val="95"/>
              </w:rPr>
              <w:t>2014, respectively; 21,601,965 shares issued and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outstanding pro forma (unaudited) at December</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ind w:left="380"/>
              <w:spacing w:after="0"/>
              <w:rPr>
                <w:sz w:val="20"/>
                <w:szCs w:val="20"/>
                <w:color w:val="auto"/>
              </w:rPr>
            </w:pPr>
            <w:r>
              <w:rPr>
                <w:rFonts w:ascii="Arial" w:cs="Arial" w:eastAsia="Arial" w:hAnsi="Arial"/>
                <w:sz w:val="16"/>
                <w:szCs w:val="16"/>
                <w:color w:val="auto"/>
              </w:rPr>
              <w:t>31, 2014</w:t>
            </w:r>
          </w:p>
        </w:tc>
        <w:tc>
          <w:tcPr>
            <w:tcW w:w="3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ind w:left="200"/>
              <w:spacing w:after="0"/>
              <w:rPr>
                <w:sz w:val="20"/>
                <w:szCs w:val="20"/>
                <w:color w:val="auto"/>
              </w:rPr>
            </w:pPr>
            <w:r>
              <w:rPr>
                <w:rFonts w:ascii="Arial" w:cs="Arial" w:eastAsia="Arial" w:hAnsi="Arial"/>
                <w:sz w:val="16"/>
                <w:szCs w:val="16"/>
                <w:color w:val="auto"/>
              </w:rPr>
              <w:t>Preferred A-1 shares of NIS 0.01 par value –</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Authorized: 1,927,220 shares at December 31,</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2013 and 2014; Issued and Outstanding:</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w w:val="93"/>
              </w:rPr>
              <w:t>1,927,140 shares at December 31, 2013 and 2014;</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0 shares issued and outstanding pro forma</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(unaudited) at December 31, 2014</w:t>
            </w:r>
          </w:p>
        </w:tc>
        <w:tc>
          <w:tcPr>
            <w:tcW w:w="3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3780" w:type="dxa"/>
            <w:vAlign w:val="bottom"/>
            <w:gridSpan w:val="4"/>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94"/>
        </w:trPr>
        <w:tc>
          <w:tcPr>
            <w:tcW w:w="3780" w:type="dxa"/>
            <w:vAlign w:val="bottom"/>
            <w:gridSpan w:val="4"/>
          </w:tcPr>
          <w:p>
            <w:pPr>
              <w:ind w:left="200"/>
              <w:spacing w:after="0"/>
              <w:rPr>
                <w:sz w:val="20"/>
                <w:szCs w:val="20"/>
                <w:color w:val="auto"/>
              </w:rPr>
            </w:pPr>
            <w:r>
              <w:rPr>
                <w:rFonts w:ascii="Arial" w:cs="Arial" w:eastAsia="Arial" w:hAnsi="Arial"/>
                <w:sz w:val="16"/>
                <w:szCs w:val="16"/>
                <w:color w:val="auto"/>
              </w:rPr>
              <w:t>Additional paid in capital</w:t>
            </w:r>
          </w:p>
        </w:tc>
        <w:tc>
          <w:tcPr>
            <w:tcW w:w="3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11,867</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12,770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12,770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gridSpan w:val="4"/>
          </w:tcPr>
          <w:p>
            <w:pPr>
              <w:ind w:left="20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6,673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4"/>
          </w:tcPr>
          <w:p>
            <w:pPr>
              <w:ind w:left="200"/>
              <w:spacing w:after="0"/>
              <w:rPr>
                <w:sz w:val="20"/>
                <w:szCs w:val="20"/>
                <w:color w:val="auto"/>
              </w:rPr>
            </w:pPr>
            <w:r>
              <w:rPr>
                <w:rFonts w:ascii="Arial" w:cs="Arial" w:eastAsia="Arial" w:hAnsi="Arial"/>
                <w:sz w:val="16"/>
                <w:szCs w:val="16"/>
                <w:color w:val="auto"/>
              </w:rPr>
              <w:t>Total shareholders’ equity</w:t>
            </w:r>
          </w:p>
        </w:tc>
        <w:tc>
          <w:tcPr>
            <w:tcW w:w="3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15,608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19,351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19,351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780" w:type="dxa"/>
            <w:vAlign w:val="bottom"/>
            <w:gridSpan w:val="4"/>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Pr>
          <w:p>
            <w:pPr>
              <w:jc w:val="right"/>
              <w:ind w:right="168"/>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31,627</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34,714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34,714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560" w:type="dxa"/>
            <w:vAlign w:val="bottom"/>
            <w:gridSpan w:val="9"/>
          </w:tcPr>
          <w:p>
            <w:pPr>
              <w:spacing w:after="0"/>
              <w:rPr>
                <w:sz w:val="20"/>
                <w:szCs w:val="20"/>
                <w:color w:val="auto"/>
              </w:rPr>
            </w:pPr>
            <w:r>
              <w:rPr>
                <w:rFonts w:ascii="Arial" w:cs="Arial" w:eastAsia="Arial" w:hAnsi="Arial"/>
                <w:sz w:val="16"/>
                <w:szCs w:val="16"/>
                <w:color w:val="auto"/>
                <w:w w:val="91"/>
              </w:rPr>
              <w:t>The accompanying notes are an integral part of the consolidated financial statements.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color w:val="auto"/>
              </w:rPr>
              <w:t>F-4</w:t>
            </w: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80" w:right="1440" w:bottom="1440" w:gutter="0" w:footer="0" w:header="0"/>
        </w:sectPr>
      </w:pPr>
    </w:p>
    <w:bookmarkStart w:id="126" w:name="page127"/>
    <w:bookmarkEnd w:id="126"/>
    <w:p>
      <w:pPr>
        <w:jc w:val="right"/>
        <w:ind w:right="559"/>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CONSOLIDATED STATEMENTS OF INCOME</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6"/>
              </w:rPr>
              <w:t>Year ended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6"/>
              </w:rPr>
              <w:t>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9"/>
              </w:rPr>
              <w:t>2013</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537"/>
        </w:trPr>
        <w:tc>
          <w:tcPr>
            <w:tcW w:w="378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39,167</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49,395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66,364</w:t>
            </w:r>
          </w:p>
        </w:tc>
        <w:tc>
          <w:tcPr>
            <w:tcW w:w="0" w:type="dxa"/>
            <w:vAlign w:val="bottom"/>
          </w:tcPr>
          <w:p>
            <w:pPr>
              <w:spacing w:after="0"/>
              <w:rPr>
                <w:sz w:val="1"/>
                <w:szCs w:val="1"/>
                <w:color w:val="auto"/>
              </w:rPr>
            </w:pPr>
          </w:p>
        </w:tc>
      </w:tr>
      <w:tr>
        <w:trPr>
          <w:trHeight w:val="206"/>
        </w:trPr>
        <w:tc>
          <w:tcPr>
            <w:tcW w:w="3780" w:type="dxa"/>
            <w:vAlign w:val="bottom"/>
            <w:gridSpan w:val="2"/>
          </w:tcPr>
          <w:p>
            <w:pPr>
              <w:spacing w:after="0"/>
              <w:rPr>
                <w:sz w:val="20"/>
                <w:szCs w:val="20"/>
                <w:color w:val="auto"/>
              </w:rPr>
            </w:pPr>
            <w:r>
              <w:rPr>
                <w:rFonts w:ascii="Arial" w:cs="Arial" w:eastAsia="Arial" w:hAnsi="Arial"/>
                <w:sz w:val="16"/>
                <w:szCs w:val="16"/>
                <w:color w:val="auto"/>
              </w:rPr>
              <w:t>Cost of revenues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27,953</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37,187</w:t>
            </w:r>
          </w:p>
        </w:tc>
        <w:tc>
          <w:tcPr>
            <w:tcW w:w="0" w:type="dxa"/>
            <w:vAlign w:val="bottom"/>
          </w:tcPr>
          <w:p>
            <w:pPr>
              <w:spacing w:after="0"/>
              <w:rPr>
                <w:sz w:val="1"/>
                <w:szCs w:val="1"/>
                <w:color w:val="auto"/>
              </w:rPr>
            </w:pPr>
          </w:p>
        </w:tc>
      </w:tr>
      <w:tr>
        <w:trPr>
          <w:trHeight w:val="379"/>
        </w:trPr>
        <w:tc>
          <w:tcPr>
            <w:tcW w:w="37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16,426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21,442</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29,177</w:t>
            </w:r>
          </w:p>
        </w:tc>
        <w:tc>
          <w:tcPr>
            <w:tcW w:w="0" w:type="dxa"/>
            <w:vAlign w:val="bottom"/>
          </w:tcPr>
          <w:p>
            <w:pPr>
              <w:spacing w:after="0"/>
              <w:rPr>
                <w:sz w:val="1"/>
                <w:szCs w:val="1"/>
                <w:color w:val="auto"/>
              </w:rPr>
            </w:pPr>
          </w:p>
        </w:tc>
      </w:tr>
      <w:tr>
        <w:trPr>
          <w:trHeight w:val="368"/>
        </w:trPr>
        <w:tc>
          <w:tcPr>
            <w:tcW w:w="37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4,839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7,443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9,475</w:t>
            </w:r>
          </w:p>
        </w:tc>
        <w:tc>
          <w:tcPr>
            <w:tcW w:w="0" w:type="dxa"/>
            <w:vAlign w:val="bottom"/>
          </w:tcPr>
          <w:p>
            <w:pPr>
              <w:spacing w:after="0"/>
              <w:rPr>
                <w:sz w:val="1"/>
                <w:szCs w:val="1"/>
                <w:color w:val="auto"/>
              </w:rPr>
            </w:pPr>
          </w:p>
        </w:tc>
      </w:tr>
      <w:tr>
        <w:trPr>
          <w:trHeight w:val="194"/>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Selling and marketing</w:t>
            </w: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4,668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7,734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10,616</w:t>
            </w:r>
          </w:p>
        </w:tc>
        <w:tc>
          <w:tcPr>
            <w:tcW w:w="0" w:type="dxa"/>
            <w:vAlign w:val="bottom"/>
          </w:tcPr>
          <w:p>
            <w:pPr>
              <w:spacing w:after="0"/>
              <w:rPr>
                <w:sz w:val="1"/>
                <w:szCs w:val="1"/>
                <w:color w:val="auto"/>
              </w:rPr>
            </w:pPr>
          </w:p>
        </w:tc>
      </w:tr>
      <w:tr>
        <w:trPr>
          <w:trHeight w:val="206"/>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3,278</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w:t>
            </w: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12,599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18,455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25,357</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7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w:t>
            </w: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w:t>
            </w:r>
          </w:p>
        </w:tc>
        <w:tc>
          <w:tcPr>
            <w:tcW w:w="0" w:type="dxa"/>
            <w:vAlign w:val="bottom"/>
          </w:tcPr>
          <w:p>
            <w:pPr>
              <w:spacing w:after="0"/>
              <w:rPr>
                <w:sz w:val="1"/>
                <w:szCs w:val="1"/>
                <w:color w:val="auto"/>
              </w:rPr>
            </w:pPr>
          </w:p>
        </w:tc>
      </w:tr>
      <w:tr>
        <w:trPr>
          <w:trHeight w:val="380"/>
        </w:trPr>
        <w:tc>
          <w:tcPr>
            <w:tcW w:w="3780" w:type="dxa"/>
            <w:vAlign w:val="bottom"/>
            <w:gridSpan w:val="2"/>
          </w:tcPr>
          <w:p>
            <w:pPr>
              <w:spacing w:after="0"/>
              <w:rPr>
                <w:sz w:val="20"/>
                <w:szCs w:val="20"/>
                <w:color w:val="auto"/>
              </w:rPr>
            </w:pPr>
            <w:r>
              <w:rPr>
                <w:rFonts w:ascii="Arial" w:cs="Arial" w:eastAsia="Arial" w:hAnsi="Arial"/>
                <w:sz w:val="16"/>
                <w:szCs w:val="16"/>
                <w:color w:val="auto"/>
              </w:rPr>
              <w:t>Finance expenses, net</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67"/>
        </w:trPr>
        <w:tc>
          <w:tcPr>
            <w:tcW w:w="3780" w:type="dxa"/>
            <w:vAlign w:val="bottom"/>
            <w:gridSpan w:val="2"/>
          </w:tcPr>
          <w:p>
            <w:pPr>
              <w:spacing w:after="0"/>
              <w:rPr>
                <w:sz w:val="20"/>
                <w:szCs w:val="20"/>
                <w:color w:val="auto"/>
              </w:rPr>
            </w:pPr>
            <w:r>
              <w:rPr>
                <w:rFonts w:ascii="Arial" w:cs="Arial" w:eastAsia="Arial" w:hAnsi="Arial"/>
                <w:sz w:val="16"/>
                <w:szCs w:val="16"/>
                <w:color w:val="auto"/>
              </w:rPr>
              <w:t>Income before taxes on income</w:t>
            </w: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3,542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2,527</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3,805</w:t>
            </w:r>
          </w:p>
        </w:tc>
        <w:tc>
          <w:tcPr>
            <w:tcW w:w="0" w:type="dxa"/>
            <w:vAlign w:val="bottom"/>
          </w:tcPr>
          <w:p>
            <w:pPr>
              <w:spacing w:after="0"/>
              <w:rPr>
                <w:sz w:val="1"/>
                <w:szCs w:val="1"/>
                <w:color w:val="auto"/>
              </w:rPr>
            </w:pPr>
          </w:p>
        </w:tc>
      </w:tr>
      <w:tr>
        <w:trPr>
          <w:trHeight w:val="206"/>
        </w:trPr>
        <w:tc>
          <w:tcPr>
            <w:tcW w:w="3780" w:type="dxa"/>
            <w:vAlign w:val="bottom"/>
            <w:gridSpan w:val="2"/>
          </w:tcPr>
          <w:p>
            <w:pPr>
              <w:spacing w:after="0"/>
              <w:rPr>
                <w:sz w:val="20"/>
                <w:szCs w:val="20"/>
                <w:color w:val="auto"/>
              </w:rPr>
            </w:pPr>
            <w:r>
              <w:rPr>
                <w:rFonts w:ascii="Arial" w:cs="Arial" w:eastAsia="Arial" w:hAnsi="Arial"/>
                <w:sz w:val="16"/>
                <w:szCs w:val="16"/>
                <w:color w:val="auto"/>
              </w:rPr>
              <w:t>Taxes on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380"/>
        </w:trPr>
        <w:tc>
          <w:tcPr>
            <w:tcW w:w="37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2,314</w:t>
            </w: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1,134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780" w:type="dxa"/>
            <w:vAlign w:val="bottom"/>
            <w:gridSpan w:val="2"/>
          </w:tcPr>
          <w:p>
            <w:pPr>
              <w:spacing w:after="0"/>
              <w:rPr>
                <w:sz w:val="20"/>
                <w:szCs w:val="20"/>
                <w:color w:val="auto"/>
              </w:rPr>
            </w:pPr>
            <w:r>
              <w:rPr>
                <w:rFonts w:ascii="Arial" w:cs="Arial" w:eastAsia="Arial" w:hAnsi="Arial"/>
                <w:sz w:val="16"/>
                <w:szCs w:val="16"/>
                <w:color w:val="auto"/>
              </w:rPr>
              <w:t>Basic net earnings per share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0.26</w:t>
            </w: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0.13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780" w:type="dxa"/>
            <w:vAlign w:val="bottom"/>
            <w:gridSpan w:val="2"/>
          </w:tcPr>
          <w:p>
            <w:pPr>
              <w:spacing w:after="0"/>
              <w:rPr>
                <w:sz w:val="20"/>
                <w:szCs w:val="20"/>
                <w:color w:val="auto"/>
              </w:rPr>
            </w:pPr>
            <w:r>
              <w:rPr>
                <w:rFonts w:ascii="Arial" w:cs="Arial" w:eastAsia="Arial" w:hAnsi="Arial"/>
                <w:sz w:val="16"/>
                <w:szCs w:val="16"/>
                <w:color w:val="auto"/>
              </w:rPr>
              <w:t>Diluted net earnings per share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0.24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0.11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6"/>
                <w:szCs w:val="16"/>
                <w:color w:val="auto"/>
              </w:rPr>
              <w:t>Basic pro forma net earnings per ordinary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199"/>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(unaudited)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6"/>
                <w:szCs w:val="16"/>
                <w:color w:val="auto"/>
              </w:rPr>
              <w:t>Diluted pro forma net earnings per ordinary share</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99"/>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(unaudited)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27" w:name="page128"/>
    <w:bookmarkEnd w:id="127"/>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right="3559"/>
        <w:spacing w:after="0" w:line="302" w:lineRule="auto"/>
        <w:rPr>
          <w:sz w:val="20"/>
          <w:szCs w:val="20"/>
          <w:color w:val="auto"/>
        </w:rPr>
      </w:pPr>
      <w:r>
        <w:rPr>
          <w:rFonts w:ascii="Arial" w:cs="Arial" w:eastAsia="Arial" w:hAnsi="Arial"/>
          <w:sz w:val="16"/>
          <w:szCs w:val="16"/>
          <w:b w:val="1"/>
          <w:bCs w:val="1"/>
          <w:color w:val="auto"/>
        </w:rPr>
        <w:t>CONSOLIDATED STATEMENTS OF COMPREHENSIVE INCOME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-160020</wp:posOffset>
            </wp:positionV>
            <wp:extent cx="499935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Year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1"/>
        </w:trPr>
        <w:tc>
          <w:tcPr>
            <w:tcW w:w="3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86"/>
              </w:rPr>
              <w:t>December 31,</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9"/>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549"/>
        </w:trPr>
        <w:tc>
          <w:tcPr>
            <w:tcW w:w="378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2,314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1,134</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3,023</w:t>
            </w:r>
          </w:p>
        </w:tc>
        <w:tc>
          <w:tcPr>
            <w:tcW w:w="140" w:type="dxa"/>
            <w:vAlign w:val="bottom"/>
          </w:tcPr>
          <w:p>
            <w:pPr>
              <w:spacing w:after="0"/>
              <w:rPr>
                <w:sz w:val="24"/>
                <w:szCs w:val="24"/>
                <w:color w:val="auto"/>
              </w:rPr>
            </w:pPr>
          </w:p>
        </w:tc>
      </w:tr>
      <w:tr>
        <w:trPr>
          <w:trHeight w:val="376"/>
        </w:trPr>
        <w:tc>
          <w:tcPr>
            <w:tcW w:w="378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(183)</w:t>
            </w:r>
          </w:p>
        </w:tc>
      </w:tr>
      <w:tr>
        <w:trPr>
          <w:trHeight w:val="20"/>
        </w:trPr>
        <w:tc>
          <w:tcPr>
            <w:tcW w:w="3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w w:val="92"/>
              </w:rPr>
              <w:t>Net change in accumulated comprehensive income (loss)</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(183)</w:t>
            </w:r>
          </w:p>
        </w:tc>
      </w:tr>
      <w:tr>
        <w:trPr>
          <w:trHeight w:val="20"/>
        </w:trPr>
        <w:tc>
          <w:tcPr>
            <w:tcW w:w="3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rPr>
              <w:t>Comprehensive income</w:t>
            </w:r>
          </w:p>
        </w:tc>
        <w:tc>
          <w:tcPr>
            <w:tcW w:w="320" w:type="dxa"/>
            <w:vAlign w:val="bottom"/>
          </w:tcPr>
          <w:p>
            <w:pPr>
              <w:jc w:val="right"/>
              <w:ind w:right="16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2,314</w:t>
            </w: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1,171</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2,840</w:t>
            </w:r>
          </w:p>
        </w:tc>
        <w:tc>
          <w:tcPr>
            <w:tcW w:w="14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9"/>
        </w:trPr>
        <w:tc>
          <w:tcPr>
            <w:tcW w:w="6460" w:type="dxa"/>
            <w:vAlign w:val="bottom"/>
            <w:gridSpan w:val="8"/>
          </w:tcPr>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7"/>
        </w:trPr>
        <w:tc>
          <w:tcPr>
            <w:tcW w:w="3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color w:val="auto"/>
              </w:rPr>
              <w:t>F-6</w:t>
            </w: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1" w:right="1440" w:bottom="1440" w:gutter="0" w:footer="0" w:header="0"/>
        </w:sectPr>
      </w:pPr>
    </w:p>
    <w:bookmarkStart w:id="128" w:name="page129"/>
    <w:bookmarkEnd w:id="128"/>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STATEMENTS OF CHANGES IN SHAREHOLDERS’ EQUITY</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1880" w:type="dxa"/>
            <w:vAlign w:val="bottom"/>
          </w:tcPr>
          <w:p>
            <w:pPr>
              <w:spacing w:after="0"/>
              <w:rPr>
                <w:sz w:val="13"/>
                <w:szCs w:val="13"/>
                <w:color w:val="auto"/>
              </w:rPr>
            </w:pPr>
          </w:p>
        </w:tc>
        <w:tc>
          <w:tcPr>
            <w:tcW w:w="1400" w:type="dxa"/>
            <w:vAlign w:val="bottom"/>
            <w:gridSpan w:val="4"/>
          </w:tcPr>
          <w:p>
            <w:pPr>
              <w:ind w:left="60"/>
              <w:spacing w:after="0"/>
              <w:rPr>
                <w:sz w:val="20"/>
                <w:szCs w:val="20"/>
                <w:color w:val="auto"/>
              </w:rPr>
            </w:pPr>
            <w:r>
              <w:rPr>
                <w:rFonts w:ascii="Arial" w:cs="Arial" w:eastAsia="Arial" w:hAnsi="Arial"/>
                <w:sz w:val="13"/>
                <w:szCs w:val="13"/>
                <w:b w:val="1"/>
                <w:bCs w:val="1"/>
                <w:color w:val="auto"/>
              </w:rPr>
              <w:t>Preferred A-1 shares</w:t>
            </w:r>
          </w:p>
        </w:tc>
        <w:tc>
          <w:tcPr>
            <w:tcW w:w="142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Ordinary shares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800" w:type="dxa"/>
            <w:vAlign w:val="bottom"/>
            <w:tcBorders>
              <w:top w:val="single" w:sz="8" w:color="auto"/>
            </w:tcBorders>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99"/>
              </w:rPr>
              <w:t>Number of</w:t>
            </w: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2"/>
                <w:szCs w:val="12"/>
                <w:b w:val="1"/>
                <w:bCs w:val="1"/>
                <w:color w:val="auto"/>
              </w:rPr>
              <w:t>Number of</w:t>
            </w:r>
          </w:p>
        </w:tc>
        <w:tc>
          <w:tcPr>
            <w:tcW w:w="4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center"/>
              <w:ind w:right="60"/>
              <w:spacing w:after="0" w:line="106"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9"/>
                <w:szCs w:val="9"/>
                <w:color w:val="auto"/>
              </w:rPr>
            </w:pPr>
          </w:p>
        </w:tc>
        <w:tc>
          <w:tcPr>
            <w:tcW w:w="940" w:type="dxa"/>
            <w:vAlign w:val="bottom"/>
            <w:gridSpan w:val="2"/>
          </w:tcPr>
          <w:p>
            <w:pPr>
              <w:jc w:val="center"/>
              <w:ind w:right="140"/>
              <w:spacing w:after="0" w:line="106" w:lineRule="exact"/>
              <w:rPr>
                <w:sz w:val="20"/>
                <w:szCs w:val="20"/>
                <w:color w:val="auto"/>
              </w:rPr>
            </w:pPr>
            <w:r>
              <w:rPr>
                <w:rFonts w:ascii="Arial" w:cs="Arial" w:eastAsia="Arial" w:hAnsi="Arial"/>
                <w:sz w:val="12"/>
                <w:szCs w:val="12"/>
                <w:b w:val="1"/>
                <w:bCs w:val="1"/>
                <w:color w:val="auto"/>
                <w:w w:val="93"/>
              </w:rPr>
              <w:t>other</w:t>
            </w:r>
          </w:p>
        </w:tc>
        <w:tc>
          <w:tcPr>
            <w:tcW w:w="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9"/>
                <w:szCs w:val="9"/>
                <w:color w:val="auto"/>
              </w:rPr>
            </w:pPr>
          </w:p>
        </w:tc>
        <w:tc>
          <w:tcPr>
            <w:tcW w:w="780" w:type="dxa"/>
            <w:vAlign w:val="bottom"/>
            <w:gridSpan w:val="2"/>
          </w:tcPr>
          <w:p>
            <w:pPr>
              <w:jc w:val="right"/>
              <w:ind w:right="280"/>
              <w:spacing w:after="0" w:line="10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1880" w:type="dxa"/>
            <w:vAlign w:val="bottom"/>
            <w:vMerge w:val="restart"/>
          </w:tcPr>
          <w:p>
            <w:pPr>
              <w:spacing w:after="0"/>
              <w:rPr>
                <w:sz w:val="20"/>
                <w:szCs w:val="20"/>
                <w:color w:val="auto"/>
              </w:rPr>
            </w:pPr>
            <w:r>
              <w:rPr>
                <w:rFonts w:ascii="Arial" w:cs="Arial" w:eastAsia="Arial" w:hAnsi="Arial"/>
                <w:sz w:val="13"/>
                <w:szCs w:val="13"/>
                <w:b w:val="1"/>
                <w:bCs w:val="1"/>
                <w:color w:val="auto"/>
              </w:rPr>
              <w:t>Other comprehensive income</w:t>
            </w:r>
          </w:p>
        </w:tc>
        <w:tc>
          <w:tcPr>
            <w:tcW w:w="80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85"/>
              </w:rPr>
              <w:t>shares</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9"/>
              </w:rPr>
              <w:t>Amount</w:t>
            </w:r>
          </w:p>
        </w:tc>
        <w:tc>
          <w:tcPr>
            <w:tcW w:w="780" w:type="dxa"/>
            <w:vAlign w:val="bottom"/>
            <w:gridSpan w:val="2"/>
          </w:tcPr>
          <w:p>
            <w:pPr>
              <w:jc w:val="right"/>
              <w:ind w:right="280"/>
              <w:spacing w:after="0" w:line="133" w:lineRule="exact"/>
              <w:rPr>
                <w:sz w:val="20"/>
                <w:szCs w:val="20"/>
                <w:color w:val="auto"/>
              </w:rPr>
            </w:pPr>
            <w:r>
              <w:rPr>
                <w:rFonts w:ascii="Arial" w:cs="Arial" w:eastAsia="Arial" w:hAnsi="Arial"/>
                <w:sz w:val="13"/>
                <w:szCs w:val="13"/>
                <w:b w:val="1"/>
                <w:bCs w:val="1"/>
                <w:color w:val="auto"/>
              </w:rPr>
              <w:t>shares</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9"/>
              </w:rPr>
              <w:t>Amount</w:t>
            </w:r>
          </w:p>
        </w:tc>
        <w:tc>
          <w:tcPr>
            <w:tcW w:w="70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90"/>
              </w:rPr>
              <w:t>paid in</w:t>
            </w:r>
          </w:p>
        </w:tc>
        <w:tc>
          <w:tcPr>
            <w:tcW w:w="1020" w:type="dxa"/>
            <w:vAlign w:val="bottom"/>
            <w:gridSpan w:val="3"/>
          </w:tcPr>
          <w:p>
            <w:pPr>
              <w:jc w:val="center"/>
              <w:ind w:right="40"/>
              <w:spacing w:after="0" w:line="133" w:lineRule="exact"/>
              <w:rPr>
                <w:sz w:val="20"/>
                <w:szCs w:val="20"/>
                <w:color w:val="auto"/>
              </w:rPr>
            </w:pPr>
            <w:r>
              <w:rPr>
                <w:rFonts w:ascii="Arial" w:cs="Arial" w:eastAsia="Arial" w:hAnsi="Arial"/>
                <w:sz w:val="13"/>
                <w:szCs w:val="13"/>
                <w:b w:val="1"/>
                <w:bCs w:val="1"/>
                <w:color w:val="auto"/>
                <w:w w:val="85"/>
              </w:rPr>
              <w:t>comprehensive</w:t>
            </w:r>
          </w:p>
        </w:tc>
        <w:tc>
          <w:tcPr>
            <w:tcW w:w="580" w:type="dxa"/>
            <w:vAlign w:val="bottom"/>
            <w:gridSpan w:val="2"/>
            <w:vMerge w:val="continue"/>
          </w:tcPr>
          <w:p>
            <w:pPr>
              <w:spacing w:after="0"/>
              <w:rPr>
                <w:sz w:val="11"/>
                <w:szCs w:val="11"/>
                <w:color w:val="auto"/>
              </w:rPr>
            </w:pPr>
          </w:p>
        </w:tc>
        <w:tc>
          <w:tcPr>
            <w:tcW w:w="840" w:type="dxa"/>
            <w:vAlign w:val="bottom"/>
            <w:gridSpan w:val="3"/>
          </w:tcPr>
          <w:p>
            <w:pPr>
              <w:jc w:val="right"/>
              <w:ind w:right="40"/>
              <w:spacing w:after="0" w:line="133" w:lineRule="exact"/>
              <w:rPr>
                <w:sz w:val="20"/>
                <w:szCs w:val="20"/>
                <w:color w:val="auto"/>
              </w:rPr>
            </w:pPr>
            <w:r>
              <w:rPr>
                <w:rFonts w:ascii="Arial" w:cs="Arial" w:eastAsia="Arial" w:hAnsi="Arial"/>
                <w:sz w:val="13"/>
                <w:szCs w:val="13"/>
                <w:b w:val="1"/>
                <w:bCs w:val="1"/>
                <w:color w:val="auto"/>
                <w:w w:val="91"/>
              </w:rPr>
              <w:t>shareholders’</w:t>
            </w:r>
          </w:p>
        </w:tc>
        <w:tc>
          <w:tcPr>
            <w:tcW w:w="0" w:type="dxa"/>
            <w:vAlign w:val="bottom"/>
          </w:tcPr>
          <w:p>
            <w:pPr>
              <w:spacing w:after="0"/>
              <w:rPr>
                <w:sz w:val="1"/>
                <w:szCs w:val="1"/>
                <w:color w:val="auto"/>
              </w:rPr>
            </w:pPr>
          </w:p>
        </w:tc>
      </w:tr>
      <w:tr>
        <w:trPr>
          <w:trHeight w:val="153"/>
        </w:trPr>
        <w:tc>
          <w:tcPr>
            <w:tcW w:w="1880" w:type="dxa"/>
            <w:vAlign w:val="bottom"/>
            <w:vMerge w:val="continue"/>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outstanding</w:t>
            </w:r>
          </w:p>
        </w:tc>
        <w:tc>
          <w:tcPr>
            <w:tcW w:w="600" w:type="dxa"/>
            <w:vAlign w:val="bottom"/>
            <w:gridSpan w:val="2"/>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outstanding</w:t>
            </w:r>
          </w:p>
        </w:tc>
        <w:tc>
          <w:tcPr>
            <w:tcW w:w="640" w:type="dxa"/>
            <w:vAlign w:val="bottom"/>
            <w:gridSpan w:val="2"/>
            <w:vMerge w:val="continue"/>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income</w:t>
            </w: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earnings</w:t>
            </w:r>
          </w:p>
        </w:tc>
        <w:tc>
          <w:tcPr>
            <w:tcW w:w="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880" w:type="dxa"/>
            <w:vAlign w:val="bottom"/>
          </w:tcPr>
          <w:p>
            <w:pPr>
              <w:spacing w:after="0"/>
              <w:rPr>
                <w:sz w:val="20"/>
                <w:szCs w:val="20"/>
                <w:color w:val="auto"/>
              </w:rPr>
            </w:pPr>
            <w:r>
              <w:rPr>
                <w:rFonts w:ascii="Arial" w:cs="Arial" w:eastAsia="Arial" w:hAnsi="Arial"/>
                <w:sz w:val="13"/>
                <w:szCs w:val="13"/>
                <w:color w:val="auto"/>
              </w:rPr>
              <w:t>Balance at December 31, 2011</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w w:val="95"/>
              </w:rPr>
              <w:t>12,628,741</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32</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8,953,565</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22</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11,664</w:t>
            </w: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202</w:t>
            </w:r>
          </w:p>
        </w:tc>
        <w:tc>
          <w:tcPr>
            <w:tcW w:w="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11,920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88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2,314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2,314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880" w:type="dxa"/>
            <w:vAlign w:val="bottom"/>
          </w:tcPr>
          <w:p>
            <w:pPr>
              <w:spacing w:after="0"/>
              <w:rPr>
                <w:sz w:val="20"/>
                <w:szCs w:val="20"/>
                <w:color w:val="auto"/>
              </w:rPr>
            </w:pPr>
            <w:r>
              <w:rPr>
                <w:rFonts w:ascii="Arial" w:cs="Arial" w:eastAsia="Arial" w:hAnsi="Arial"/>
                <w:sz w:val="13"/>
                <w:szCs w:val="13"/>
                <w:color w:val="auto"/>
              </w:rPr>
              <w:t>Balance at December 31, 2012</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w w:val="95"/>
              </w:rPr>
              <w:t>12,628,741</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32</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8,953,565</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22</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11,741</w:t>
            </w: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2,516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14,311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88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1,134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880" w:type="dxa"/>
            <w:vAlign w:val="bottom"/>
          </w:tcPr>
          <w:p>
            <w:pPr>
              <w:spacing w:after="0"/>
              <w:rPr>
                <w:sz w:val="20"/>
                <w:szCs w:val="20"/>
                <w:color w:val="auto"/>
              </w:rPr>
            </w:pPr>
            <w:r>
              <w:rPr>
                <w:rFonts w:ascii="Arial" w:cs="Arial" w:eastAsia="Arial" w:hAnsi="Arial"/>
                <w:sz w:val="13"/>
                <w:szCs w:val="13"/>
                <w:color w:val="auto"/>
              </w:rPr>
              <w:t>Balance at December 31, 2013</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w w:val="95"/>
              </w:rPr>
              <w:t>12,628,741</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32</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8,953,565</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22</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11,867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3,650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15,608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88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3,023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20"/>
                <w:szCs w:val="20"/>
                <w:color w:val="auto"/>
              </w:rPr>
            </w:pPr>
            <w:r>
              <w:rPr>
                <w:rFonts w:ascii="Arial" w:cs="Arial" w:eastAsia="Arial" w:hAnsi="Arial"/>
                <w:sz w:val="13"/>
                <w:szCs w:val="13"/>
                <w:color w:val="auto"/>
              </w:rPr>
              <w:t>Exercise of options</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19,659</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897</w:t>
            </w:r>
          </w:p>
        </w:tc>
        <w:tc>
          <w:tcPr>
            <w:tcW w:w="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(183)</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1880" w:type="dxa"/>
            <w:vAlign w:val="bottom"/>
          </w:tcPr>
          <w:p>
            <w:pPr>
              <w:spacing w:after="0"/>
              <w:rPr>
                <w:sz w:val="20"/>
                <w:szCs w:val="20"/>
                <w:color w:val="auto"/>
              </w:rPr>
            </w:pPr>
            <w:r>
              <w:rPr>
                <w:rFonts w:ascii="Arial" w:cs="Arial" w:eastAsia="Arial" w:hAnsi="Arial"/>
                <w:sz w:val="13"/>
                <w:szCs w:val="13"/>
                <w:color w:val="auto"/>
              </w:rPr>
              <w:t>Balance at December 31, 2014</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w w:val="95"/>
              </w:rPr>
              <w:t>12,628,741</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32</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8,973,224</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22</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12,770</w:t>
            </w: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(146)</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6,673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19,351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Represents an amount lower than $1.</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29" w:name="page130"/>
    <w:bookmarkEnd w:id="129"/>
    <w:p>
      <w:pPr>
        <w:jc w:val="right"/>
        <w:ind w:right="559"/>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Year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5"/>
                <w:szCs w:val="15"/>
                <w:b w:val="1"/>
                <w:bCs w:val="1"/>
                <w:color w:val="auto"/>
                <w:w w:val="86"/>
              </w:rPr>
              <w:t>December 31,</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89"/>
              </w:rPr>
              <w:t>2013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8"/>
              </w:rPr>
              <w:t>Cash flows used in operating activities:</w:t>
            </w:r>
          </w:p>
        </w:tc>
        <w:tc>
          <w:tcPr>
            <w:tcW w:w="14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780" w:type="dxa"/>
            <w:vAlign w:val="bottom"/>
            <w:gridSpan w:val="4"/>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2,314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1,134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gridSpan w:val="4"/>
          </w:tcPr>
          <w:p>
            <w:pPr>
              <w:spacing w:after="0"/>
              <w:rPr>
                <w:sz w:val="20"/>
                <w:szCs w:val="20"/>
                <w:color w:val="auto"/>
              </w:rPr>
            </w:pPr>
            <w:r>
              <w:rPr>
                <w:rFonts w:ascii="Arial" w:cs="Arial" w:eastAsia="Arial" w:hAnsi="Arial"/>
                <w:sz w:val="15"/>
                <w:szCs w:val="15"/>
                <w:color w:val="auto"/>
                <w:w w:val="93"/>
              </w:rPr>
              <w:t>Adjustments to reconcile net income to net cash provided by</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gridSpan w:val="4"/>
          </w:tcPr>
          <w:p>
            <w:pPr>
              <w:ind w:left="200"/>
              <w:spacing w:after="0"/>
              <w:rPr>
                <w:sz w:val="20"/>
                <w:szCs w:val="20"/>
                <w:color w:val="auto"/>
              </w:rPr>
            </w:pPr>
            <w:r>
              <w:rPr>
                <w:rFonts w:ascii="Arial" w:cs="Arial" w:eastAsia="Arial" w:hAnsi="Arial"/>
                <w:sz w:val="15"/>
                <w:szCs w:val="15"/>
                <w:color w:val="auto"/>
              </w:rPr>
              <w:t>(used in) operating activities:</w:t>
            </w:r>
          </w:p>
        </w:tc>
        <w:tc>
          <w:tcPr>
            <w:tcW w:w="32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786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1,168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1,352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80" w:type="dxa"/>
            <w:vAlign w:val="bottom"/>
            <w:gridSpan w:val="4"/>
          </w:tcPr>
          <w:p>
            <w:pPr>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Share-based compensation</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Increase (decrease) in accrued severance pay, net</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Changes in deferred income taxes, net</w:t>
            </w:r>
          </w:p>
        </w:tc>
        <w:tc>
          <w:tcPr>
            <w:tcW w:w="3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Increase in trade receivables, net</w:t>
            </w:r>
          </w:p>
        </w:tc>
        <w:tc>
          <w:tcPr>
            <w:tcW w:w="3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(1,082)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(1,229)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(4,409)</w:t>
            </w: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Decrease (increase) in other accounts receivable</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383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(400)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Increase in inventories</w:t>
            </w:r>
          </w:p>
        </w:tc>
        <w:tc>
          <w:tcPr>
            <w:tcW w:w="3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(4,375)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(3,437)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198"/>
        </w:trPr>
        <w:tc>
          <w:tcPr>
            <w:tcW w:w="3780" w:type="dxa"/>
            <w:vAlign w:val="bottom"/>
            <w:gridSpan w:val="4"/>
          </w:tcPr>
          <w:p>
            <w:pPr>
              <w:spacing w:after="0"/>
              <w:rPr>
                <w:sz w:val="20"/>
                <w:szCs w:val="20"/>
                <w:color w:val="auto"/>
              </w:rPr>
            </w:pPr>
            <w:r>
              <w:rPr>
                <w:rFonts w:ascii="Arial" w:cs="Arial" w:eastAsia="Arial" w:hAnsi="Arial"/>
                <w:sz w:val="15"/>
                <w:szCs w:val="15"/>
                <w:color w:val="auto"/>
              </w:rPr>
              <w:t>Increase (decrease) in trade payables</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2,806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182"/>
        </w:trPr>
        <w:tc>
          <w:tcPr>
            <w:tcW w:w="3780" w:type="dxa"/>
            <w:vAlign w:val="bottom"/>
            <w:gridSpan w:val="4"/>
          </w:tcPr>
          <w:p>
            <w:pPr>
              <w:spacing w:after="0"/>
              <w:rPr>
                <w:sz w:val="20"/>
                <w:szCs w:val="20"/>
                <w:color w:val="auto"/>
              </w:rPr>
            </w:pPr>
            <w:r>
              <w:rPr>
                <w:rFonts w:ascii="Arial" w:cs="Arial" w:eastAsia="Arial" w:hAnsi="Arial"/>
                <w:sz w:val="15"/>
                <w:szCs w:val="15"/>
                <w:color w:val="auto"/>
                <w:w w:val="92"/>
              </w:rPr>
              <w:t>Increase (decrease) in deferred revenues and advances from</w:t>
            </w:r>
          </w:p>
        </w:tc>
        <w:tc>
          <w:tcPr>
            <w:tcW w:w="320" w:type="dxa"/>
            <w:vAlign w:val="bottom"/>
          </w:tcPr>
          <w:p>
            <w:pPr>
              <w:spacing w:after="0"/>
              <w:rPr>
                <w:sz w:val="15"/>
                <w:szCs w:val="15"/>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(1,119)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1,170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77"/>
        </w:trPr>
        <w:tc>
          <w:tcPr>
            <w:tcW w:w="3780" w:type="dxa"/>
            <w:vAlign w:val="bottom"/>
            <w:gridSpan w:val="4"/>
          </w:tcPr>
          <w:p>
            <w:pPr>
              <w:ind w:left="200"/>
              <w:spacing w:after="0"/>
              <w:rPr>
                <w:sz w:val="20"/>
                <w:szCs w:val="20"/>
                <w:color w:val="auto"/>
              </w:rPr>
            </w:pPr>
            <w:r>
              <w:rPr>
                <w:rFonts w:ascii="Arial" w:cs="Arial" w:eastAsia="Arial" w:hAnsi="Arial"/>
                <w:sz w:val="15"/>
                <w:szCs w:val="15"/>
                <w:color w:val="auto"/>
              </w:rPr>
              <w:t>customers</w:t>
            </w:r>
          </w:p>
        </w:tc>
        <w:tc>
          <w:tcPr>
            <w:tcW w:w="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Increase in employees and payroll accruals</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779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Increase in other assets</w:t>
            </w:r>
          </w:p>
        </w:tc>
        <w:tc>
          <w:tcPr>
            <w:tcW w:w="3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w w:val="92"/>
              </w:rPr>
              <w:t>Increase (decrease) in other payables and accrued expenses</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1,285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830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Interest on short-term bank deposit</w:t>
            </w:r>
          </w:p>
        </w:tc>
        <w:tc>
          <w:tcPr>
            <w:tcW w:w="3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Gain from sale of property and equipment</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3780" w:type="dxa"/>
            <w:vAlign w:val="bottom"/>
            <w:gridSpan w:val="4"/>
          </w:tcPr>
          <w:p>
            <w:pPr>
              <w:spacing w:after="0"/>
              <w:rPr>
                <w:sz w:val="20"/>
                <w:szCs w:val="20"/>
                <w:color w:val="auto"/>
              </w:rPr>
            </w:pPr>
            <w:r>
              <w:rPr>
                <w:rFonts w:ascii="Arial" w:cs="Arial" w:eastAsia="Arial" w:hAnsi="Arial"/>
                <w:sz w:val="15"/>
                <w:szCs w:val="15"/>
                <w:color w:val="auto"/>
              </w:rPr>
              <w:t>Foreign currency re-measurement gain (loss)</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780" w:type="dxa"/>
            <w:vAlign w:val="bottom"/>
            <w:gridSpan w:val="4"/>
          </w:tcPr>
          <w:p>
            <w:pPr>
              <w:spacing w:after="0"/>
              <w:rPr>
                <w:sz w:val="20"/>
                <w:szCs w:val="20"/>
                <w:color w:val="auto"/>
              </w:rPr>
            </w:pPr>
            <w:r>
              <w:rPr>
                <w:rFonts w:ascii="Arial" w:cs="Arial" w:eastAsia="Arial" w:hAnsi="Arial"/>
                <w:sz w:val="15"/>
                <w:szCs w:val="15"/>
                <w:color w:val="auto"/>
              </w:rPr>
              <w:t>Net cash provided by (used in) operating activities</w:t>
            </w:r>
          </w:p>
        </w:tc>
        <w:tc>
          <w:tcPr>
            <w:tcW w:w="3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(1,042)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2,738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44"/>
        </w:trPr>
        <w:tc>
          <w:tcPr>
            <w:tcW w:w="2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8"/>
              </w:rPr>
              <w:t>Cash flows used in investing activities:</w:t>
            </w:r>
          </w:p>
        </w:tc>
        <w:tc>
          <w:tcPr>
            <w:tcW w:w="1500" w:type="dxa"/>
            <w:vAlign w:val="bottom"/>
            <w:gridSpan w:val="3"/>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780" w:type="dxa"/>
            <w:vAlign w:val="bottom"/>
            <w:gridSpan w:val="4"/>
          </w:tcPr>
          <w:p>
            <w:pPr>
              <w:spacing w:after="0"/>
              <w:rPr>
                <w:sz w:val="20"/>
                <w:szCs w:val="20"/>
                <w:color w:val="auto"/>
              </w:rPr>
            </w:pPr>
            <w:r>
              <w:rPr>
                <w:rFonts w:ascii="Arial" w:cs="Arial" w:eastAsia="Arial" w:hAnsi="Arial"/>
                <w:sz w:val="15"/>
                <w:szCs w:val="15"/>
                <w:color w:val="auto"/>
              </w:rPr>
              <w:t>Purchase of property and equipment</w:t>
            </w:r>
          </w:p>
        </w:tc>
        <w:tc>
          <w:tcPr>
            <w:tcW w:w="3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(1,076)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(1,248)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Purchase of intangible assets</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Proceeds from (investment in) bank deposits, net</w:t>
            </w:r>
          </w:p>
        </w:tc>
        <w:tc>
          <w:tcPr>
            <w:tcW w:w="3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(2,045)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(575)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gridSpan w:val="4"/>
          </w:tcPr>
          <w:p>
            <w:pPr>
              <w:spacing w:after="0"/>
              <w:rPr>
                <w:sz w:val="20"/>
                <w:szCs w:val="20"/>
                <w:color w:val="auto"/>
              </w:rPr>
            </w:pPr>
            <w:r>
              <w:rPr>
                <w:rFonts w:ascii="Arial" w:cs="Arial" w:eastAsia="Arial" w:hAnsi="Arial"/>
                <w:sz w:val="15"/>
                <w:szCs w:val="15"/>
                <w:color w:val="auto"/>
              </w:rPr>
              <w:t>Proceeds from sale of property and equipment</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3780" w:type="dxa"/>
            <w:vAlign w:val="bottom"/>
            <w:gridSpan w:val="4"/>
          </w:tcPr>
          <w:p>
            <w:pPr>
              <w:spacing w:after="0"/>
              <w:rPr>
                <w:sz w:val="20"/>
                <w:szCs w:val="20"/>
                <w:color w:val="auto"/>
              </w:rPr>
            </w:pPr>
            <w:r>
              <w:rPr>
                <w:rFonts w:ascii="Arial" w:cs="Arial" w:eastAsia="Arial" w:hAnsi="Arial"/>
                <w:sz w:val="15"/>
                <w:szCs w:val="15"/>
                <w:color w:val="auto"/>
              </w:rPr>
              <w:t>Net cash provided by (used in) investing activities</w:t>
            </w:r>
          </w:p>
        </w:tc>
        <w:tc>
          <w:tcPr>
            <w:tcW w:w="3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(3,121)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(2,103)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9"/>
              </w:rPr>
              <w:t>Cash flows used in financing activities:</w:t>
            </w:r>
          </w:p>
        </w:tc>
        <w:tc>
          <w:tcPr>
            <w:tcW w:w="1480" w:type="dxa"/>
            <w:vAlign w:val="bottom"/>
            <w:gridSpan w:val="2"/>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780" w:type="dxa"/>
            <w:vAlign w:val="bottom"/>
            <w:gridSpan w:val="4"/>
          </w:tcPr>
          <w:p>
            <w:pPr>
              <w:spacing w:after="0"/>
              <w:rPr>
                <w:sz w:val="20"/>
                <w:szCs w:val="20"/>
                <w:color w:val="auto"/>
              </w:rPr>
            </w:pPr>
            <w:r>
              <w:rPr>
                <w:rFonts w:ascii="Arial" w:cs="Arial" w:eastAsia="Arial" w:hAnsi="Arial"/>
                <w:sz w:val="15"/>
                <w:szCs w:val="15"/>
                <w:color w:val="auto"/>
              </w:rPr>
              <w:t>Payment of deferred issuance costs</w:t>
            </w:r>
          </w:p>
        </w:tc>
        <w:tc>
          <w:tcPr>
            <w:tcW w:w="3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06"/>
        </w:trPr>
        <w:tc>
          <w:tcPr>
            <w:tcW w:w="3780" w:type="dxa"/>
            <w:vAlign w:val="bottom"/>
            <w:gridSpan w:val="4"/>
          </w:tcPr>
          <w:p>
            <w:pPr>
              <w:spacing w:after="0"/>
              <w:rPr>
                <w:sz w:val="20"/>
                <w:szCs w:val="20"/>
                <w:color w:val="auto"/>
              </w:rPr>
            </w:pPr>
            <w:r>
              <w:rPr>
                <w:rFonts w:ascii="Arial" w:cs="Arial" w:eastAsia="Arial" w:hAnsi="Arial"/>
                <w:sz w:val="15"/>
                <w:szCs w:val="15"/>
                <w:color w:val="auto"/>
              </w:rPr>
              <w:t>Exercise of employee stock options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3780" w:type="dxa"/>
            <w:vAlign w:val="bottom"/>
            <w:gridSpan w:val="4"/>
          </w:tcPr>
          <w:p>
            <w:pPr>
              <w:spacing w:after="0"/>
              <w:rPr>
                <w:sz w:val="20"/>
                <w:szCs w:val="20"/>
                <w:color w:val="auto"/>
              </w:rPr>
            </w:pPr>
            <w:r>
              <w:rPr>
                <w:rFonts w:ascii="Arial" w:cs="Arial" w:eastAsia="Arial" w:hAnsi="Arial"/>
                <w:sz w:val="15"/>
                <w:szCs w:val="15"/>
                <w:color w:val="auto"/>
              </w:rPr>
              <w:t>Net cash used in financing activities</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5"/>
                <w:szCs w:val="15"/>
                <w:color w:val="auto"/>
                <w:w w:val="95"/>
              </w:rPr>
              <w:t>Foreign currency translation adjustments on cash and cash</w:t>
            </w: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78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77"/>
        </w:trPr>
        <w:tc>
          <w:tcPr>
            <w:tcW w:w="3780" w:type="dxa"/>
            <w:vAlign w:val="bottom"/>
            <w:gridSpan w:val="4"/>
          </w:tcPr>
          <w:p>
            <w:pPr>
              <w:ind w:left="200"/>
              <w:spacing w:after="0"/>
              <w:rPr>
                <w:sz w:val="20"/>
                <w:szCs w:val="20"/>
                <w:color w:val="auto"/>
              </w:rPr>
            </w:pPr>
            <w:r>
              <w:rPr>
                <w:rFonts w:ascii="Arial" w:cs="Arial" w:eastAsia="Arial" w:hAnsi="Arial"/>
                <w:sz w:val="15"/>
                <w:szCs w:val="15"/>
                <w:color w:val="auto"/>
              </w:rPr>
              <w:t>equivalents</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80" w:type="dxa"/>
            <w:vAlign w:val="bottom"/>
            <w:gridSpan w:val="4"/>
          </w:tcPr>
          <w:p>
            <w:pPr>
              <w:spacing w:after="0"/>
              <w:rPr>
                <w:sz w:val="20"/>
                <w:szCs w:val="20"/>
                <w:color w:val="auto"/>
              </w:rPr>
            </w:pPr>
            <w:r>
              <w:rPr>
                <w:rFonts w:ascii="Arial" w:cs="Arial" w:eastAsia="Arial" w:hAnsi="Arial"/>
                <w:sz w:val="15"/>
                <w:szCs w:val="15"/>
                <w:color w:val="auto"/>
              </w:rPr>
              <w:t>Increase (decrease) in cash and cash equivalents</w:t>
            </w:r>
          </w:p>
        </w:tc>
        <w:tc>
          <w:tcPr>
            <w:tcW w:w="3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(4,163)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635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6"/>
        </w:trPr>
        <w:tc>
          <w:tcPr>
            <w:tcW w:w="3780" w:type="dxa"/>
            <w:vAlign w:val="bottom"/>
            <w:gridSpan w:val="4"/>
          </w:tcPr>
          <w:p>
            <w:pPr>
              <w:spacing w:after="0"/>
              <w:rPr>
                <w:sz w:val="20"/>
                <w:szCs w:val="20"/>
                <w:color w:val="auto"/>
              </w:rPr>
            </w:pPr>
            <w:r>
              <w:rPr>
                <w:rFonts w:ascii="Arial" w:cs="Arial" w:eastAsia="Arial" w:hAnsi="Arial"/>
                <w:sz w:val="15"/>
                <w:szCs w:val="15"/>
                <w:color w:val="auto"/>
              </w:rPr>
              <w:t>Cash and cash equivalents at the beginning of the year</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3780" w:type="dxa"/>
            <w:vAlign w:val="bottom"/>
            <w:gridSpan w:val="4"/>
          </w:tcPr>
          <w:p>
            <w:pPr>
              <w:spacing w:after="0"/>
              <w:rPr>
                <w:sz w:val="20"/>
                <w:szCs w:val="20"/>
                <w:color w:val="auto"/>
              </w:rPr>
            </w:pPr>
            <w:r>
              <w:rPr>
                <w:rFonts w:ascii="Arial" w:cs="Arial" w:eastAsia="Arial" w:hAnsi="Arial"/>
                <w:sz w:val="15"/>
                <w:szCs w:val="15"/>
                <w:color w:val="auto"/>
              </w:rPr>
              <w:t>Cash and cash equivalents at the end of the year</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4,663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5,329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4,993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5"/>
                <w:szCs w:val="15"/>
                <w:color w:val="auto"/>
              </w:rPr>
              <w:t>Supplemental disclosure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78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94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Cash paid during the year for income taxes</w:t>
            </w:r>
          </w:p>
        </w:tc>
        <w:tc>
          <w:tcPr>
            <w:tcW w:w="840" w:type="dxa"/>
            <w:vAlign w:val="bottom"/>
          </w:tcPr>
          <w:p>
            <w:pPr>
              <w:spacing w:after="0"/>
              <w:rPr>
                <w:sz w:val="24"/>
                <w:szCs w:val="24"/>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119</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903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480" w:type="dxa"/>
            <w:vAlign w:val="bottom"/>
            <w:gridSpan w:val="11"/>
          </w:tcPr>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color w:val="auto"/>
              </w:rPr>
              <w:t>F-8</w:t>
            </w: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80" w:right="1440" w:bottom="1440" w:gutter="0" w:footer="0" w:header="0"/>
        </w:sectPr>
      </w:pPr>
    </w:p>
    <w:bookmarkStart w:id="130" w:name="page131"/>
    <w:bookmarkEnd w:id="130"/>
    <w:p>
      <w:pPr>
        <w:jc w:val="right"/>
        <w:ind w:right="559"/>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6"/>
              </w:rPr>
              <w:t>Year ended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6"/>
              </w:rPr>
              <w:t>December 31,</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9"/>
              </w:rPr>
              <w:t>2013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780" w:type="dxa"/>
            <w:vAlign w:val="bottom"/>
            <w:gridSpan w:val="3"/>
          </w:tcPr>
          <w:p>
            <w:pPr>
              <w:spacing w:after="0"/>
              <w:rPr>
                <w:sz w:val="20"/>
                <w:szCs w:val="20"/>
                <w:color w:val="auto"/>
              </w:rPr>
            </w:pPr>
            <w:r>
              <w:rPr>
                <w:rFonts w:ascii="Arial" w:cs="Arial" w:eastAsia="Arial" w:hAnsi="Arial"/>
                <w:sz w:val="16"/>
                <w:szCs w:val="16"/>
                <w:color w:val="auto"/>
              </w:rPr>
              <w:t>(a)  Non-cash investing and financing activities: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111</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37</w:t>
            </w: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line="20" w:lineRule="exact"/>
              <w:rPr>
                <w:sz w:val="1"/>
                <w:szCs w:val="1"/>
                <w:color w:val="auto"/>
              </w:rPr>
            </w:pPr>
          </w:p>
        </w:tc>
      </w:tr>
      <w:tr>
        <w:trPr>
          <w:trHeight w:val="404"/>
        </w:trPr>
        <w:tc>
          <w:tcPr>
            <w:tcW w:w="3780" w:type="dxa"/>
            <w:vAlign w:val="bottom"/>
            <w:gridSpan w:val="3"/>
          </w:tcPr>
          <w:p>
            <w:pPr>
              <w:ind w:left="340"/>
              <w:spacing w:after="0"/>
              <w:rPr>
                <w:sz w:val="20"/>
                <w:szCs w:val="20"/>
                <w:color w:val="auto"/>
              </w:rPr>
            </w:pPr>
            <w:r>
              <w:rPr>
                <w:rFonts w:ascii="Arial" w:cs="Arial" w:eastAsia="Arial" w:hAnsi="Arial"/>
                <w:sz w:val="16"/>
                <w:szCs w:val="16"/>
                <w:color w:val="auto"/>
              </w:rPr>
              <w:t>Purchase of property and equipment on credit</w:t>
            </w:r>
          </w:p>
        </w:tc>
        <w:tc>
          <w:tcPr>
            <w:tcW w:w="240" w:type="dxa"/>
            <w:vAlign w:val="bottom"/>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ind w:left="340"/>
              <w:spacing w:after="0" w:line="174" w:lineRule="exact"/>
              <w:rPr>
                <w:sz w:val="20"/>
                <w:szCs w:val="20"/>
                <w:color w:val="auto"/>
              </w:rPr>
            </w:pPr>
            <w:r>
              <w:rPr>
                <w:rFonts w:ascii="Arial" w:cs="Arial" w:eastAsia="Arial" w:hAnsi="Arial"/>
                <w:sz w:val="16"/>
                <w:szCs w:val="16"/>
                <w:color w:val="auto"/>
                <w:w w:val="99"/>
              </w:rPr>
              <w:t>Inventory transferred to be used as property and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80" w:type="dxa"/>
            <w:vAlign w:val="bottom"/>
            <w:gridSpan w:val="3"/>
            <w:vMerge w:val="continue"/>
          </w:tcPr>
          <w:p>
            <w:pPr>
              <w:spacing w:after="0"/>
              <w:rPr>
                <w:sz w:val="11"/>
                <w:szCs w:val="11"/>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380</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208</w:t>
            </w: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94"/>
        </w:trPr>
        <w:tc>
          <w:tcPr>
            <w:tcW w:w="3780" w:type="dxa"/>
            <w:vAlign w:val="bottom"/>
            <w:gridSpan w:val="3"/>
          </w:tcPr>
          <w:p>
            <w:pPr>
              <w:ind w:left="340"/>
              <w:spacing w:after="0"/>
              <w:rPr>
                <w:sz w:val="20"/>
                <w:szCs w:val="20"/>
                <w:color w:val="auto"/>
              </w:rPr>
            </w:pPr>
            <w:r>
              <w:rPr>
                <w:rFonts w:ascii="Arial" w:cs="Arial" w:eastAsia="Arial" w:hAnsi="Arial"/>
                <w:sz w:val="16"/>
                <w:szCs w:val="16"/>
                <w:color w:val="auto"/>
              </w:rPr>
              <w:t>equipment</w:t>
            </w:r>
          </w:p>
        </w:tc>
        <w:tc>
          <w:tcPr>
            <w:tcW w:w="2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ind w:left="340"/>
              <w:spacing w:after="0" w:line="174" w:lineRule="exact"/>
              <w:rPr>
                <w:sz w:val="20"/>
                <w:szCs w:val="20"/>
                <w:color w:val="auto"/>
              </w:rPr>
            </w:pPr>
            <w:r>
              <w:rPr>
                <w:rFonts w:ascii="Arial" w:cs="Arial" w:eastAsia="Arial" w:hAnsi="Arial"/>
                <w:sz w:val="16"/>
                <w:szCs w:val="16"/>
                <w:color w:val="auto"/>
                <w:w w:val="96"/>
              </w:rPr>
              <w:t>Property and equipment transferred to be used as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80" w:type="dxa"/>
            <w:vAlign w:val="bottom"/>
            <w:gridSpan w:val="3"/>
            <w:vMerge w:val="continue"/>
          </w:tcPr>
          <w:p>
            <w:pPr>
              <w:spacing w:after="0"/>
              <w:rPr>
                <w:sz w:val="11"/>
                <w:szCs w:val="11"/>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4"/>
        </w:trPr>
        <w:tc>
          <w:tcPr>
            <w:tcW w:w="3780" w:type="dxa"/>
            <w:vAlign w:val="bottom"/>
            <w:gridSpan w:val="3"/>
          </w:tcPr>
          <w:p>
            <w:pPr>
              <w:ind w:left="340"/>
              <w:spacing w:after="0"/>
              <w:rPr>
                <w:sz w:val="20"/>
                <w:szCs w:val="20"/>
                <w:color w:val="auto"/>
              </w:rPr>
            </w:pPr>
            <w:r>
              <w:rPr>
                <w:rFonts w:ascii="Arial" w:cs="Arial" w:eastAsia="Arial" w:hAnsi="Arial"/>
                <w:sz w:val="16"/>
                <w:szCs w:val="16"/>
                <w:color w:val="auto"/>
              </w:rPr>
              <w:t>inventory</w:t>
            </w:r>
          </w:p>
        </w:tc>
        <w:tc>
          <w:tcPr>
            <w:tcW w:w="2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ind w:left="340"/>
              <w:spacing w:after="0"/>
              <w:rPr>
                <w:sz w:val="20"/>
                <w:szCs w:val="20"/>
                <w:color w:val="auto"/>
              </w:rPr>
            </w:pPr>
            <w:r>
              <w:rPr>
                <w:rFonts w:ascii="Arial" w:cs="Arial" w:eastAsia="Arial" w:hAnsi="Arial"/>
                <w:sz w:val="16"/>
                <w:szCs w:val="16"/>
                <w:color w:val="auto"/>
              </w:rPr>
              <w:t>Issuance expenses on credit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gridSpan w:val="3"/>
            <w:vMerge w:val="continue"/>
          </w:tcPr>
          <w:p>
            <w:pPr>
              <w:spacing w:after="0"/>
              <w:rPr>
                <w:sz w:val="14"/>
                <w:szCs w:val="14"/>
                <w:color w:val="auto"/>
              </w:rPr>
            </w:pPr>
          </w:p>
        </w:tc>
        <w:tc>
          <w:tcPr>
            <w:tcW w:w="240" w:type="dxa"/>
            <w:vAlign w:val="bottom"/>
            <w:tcBorders>
              <w:bottom w:val="single" w:sz="8" w:color="auto"/>
            </w:tcBorders>
          </w:tcPr>
          <w:p>
            <w:pPr>
              <w:jc w:val="right"/>
              <w:ind w:right="84"/>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32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188</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31" w:name="page132"/>
    <w:bookmarkEnd w:id="131"/>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1:-</w:t>
        <w:tab/>
        <w:t>GENERAL</w:t>
      </w:r>
    </w:p>
    <w:p>
      <w:pPr>
        <w:spacing w:after="0" w:line="208" w:lineRule="exact"/>
        <w:rPr>
          <w:sz w:val="20"/>
          <w:szCs w:val="20"/>
          <w:color w:val="auto"/>
        </w:rPr>
      </w:pPr>
    </w:p>
    <w:p>
      <w:pPr>
        <w:ind w:left="1840" w:right="639" w:hanging="342"/>
        <w:spacing w:after="0" w:line="259" w:lineRule="auto"/>
        <w:tabs>
          <w:tab w:leader="none" w:pos="1824" w:val="left"/>
        </w:tabs>
        <w:numPr>
          <w:ilvl w:val="0"/>
          <w:numId w:val="86"/>
        </w:numPr>
        <w:rPr>
          <w:rFonts w:ascii="Arial" w:cs="Arial" w:eastAsia="Arial" w:hAnsi="Arial"/>
          <w:sz w:val="16"/>
          <w:szCs w:val="16"/>
          <w:color w:val="auto"/>
        </w:rPr>
      </w:pPr>
      <w:r>
        <w:rPr>
          <w:rFonts w:ascii="Arial" w:cs="Arial" w:eastAsia="Arial" w:hAnsi="Arial"/>
          <w:sz w:val="16"/>
          <w:szCs w:val="16"/>
          <w:color w:val="auto"/>
        </w:rPr>
        <w:t>Kornit Digital Ltd. (the “Company”) was incorporated in 2002 under the laws of the State of Israel. The Company and its subsidiaries develop, design and market digital printing solutions for the global printed textile industry. The Company and its subsidiaries’ solutions are based on their proprietary digital textile printing systems, ink and other consumables, associated software and value added services.</w:t>
      </w:r>
    </w:p>
    <w:p>
      <w:pPr>
        <w:spacing w:after="0" w:line="170" w:lineRule="exact"/>
        <w:rPr>
          <w:rFonts w:ascii="Arial" w:cs="Arial" w:eastAsia="Arial" w:hAnsi="Arial"/>
          <w:sz w:val="16"/>
          <w:szCs w:val="16"/>
          <w:color w:val="auto"/>
        </w:rPr>
      </w:pPr>
    </w:p>
    <w:p>
      <w:pPr>
        <w:jc w:val="both"/>
        <w:ind w:left="1840" w:right="779" w:hanging="342"/>
        <w:spacing w:after="0" w:line="322" w:lineRule="auto"/>
        <w:tabs>
          <w:tab w:leader="none" w:pos="1799"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Company has established wholly-owned subsidiaries in Israel, the United States, Germany and Hong-Kong. The Company’s subsidiaries are engaged primarily in sales, and marketing, except for the Israeli subsidiary which is engaged primarily in research and development and manufacturing.</w:t>
      </w:r>
    </w:p>
    <w:p>
      <w:pPr>
        <w:spacing w:after="0" w:line="127" w:lineRule="exact"/>
        <w:rPr>
          <w:rFonts w:ascii="Arial" w:cs="Arial" w:eastAsia="Arial" w:hAnsi="Arial"/>
          <w:sz w:val="14"/>
          <w:szCs w:val="14"/>
          <w:color w:val="auto"/>
        </w:rPr>
      </w:pPr>
    </w:p>
    <w:p>
      <w:pPr>
        <w:ind w:left="1840" w:right="599" w:hanging="342"/>
        <w:spacing w:after="0" w:line="305" w:lineRule="auto"/>
        <w:tabs>
          <w:tab w:leader="none" w:pos="1824"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Company depends on two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36"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w:t>
      </w:r>
    </w:p>
    <w:p>
      <w:pPr>
        <w:spacing w:after="0" w:line="208" w:lineRule="exact"/>
        <w:rPr>
          <w:sz w:val="20"/>
          <w:szCs w:val="20"/>
          <w:color w:val="auto"/>
        </w:rPr>
      </w:pPr>
    </w:p>
    <w:p>
      <w:pPr>
        <w:ind w:left="1500" w:right="1279"/>
        <w:spacing w:after="0" w:line="281" w:lineRule="auto"/>
        <w:rPr>
          <w:sz w:val="20"/>
          <w:szCs w:val="20"/>
          <w:color w:val="auto"/>
        </w:rPr>
      </w:pPr>
      <w:r>
        <w:rPr>
          <w:rFonts w:ascii="Arial" w:cs="Arial" w:eastAsia="Arial" w:hAnsi="Arial"/>
          <w:sz w:val="16"/>
          <w:szCs w:val="16"/>
          <w:color w:val="auto"/>
        </w:rPr>
        <w:t>The consolidated financial statements have been prepared in accordance with generally accepted accounting principles in the United States (“U.S. GAAP”).</w:t>
      </w:r>
    </w:p>
    <w:p>
      <w:pPr>
        <w:spacing w:after="0" w:line="151" w:lineRule="exact"/>
        <w:rPr>
          <w:sz w:val="20"/>
          <w:szCs w:val="20"/>
          <w:color w:val="auto"/>
        </w:rPr>
      </w:pPr>
    </w:p>
    <w:p>
      <w:pPr>
        <w:ind w:left="1820" w:hanging="322"/>
        <w:spacing w:after="0"/>
        <w:tabs>
          <w:tab w:leader="none" w:pos="18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203" w:lineRule="exact"/>
        <w:rPr>
          <w:rFonts w:ascii="Arial" w:cs="Arial" w:eastAsia="Arial" w:hAnsi="Arial"/>
          <w:sz w:val="16"/>
          <w:szCs w:val="16"/>
          <w:color w:val="auto"/>
        </w:rPr>
      </w:pPr>
    </w:p>
    <w:p>
      <w:pPr>
        <w:ind w:left="1840" w:right="619"/>
        <w:spacing w:after="0" w:line="257" w:lineRule="auto"/>
        <w:rPr>
          <w:rFonts w:ascii="Arial" w:cs="Arial" w:eastAsia="Arial" w:hAnsi="Arial"/>
          <w:sz w:val="16"/>
          <w:szCs w:val="16"/>
          <w:color w:val="auto"/>
        </w:rPr>
      </w:pPr>
      <w:r>
        <w:rPr>
          <w:rFonts w:ascii="Arial" w:cs="Arial" w:eastAsia="Arial" w:hAnsi="Arial"/>
          <w:sz w:val="16"/>
          <w:szCs w:val="16"/>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71" w:lineRule="exact"/>
        <w:rPr>
          <w:rFonts w:ascii="Arial" w:cs="Arial" w:eastAsia="Arial" w:hAnsi="Arial"/>
          <w:sz w:val="16"/>
          <w:szCs w:val="16"/>
          <w:color w:val="auto"/>
        </w:rPr>
      </w:pPr>
    </w:p>
    <w:p>
      <w:pPr>
        <w:ind w:left="1840" w:right="679"/>
        <w:spacing w:after="0" w:line="258" w:lineRule="auto"/>
        <w:rPr>
          <w:rFonts w:ascii="Arial" w:cs="Arial" w:eastAsia="Arial" w:hAnsi="Arial"/>
          <w:sz w:val="16"/>
          <w:szCs w:val="16"/>
          <w:color w:val="auto"/>
        </w:rPr>
      </w:pPr>
      <w:r>
        <w:rPr>
          <w:rFonts w:ascii="Arial" w:cs="Arial" w:eastAsia="Arial" w:hAnsi="Arial"/>
          <w:sz w:val="16"/>
          <w:szCs w:val="16"/>
          <w:color w:val="auto"/>
        </w:rPr>
        <w:t>On an ongoing basis, the Company’s management evaluates estimates, including those related to fair value and useful life of intangible assets,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169" w:lineRule="exact"/>
        <w:rPr>
          <w:rFonts w:ascii="Arial" w:cs="Arial" w:eastAsia="Arial" w:hAnsi="Arial"/>
          <w:sz w:val="16"/>
          <w:szCs w:val="16"/>
          <w:color w:val="auto"/>
        </w:rPr>
      </w:pPr>
    </w:p>
    <w:p>
      <w:pPr>
        <w:ind w:left="1800" w:hanging="302"/>
        <w:spacing w:after="0"/>
        <w:tabs>
          <w:tab w:leader="none" w:pos="18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Financial statements in United States dollars:</w:t>
      </w:r>
    </w:p>
    <w:p>
      <w:pPr>
        <w:spacing w:after="0" w:line="204" w:lineRule="exact"/>
        <w:rPr>
          <w:sz w:val="20"/>
          <w:szCs w:val="20"/>
          <w:color w:val="auto"/>
        </w:rPr>
      </w:pPr>
    </w:p>
    <w:p>
      <w:pPr>
        <w:ind w:left="1840" w:right="639"/>
        <w:spacing w:after="0" w:line="296" w:lineRule="auto"/>
        <w:rPr>
          <w:sz w:val="20"/>
          <w:szCs w:val="20"/>
          <w:color w:val="auto"/>
        </w:rPr>
      </w:pPr>
      <w:r>
        <w:rPr>
          <w:rFonts w:ascii="Arial" w:cs="Arial" w:eastAsia="Arial" w:hAnsi="Arial"/>
          <w:sz w:val="14"/>
          <w:szCs w:val="14"/>
          <w:color w:val="auto"/>
        </w:rPr>
        <w:t>A majority of the revenues of the Company and its subsidiaries are denominated in U.S. dollars (“dollar” or “dollars”). The Company’s management believes that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(expense) in the period in which the currency exchange rates change.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32" w:name="page133"/>
    <w:bookmarkEnd w:id="132"/>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 (Cont.)</w:t>
      </w:r>
    </w:p>
    <w:p>
      <w:pPr>
        <w:spacing w:after="0" w:line="208" w:lineRule="exact"/>
        <w:rPr>
          <w:sz w:val="20"/>
          <w:szCs w:val="20"/>
          <w:color w:val="auto"/>
        </w:rPr>
      </w:pPr>
    </w:p>
    <w:p>
      <w:pPr>
        <w:ind w:left="1840" w:right="599"/>
        <w:spacing w:after="0" w:line="278" w:lineRule="auto"/>
        <w:rPr>
          <w:sz w:val="20"/>
          <w:szCs w:val="20"/>
          <w:color w:val="auto"/>
        </w:rPr>
      </w:pPr>
      <w:r>
        <w:rPr>
          <w:rFonts w:ascii="Arial" w:cs="Arial" w:eastAsia="Arial" w:hAnsi="Arial"/>
          <w:sz w:val="15"/>
          <w:szCs w:val="15"/>
          <w:color w:val="auto"/>
        </w:rPr>
        <w:t>For the Company’s subsidiary in Germany whose functional currency starting 2013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58" w:lineRule="exact"/>
        <w:rPr>
          <w:sz w:val="20"/>
          <w:szCs w:val="20"/>
          <w:color w:val="auto"/>
        </w:rPr>
      </w:pPr>
    </w:p>
    <w:p>
      <w:pPr>
        <w:ind w:left="1820" w:hanging="322"/>
        <w:spacing w:after="0"/>
        <w:tabs>
          <w:tab w:leader="none" w:pos="18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Unaudited pro forma shareholders equity:</w:t>
      </w:r>
    </w:p>
    <w:p>
      <w:pPr>
        <w:spacing w:after="0" w:line="203" w:lineRule="exact"/>
        <w:rPr>
          <w:rFonts w:ascii="Arial" w:cs="Arial" w:eastAsia="Arial" w:hAnsi="Arial"/>
          <w:sz w:val="16"/>
          <w:szCs w:val="16"/>
          <w:color w:val="auto"/>
        </w:rPr>
      </w:pPr>
    </w:p>
    <w:p>
      <w:pPr>
        <w:ind w:left="1840" w:right="579"/>
        <w:spacing w:after="0" w:line="256" w:lineRule="auto"/>
        <w:rPr>
          <w:rFonts w:ascii="Arial" w:cs="Arial" w:eastAsia="Arial" w:hAnsi="Arial"/>
          <w:sz w:val="16"/>
          <w:szCs w:val="16"/>
          <w:color w:val="auto"/>
        </w:rPr>
      </w:pPr>
      <w:r>
        <w:rPr>
          <w:rFonts w:ascii="Arial" w:cs="Arial" w:eastAsia="Arial" w:hAnsi="Arial"/>
          <w:sz w:val="16"/>
          <w:szCs w:val="16"/>
          <w:color w:val="auto"/>
        </w:rPr>
        <w:t>The Company’s board of directors has authorized the filing of a Registration Statement with the U.S. Securities and Exchange Commission to register the Company’s ordinary shares for sale to the public. Upon the closing of the Company’s proposed Initial Public Offering (the “IPO”), subject to satisfying the requirement of a Qualified IPO which is defined as an IPO that results in at least $30,000 of proceeds to the Company, all of the authorized, issued, and outstanding preferred shares of the Company will be automatically converted into ordinary shares. Unaudited pro forma shareholders’ equity as of December 31, 2014, as adjusted for the assumed conversion of such shares is disclosed in the balance sheet.</w:t>
      </w:r>
    </w:p>
    <w:p>
      <w:pPr>
        <w:spacing w:after="0" w:line="174" w:lineRule="exact"/>
        <w:rPr>
          <w:rFonts w:ascii="Arial" w:cs="Arial" w:eastAsia="Arial" w:hAnsi="Arial"/>
          <w:sz w:val="16"/>
          <w:szCs w:val="16"/>
          <w:color w:val="auto"/>
        </w:rPr>
      </w:pPr>
    </w:p>
    <w:p>
      <w:pPr>
        <w:ind w:left="1800" w:hanging="302"/>
        <w:spacing w:after="0"/>
        <w:tabs>
          <w:tab w:leader="none" w:pos="1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Principles of consolidation:</w:t>
      </w:r>
    </w:p>
    <w:p>
      <w:pPr>
        <w:spacing w:after="0" w:line="204" w:lineRule="exact"/>
        <w:rPr>
          <w:sz w:val="20"/>
          <w:szCs w:val="20"/>
          <w:color w:val="auto"/>
        </w:rPr>
      </w:pPr>
    </w:p>
    <w:p>
      <w:pPr>
        <w:ind w:left="1840" w:right="799"/>
        <w:spacing w:after="0" w:line="267" w:lineRule="auto"/>
        <w:rPr>
          <w:sz w:val="20"/>
          <w:szCs w:val="20"/>
          <w:color w:val="auto"/>
        </w:rPr>
      </w:pPr>
      <w:r>
        <w:rPr>
          <w:rFonts w:ascii="Arial" w:cs="Arial" w:eastAsia="Arial" w:hAnsi="Arial"/>
          <w:sz w:val="16"/>
          <w:szCs w:val="16"/>
          <w:color w:val="auto"/>
        </w:rPr>
        <w:t>The consolidated financial statements include the accounts of the Company and its subsidiaries. Intercompany balances and transactions including profits from intercompany have been eliminated upon consolidation.</w:t>
      </w:r>
    </w:p>
    <w:p>
      <w:pPr>
        <w:spacing w:after="0" w:line="161" w:lineRule="exact"/>
        <w:rPr>
          <w:sz w:val="20"/>
          <w:szCs w:val="20"/>
          <w:color w:val="auto"/>
        </w:rPr>
      </w:pPr>
    </w:p>
    <w:p>
      <w:pPr>
        <w:ind w:left="1820" w:hanging="322"/>
        <w:spacing w:after="0"/>
        <w:tabs>
          <w:tab w:leader="none" w:pos="1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Cash equivalents:</w:t>
      </w:r>
    </w:p>
    <w:p>
      <w:pPr>
        <w:spacing w:after="0" w:line="203" w:lineRule="exact"/>
        <w:rPr>
          <w:rFonts w:ascii="Arial" w:cs="Arial" w:eastAsia="Arial" w:hAnsi="Arial"/>
          <w:sz w:val="16"/>
          <w:szCs w:val="16"/>
          <w:color w:val="auto"/>
        </w:rPr>
      </w:pPr>
    </w:p>
    <w:p>
      <w:pPr>
        <w:ind w:left="1840" w:right="859"/>
        <w:spacing w:after="0" w:line="281" w:lineRule="auto"/>
        <w:rPr>
          <w:rFonts w:ascii="Arial" w:cs="Arial" w:eastAsia="Arial" w:hAnsi="Arial"/>
          <w:sz w:val="16"/>
          <w:szCs w:val="16"/>
          <w:color w:val="auto"/>
        </w:rPr>
      </w:pPr>
      <w:r>
        <w:rPr>
          <w:rFonts w:ascii="Arial" w:cs="Arial" w:eastAsia="Arial" w:hAnsi="Arial"/>
          <w:sz w:val="16"/>
          <w:szCs w:val="16"/>
          <w:color w:val="auto"/>
        </w:rPr>
        <w:t>Cash equivalents are short-term highly liquid investments that are readily convertible to cash with original maturities of three months or less, at acquisition.</w:t>
      </w:r>
    </w:p>
    <w:p>
      <w:pPr>
        <w:spacing w:after="0" w:line="150" w:lineRule="exact"/>
        <w:rPr>
          <w:rFonts w:ascii="Arial" w:cs="Arial" w:eastAsia="Arial" w:hAnsi="Arial"/>
          <w:sz w:val="16"/>
          <w:szCs w:val="16"/>
          <w:color w:val="auto"/>
        </w:rPr>
      </w:pPr>
    </w:p>
    <w:p>
      <w:pPr>
        <w:ind w:left="1800" w:hanging="302"/>
        <w:spacing w:after="0"/>
        <w:tabs>
          <w:tab w:leader="none" w:pos="18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Short-term deposits:</w:t>
      </w:r>
    </w:p>
    <w:p>
      <w:pPr>
        <w:spacing w:after="0" w:line="204" w:lineRule="exact"/>
        <w:rPr>
          <w:sz w:val="20"/>
          <w:szCs w:val="20"/>
          <w:color w:val="auto"/>
        </w:rPr>
      </w:pPr>
    </w:p>
    <w:p>
      <w:pPr>
        <w:ind w:left="1840" w:right="699"/>
        <w:spacing w:after="0" w:line="267" w:lineRule="auto"/>
        <w:rPr>
          <w:sz w:val="20"/>
          <w:szCs w:val="20"/>
          <w:color w:val="auto"/>
        </w:rPr>
      </w:pPr>
      <w:r>
        <w:rPr>
          <w:rFonts w:ascii="Arial" w:cs="Arial" w:eastAsia="Arial" w:hAnsi="Arial"/>
          <w:sz w:val="16"/>
          <w:szCs w:val="16"/>
          <w:color w:val="auto"/>
        </w:rPr>
        <w:t>Short-term bank deposits are deposits with an original maturity of more than three months but less than one year from the date of acquisition. The deposits are presented at their cost including accrued interest.</w:t>
      </w:r>
    </w:p>
    <w:p>
      <w:pPr>
        <w:spacing w:after="0" w:line="161" w:lineRule="exact"/>
        <w:rPr>
          <w:sz w:val="20"/>
          <w:szCs w:val="20"/>
          <w:color w:val="auto"/>
        </w:rPr>
      </w:pPr>
    </w:p>
    <w:p>
      <w:pPr>
        <w:ind w:left="1800" w:hanging="302"/>
        <w:spacing w:after="0"/>
        <w:tabs>
          <w:tab w:leader="none" w:pos="18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Inventories:</w:t>
      </w:r>
    </w:p>
    <w:p>
      <w:pPr>
        <w:spacing w:after="0" w:line="204" w:lineRule="exact"/>
        <w:rPr>
          <w:sz w:val="20"/>
          <w:szCs w:val="20"/>
          <w:color w:val="auto"/>
        </w:rPr>
      </w:pPr>
    </w:p>
    <w:p>
      <w:pPr>
        <w:ind w:left="1840" w:right="599"/>
        <w:spacing w:after="0" w:line="285" w:lineRule="auto"/>
        <w:rPr>
          <w:sz w:val="20"/>
          <w:szCs w:val="20"/>
          <w:color w:val="auto"/>
        </w:rPr>
      </w:pPr>
      <w:r>
        <w:rPr>
          <w:rFonts w:ascii="Arial" w:cs="Arial" w:eastAsia="Arial" w:hAnsi="Arial"/>
          <w:sz w:val="15"/>
          <w:szCs w:val="15"/>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33" w:name="page134"/>
    <w:bookmarkEnd w:id="133"/>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 (Cont.)</w:t>
      </w: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Cost of inventories is determined as follows:</w:t>
      </w:r>
    </w:p>
    <w:p>
      <w:pPr>
        <w:spacing w:after="0" w:line="20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Raw and packing materials — on the basis of weighted average cost.</w:t>
      </w:r>
    </w:p>
    <w:p>
      <w:pPr>
        <w:spacing w:after="0" w:line="204"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Finished goods — on the basis of average costs of materials, and other direct manufacturing cost.</w:t>
      </w:r>
    </w:p>
    <w:p>
      <w:pPr>
        <w:spacing w:after="0" w:line="215" w:lineRule="exact"/>
        <w:rPr>
          <w:sz w:val="20"/>
          <w:szCs w:val="20"/>
          <w:color w:val="auto"/>
        </w:rPr>
      </w:pPr>
    </w:p>
    <w:p>
      <w:pPr>
        <w:ind w:left="1840" w:right="979"/>
        <w:spacing w:after="0" w:line="316" w:lineRule="auto"/>
        <w:rPr>
          <w:sz w:val="20"/>
          <w:szCs w:val="20"/>
          <w:color w:val="auto"/>
        </w:rPr>
      </w:pPr>
      <w:r>
        <w:rPr>
          <w:rFonts w:ascii="Arial" w:cs="Arial" w:eastAsia="Arial" w:hAnsi="Arial"/>
          <w:sz w:val="15"/>
          <w:szCs w:val="15"/>
          <w:color w:val="auto"/>
        </w:rPr>
        <w:t>Inventory write off have been provided to cover risks arising from dead and slow moving items, technological obsolescence and excess inventories according to revenue forecasts.</w:t>
      </w:r>
    </w:p>
    <w:p>
      <w:pPr>
        <w:spacing w:after="0" w:line="127" w:lineRule="exact"/>
        <w:rPr>
          <w:sz w:val="20"/>
          <w:szCs w:val="20"/>
          <w:color w:val="auto"/>
        </w:rPr>
      </w:pPr>
    </w:p>
    <w:p>
      <w:pPr>
        <w:ind w:left="1840" w:right="899"/>
        <w:spacing w:after="0" w:line="281" w:lineRule="auto"/>
        <w:rPr>
          <w:sz w:val="20"/>
          <w:szCs w:val="20"/>
          <w:color w:val="auto"/>
        </w:rPr>
      </w:pPr>
      <w:r>
        <w:rPr>
          <w:rFonts w:ascii="Arial" w:cs="Arial" w:eastAsia="Arial" w:hAnsi="Arial"/>
          <w:sz w:val="16"/>
          <w:szCs w:val="16"/>
          <w:color w:val="auto"/>
        </w:rPr>
        <w:t>During the years ended 2012, 2013 and 2014 the Company recorded inventory write off in a total amount of $129, $369 and $287, respectively.</w:t>
      </w:r>
    </w:p>
    <w:p>
      <w:pPr>
        <w:spacing w:after="0" w:line="151" w:lineRule="exact"/>
        <w:rPr>
          <w:sz w:val="20"/>
          <w:szCs w:val="20"/>
          <w:color w:val="auto"/>
        </w:rPr>
      </w:pPr>
    </w:p>
    <w:p>
      <w:pPr>
        <w:ind w:left="1840" w:hanging="342"/>
        <w:spacing w:after="0"/>
        <w:tabs>
          <w:tab w:leader="none" w:pos="18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Property and equipment:</w:t>
      </w:r>
    </w:p>
    <w:p>
      <w:pPr>
        <w:spacing w:after="0" w:line="203" w:lineRule="exact"/>
        <w:rPr>
          <w:rFonts w:ascii="Arial" w:cs="Arial" w:eastAsia="Arial" w:hAnsi="Arial"/>
          <w:sz w:val="16"/>
          <w:szCs w:val="16"/>
          <w:color w:val="auto"/>
        </w:rPr>
      </w:pPr>
    </w:p>
    <w:p>
      <w:pPr>
        <w:jc w:val="both"/>
        <w:ind w:left="1840" w:right="719"/>
        <w:spacing w:after="0" w:line="322" w:lineRule="auto"/>
        <w:rPr>
          <w:rFonts w:ascii="Arial" w:cs="Arial" w:eastAsia="Arial" w:hAnsi="Arial"/>
          <w:sz w:val="16"/>
          <w:szCs w:val="16"/>
          <w:color w:val="auto"/>
        </w:rPr>
      </w:pPr>
      <w:r>
        <w:rPr>
          <w:rFonts w:ascii="Arial" w:cs="Arial" w:eastAsia="Arial" w:hAnsi="Arial"/>
          <w:sz w:val="14"/>
          <w:szCs w:val="14"/>
          <w:color w:val="auto"/>
        </w:rPr>
        <w:t>Property and equipment are measured at cost, including directly attributable costs, less accumulated depreciation and amortization and accumulated impairment losses. Depreciation and amortization is calculated on a straight-line basis over the useful life of the assets at annual rates as follows:</w:t>
      </w:r>
    </w:p>
    <w:p>
      <w:pPr>
        <w:spacing w:after="0" w:line="127"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500" w:type="dxa"/>
            <w:vAlign w:val="bottom"/>
          </w:tcPr>
          <w:p>
            <w:pPr>
              <w:spacing w:after="0"/>
              <w:rPr>
                <w:sz w:val="16"/>
                <w:szCs w:val="16"/>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b w:val="1"/>
                <w:bCs w:val="1"/>
                <w:color w:val="auto"/>
              </w:rPr>
              <w:t>%</w:t>
            </w:r>
          </w:p>
        </w:tc>
      </w:tr>
      <w:tr>
        <w:trPr>
          <w:trHeight w:val="395"/>
        </w:trPr>
        <w:tc>
          <w:tcPr>
            <w:tcW w:w="350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7 – 20</w:t>
            </w:r>
          </w:p>
        </w:tc>
      </w:tr>
      <w:tr>
        <w:trPr>
          <w:trHeight w:val="194"/>
        </w:trPr>
        <w:tc>
          <w:tcPr>
            <w:tcW w:w="3500" w:type="dxa"/>
            <w:vAlign w:val="bottom"/>
          </w:tcPr>
          <w:p>
            <w:pPr>
              <w:spacing w:after="0"/>
              <w:rPr>
                <w:sz w:val="20"/>
                <w:szCs w:val="20"/>
                <w:color w:val="auto"/>
              </w:rPr>
            </w:pPr>
            <w:r>
              <w:rPr>
                <w:rFonts w:ascii="Arial" w:cs="Arial" w:eastAsia="Arial" w:hAnsi="Arial"/>
                <w:sz w:val="16"/>
                <w:szCs w:val="16"/>
                <w:color w:val="auto"/>
              </w:rPr>
              <w:t>Computer, peripheral equipment and software</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33</w:t>
            </w:r>
          </w:p>
        </w:tc>
      </w:tr>
      <w:tr>
        <w:trPr>
          <w:trHeight w:val="194"/>
        </w:trPr>
        <w:tc>
          <w:tcPr>
            <w:tcW w:w="350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15</w:t>
            </w:r>
          </w:p>
        </w:tc>
      </w:tr>
      <w:tr>
        <w:trPr>
          <w:trHeight w:val="206"/>
        </w:trPr>
        <w:tc>
          <w:tcPr>
            <w:tcW w:w="35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r>
    </w:tbl>
    <w:p>
      <w:pPr>
        <w:spacing w:after="0" w:line="158" w:lineRule="exact"/>
        <w:rPr>
          <w:sz w:val="20"/>
          <w:szCs w:val="20"/>
          <w:color w:val="auto"/>
        </w:rPr>
      </w:pPr>
    </w:p>
    <w:p>
      <w:pPr>
        <w:ind w:left="2120" w:right="659" w:hanging="243"/>
        <w:spacing w:after="0" w:line="267" w:lineRule="auto"/>
        <w:tabs>
          <w:tab w:leader="none" w:pos="2132" w:val="left"/>
        </w:tabs>
        <w:numPr>
          <w:ilvl w:val="1"/>
          <w:numId w:val="92"/>
        </w:numPr>
        <w:rPr>
          <w:rFonts w:ascii="Arial" w:cs="Arial" w:eastAsia="Arial" w:hAnsi="Arial"/>
          <w:sz w:val="16"/>
          <w:szCs w:val="16"/>
          <w:color w:val="auto"/>
        </w:rPr>
      </w:pPr>
      <w:r>
        <w:rPr>
          <w:rFonts w:ascii="Arial" w:cs="Arial" w:eastAsia="Arial" w:hAnsi="Arial"/>
          <w:sz w:val="16"/>
          <w:szCs w:val="16"/>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61" w:lineRule="exact"/>
        <w:rPr>
          <w:rFonts w:ascii="Arial" w:cs="Arial" w:eastAsia="Arial" w:hAnsi="Arial"/>
          <w:sz w:val="16"/>
          <w:szCs w:val="16"/>
          <w:color w:val="auto"/>
        </w:rPr>
      </w:pPr>
    </w:p>
    <w:p>
      <w:pPr>
        <w:ind w:left="1820" w:hanging="322"/>
        <w:spacing w:after="0"/>
        <w:tabs>
          <w:tab w:leader="none" w:pos="18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Impairment of long lived assets and intangible assets subject to amortization:</w:t>
      </w:r>
    </w:p>
    <w:p>
      <w:pPr>
        <w:spacing w:after="0" w:line="203" w:lineRule="exact"/>
        <w:rPr>
          <w:rFonts w:ascii="Arial" w:cs="Arial" w:eastAsia="Arial" w:hAnsi="Arial"/>
          <w:sz w:val="16"/>
          <w:szCs w:val="16"/>
          <w:color w:val="auto"/>
        </w:rPr>
      </w:pPr>
    </w:p>
    <w:p>
      <w:pPr>
        <w:ind w:left="1840" w:right="579"/>
        <w:spacing w:after="0" w:line="300" w:lineRule="auto"/>
        <w:rPr>
          <w:rFonts w:ascii="Arial" w:cs="Arial" w:eastAsia="Arial" w:hAnsi="Arial"/>
          <w:sz w:val="16"/>
          <w:szCs w:val="16"/>
          <w:color w:val="auto"/>
        </w:rPr>
      </w:pPr>
      <w:r>
        <w:rPr>
          <w:rFonts w:ascii="Arial" w:cs="Arial" w:eastAsia="Arial" w:hAnsi="Arial"/>
          <w:sz w:val="14"/>
          <w:szCs w:val="14"/>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41" w:lineRule="exact"/>
        <w:rPr>
          <w:rFonts w:ascii="Arial" w:cs="Arial" w:eastAsia="Arial" w:hAnsi="Arial"/>
          <w:sz w:val="16"/>
          <w:szCs w:val="16"/>
          <w:color w:val="auto"/>
        </w:rPr>
      </w:pPr>
    </w:p>
    <w:p>
      <w:pPr>
        <w:ind w:left="1840"/>
        <w:spacing w:after="0"/>
        <w:rPr>
          <w:rFonts w:ascii="Arial" w:cs="Arial" w:eastAsia="Arial" w:hAnsi="Arial"/>
          <w:sz w:val="16"/>
          <w:szCs w:val="16"/>
          <w:color w:val="auto"/>
        </w:rPr>
      </w:pPr>
      <w:r>
        <w:rPr>
          <w:rFonts w:ascii="Arial" w:cs="Arial" w:eastAsia="Arial" w:hAnsi="Arial"/>
          <w:sz w:val="16"/>
          <w:szCs w:val="16"/>
          <w:color w:val="auto"/>
        </w:rPr>
        <w:t>During the years ended 2012, 2013 and 2014 no impairment losses were recorded.</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34" w:name="page135"/>
    <w:bookmarkEnd w:id="134"/>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 (Cont.)</w:t>
      </w:r>
    </w:p>
    <w:p>
      <w:pPr>
        <w:spacing w:after="0" w:line="208" w:lineRule="exact"/>
        <w:rPr>
          <w:sz w:val="20"/>
          <w:szCs w:val="20"/>
          <w:color w:val="auto"/>
        </w:rPr>
      </w:pPr>
    </w:p>
    <w:p>
      <w:pPr>
        <w:ind w:left="1820" w:hanging="322"/>
        <w:spacing w:after="0"/>
        <w:tabs>
          <w:tab w:leader="none" w:pos="18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Revenue recognition:</w:t>
      </w:r>
    </w:p>
    <w:p>
      <w:pPr>
        <w:spacing w:after="0" w:line="203" w:lineRule="exact"/>
        <w:rPr>
          <w:rFonts w:ascii="Arial" w:cs="Arial" w:eastAsia="Arial" w:hAnsi="Arial"/>
          <w:sz w:val="16"/>
          <w:szCs w:val="16"/>
          <w:color w:val="auto"/>
        </w:rPr>
      </w:pPr>
    </w:p>
    <w:p>
      <w:pPr>
        <w:ind w:left="1840" w:right="779"/>
        <w:spacing w:after="0" w:line="267" w:lineRule="auto"/>
        <w:rPr>
          <w:rFonts w:ascii="Arial" w:cs="Arial" w:eastAsia="Arial" w:hAnsi="Arial"/>
          <w:sz w:val="16"/>
          <w:szCs w:val="16"/>
          <w:color w:val="auto"/>
        </w:rPr>
      </w:pPr>
      <w:r>
        <w:rPr>
          <w:rFonts w:ascii="Arial" w:cs="Arial" w:eastAsia="Arial" w:hAnsi="Arial"/>
          <w:sz w:val="16"/>
          <w:szCs w:val="16"/>
          <w:color w:val="auto"/>
        </w:rPr>
        <w:t>The Company generates revenues from the sale of its systems, inks and consumable products and from services to its products. The Company generates revenues from sale of its products directly to end-users and indirectly through independent distributors.</w:t>
      </w:r>
    </w:p>
    <w:p>
      <w:pPr>
        <w:spacing w:after="0" w:line="161" w:lineRule="exact"/>
        <w:rPr>
          <w:rFonts w:ascii="Arial" w:cs="Arial" w:eastAsia="Arial" w:hAnsi="Arial"/>
          <w:sz w:val="16"/>
          <w:szCs w:val="16"/>
          <w:color w:val="auto"/>
        </w:rPr>
      </w:pPr>
    </w:p>
    <w:p>
      <w:pPr>
        <w:ind w:left="1840" w:right="599"/>
        <w:spacing w:after="0" w:line="262" w:lineRule="auto"/>
        <w:rPr>
          <w:rFonts w:ascii="Arial" w:cs="Arial" w:eastAsia="Arial" w:hAnsi="Arial"/>
          <w:sz w:val="16"/>
          <w:szCs w:val="16"/>
          <w:color w:val="auto"/>
        </w:rPr>
      </w:pPr>
      <w:r>
        <w:rPr>
          <w:rFonts w:ascii="Arial" w:cs="Arial" w:eastAsia="Arial" w:hAnsi="Arial"/>
          <w:sz w:val="16"/>
          <w:szCs w:val="16"/>
          <w:color w:val="auto"/>
        </w:rPr>
        <w:t>Revenues from printer sales are recognized in accordance with ASC No. 605, “Revenue Recognition” upon installation, provided that the collection of the resulting receivable is probable, there is persuasive evidence of an arrangement, no significant obligations in respect of installation remain and the price is fixed or determinable.</w:t>
      </w:r>
    </w:p>
    <w:p>
      <w:pPr>
        <w:spacing w:after="0" w:line="165" w:lineRule="exact"/>
        <w:rPr>
          <w:rFonts w:ascii="Arial" w:cs="Arial" w:eastAsia="Arial" w:hAnsi="Arial"/>
          <w:sz w:val="16"/>
          <w:szCs w:val="16"/>
          <w:color w:val="auto"/>
        </w:rPr>
      </w:pPr>
    </w:p>
    <w:p>
      <w:pPr>
        <w:ind w:left="1840" w:right="599"/>
        <w:spacing w:after="0" w:line="281" w:lineRule="auto"/>
        <w:rPr>
          <w:rFonts w:ascii="Arial" w:cs="Arial" w:eastAsia="Arial" w:hAnsi="Arial"/>
          <w:sz w:val="16"/>
          <w:szCs w:val="16"/>
          <w:color w:val="auto"/>
        </w:rPr>
      </w:pPr>
      <w:r>
        <w:rPr>
          <w:rFonts w:ascii="Arial" w:cs="Arial" w:eastAsia="Arial" w:hAnsi="Arial"/>
          <w:sz w:val="15"/>
          <w:szCs w:val="15"/>
          <w:color w:val="auto"/>
        </w:rPr>
        <w:t>Revenues from selling these products to independent distributors who do not install the systems are deferred until the Company’s products are installed in the customers’ premises by the Company’s service and support teams, provided that all other revenue recognition criteria are met. Revenues from selling products to independent distributors who install these systems are recognized upon delivery, provided that all other revenue recognition criteria are met.</w:t>
      </w:r>
    </w:p>
    <w:p>
      <w:pPr>
        <w:spacing w:after="0" w:line="153" w:lineRule="exact"/>
        <w:rPr>
          <w:rFonts w:ascii="Arial" w:cs="Arial" w:eastAsia="Arial" w:hAnsi="Arial"/>
          <w:sz w:val="16"/>
          <w:szCs w:val="16"/>
          <w:color w:val="auto"/>
        </w:rPr>
      </w:pPr>
    </w:p>
    <w:p>
      <w:pPr>
        <w:ind w:left="1840" w:right="639"/>
        <w:spacing w:after="0" w:line="298" w:lineRule="auto"/>
        <w:rPr>
          <w:rFonts w:ascii="Arial" w:cs="Arial" w:eastAsia="Arial" w:hAnsi="Arial"/>
          <w:sz w:val="16"/>
          <w:szCs w:val="16"/>
          <w:color w:val="auto"/>
        </w:rPr>
      </w:pPr>
      <w:r>
        <w:rPr>
          <w:rFonts w:ascii="Arial" w:cs="Arial" w:eastAsia="Arial" w:hAnsi="Arial"/>
          <w:sz w:val="14"/>
          <w:szCs w:val="14"/>
          <w:color w:val="auto"/>
        </w:rPr>
        <w:t>In respect of sale of products, installation of the systems and training, the Company considers the element in the arrangement to be a single unit of accounting. In accordance with ASC 605, the Company has concluded that its arrangements are generally consistent with the indicators suggesting that installation and training are essential to the functionality of the systems. Therefore, the Company recognizes revenue for the systems only upon installation and training when installation and training are the Company’s responsibility. When the installation and training are not being performed by the Company, the Company would recognize the revenues upon delivery in accordance with the agreed-upon delivery terms once all other revenue recognition criteria have been met.</w:t>
      </w:r>
    </w:p>
    <w:p>
      <w:pPr>
        <w:spacing w:after="0" w:line="144" w:lineRule="exact"/>
        <w:rPr>
          <w:rFonts w:ascii="Arial" w:cs="Arial" w:eastAsia="Arial" w:hAnsi="Arial"/>
          <w:sz w:val="16"/>
          <w:szCs w:val="16"/>
          <w:color w:val="auto"/>
        </w:rPr>
      </w:pPr>
    </w:p>
    <w:p>
      <w:pPr>
        <w:ind w:left="1840" w:right="659"/>
        <w:spacing w:after="0" w:line="262" w:lineRule="auto"/>
        <w:rPr>
          <w:rFonts w:ascii="Arial" w:cs="Arial" w:eastAsia="Arial" w:hAnsi="Arial"/>
          <w:sz w:val="16"/>
          <w:szCs w:val="16"/>
          <w:color w:val="auto"/>
        </w:rPr>
      </w:pPr>
      <w:r>
        <w:rPr>
          <w:rFonts w:ascii="Arial" w:cs="Arial" w:eastAsia="Arial" w:hAnsi="Arial"/>
          <w:sz w:val="16"/>
          <w:szCs w:val="16"/>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65" w:lineRule="exact"/>
        <w:rPr>
          <w:rFonts w:ascii="Arial" w:cs="Arial" w:eastAsia="Arial" w:hAnsi="Arial"/>
          <w:sz w:val="16"/>
          <w:szCs w:val="16"/>
          <w:color w:val="auto"/>
        </w:rPr>
      </w:pPr>
    </w:p>
    <w:p>
      <w:pPr>
        <w:ind w:left="1840" w:right="719"/>
        <w:spacing w:after="0" w:line="355" w:lineRule="auto"/>
        <w:rPr>
          <w:rFonts w:ascii="Arial" w:cs="Arial" w:eastAsia="Arial" w:hAnsi="Arial"/>
          <w:sz w:val="16"/>
          <w:szCs w:val="16"/>
          <w:color w:val="auto"/>
        </w:rPr>
      </w:pPr>
      <w:r>
        <w:rPr>
          <w:rFonts w:ascii="Arial" w:cs="Arial" w:eastAsia="Arial" w:hAnsi="Arial"/>
          <w:sz w:val="14"/>
          <w:szCs w:val="14"/>
          <w:color w:val="auto"/>
        </w:rPr>
        <w:t>Revenues from ink and other consumable products when sold separately from systems are generally recognized upon shipment assuming all other revenue recognition criteria have been met.</w:t>
      </w:r>
    </w:p>
    <w:p>
      <w:pPr>
        <w:spacing w:after="0" w:line="105" w:lineRule="exact"/>
        <w:rPr>
          <w:rFonts w:ascii="Arial" w:cs="Arial" w:eastAsia="Arial" w:hAnsi="Arial"/>
          <w:sz w:val="16"/>
          <w:szCs w:val="16"/>
          <w:color w:val="auto"/>
        </w:rPr>
      </w:pPr>
    </w:p>
    <w:p>
      <w:pPr>
        <w:ind w:left="1840" w:right="599"/>
        <w:spacing w:after="0" w:line="259" w:lineRule="auto"/>
        <w:rPr>
          <w:rFonts w:ascii="Arial" w:cs="Arial" w:eastAsia="Arial" w:hAnsi="Arial"/>
          <w:sz w:val="16"/>
          <w:szCs w:val="16"/>
          <w:color w:val="auto"/>
        </w:rPr>
      </w:pPr>
      <w:r>
        <w:rPr>
          <w:rFonts w:ascii="Arial" w:cs="Arial" w:eastAsia="Arial" w:hAnsi="Arial"/>
          <w:sz w:val="16"/>
          <w:szCs w:val="16"/>
          <w:color w:val="auto"/>
        </w:rPr>
        <w:t>Although, in general, the Company does not grant rights of return, there are certain instances where such rights are granted. The Company maintains a provision for returns in accordance with ASC 605, which is estimated, based primarily on historical experience as well as management judgment, and is recorded as reduction in revenue. Such provision amounted to $84 and $348 as of December 31, 2013 and 2014, respectively.</w:t>
      </w:r>
    </w:p>
    <w:p>
      <w:pPr>
        <w:spacing w:after="0" w:line="170" w:lineRule="exact"/>
        <w:rPr>
          <w:rFonts w:ascii="Arial" w:cs="Arial" w:eastAsia="Arial" w:hAnsi="Arial"/>
          <w:sz w:val="16"/>
          <w:szCs w:val="16"/>
          <w:color w:val="auto"/>
        </w:rPr>
      </w:pPr>
    </w:p>
    <w:p>
      <w:pPr>
        <w:ind w:left="1840" w:right="959"/>
        <w:spacing w:after="0" w:line="281" w:lineRule="auto"/>
        <w:rPr>
          <w:rFonts w:ascii="Arial" w:cs="Arial" w:eastAsia="Arial" w:hAnsi="Arial"/>
          <w:sz w:val="16"/>
          <w:szCs w:val="16"/>
          <w:color w:val="auto"/>
        </w:rPr>
      </w:pPr>
      <w:r>
        <w:rPr>
          <w:rFonts w:ascii="Arial" w:cs="Arial" w:eastAsia="Arial" w:hAnsi="Arial"/>
          <w:sz w:val="16"/>
          <w:szCs w:val="16"/>
          <w:color w:val="auto"/>
        </w:rPr>
        <w:t>Deferred revenue includes amounts received from customers for which revenue has not yet been recognized.</w:t>
      </w:r>
    </w:p>
    <w:p>
      <w:pPr>
        <w:spacing w:after="0" w:line="151" w:lineRule="exact"/>
        <w:rPr>
          <w:sz w:val="20"/>
          <w:szCs w:val="20"/>
          <w:color w:val="auto"/>
        </w:rPr>
      </w:pPr>
    </w:p>
    <w:p>
      <w:pPr>
        <w:ind w:left="1840" w:right="779"/>
        <w:spacing w:after="0" w:line="316" w:lineRule="auto"/>
        <w:rPr>
          <w:sz w:val="20"/>
          <w:szCs w:val="20"/>
          <w:color w:val="auto"/>
        </w:rPr>
      </w:pPr>
      <w:r>
        <w:rPr>
          <w:rFonts w:ascii="Arial" w:cs="Arial" w:eastAsia="Arial" w:hAnsi="Arial"/>
          <w:sz w:val="15"/>
          <w:szCs w:val="15"/>
          <w:color w:val="auto"/>
        </w:rPr>
        <w:t>In cases where the Company trades-in old systems as part of sales of new systems, the fair value of the old systems is recorded as inventory, provided that such value can be determined.</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35" w:name="page136"/>
    <w:bookmarkEnd w:id="135"/>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 (Cont.)</w:t>
      </w:r>
    </w:p>
    <w:p>
      <w:pPr>
        <w:spacing w:after="0" w:line="208" w:lineRule="exact"/>
        <w:rPr>
          <w:sz w:val="20"/>
          <w:szCs w:val="20"/>
          <w:color w:val="auto"/>
        </w:rPr>
      </w:pPr>
    </w:p>
    <w:p>
      <w:pPr>
        <w:ind w:left="1840" w:hanging="342"/>
        <w:spacing w:after="0"/>
        <w:tabs>
          <w:tab w:leader="none" w:pos="18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Shipping and Handling:</w:t>
      </w:r>
    </w:p>
    <w:p>
      <w:pPr>
        <w:spacing w:after="0" w:line="203" w:lineRule="exact"/>
        <w:rPr>
          <w:rFonts w:ascii="Arial" w:cs="Arial" w:eastAsia="Arial" w:hAnsi="Arial"/>
          <w:sz w:val="16"/>
          <w:szCs w:val="16"/>
          <w:color w:val="auto"/>
        </w:rPr>
      </w:pPr>
    </w:p>
    <w:p>
      <w:pPr>
        <w:ind w:left="1840" w:right="779"/>
        <w:spacing w:after="0" w:line="322" w:lineRule="auto"/>
        <w:rPr>
          <w:rFonts w:ascii="Arial" w:cs="Arial" w:eastAsia="Arial" w:hAnsi="Arial"/>
          <w:sz w:val="16"/>
          <w:szCs w:val="16"/>
          <w:color w:val="auto"/>
        </w:rPr>
      </w:pPr>
      <w:r>
        <w:rPr>
          <w:rFonts w:ascii="Arial" w:cs="Arial" w:eastAsia="Arial" w:hAnsi="Arial"/>
          <w:sz w:val="14"/>
          <w:szCs w:val="14"/>
          <w:color w:val="auto"/>
        </w:rPr>
        <w:t>Shipping and handling fees charged to the Company’s customers are recognized as revenue in the period shipped and the related costs for providing these services are recorded as a cost of revenues. Revenues from shipping in 2012, 2013 and 2014 were $617, $681 and $931, respectively.</w:t>
      </w:r>
    </w:p>
    <w:p>
      <w:pPr>
        <w:spacing w:after="0" w:line="127" w:lineRule="exact"/>
        <w:rPr>
          <w:rFonts w:ascii="Arial" w:cs="Arial" w:eastAsia="Arial" w:hAnsi="Arial"/>
          <w:sz w:val="16"/>
          <w:szCs w:val="16"/>
          <w:color w:val="auto"/>
        </w:rPr>
      </w:pPr>
    </w:p>
    <w:p>
      <w:pPr>
        <w:ind w:left="1820" w:hanging="322"/>
        <w:spacing w:after="0"/>
        <w:tabs>
          <w:tab w:leader="none" w:pos="18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Cost of revenues:</w:t>
      </w:r>
    </w:p>
    <w:p>
      <w:pPr>
        <w:spacing w:after="0" w:line="203" w:lineRule="exact"/>
        <w:rPr>
          <w:rFonts w:ascii="Arial" w:cs="Arial" w:eastAsia="Arial" w:hAnsi="Arial"/>
          <w:sz w:val="16"/>
          <w:szCs w:val="16"/>
          <w:color w:val="auto"/>
        </w:rPr>
      </w:pPr>
    </w:p>
    <w:p>
      <w:pPr>
        <w:ind w:left="1840" w:right="679"/>
        <w:spacing w:after="0" w:line="281" w:lineRule="auto"/>
        <w:rPr>
          <w:rFonts w:ascii="Arial" w:cs="Arial" w:eastAsia="Arial" w:hAnsi="Arial"/>
          <w:sz w:val="16"/>
          <w:szCs w:val="16"/>
          <w:color w:val="auto"/>
        </w:rPr>
      </w:pPr>
      <w:r>
        <w:rPr>
          <w:rFonts w:ascii="Arial" w:cs="Arial" w:eastAsia="Arial" w:hAnsi="Arial"/>
          <w:sz w:val="16"/>
          <w:szCs w:val="16"/>
          <w:color w:val="auto"/>
        </w:rPr>
        <w:t>Cost of revenues is comprised mainly of cost of printers and ink production, employees’ salaries and related costs, allocated overhead expenses, import taxes and royalties.</w:t>
      </w:r>
    </w:p>
    <w:p>
      <w:pPr>
        <w:spacing w:after="0" w:line="150" w:lineRule="exact"/>
        <w:rPr>
          <w:rFonts w:ascii="Arial" w:cs="Arial" w:eastAsia="Arial" w:hAnsi="Arial"/>
          <w:sz w:val="16"/>
          <w:szCs w:val="16"/>
          <w:color w:val="auto"/>
        </w:rPr>
      </w:pPr>
    </w:p>
    <w:p>
      <w:pPr>
        <w:ind w:left="1800" w:hanging="302"/>
        <w:spacing w:after="0"/>
        <w:tabs>
          <w:tab w:leader="none" w:pos="18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Warranty costs:</w:t>
      </w:r>
    </w:p>
    <w:p>
      <w:pPr>
        <w:spacing w:after="0" w:line="204" w:lineRule="exact"/>
        <w:rPr>
          <w:sz w:val="20"/>
          <w:szCs w:val="20"/>
          <w:color w:val="auto"/>
        </w:rPr>
      </w:pPr>
    </w:p>
    <w:p>
      <w:pPr>
        <w:ind w:left="1840" w:right="719"/>
        <w:spacing w:after="0" w:line="258" w:lineRule="auto"/>
        <w:rPr>
          <w:sz w:val="20"/>
          <w:szCs w:val="20"/>
          <w:color w:val="auto"/>
        </w:rPr>
      </w:pPr>
      <w:r>
        <w:rPr>
          <w:rFonts w:ascii="Arial" w:cs="Arial" w:eastAsia="Arial" w:hAnsi="Arial"/>
          <w:sz w:val="16"/>
          <w:szCs w:val="16"/>
          <w:color w:val="auto"/>
        </w:rPr>
        <w:t>The Company generally provides a one year warranty for all of its systems.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7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The followings are the changes in the liability for product warranty from January 1, 2013 to</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December 31, 2014:</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Balance at January 1, 2013</w:t>
            </w:r>
          </w:p>
        </w:tc>
        <w:tc>
          <w:tcPr>
            <w:tcW w:w="1100" w:type="dxa"/>
            <w:vAlign w:val="bottom"/>
          </w:tcPr>
          <w:p>
            <w:pPr>
              <w:jc w:val="right"/>
              <w:spacing w:after="0"/>
              <w:rPr>
                <w:sz w:val="20"/>
                <w:szCs w:val="20"/>
                <w:color w:val="auto"/>
              </w:rPr>
            </w:pPr>
            <w:r>
              <w:rPr>
                <w:rFonts w:ascii="Arial" w:cs="Arial" w:eastAsia="Arial" w:hAnsi="Arial"/>
                <w:sz w:val="16"/>
                <w:szCs w:val="16"/>
                <w:color w:val="auto"/>
              </w:rPr>
              <w:t>356</w:t>
            </w:r>
          </w:p>
        </w:tc>
        <w:tc>
          <w:tcPr>
            <w:tcW w:w="40" w:type="dxa"/>
            <w:vAlign w:val="bottom"/>
          </w:tcPr>
          <w:p>
            <w:pPr>
              <w:spacing w:after="0"/>
              <w:rPr>
                <w:sz w:val="17"/>
                <w:szCs w:val="17"/>
                <w:color w:val="auto"/>
              </w:rPr>
            </w:pPr>
          </w:p>
        </w:tc>
      </w:tr>
      <w:tr>
        <w:trPr>
          <w:trHeight w:val="376"/>
        </w:trPr>
        <w:tc>
          <w:tcPr>
            <w:tcW w:w="6620" w:type="dxa"/>
            <w:vAlign w:val="bottom"/>
          </w:tcPr>
          <w:p>
            <w:pPr>
              <w:spacing w:after="0"/>
              <w:rPr>
                <w:sz w:val="20"/>
                <w:szCs w:val="20"/>
                <w:color w:val="auto"/>
              </w:rPr>
            </w:pPr>
            <w:r>
              <w:rPr>
                <w:rFonts w:ascii="Arial" w:cs="Arial" w:eastAsia="Arial" w:hAnsi="Arial"/>
                <w:sz w:val="16"/>
                <w:szCs w:val="16"/>
                <w:color w:val="auto"/>
              </w:rPr>
              <w:t>Provision for warranties issued during the year</w:t>
            </w:r>
          </w:p>
        </w:tc>
        <w:tc>
          <w:tcPr>
            <w:tcW w:w="1100" w:type="dxa"/>
            <w:vAlign w:val="bottom"/>
          </w:tcPr>
          <w:p>
            <w:pPr>
              <w:jc w:val="right"/>
              <w:spacing w:after="0"/>
              <w:rPr>
                <w:sz w:val="20"/>
                <w:szCs w:val="20"/>
                <w:color w:val="auto"/>
              </w:rPr>
            </w:pPr>
            <w:r>
              <w:rPr>
                <w:rFonts w:ascii="Arial" w:cs="Arial" w:eastAsia="Arial" w:hAnsi="Arial"/>
                <w:sz w:val="16"/>
                <w:szCs w:val="16"/>
                <w:color w:val="auto"/>
              </w:rPr>
              <w:t>906</w:t>
            </w:r>
          </w:p>
        </w:tc>
        <w:tc>
          <w:tcPr>
            <w:tcW w:w="40" w:type="dxa"/>
            <w:vAlign w:val="bottom"/>
          </w:tcPr>
          <w:p>
            <w:pPr>
              <w:spacing w:after="0"/>
              <w:rPr>
                <w:sz w:val="24"/>
                <w:szCs w:val="24"/>
                <w:color w:val="auto"/>
              </w:rPr>
            </w:pPr>
          </w:p>
        </w:tc>
      </w:t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Reduction for payments and costs to satisfy claims</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(791)</w:t>
            </w:r>
          </w:p>
        </w:tc>
      </w:tr>
      <w:tr>
        <w:trPr>
          <w:trHeight w:val="380"/>
        </w:trPr>
        <w:tc>
          <w:tcPr>
            <w:tcW w:w="6620" w:type="dxa"/>
            <w:vAlign w:val="bottom"/>
          </w:tcPr>
          <w:p>
            <w:pPr>
              <w:spacing w:after="0"/>
              <w:rPr>
                <w:sz w:val="20"/>
                <w:szCs w:val="20"/>
                <w:color w:val="auto"/>
              </w:rPr>
            </w:pPr>
            <w:r>
              <w:rPr>
                <w:rFonts w:ascii="Arial" w:cs="Arial" w:eastAsia="Arial" w:hAnsi="Arial"/>
                <w:sz w:val="16"/>
                <w:szCs w:val="16"/>
                <w:color w:val="auto"/>
              </w:rPr>
              <w:t>Balance at December 31, 2013</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40" w:type="dxa"/>
            <w:vAlign w:val="bottom"/>
          </w:tcPr>
          <w:p>
            <w:pPr>
              <w:spacing w:after="0"/>
              <w:rPr>
                <w:sz w:val="24"/>
                <w:szCs w:val="24"/>
                <w:color w:val="auto"/>
              </w:rPr>
            </w:pPr>
          </w:p>
        </w:tc>
      </w:tr>
      <w:tr>
        <w:trPr>
          <w:trHeight w:val="20"/>
        </w:trPr>
        <w:tc>
          <w:tcPr>
            <w:tcW w:w="6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1"/>
        </w:trPr>
        <w:tc>
          <w:tcPr>
            <w:tcW w:w="6620" w:type="dxa"/>
            <w:vAlign w:val="bottom"/>
          </w:tcPr>
          <w:p>
            <w:pPr>
              <w:spacing w:after="0"/>
              <w:rPr>
                <w:sz w:val="20"/>
                <w:szCs w:val="20"/>
                <w:color w:val="auto"/>
              </w:rPr>
            </w:pPr>
            <w:r>
              <w:rPr>
                <w:rFonts w:ascii="Arial" w:cs="Arial" w:eastAsia="Arial" w:hAnsi="Arial"/>
                <w:sz w:val="16"/>
                <w:szCs w:val="16"/>
                <w:color w:val="auto"/>
              </w:rPr>
              <w:t>Provision for warranties issued during the year</w:t>
            </w:r>
          </w:p>
        </w:tc>
        <w:tc>
          <w:tcPr>
            <w:tcW w:w="1100" w:type="dxa"/>
            <w:vAlign w:val="bottom"/>
          </w:tcPr>
          <w:p>
            <w:pPr>
              <w:jc w:val="right"/>
              <w:spacing w:after="0"/>
              <w:rPr>
                <w:sz w:val="20"/>
                <w:szCs w:val="20"/>
                <w:color w:val="auto"/>
              </w:rPr>
            </w:pPr>
            <w:r>
              <w:rPr>
                <w:rFonts w:ascii="Arial" w:cs="Arial" w:eastAsia="Arial" w:hAnsi="Arial"/>
                <w:sz w:val="16"/>
                <w:szCs w:val="16"/>
                <w:color w:val="auto"/>
              </w:rPr>
              <w:t>1,354</w:t>
            </w:r>
          </w:p>
        </w:tc>
        <w:tc>
          <w:tcPr>
            <w:tcW w:w="40" w:type="dxa"/>
            <w:vAlign w:val="bottom"/>
          </w:tcPr>
          <w:p>
            <w:pPr>
              <w:spacing w:after="0"/>
              <w:rPr>
                <w:sz w:val="24"/>
                <w:szCs w:val="24"/>
                <w:color w:val="auto"/>
              </w:rPr>
            </w:pPr>
          </w:p>
        </w:tc>
      </w:t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Reduction for payments and costs to satisfy claims</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(1,141)</w:t>
            </w:r>
          </w:p>
        </w:tc>
      </w:tr>
      <w:tr>
        <w:trPr>
          <w:trHeight w:val="380"/>
        </w:trPr>
        <w:tc>
          <w:tcPr>
            <w:tcW w:w="6620" w:type="dxa"/>
            <w:vAlign w:val="bottom"/>
          </w:tcPr>
          <w:p>
            <w:pPr>
              <w:spacing w:after="0"/>
              <w:rPr>
                <w:sz w:val="20"/>
                <w:szCs w:val="20"/>
                <w:color w:val="auto"/>
              </w:rPr>
            </w:pPr>
            <w:r>
              <w:rPr>
                <w:rFonts w:ascii="Arial" w:cs="Arial" w:eastAsia="Arial" w:hAnsi="Arial"/>
                <w:sz w:val="16"/>
                <w:szCs w:val="16"/>
                <w:color w:val="auto"/>
              </w:rPr>
              <w:t>Balance at December 31, 2014</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40" w:type="dxa"/>
            <w:vAlign w:val="bottom"/>
          </w:tcPr>
          <w:p>
            <w:pPr>
              <w:spacing w:after="0"/>
              <w:rPr>
                <w:sz w:val="24"/>
                <w:szCs w:val="24"/>
                <w:color w:val="auto"/>
              </w:rPr>
            </w:pPr>
          </w:p>
        </w:tc>
      </w:tr>
      <w:tr>
        <w:trPr>
          <w:trHeight w:val="20"/>
        </w:trPr>
        <w:tc>
          <w:tcPr>
            <w:tcW w:w="6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p>
    <w:p>
      <w:pPr>
        <w:ind w:left="1840" w:hanging="342"/>
        <w:spacing w:after="0"/>
        <w:tabs>
          <w:tab w:leader="none" w:pos="18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Research and development expenses:</w:t>
      </w:r>
    </w:p>
    <w:p>
      <w:pPr>
        <w:spacing w:after="0" w:line="203" w:lineRule="exact"/>
        <w:rPr>
          <w:rFonts w:ascii="Arial" w:cs="Arial" w:eastAsia="Arial" w:hAnsi="Arial"/>
          <w:sz w:val="16"/>
          <w:szCs w:val="16"/>
          <w:color w:val="auto"/>
        </w:rPr>
      </w:pPr>
    </w:p>
    <w:p>
      <w:pPr>
        <w:ind w:left="1840"/>
        <w:spacing w:after="0"/>
        <w:rPr>
          <w:rFonts w:ascii="Arial" w:cs="Arial" w:eastAsia="Arial" w:hAnsi="Arial"/>
          <w:sz w:val="16"/>
          <w:szCs w:val="16"/>
          <w:color w:val="auto"/>
        </w:rPr>
      </w:pPr>
      <w:r>
        <w:rPr>
          <w:rFonts w:ascii="Arial" w:cs="Arial" w:eastAsia="Arial" w:hAnsi="Arial"/>
          <w:sz w:val="16"/>
          <w:szCs w:val="16"/>
          <w:color w:val="auto"/>
        </w:rPr>
        <w:t>Research and development expenses are charged to the statement of income, as incurred.</w:t>
      </w:r>
    </w:p>
    <w:p>
      <w:pPr>
        <w:spacing w:after="0" w:line="203" w:lineRule="exact"/>
        <w:rPr>
          <w:rFonts w:ascii="Arial" w:cs="Arial" w:eastAsia="Arial" w:hAnsi="Arial"/>
          <w:sz w:val="16"/>
          <w:szCs w:val="16"/>
          <w:color w:val="auto"/>
        </w:rPr>
      </w:pPr>
    </w:p>
    <w:p>
      <w:pPr>
        <w:ind w:left="1800" w:hanging="302"/>
        <w:spacing w:after="0"/>
        <w:tabs>
          <w:tab w:leader="none" w:pos="18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Accounting for share-based compensation:</w:t>
      </w:r>
    </w:p>
    <w:p>
      <w:pPr>
        <w:spacing w:after="0" w:line="204"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The Company accounts for share-based compensation in accordance with ASC No. 718, “Compensation</w:t>
      </w:r>
    </w:p>
    <w:p>
      <w:pPr>
        <w:spacing w:after="0" w:line="45" w:lineRule="exact"/>
        <w:rPr>
          <w:sz w:val="20"/>
          <w:szCs w:val="20"/>
          <w:color w:val="auto"/>
        </w:rPr>
      </w:pPr>
    </w:p>
    <w:p>
      <w:pPr>
        <w:ind w:left="1840" w:right="639"/>
        <w:spacing w:after="0" w:line="255" w:lineRule="auto"/>
        <w:rPr>
          <w:sz w:val="20"/>
          <w:szCs w:val="20"/>
          <w:color w:val="auto"/>
        </w:rPr>
      </w:pPr>
      <w:r>
        <w:rPr>
          <w:rFonts w:ascii="Arial" w:cs="Arial" w:eastAsia="Arial" w:hAnsi="Arial"/>
          <w:sz w:val="16"/>
          <w:szCs w:val="16"/>
          <w:color w:val="auto"/>
        </w:rPr>
        <w:t>— Stock Compensation”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operations. ASC No. 718 requires forfeitures to be estimated at the time of the grant and revised in subsequent periods if actual forfeitures differ from those estimates.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36" w:name="page137"/>
    <w:bookmarkEnd w:id="136"/>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 (Cont.)</w:t>
      </w:r>
    </w:p>
    <w:p>
      <w:pPr>
        <w:spacing w:after="0" w:line="208" w:lineRule="exact"/>
        <w:rPr>
          <w:sz w:val="20"/>
          <w:szCs w:val="20"/>
          <w:color w:val="auto"/>
        </w:rPr>
      </w:pPr>
    </w:p>
    <w:p>
      <w:pPr>
        <w:ind w:left="1840" w:right="739"/>
        <w:spacing w:after="0" w:line="267" w:lineRule="auto"/>
        <w:rPr>
          <w:sz w:val="20"/>
          <w:szCs w:val="20"/>
          <w:color w:val="auto"/>
        </w:rPr>
      </w:pPr>
      <w:r>
        <w:rPr>
          <w:rFonts w:ascii="Arial" w:cs="Arial" w:eastAsia="Arial" w:hAnsi="Arial"/>
          <w:sz w:val="16"/>
          <w:szCs w:val="16"/>
          <w:color w:val="auto"/>
        </w:rPr>
        <w:t>The Company selected the binomial option pricing model as the most appropriate fair value method for its share-based compensation awards with the following assumptions for the years ended December 31, 2012, 2013 and 2014:</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4"/>
          </w:tcPr>
          <w:p>
            <w:pPr>
              <w:jc w:val="center"/>
              <w:ind w:right="320"/>
              <w:spacing w:after="0"/>
              <w:rPr>
                <w:sz w:val="20"/>
                <w:szCs w:val="20"/>
                <w:color w:val="auto"/>
              </w:rPr>
            </w:pPr>
            <w:r>
              <w:rPr>
                <w:rFonts w:ascii="Arial" w:cs="Arial" w:eastAsia="Arial" w:hAnsi="Arial"/>
                <w:sz w:val="15"/>
                <w:szCs w:val="15"/>
                <w:b w:val="1"/>
                <w:bCs w:val="1"/>
                <w:color w:val="auto"/>
                <w:w w:val="86"/>
              </w:rPr>
              <w:t>Year ended</w:t>
            </w:r>
          </w:p>
        </w:tc>
        <w:tc>
          <w:tcPr>
            <w:tcW w:w="1100" w:type="dxa"/>
            <w:vAlign w:val="bottom"/>
          </w:tcPr>
          <w:p>
            <w:pPr>
              <w:spacing w:after="0"/>
              <w:rPr>
                <w:sz w:val="15"/>
                <w:szCs w:val="15"/>
                <w:color w:val="auto"/>
              </w:rPr>
            </w:pPr>
          </w:p>
        </w:tc>
      </w:tr>
      <w:tr>
        <w:trPr>
          <w:trHeight w:val="191"/>
        </w:trPr>
        <w:tc>
          <w:tcPr>
            <w:tcW w:w="37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5"/>
                <w:szCs w:val="15"/>
                <w:b w:val="1"/>
                <w:bCs w:val="1"/>
                <w:color w:val="auto"/>
                <w:w w:val="86"/>
              </w:rPr>
              <w:t>December 31,</w:t>
            </w:r>
          </w:p>
        </w:tc>
        <w:tc>
          <w:tcPr>
            <w:tcW w:w="1100" w:type="dxa"/>
            <w:vAlign w:val="bottom"/>
            <w:tcBorders>
              <w:bottom w:val="single" w:sz="8" w:color="auto"/>
            </w:tcBorders>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2012</w:t>
            </w:r>
          </w:p>
        </w:tc>
        <w:tc>
          <w:tcPr>
            <w:tcW w:w="4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5"/>
                <w:szCs w:val="15"/>
                <w:b w:val="1"/>
                <w:bCs w:val="1"/>
                <w:color w:val="auto"/>
                <w:w w:val="89"/>
              </w:rPr>
              <w:t>2013</w:t>
            </w:r>
          </w:p>
        </w:tc>
        <w:tc>
          <w:tcPr>
            <w:tcW w:w="4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r>
      <w:tr>
        <w:trPr>
          <w:trHeight w:val="355"/>
        </w:trPr>
        <w:tc>
          <w:tcPr>
            <w:tcW w:w="3780" w:type="dxa"/>
            <w:vAlign w:val="bottom"/>
          </w:tcPr>
          <w:p>
            <w:pPr>
              <w:spacing w:after="0"/>
              <w:rPr>
                <w:sz w:val="20"/>
                <w:szCs w:val="20"/>
                <w:color w:val="auto"/>
              </w:rPr>
            </w:pPr>
            <w:r>
              <w:rPr>
                <w:rFonts w:ascii="Arial" w:cs="Arial" w:eastAsia="Arial" w:hAnsi="Arial"/>
                <w:sz w:val="16"/>
                <w:szCs w:val="16"/>
                <w:color w:val="auto"/>
              </w:rPr>
              <w:t>Suboptimal exercise multiple</w:t>
            </w: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00" w:type="dxa"/>
            <w:vAlign w:val="bottom"/>
          </w:tcPr>
          <w:p>
            <w:pPr>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24"/>
                <w:szCs w:val="24"/>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6"/>
                <w:szCs w:val="16"/>
                <w:color w:val="auto"/>
                <w:w w:val="89"/>
              </w:rPr>
              <w:t>3.0 – 10.0</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w w:val="89"/>
              </w:rPr>
              <w:t>2.0 – 10.0</w:t>
            </w: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Risk free interest rate</w:t>
            </w: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00" w:type="dxa"/>
            <w:vAlign w:val="bottom"/>
          </w:tcPr>
          <w:p>
            <w:pPr>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00" w:type="dxa"/>
            <w:vAlign w:val="bottom"/>
          </w:tcPr>
          <w:p>
            <w:pPr>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6"/>
                <w:szCs w:val="16"/>
                <w:color w:val="auto"/>
              </w:rPr>
            </w:pPr>
          </w:p>
        </w:tc>
        <w:tc>
          <w:tcPr>
            <w:tcW w:w="1100" w:type="dxa"/>
            <w:vAlign w:val="bottom"/>
          </w:tcPr>
          <w:p>
            <w:pPr>
              <w:jc w:val="center"/>
              <w:ind w:left="61"/>
              <w:spacing w:after="0"/>
              <w:rPr>
                <w:sz w:val="20"/>
                <w:szCs w:val="20"/>
                <w:color w:val="auto"/>
              </w:rPr>
            </w:pPr>
            <w:r>
              <w:rPr>
                <w:rFonts w:ascii="Arial" w:cs="Arial" w:eastAsia="Arial" w:hAnsi="Arial"/>
                <w:sz w:val="16"/>
                <w:szCs w:val="16"/>
                <w:color w:val="auto"/>
                <w:w w:val="92"/>
              </w:rPr>
              <w:t>0.1% – 2.5 %</w:t>
            </w: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Volatility</w:t>
            </w: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00" w:type="dxa"/>
            <w:vAlign w:val="bottom"/>
          </w:tcPr>
          <w:p>
            <w:pPr>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00" w:type="dxa"/>
            <w:vAlign w:val="bottom"/>
          </w:tcPr>
          <w:p>
            <w:pPr>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6"/>
                <w:szCs w:val="16"/>
                <w:color w:val="auto"/>
              </w:rPr>
            </w:pPr>
          </w:p>
        </w:tc>
        <w:tc>
          <w:tcPr>
            <w:tcW w:w="1100" w:type="dxa"/>
            <w:vAlign w:val="bottom"/>
          </w:tcPr>
          <w:p>
            <w:pPr>
              <w:jc w:val="center"/>
              <w:ind w:left="61"/>
              <w:spacing w:after="0"/>
              <w:rPr>
                <w:sz w:val="20"/>
                <w:szCs w:val="20"/>
                <w:color w:val="auto"/>
              </w:rPr>
            </w:pPr>
            <w:r>
              <w:rPr>
                <w:rFonts w:ascii="Arial" w:cs="Arial" w:eastAsia="Arial" w:hAnsi="Arial"/>
                <w:sz w:val="16"/>
                <w:szCs w:val="16"/>
                <w:color w:val="auto"/>
                <w:w w:val="92"/>
              </w:rPr>
              <w:t>50% – 55%</w:t>
            </w: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Dividend yield</w:t>
            </w:r>
          </w:p>
        </w:tc>
        <w:tc>
          <w:tcPr>
            <w:tcW w:w="1100" w:type="dxa"/>
            <w:vAlign w:val="bottom"/>
            <w:gridSpan w:val="3"/>
          </w:tcPr>
          <w:p>
            <w:pPr>
              <w:jc w:val="center"/>
              <w:ind w:left="81"/>
              <w:spacing w:after="0"/>
              <w:rPr>
                <w:sz w:val="20"/>
                <w:szCs w:val="20"/>
                <w:color w:val="auto"/>
              </w:rPr>
            </w:pPr>
            <w:r>
              <w:rPr>
                <w:rFonts w:ascii="Arial" w:cs="Arial" w:eastAsia="Arial" w:hAnsi="Arial"/>
                <w:sz w:val="16"/>
                <w:szCs w:val="16"/>
                <w:color w:val="auto"/>
                <w:w w:val="94"/>
              </w:rPr>
              <w:t>0%</w:t>
            </w:r>
          </w:p>
        </w:tc>
        <w:tc>
          <w:tcPr>
            <w:tcW w:w="320" w:type="dxa"/>
            <w:vAlign w:val="bottom"/>
          </w:tcPr>
          <w:p>
            <w:pPr>
              <w:spacing w:after="0"/>
              <w:rPr>
                <w:sz w:val="17"/>
                <w:szCs w:val="17"/>
                <w:color w:val="auto"/>
              </w:rPr>
            </w:pPr>
          </w:p>
        </w:tc>
        <w:tc>
          <w:tcPr>
            <w:tcW w:w="1100" w:type="dxa"/>
            <w:vAlign w:val="bottom"/>
            <w:gridSpan w:val="3"/>
          </w:tcPr>
          <w:p>
            <w:pPr>
              <w:jc w:val="center"/>
              <w:ind w:left="83"/>
              <w:spacing w:after="0"/>
              <w:rPr>
                <w:sz w:val="20"/>
                <w:szCs w:val="20"/>
                <w:color w:val="auto"/>
              </w:rPr>
            </w:pPr>
            <w:r>
              <w:rPr>
                <w:rFonts w:ascii="Arial" w:cs="Arial" w:eastAsia="Arial" w:hAnsi="Arial"/>
                <w:sz w:val="16"/>
                <w:szCs w:val="16"/>
                <w:color w:val="auto"/>
                <w:w w:val="94"/>
              </w:rPr>
              <w:t>0%</w:t>
            </w:r>
          </w:p>
        </w:tc>
        <w:tc>
          <w:tcPr>
            <w:tcW w:w="320" w:type="dxa"/>
            <w:vAlign w:val="bottom"/>
          </w:tcPr>
          <w:p>
            <w:pPr>
              <w:spacing w:after="0"/>
              <w:rPr>
                <w:sz w:val="17"/>
                <w:szCs w:val="17"/>
                <w:color w:val="auto"/>
              </w:rPr>
            </w:pPr>
          </w:p>
        </w:tc>
        <w:tc>
          <w:tcPr>
            <w:tcW w:w="1100" w:type="dxa"/>
            <w:vAlign w:val="bottom"/>
          </w:tcPr>
          <w:p>
            <w:pPr>
              <w:jc w:val="center"/>
              <w:ind w:left="61"/>
              <w:spacing w:after="0"/>
              <w:rPr>
                <w:sz w:val="20"/>
                <w:szCs w:val="20"/>
                <w:color w:val="auto"/>
              </w:rPr>
            </w:pPr>
            <w:r>
              <w:rPr>
                <w:rFonts w:ascii="Arial" w:cs="Arial" w:eastAsia="Arial" w:hAnsi="Arial"/>
                <w:sz w:val="16"/>
                <w:szCs w:val="16"/>
                <w:color w:val="auto"/>
                <w:w w:val="86"/>
              </w:rPr>
              <w:t>0%</w:t>
            </w:r>
          </w:p>
        </w:tc>
      </w:tr>
    </w:tbl>
    <w:p>
      <w:pPr>
        <w:spacing w:after="0" w:line="158" w:lineRule="exact"/>
        <w:rPr>
          <w:sz w:val="20"/>
          <w:szCs w:val="20"/>
          <w:color w:val="auto"/>
        </w:rPr>
      </w:pPr>
    </w:p>
    <w:p>
      <w:pPr>
        <w:ind w:left="1840" w:right="619"/>
        <w:spacing w:after="0" w:line="274" w:lineRule="auto"/>
        <w:rPr>
          <w:sz w:val="20"/>
          <w:szCs w:val="20"/>
          <w:color w:val="auto"/>
        </w:rPr>
      </w:pPr>
      <w:r>
        <w:rPr>
          <w:rFonts w:ascii="Arial" w:cs="Arial" w:eastAsia="Arial" w:hAnsi="Arial"/>
          <w:sz w:val="15"/>
          <w:szCs w:val="15"/>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 The forfeiture rates are based the activity status of the options granted between the years 2004 and 2014.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63" w:lineRule="exact"/>
        <w:rPr>
          <w:sz w:val="20"/>
          <w:szCs w:val="20"/>
          <w:color w:val="auto"/>
        </w:rPr>
      </w:pPr>
    </w:p>
    <w:p>
      <w:pPr>
        <w:ind w:left="1840" w:right="859"/>
        <w:spacing w:after="0" w:line="281" w:lineRule="auto"/>
        <w:rPr>
          <w:sz w:val="20"/>
          <w:szCs w:val="20"/>
          <w:color w:val="auto"/>
        </w:rPr>
      </w:pPr>
      <w:r>
        <w:rPr>
          <w:rFonts w:ascii="Arial" w:cs="Arial" w:eastAsia="Arial" w:hAnsi="Arial"/>
          <w:sz w:val="16"/>
          <w:szCs w:val="16"/>
          <w:color w:val="auto"/>
        </w:rPr>
        <w:t>The following table sets forth the total share based expense included in the consolidated statements of income, for the years ended December 31, 2012, 2013 and 2014:</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Year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86"/>
              </w:rPr>
              <w:t>December 31,</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8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2012</w:t>
            </w: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355"/>
        </w:trPr>
        <w:tc>
          <w:tcPr>
            <w:tcW w:w="3780" w:type="dxa"/>
            <w:vAlign w:val="bottom"/>
          </w:tcPr>
          <w:p>
            <w:pPr>
              <w:spacing w:after="0"/>
              <w:rPr>
                <w:sz w:val="20"/>
                <w:szCs w:val="20"/>
                <w:color w:val="auto"/>
              </w:rPr>
            </w:pPr>
            <w:r>
              <w:rPr>
                <w:rFonts w:ascii="Arial" w:cs="Arial" w:eastAsia="Arial" w:hAnsi="Arial"/>
                <w:sz w:val="16"/>
                <w:szCs w:val="16"/>
                <w:color w:val="auto"/>
              </w:rPr>
              <w:t>Cost of revenues</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8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Sales and marketing</w:t>
            </w:r>
          </w:p>
        </w:tc>
        <w:tc>
          <w:tcPr>
            <w:tcW w:w="8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rPr>
              <w:t>Total share-based compensation expense</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77</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126</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920"/>
              <w:spacing w:after="0"/>
              <w:rPr>
                <w:sz w:val="20"/>
                <w:szCs w:val="20"/>
                <w:color w:val="auto"/>
              </w:rPr>
            </w:pPr>
            <w:r>
              <w:rPr>
                <w:rFonts w:ascii="Arial" w:cs="Arial" w:eastAsia="Arial" w:hAnsi="Arial"/>
                <w:sz w:val="16"/>
                <w:szCs w:val="16"/>
                <w:color w:val="auto"/>
              </w:rPr>
              <w:t>p.  Advertising</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7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840" w:right="759"/>
        <w:spacing w:after="0" w:line="281" w:lineRule="auto"/>
        <w:rPr>
          <w:sz w:val="20"/>
          <w:szCs w:val="20"/>
          <w:color w:val="auto"/>
        </w:rPr>
      </w:pPr>
      <w:r>
        <w:rPr>
          <w:rFonts w:ascii="Arial" w:cs="Arial" w:eastAsia="Arial" w:hAnsi="Arial"/>
          <w:sz w:val="16"/>
          <w:szCs w:val="16"/>
          <w:color w:val="auto"/>
        </w:rPr>
        <w:t>Advertising costs are charged to operations as incurred and were $206, $501 and $437 for the years ended December 31, 2012, 2013 and 2014, respectively.</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37" w:name="page138"/>
    <w:bookmarkEnd w:id="137"/>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 (Cont.)</w:t>
      </w:r>
    </w:p>
    <w:p>
      <w:pPr>
        <w:spacing w:after="0" w:line="208" w:lineRule="exact"/>
        <w:rPr>
          <w:sz w:val="20"/>
          <w:szCs w:val="20"/>
          <w:color w:val="auto"/>
        </w:rPr>
      </w:pPr>
    </w:p>
    <w:p>
      <w:pPr>
        <w:ind w:left="1800" w:hanging="302"/>
        <w:spacing w:after="0"/>
        <w:tabs>
          <w:tab w:leader="none" w:pos="18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28" w:lineRule="exact"/>
        <w:rPr>
          <w:sz w:val="20"/>
          <w:szCs w:val="20"/>
          <w:color w:val="auto"/>
        </w:rPr>
      </w:pPr>
    </w:p>
    <w:p>
      <w:pPr>
        <w:ind w:left="1840" w:right="659"/>
        <w:spacing w:after="0" w:line="277" w:lineRule="auto"/>
        <w:rPr>
          <w:sz w:val="20"/>
          <w:szCs w:val="20"/>
          <w:color w:val="auto"/>
        </w:rPr>
      </w:pPr>
      <w:r>
        <w:rPr>
          <w:rFonts w:ascii="Arial" w:cs="Arial" w:eastAsia="Arial" w:hAnsi="Arial"/>
          <w:sz w:val="15"/>
          <w:szCs w:val="15"/>
          <w:color w:val="auto"/>
        </w:rPr>
        <w:t>The Company accounts for income taxes in accordance with ASC No. 740, “Income Taxes”.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and its subsidiaries provide a valuation allowance, if necessary, to reduce deferred tax assets to their estimated realizable value if it is more likely than not that a portion or all of the deferred tax assets will not be realized.</w:t>
      </w:r>
    </w:p>
    <w:p>
      <w:pPr>
        <w:spacing w:after="0" w:line="169" w:lineRule="exact"/>
        <w:rPr>
          <w:sz w:val="20"/>
          <w:szCs w:val="20"/>
          <w:color w:val="auto"/>
        </w:rPr>
      </w:pPr>
    </w:p>
    <w:p>
      <w:pPr>
        <w:jc w:val="both"/>
        <w:ind w:left="1840" w:right="659"/>
        <w:spacing w:after="0" w:line="322" w:lineRule="auto"/>
        <w:rPr>
          <w:sz w:val="20"/>
          <w:szCs w:val="20"/>
          <w:color w:val="auto"/>
        </w:rPr>
      </w:pPr>
      <w:r>
        <w:rPr>
          <w:rFonts w:ascii="Arial" w:cs="Arial" w:eastAsia="Arial" w:hAnsi="Arial"/>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39" w:lineRule="exact"/>
        <w:rPr>
          <w:sz w:val="20"/>
          <w:szCs w:val="20"/>
          <w:color w:val="auto"/>
        </w:rPr>
      </w:pPr>
    </w:p>
    <w:p>
      <w:pPr>
        <w:ind w:left="1840" w:right="639"/>
        <w:spacing w:after="0" w:line="300" w:lineRule="auto"/>
        <w:rPr>
          <w:sz w:val="20"/>
          <w:szCs w:val="20"/>
          <w:color w:val="auto"/>
        </w:rPr>
      </w:pPr>
      <w:r>
        <w:rPr>
          <w:rFonts w:ascii="Arial" w:cs="Arial" w:eastAsia="Arial" w:hAnsi="Arial"/>
          <w:sz w:val="14"/>
          <w:szCs w:val="14"/>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penalty, if any related to unrecognized tax benefits in its taxes on income.</w:t>
      </w:r>
    </w:p>
    <w:p>
      <w:pPr>
        <w:spacing w:after="0" w:line="166" w:lineRule="exact"/>
        <w:rPr>
          <w:sz w:val="20"/>
          <w:szCs w:val="20"/>
          <w:color w:val="auto"/>
        </w:rPr>
      </w:pPr>
    </w:p>
    <w:p>
      <w:pPr>
        <w:ind w:left="1820" w:hanging="322"/>
        <w:spacing w:after="0"/>
        <w:tabs>
          <w:tab w:leader="none" w:pos="18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Concentrations of credit risks:</w:t>
      </w:r>
    </w:p>
    <w:p>
      <w:pPr>
        <w:spacing w:after="0" w:line="215" w:lineRule="exact"/>
        <w:rPr>
          <w:rFonts w:ascii="Arial" w:cs="Arial" w:eastAsia="Arial" w:hAnsi="Arial"/>
          <w:sz w:val="16"/>
          <w:szCs w:val="16"/>
          <w:color w:val="auto"/>
        </w:rPr>
      </w:pPr>
    </w:p>
    <w:p>
      <w:pPr>
        <w:ind w:left="1840" w:right="779"/>
        <w:spacing w:after="0" w:line="355" w:lineRule="auto"/>
        <w:rPr>
          <w:rFonts w:ascii="Arial" w:cs="Arial" w:eastAsia="Arial" w:hAnsi="Arial"/>
          <w:sz w:val="16"/>
          <w:szCs w:val="16"/>
          <w:color w:val="auto"/>
        </w:rPr>
      </w:pPr>
      <w:r>
        <w:rPr>
          <w:rFonts w:ascii="Arial" w:cs="Arial" w:eastAsia="Arial" w:hAnsi="Arial"/>
          <w:sz w:val="14"/>
          <w:szCs w:val="14"/>
          <w:color w:val="auto"/>
        </w:rPr>
        <w:t>Financial instruments that potentially subject the Company and its subsidiaries to concentrations of credit risk consist principally of cash and cash equivalents, bank deposits and trade receivables.</w:t>
      </w:r>
    </w:p>
    <w:p>
      <w:pPr>
        <w:spacing w:after="0" w:line="117" w:lineRule="exact"/>
        <w:rPr>
          <w:rFonts w:ascii="Arial" w:cs="Arial" w:eastAsia="Arial" w:hAnsi="Arial"/>
          <w:sz w:val="16"/>
          <w:szCs w:val="16"/>
          <w:color w:val="auto"/>
        </w:rPr>
      </w:pPr>
    </w:p>
    <w:p>
      <w:pPr>
        <w:ind w:left="1840" w:right="699"/>
        <w:spacing w:after="0" w:line="267" w:lineRule="auto"/>
        <w:rPr>
          <w:rFonts w:ascii="Arial" w:cs="Arial" w:eastAsia="Arial" w:hAnsi="Arial"/>
          <w:sz w:val="16"/>
          <w:szCs w:val="16"/>
          <w:color w:val="auto"/>
        </w:rPr>
      </w:pPr>
      <w:r>
        <w:rPr>
          <w:rFonts w:ascii="Arial" w:cs="Arial" w:eastAsia="Arial" w:hAnsi="Arial"/>
          <w:sz w:val="16"/>
          <w:szCs w:val="16"/>
          <w:color w:val="auto"/>
        </w:rPr>
        <w:t>The majority of the Company’s and its subsidiaries’ cash and cash equivalents and bank deposits are invested in major banks in Israel. Generally, these cash equivalents may be redeemed upon demand and, therefore management believes that it bears a lower risk.</w:t>
      </w:r>
    </w:p>
    <w:p>
      <w:pPr>
        <w:spacing w:after="0" w:line="185" w:lineRule="exact"/>
        <w:rPr>
          <w:rFonts w:ascii="Arial" w:cs="Arial" w:eastAsia="Arial" w:hAnsi="Arial"/>
          <w:sz w:val="16"/>
          <w:szCs w:val="16"/>
          <w:color w:val="auto"/>
        </w:rPr>
      </w:pPr>
    </w:p>
    <w:p>
      <w:pPr>
        <w:ind w:left="1840" w:right="579"/>
        <w:spacing w:after="0" w:line="277" w:lineRule="auto"/>
        <w:rPr>
          <w:rFonts w:ascii="Arial" w:cs="Arial" w:eastAsia="Arial" w:hAnsi="Arial"/>
          <w:sz w:val="16"/>
          <w:szCs w:val="16"/>
          <w:color w:val="auto"/>
        </w:rPr>
      </w:pPr>
      <w:r>
        <w:rPr>
          <w:rFonts w:ascii="Arial" w:cs="Arial" w:eastAsia="Arial" w:hAnsi="Arial"/>
          <w:sz w:val="15"/>
          <w:szCs w:val="15"/>
          <w:color w:val="auto"/>
        </w:rPr>
        <w:t>The trade receivables of the Company and its subsidiaries are mainly derived from sales to customers located primarily in the United States, Europe, the Middle East, Africa and Asia Pacific. The Company performs ongoing credit evaluations of its customers. An allowance for doubtful accounts is determined with respect to those amounts that the Company has determined to be doubtful of collection. In certain circumstances, the Company may require from its customers letters of credit, other collateral or additional guarantees. In the years ended December 31, 2012, 2013 and 2014, the Company has not experienced any significant write offs.</w:t>
      </w:r>
    </w:p>
    <w:p>
      <w:pPr>
        <w:spacing w:after="0" w:line="168" w:lineRule="exact"/>
        <w:rPr>
          <w:rFonts w:ascii="Arial" w:cs="Arial" w:eastAsia="Arial" w:hAnsi="Arial"/>
          <w:sz w:val="16"/>
          <w:szCs w:val="16"/>
          <w:color w:val="auto"/>
        </w:rPr>
      </w:pPr>
    </w:p>
    <w:p>
      <w:pPr>
        <w:ind w:left="1820" w:hanging="322"/>
        <w:spacing w:after="0"/>
        <w:tabs>
          <w:tab w:leader="none" w:pos="18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Severance pay:</w:t>
      </w:r>
    </w:p>
    <w:p>
      <w:pPr>
        <w:spacing w:after="0" w:line="216" w:lineRule="exact"/>
        <w:rPr>
          <w:sz w:val="20"/>
          <w:szCs w:val="20"/>
          <w:color w:val="auto"/>
        </w:rPr>
      </w:pPr>
    </w:p>
    <w:p>
      <w:pPr>
        <w:ind w:left="1840" w:right="799"/>
        <w:spacing w:after="0" w:line="259" w:lineRule="auto"/>
        <w:rPr>
          <w:sz w:val="20"/>
          <w:szCs w:val="20"/>
          <w:color w:val="auto"/>
        </w:rPr>
      </w:pPr>
      <w:r>
        <w:rPr>
          <w:rFonts w:ascii="Arial" w:cs="Arial" w:eastAsia="Arial" w:hAnsi="Arial"/>
          <w:sz w:val="16"/>
          <w:szCs w:val="16"/>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38" w:name="page139"/>
    <w:bookmarkEnd w:id="138"/>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 (Cont.)</w:t>
      </w:r>
    </w:p>
    <w:p>
      <w:pPr>
        <w:spacing w:after="0" w:line="208" w:lineRule="exact"/>
        <w:rPr>
          <w:sz w:val="20"/>
          <w:szCs w:val="20"/>
          <w:color w:val="auto"/>
        </w:rPr>
      </w:pPr>
    </w:p>
    <w:p>
      <w:pPr>
        <w:ind w:left="1840" w:right="699"/>
        <w:spacing w:after="0" w:line="316" w:lineRule="auto"/>
        <w:rPr>
          <w:sz w:val="20"/>
          <w:szCs w:val="20"/>
          <w:color w:val="auto"/>
        </w:rPr>
      </w:pPr>
      <w:r>
        <w:rPr>
          <w:rFonts w:ascii="Arial" w:cs="Arial" w:eastAsia="Arial" w:hAnsi="Arial"/>
          <w:sz w:val="15"/>
          <w:szCs w:val="15"/>
          <w:color w:val="auto"/>
        </w:rPr>
        <w:t>severance liabilities in respect of those employees. Neither severance pay liability nor severance pay fund under Section 14 for such employees is recorded on the Company’s balance sheet.</w:t>
      </w:r>
    </w:p>
    <w:p>
      <w:pPr>
        <w:spacing w:after="0" w:line="103" w:lineRule="exact"/>
        <w:rPr>
          <w:sz w:val="20"/>
          <w:szCs w:val="20"/>
          <w:color w:val="auto"/>
        </w:rPr>
      </w:pPr>
    </w:p>
    <w:p>
      <w:pPr>
        <w:ind w:left="1840" w:right="619"/>
        <w:spacing w:after="0" w:line="277" w:lineRule="auto"/>
        <w:rPr>
          <w:sz w:val="20"/>
          <w:szCs w:val="20"/>
          <w:color w:val="auto"/>
        </w:rPr>
      </w:pPr>
      <w:r>
        <w:rPr>
          <w:rFonts w:ascii="Arial" w:cs="Arial" w:eastAsia="Arial" w:hAnsi="Arial"/>
          <w:sz w:val="15"/>
          <w:szCs w:val="15"/>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121" w:lineRule="exact"/>
        <w:rPr>
          <w:sz w:val="20"/>
          <w:szCs w:val="20"/>
          <w:color w:val="auto"/>
        </w:rPr>
      </w:pPr>
    </w:p>
    <w:p>
      <w:pPr>
        <w:ind w:left="1840" w:right="719"/>
        <w:spacing w:after="0" w:line="267" w:lineRule="auto"/>
        <w:rPr>
          <w:sz w:val="20"/>
          <w:szCs w:val="20"/>
          <w:color w:val="auto"/>
        </w:rPr>
      </w:pPr>
      <w:r>
        <w:rPr>
          <w:rFonts w:ascii="Arial" w:cs="Arial" w:eastAsia="Arial" w:hAnsi="Arial"/>
          <w:sz w:val="16"/>
          <w:szCs w:val="16"/>
          <w:color w:val="auto"/>
        </w:rPr>
        <w:t>The deposited funds include profits accumulated up to the balance sheet date. The deposited funds may be withdrawn only upon the fulfillment of the obligation pursuant to the Severance Pay Law or labor agreements.</w:t>
      </w:r>
    </w:p>
    <w:p>
      <w:pPr>
        <w:spacing w:after="0" w:line="125" w:lineRule="exact"/>
        <w:rPr>
          <w:sz w:val="20"/>
          <w:szCs w:val="20"/>
          <w:color w:val="auto"/>
        </w:rPr>
      </w:pPr>
    </w:p>
    <w:p>
      <w:pPr>
        <w:ind w:left="1840" w:right="599"/>
        <w:spacing w:after="0" w:line="281" w:lineRule="auto"/>
        <w:rPr>
          <w:sz w:val="20"/>
          <w:szCs w:val="20"/>
          <w:color w:val="auto"/>
        </w:rPr>
      </w:pPr>
      <w:r>
        <w:rPr>
          <w:rFonts w:ascii="Arial" w:cs="Arial" w:eastAsia="Arial" w:hAnsi="Arial"/>
          <w:sz w:val="16"/>
          <w:szCs w:val="16"/>
          <w:color w:val="auto"/>
        </w:rPr>
        <w:t>Severance pay expenses for the years ended December 31, 2012, 2013 and 2014 were $569, $620 and $1,015, respectively.</w:t>
      </w:r>
    </w:p>
    <w:p>
      <w:pPr>
        <w:spacing w:after="0" w:line="175" w:lineRule="exact"/>
        <w:rPr>
          <w:sz w:val="20"/>
          <w:szCs w:val="20"/>
          <w:color w:val="auto"/>
        </w:rPr>
      </w:pPr>
    </w:p>
    <w:p>
      <w:pPr>
        <w:ind w:left="1820" w:hanging="322"/>
        <w:spacing w:after="0"/>
        <w:tabs>
          <w:tab w:leader="none" w:pos="18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Fair value of financial instruments:</w:t>
      </w:r>
    </w:p>
    <w:p>
      <w:pPr>
        <w:spacing w:after="0" w:line="215" w:lineRule="exact"/>
        <w:rPr>
          <w:rFonts w:ascii="Arial" w:cs="Arial" w:eastAsia="Arial" w:hAnsi="Arial"/>
          <w:sz w:val="16"/>
          <w:szCs w:val="16"/>
          <w:color w:val="auto"/>
        </w:rPr>
      </w:pPr>
    </w:p>
    <w:p>
      <w:pPr>
        <w:ind w:left="1840" w:right="679"/>
        <w:spacing w:after="0" w:line="292" w:lineRule="auto"/>
        <w:rPr>
          <w:rFonts w:ascii="Arial" w:cs="Arial" w:eastAsia="Arial" w:hAnsi="Arial"/>
          <w:sz w:val="16"/>
          <w:szCs w:val="16"/>
          <w:color w:val="auto"/>
        </w:rPr>
      </w:pPr>
      <w:r>
        <w:rPr>
          <w:rFonts w:ascii="Arial" w:cs="Arial" w:eastAsia="Arial" w:hAnsi="Arial"/>
          <w:sz w:val="15"/>
          <w:szCs w:val="15"/>
          <w:color w:val="auto"/>
        </w:rPr>
        <w:t>The financial instruments of the Company consist mainly of cash and cash equivalents, short term deposits, trade receivables, trade and other accounts payable and accrued expenses. Due to the short-term nature of such financial instruments, their fair value approximates their carrying value.</w:t>
      </w:r>
    </w:p>
    <w:p>
      <w:pPr>
        <w:spacing w:after="0" w:line="157" w:lineRule="exact"/>
        <w:rPr>
          <w:rFonts w:ascii="Arial" w:cs="Arial" w:eastAsia="Arial" w:hAnsi="Arial"/>
          <w:sz w:val="16"/>
          <w:szCs w:val="16"/>
          <w:color w:val="auto"/>
        </w:rPr>
      </w:pPr>
    </w:p>
    <w:p>
      <w:pPr>
        <w:ind w:left="1840" w:hanging="342"/>
        <w:spacing w:after="0"/>
        <w:tabs>
          <w:tab w:leader="none" w:pos="18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Comprehensive income:</w:t>
      </w:r>
    </w:p>
    <w:p>
      <w:pPr>
        <w:spacing w:after="0" w:line="228" w:lineRule="exact"/>
        <w:rPr>
          <w:sz w:val="20"/>
          <w:szCs w:val="20"/>
          <w:color w:val="auto"/>
        </w:rPr>
      </w:pPr>
    </w:p>
    <w:p>
      <w:pPr>
        <w:ind w:left="1840" w:right="779"/>
        <w:spacing w:after="0" w:line="257" w:lineRule="auto"/>
        <w:rPr>
          <w:sz w:val="20"/>
          <w:szCs w:val="20"/>
          <w:color w:val="auto"/>
        </w:rPr>
      </w:pPr>
      <w:r>
        <w:rPr>
          <w:rFonts w:ascii="Arial" w:cs="Arial" w:eastAsia="Arial" w:hAnsi="Arial"/>
          <w:sz w:val="16"/>
          <w:szCs w:val="16"/>
          <w:color w:val="auto"/>
        </w:rPr>
        <w:t>The Company accounts for comprehensive income in accordance with ASC No. 220, “Comprehensive Income.” This statement establishes standards for the reporting and display of comprehensive income and its components in a full set of general purpose financial statements. Comprehensive income generally represents all changes in shareholders’ equity during the period except those resulting from investments by, or distributions to, shareholders. The Company determined that its only item of other comprehensive income relates to foreign currency translation differences.</w:t>
      </w:r>
    </w:p>
    <w:p>
      <w:pPr>
        <w:spacing w:after="0" w:line="179" w:lineRule="exact"/>
        <w:rPr>
          <w:sz w:val="20"/>
          <w:szCs w:val="20"/>
          <w:color w:val="auto"/>
        </w:rPr>
      </w:pPr>
    </w:p>
    <w:p>
      <w:pPr>
        <w:ind w:left="1500"/>
        <w:spacing w:after="0"/>
        <w:tabs>
          <w:tab w:leader="none" w:pos="1820" w:val="left"/>
        </w:tabs>
        <w:rPr>
          <w:sz w:val="20"/>
          <w:szCs w:val="20"/>
          <w:color w:val="auto"/>
        </w:rPr>
      </w:pPr>
      <w:r>
        <w:rPr>
          <w:rFonts w:ascii="Arial" w:cs="Arial" w:eastAsia="Arial" w:hAnsi="Arial"/>
          <w:sz w:val="16"/>
          <w:szCs w:val="16"/>
          <w:color w:val="auto"/>
        </w:rPr>
        <w:t>v</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color w:val="auto"/>
        </w:rPr>
        <w:t>Basic and diluted net income per share:</w:t>
      </w:r>
    </w:p>
    <w:p>
      <w:pPr>
        <w:spacing w:after="0" w:line="220" w:lineRule="exact"/>
        <w:rPr>
          <w:sz w:val="20"/>
          <w:szCs w:val="20"/>
          <w:color w:val="auto"/>
        </w:rPr>
      </w:pPr>
    </w:p>
    <w:p>
      <w:pPr>
        <w:ind w:left="1840" w:right="779"/>
        <w:spacing w:after="0" w:line="259" w:lineRule="auto"/>
        <w:rPr>
          <w:sz w:val="20"/>
          <w:szCs w:val="20"/>
          <w:color w:val="auto"/>
        </w:rPr>
      </w:pPr>
      <w:r>
        <w:rPr>
          <w:rFonts w:ascii="Arial" w:cs="Arial" w:eastAsia="Arial" w:hAnsi="Arial"/>
          <w:sz w:val="16"/>
          <w:szCs w:val="16"/>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146" w:lineRule="exact"/>
        <w:rPr>
          <w:sz w:val="20"/>
          <w:szCs w:val="20"/>
          <w:color w:val="auto"/>
        </w:rPr>
      </w:pPr>
    </w:p>
    <w:p>
      <w:pPr>
        <w:jc w:val="both"/>
        <w:ind w:left="1840" w:right="839"/>
        <w:spacing w:after="0" w:line="285" w:lineRule="auto"/>
        <w:rPr>
          <w:sz w:val="20"/>
          <w:szCs w:val="20"/>
          <w:color w:val="auto"/>
        </w:rPr>
      </w:pPr>
      <w:r>
        <w:rPr>
          <w:rFonts w:ascii="Arial" w:cs="Arial" w:eastAsia="Arial" w:hAnsi="Arial"/>
          <w:sz w:val="15"/>
          <w:szCs w:val="15"/>
          <w:color w:val="auto"/>
        </w:rPr>
        <w:t>For the year ended December 31, 2012, 137,615 outstanding options have been excluded from the calculation of diluted net income per share since their effect was anti-dilutive. For the years ended December 31, 2013 and 2014 all outstanding options have been included at the calculation of the diluted earnings per share since their effect was dilutive.</w:t>
      </w:r>
    </w:p>
    <w:p>
      <w:pPr>
        <w:spacing w:after="0" w:line="113" w:lineRule="exact"/>
        <w:rPr>
          <w:sz w:val="20"/>
          <w:szCs w:val="20"/>
          <w:color w:val="auto"/>
        </w:rPr>
      </w:pPr>
    </w:p>
    <w:p>
      <w:pPr>
        <w:ind w:left="1840" w:right="739"/>
        <w:spacing w:after="0" w:line="292" w:lineRule="auto"/>
        <w:rPr>
          <w:sz w:val="20"/>
          <w:szCs w:val="20"/>
          <w:color w:val="auto"/>
        </w:rPr>
      </w:pPr>
      <w:r>
        <w:rPr>
          <w:rFonts w:ascii="Arial" w:cs="Arial" w:eastAsia="Arial" w:hAnsi="Arial"/>
          <w:sz w:val="15"/>
          <w:szCs w:val="15"/>
          <w:color w:val="auto"/>
        </w:rPr>
        <w:t>Basic and diluted pro forma net income per share (unaudited), as presented in the statements of income, has been calculated as described above and also gives effect to the automatic conversion of all series of preferred shares that will occur upon closing of the IPO.</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39" w:name="page140"/>
    <w:bookmarkEnd w:id="139"/>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2:-</w:t>
        <w:tab/>
        <w:t>SIGNIFICANT ACCOUNTING POLICIES (Cont.)</w:t>
      </w:r>
    </w:p>
    <w:p>
      <w:pPr>
        <w:spacing w:after="0" w:line="208" w:lineRule="exact"/>
        <w:rPr>
          <w:sz w:val="20"/>
          <w:szCs w:val="20"/>
          <w:color w:val="auto"/>
        </w:rPr>
      </w:pPr>
    </w:p>
    <w:p>
      <w:pPr>
        <w:ind w:left="1820" w:hanging="322"/>
        <w:spacing w:after="0"/>
        <w:tabs>
          <w:tab w:leader="none" w:pos="18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Impact of recently issued accounting standard not yet adopted:</w:t>
      </w:r>
    </w:p>
    <w:p>
      <w:pPr>
        <w:spacing w:after="0" w:line="228" w:lineRule="exact"/>
        <w:rPr>
          <w:sz w:val="20"/>
          <w:szCs w:val="20"/>
          <w:color w:val="auto"/>
        </w:rPr>
      </w:pPr>
    </w:p>
    <w:p>
      <w:pPr>
        <w:ind w:left="1840" w:right="639"/>
        <w:spacing w:after="0" w:line="298" w:lineRule="auto"/>
        <w:rPr>
          <w:sz w:val="20"/>
          <w:szCs w:val="20"/>
          <w:color w:val="auto"/>
        </w:rPr>
      </w:pPr>
      <w:r>
        <w:rPr>
          <w:rFonts w:ascii="Arial" w:cs="Arial" w:eastAsia="Arial" w:hAnsi="Arial"/>
          <w:sz w:val="14"/>
          <w:szCs w:val="14"/>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The Company is currently in the process of evaluating the impact of the adoption of ASU 2014-09 on its consolidated financial statements.</w:t>
      </w:r>
    </w:p>
    <w:p>
      <w:pPr>
        <w:spacing w:after="0" w:line="141"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3:-</w:t>
      </w:r>
      <w:r>
        <w:rPr>
          <w:sz w:val="20"/>
          <w:szCs w:val="20"/>
          <w:color w:val="auto"/>
        </w:rPr>
        <w:tab/>
      </w:r>
      <w:r>
        <w:rPr>
          <w:rFonts w:ascii="Arial" w:cs="Arial" w:eastAsia="Arial" w:hAnsi="Arial"/>
          <w:sz w:val="15"/>
          <w:szCs w:val="15"/>
          <w:b w:val="1"/>
          <w:bCs w:val="1"/>
          <w:color w:val="auto"/>
        </w:rPr>
        <w:t>OTHER ACCOUNTS RECEIVABLE AND PREPAID EXPENSES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5"/>
                <w:szCs w:val="15"/>
                <w:b w:val="1"/>
                <w:bCs w:val="1"/>
                <w:color w:val="auto"/>
              </w:rPr>
              <w:t>2013</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355"/>
        </w:trPr>
        <w:tc>
          <w:tcPr>
            <w:tcW w:w="3600" w:type="dxa"/>
            <w:vAlign w:val="bottom"/>
          </w:tcPr>
          <w:p>
            <w:pPr>
              <w:spacing w:after="0"/>
              <w:rPr>
                <w:sz w:val="20"/>
                <w:szCs w:val="20"/>
                <w:color w:val="auto"/>
              </w:rPr>
            </w:pPr>
            <w:r>
              <w:rPr>
                <w:rFonts w:ascii="Arial" w:cs="Arial" w:eastAsia="Arial" w:hAnsi="Arial"/>
                <w:sz w:val="16"/>
                <w:szCs w:val="16"/>
                <w:color w:val="auto"/>
              </w:rPr>
              <w:t>Government authorities</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1,102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194"/>
        </w:trPr>
        <w:tc>
          <w:tcPr>
            <w:tcW w:w="3600" w:type="dxa"/>
            <w:vAlign w:val="bottom"/>
          </w:tcPr>
          <w:p>
            <w:pPr>
              <w:spacing w:after="0"/>
              <w:rPr>
                <w:sz w:val="20"/>
                <w:szCs w:val="20"/>
                <w:color w:val="auto"/>
              </w:rPr>
            </w:pPr>
            <w:r>
              <w:rPr>
                <w:rFonts w:ascii="Arial" w:cs="Arial" w:eastAsia="Arial" w:hAnsi="Arial"/>
                <w:sz w:val="16"/>
                <w:szCs w:val="16"/>
                <w:color w:val="auto"/>
              </w:rPr>
              <w:t>Prepaid expenses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382</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194"/>
        </w:trPr>
        <w:tc>
          <w:tcPr>
            <w:tcW w:w="3600" w:type="dxa"/>
            <w:vAlign w:val="bottom"/>
          </w:tcPr>
          <w:p>
            <w:pPr>
              <w:spacing w:after="0"/>
              <w:rPr>
                <w:sz w:val="20"/>
                <w:szCs w:val="20"/>
                <w:color w:val="auto"/>
              </w:rPr>
            </w:pPr>
            <w:r>
              <w:rPr>
                <w:rFonts w:ascii="Arial" w:cs="Arial" w:eastAsia="Arial" w:hAnsi="Arial"/>
                <w:sz w:val="16"/>
                <w:szCs w:val="16"/>
                <w:color w:val="auto"/>
              </w:rPr>
              <w:t>Deferred tax assets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135</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color w:val="auto"/>
              </w:rPr>
              <w:t>Other</w:t>
            </w:r>
          </w:p>
        </w:tc>
        <w:tc>
          <w:tcPr>
            <w:tcW w:w="1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79"/>
        </w:trPr>
        <w:tc>
          <w:tcPr>
            <w:tcW w:w="3600" w:type="dxa"/>
            <w:vAlign w:val="bottom"/>
          </w:tcPr>
          <w:p>
            <w:pPr>
              <w:spacing w:after="0"/>
              <w:rPr>
                <w:sz w:val="24"/>
                <w:szCs w:val="24"/>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1,708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b w:val="1"/>
                <w:bCs w:val="1"/>
                <w:color w:val="auto"/>
              </w:rPr>
              <w:t>NOTE 4:-  INVENTORIES</w:t>
            </w: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6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5"/>
                <w:szCs w:val="15"/>
                <w:b w:val="1"/>
                <w:bCs w:val="1"/>
                <w:color w:val="auto"/>
              </w:rPr>
              <w:t>2013</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355"/>
        </w:trPr>
        <w:tc>
          <w:tcPr>
            <w:tcW w:w="3600" w:type="dxa"/>
            <w:vAlign w:val="bottom"/>
          </w:tcPr>
          <w:p>
            <w:pPr>
              <w:spacing w:after="0"/>
              <w:rPr>
                <w:sz w:val="20"/>
                <w:szCs w:val="20"/>
                <w:color w:val="auto"/>
              </w:rPr>
            </w:pPr>
            <w:r>
              <w:rPr>
                <w:rFonts w:ascii="Arial" w:cs="Arial" w:eastAsia="Arial" w:hAnsi="Arial"/>
                <w:sz w:val="16"/>
                <w:szCs w:val="16"/>
                <w:color w:val="auto"/>
              </w:rPr>
              <w:t>Raw materials and components</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5,813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6,427</w:t>
            </w:r>
          </w:p>
        </w:tc>
        <w:tc>
          <w:tcPr>
            <w:tcW w:w="0" w:type="dxa"/>
            <w:vAlign w:val="bottom"/>
          </w:tcPr>
          <w:p>
            <w:pPr>
              <w:spacing w:after="0"/>
              <w:rPr>
                <w:sz w:val="1"/>
                <w:szCs w:val="1"/>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color w:val="auto"/>
              </w:rPr>
              <w:t>Finished products (*)</w:t>
            </w:r>
          </w:p>
        </w:tc>
        <w:tc>
          <w:tcPr>
            <w:tcW w:w="1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6,154</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5,559</w:t>
            </w:r>
          </w:p>
        </w:tc>
        <w:tc>
          <w:tcPr>
            <w:tcW w:w="0" w:type="dxa"/>
            <w:vAlign w:val="bottom"/>
          </w:tcPr>
          <w:p>
            <w:pPr>
              <w:spacing w:after="0"/>
              <w:rPr>
                <w:sz w:val="1"/>
                <w:szCs w:val="1"/>
                <w:color w:val="auto"/>
              </w:rPr>
            </w:pPr>
          </w:p>
        </w:tc>
      </w:tr>
      <w:tr>
        <w:trPr>
          <w:trHeight w:val="380"/>
        </w:trPr>
        <w:tc>
          <w:tcPr>
            <w:tcW w:w="3600" w:type="dxa"/>
            <w:vAlign w:val="bottom"/>
          </w:tcPr>
          <w:p>
            <w:pPr>
              <w:spacing w:after="0"/>
              <w:rPr>
                <w:sz w:val="24"/>
                <w:szCs w:val="24"/>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11,967</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11,986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1840" w:right="1099" w:hanging="302"/>
        <w:spacing w:after="0" w:line="281" w:lineRule="auto"/>
        <w:tabs>
          <w:tab w:leader="none" w:pos="183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amounts of $897 and $647 for 2013 and 2014, respectively, with respect to inventory delivered to customers but for which revenue criteria have not been met yet.</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40" w:name="page141"/>
    <w:bookmarkEnd w:id="140"/>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5:-</w:t>
        <w:tab/>
        <w:t>PROPERTY AND EQUIPMENT, NET</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4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60" w:type="dxa"/>
            <w:vAlign w:val="bottom"/>
            <w:vMerge w:val="restart"/>
          </w:tcPr>
          <w:p>
            <w:pPr>
              <w:spacing w:after="0"/>
              <w:rPr>
                <w:sz w:val="20"/>
                <w:szCs w:val="20"/>
                <w:color w:val="auto"/>
              </w:rPr>
            </w:pPr>
            <w:r>
              <w:rPr>
                <w:rFonts w:ascii="Arial" w:cs="Arial" w:eastAsia="Arial" w:hAnsi="Arial"/>
                <w:sz w:val="16"/>
                <w:szCs w:val="16"/>
                <w:color w:val="auto"/>
              </w:rPr>
              <w:t>Cost:</w:t>
            </w: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2013</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20"/>
                <w:szCs w:val="20"/>
                <w:color w:val="auto"/>
              </w:rPr>
            </w:pPr>
            <w:r>
              <w:rPr>
                <w:rFonts w:ascii="Arial" w:cs="Arial" w:eastAsia="Arial" w:hAnsi="Arial"/>
                <w:sz w:val="16"/>
                <w:szCs w:val="16"/>
                <w:color w:val="auto"/>
              </w:rPr>
              <w:t>Computer, peripheral equipment and software</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966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508</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3,264</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4,587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1,764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406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6,018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8,046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6"/>
                <w:szCs w:val="16"/>
                <w:color w:val="auto"/>
              </w:rPr>
              <w:t>Accumulated depreciation and amortization</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(3,365)</w:t>
            </w:r>
          </w:p>
        </w:tc>
        <w:tc>
          <w:tcPr>
            <w:tcW w:w="3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0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2,653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3,660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500" w:right="919"/>
        <w:spacing w:after="0" w:line="281" w:lineRule="auto"/>
        <w:rPr>
          <w:sz w:val="20"/>
          <w:szCs w:val="20"/>
          <w:color w:val="auto"/>
        </w:rPr>
      </w:pPr>
      <w:r>
        <w:rPr>
          <w:rFonts w:ascii="Arial" w:cs="Arial" w:eastAsia="Arial" w:hAnsi="Arial"/>
          <w:sz w:val="16"/>
          <w:szCs w:val="16"/>
          <w:color w:val="auto"/>
        </w:rPr>
        <w:t>Depreciation expenses for the years ended December 31, 2012, 2013 and 2014 were $750, $1,071 and $1,226, respectively.</w:t>
      </w:r>
    </w:p>
    <w:p>
      <w:pPr>
        <w:spacing w:after="0" w:line="102" w:lineRule="exact"/>
        <w:rPr>
          <w:sz w:val="20"/>
          <w:szCs w:val="20"/>
          <w:color w:val="auto"/>
        </w:rPr>
      </w:pPr>
    </w:p>
    <w:p>
      <w:pPr>
        <w:ind w:left="1500" w:right="699"/>
        <w:spacing w:after="0" w:line="267" w:lineRule="auto"/>
        <w:rPr>
          <w:sz w:val="20"/>
          <w:szCs w:val="20"/>
          <w:color w:val="auto"/>
        </w:rPr>
      </w:pPr>
      <w:r>
        <w:rPr>
          <w:rFonts w:ascii="Arial" w:cs="Arial" w:eastAsia="Arial" w:hAnsi="Arial"/>
          <w:sz w:val="16"/>
          <w:szCs w:val="16"/>
          <w:color w:val="auto"/>
        </w:rPr>
        <w:t>During the years ended December 31, 2012 and 2013 and 2014, the Company recorded a reduction of $0, $140 and $168, respectively to the cost and accumulated depreciation of fully depreciated equipment no longer in use.</w:t>
      </w:r>
    </w:p>
    <w:p>
      <w:pPr>
        <w:spacing w:after="0" w:line="157"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6:-</w:t>
        <w:tab/>
        <w:t>INTANGIBLE ASSETS, NET</w:t>
      </w:r>
    </w:p>
    <w:p>
      <w:pPr>
        <w:spacing w:after="0" w:line="208" w:lineRule="exact"/>
        <w:rPr>
          <w:sz w:val="20"/>
          <w:szCs w:val="20"/>
          <w:color w:val="auto"/>
        </w:rPr>
      </w:pPr>
    </w:p>
    <w:p>
      <w:pPr>
        <w:ind w:left="1500" w:right="599"/>
        <w:spacing w:after="0" w:line="298" w:lineRule="auto"/>
        <w:rPr>
          <w:sz w:val="20"/>
          <w:szCs w:val="20"/>
          <w:color w:val="auto"/>
        </w:rPr>
      </w:pPr>
      <w:r>
        <w:rPr>
          <w:rFonts w:ascii="Arial" w:cs="Arial" w:eastAsia="Arial" w:hAnsi="Arial"/>
          <w:sz w:val="14"/>
          <w:szCs w:val="14"/>
          <w:color w:val="auto"/>
        </w:rPr>
        <w:t>On May 24, 2010, the Company entered into a license agreement with a third party (the “agreement”). According to the agreement, the third party granted the Company a license to use its digital R2R printer and any and all related intellectual property including, among others, copying, manufacturing, distributing, marketing, engineering, further development and development of related products (the “license”) in order to allow the Company to develop a new version of a printer (the “new product”). The Company owns all the rights to the new product (as well as all the respective intellectual property rights) and the third party has no rights thereto. The license is non-cancelable. According to the agreement, the Company is obligated to pay royalties on sales of the new product up to a maximum agreed upon amount.</w:t>
      </w:r>
    </w:p>
    <w:p>
      <w:pPr>
        <w:spacing w:after="0" w:line="109" w:lineRule="exact"/>
        <w:rPr>
          <w:sz w:val="20"/>
          <w:szCs w:val="20"/>
          <w:color w:val="auto"/>
        </w:rPr>
      </w:pPr>
    </w:p>
    <w:p>
      <w:pPr>
        <w:ind w:left="1500" w:right="639"/>
        <w:spacing w:after="0" w:line="267" w:lineRule="auto"/>
        <w:rPr>
          <w:sz w:val="20"/>
          <w:szCs w:val="20"/>
          <w:color w:val="auto"/>
        </w:rPr>
      </w:pPr>
      <w:r>
        <w:rPr>
          <w:rFonts w:ascii="Arial" w:cs="Arial" w:eastAsia="Arial" w:hAnsi="Arial"/>
          <w:sz w:val="16"/>
          <w:szCs w:val="16"/>
          <w:color w:val="auto"/>
        </w:rPr>
        <w:t>On April 22, 2013, the Company signed an amendment to the agreement pursuant to which the Company paid $327 and shall no longer have any obligations or undertakings to make any future payments to the third party.</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5"/>
              </w:rPr>
              <w:t>Weighted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8"/>
              </w:rPr>
              <w:t>average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amortization</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7"/>
              </w:rPr>
              <w:t>period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2"/>
              <w:spacing w:after="0"/>
              <w:rPr>
                <w:sz w:val="20"/>
                <w:szCs w:val="20"/>
                <w:color w:val="auto"/>
              </w:rPr>
            </w:pPr>
            <w:r>
              <w:rPr>
                <w:rFonts w:ascii="Arial" w:cs="Arial" w:eastAsia="Arial" w:hAnsi="Arial"/>
                <w:sz w:val="15"/>
                <w:szCs w:val="15"/>
                <w:b w:val="1"/>
                <w:bCs w:val="1"/>
                <w:color w:val="auto"/>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6"/>
                <w:szCs w:val="16"/>
                <w:color w:val="auto"/>
              </w:rPr>
              <w:t>Cost:</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(years)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Acquired technology</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4.86</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566</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3780" w:type="dxa"/>
            <w:vAlign w:val="bottom"/>
          </w:tcPr>
          <w:p>
            <w:pPr>
              <w:spacing w:after="0"/>
              <w:rPr>
                <w:sz w:val="20"/>
                <w:szCs w:val="20"/>
                <w:color w:val="auto"/>
              </w:rPr>
            </w:pPr>
            <w:r>
              <w:rPr>
                <w:rFonts w:ascii="Arial" w:cs="Arial" w:eastAsia="Arial" w:hAnsi="Arial"/>
                <w:sz w:val="16"/>
                <w:szCs w:val="16"/>
                <w:color w:val="auto"/>
              </w:rPr>
              <w:t>Accumulated amortization:</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Acquired technology</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371</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F-19</w:t>
            </w: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80" w:right="1440" w:bottom="1440" w:gutter="0" w:footer="0" w:header="0"/>
        </w:sectPr>
      </w:pPr>
    </w:p>
    <w:bookmarkStart w:id="141" w:name="page142"/>
    <w:bookmarkEnd w:id="141"/>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6:-</w:t>
      </w:r>
      <w:r>
        <w:rPr>
          <w:sz w:val="20"/>
          <w:szCs w:val="20"/>
          <w:color w:val="auto"/>
        </w:rPr>
        <w:tab/>
      </w:r>
      <w:r>
        <w:rPr>
          <w:rFonts w:ascii="Arial" w:cs="Arial" w:eastAsia="Arial" w:hAnsi="Arial"/>
          <w:sz w:val="15"/>
          <w:szCs w:val="15"/>
          <w:b w:val="1"/>
          <w:bCs w:val="1"/>
          <w:color w:val="auto"/>
        </w:rPr>
        <w:t>INTANGIBLE ASSETS, NET (Cont.)</w:t>
      </w:r>
    </w:p>
    <w:p>
      <w:pPr>
        <w:spacing w:after="0" w:line="208" w:lineRule="exact"/>
        <w:rPr>
          <w:sz w:val="20"/>
          <w:szCs w:val="20"/>
          <w:color w:val="auto"/>
        </w:rPr>
      </w:pPr>
    </w:p>
    <w:p>
      <w:pPr>
        <w:ind w:left="1500" w:right="779"/>
        <w:spacing w:after="0" w:line="281" w:lineRule="auto"/>
        <w:rPr>
          <w:sz w:val="20"/>
          <w:szCs w:val="20"/>
          <w:color w:val="auto"/>
        </w:rPr>
      </w:pPr>
      <w:r>
        <w:rPr>
          <w:rFonts w:ascii="Arial" w:cs="Arial" w:eastAsia="Arial" w:hAnsi="Arial"/>
          <w:sz w:val="16"/>
          <w:szCs w:val="16"/>
          <w:color w:val="auto"/>
        </w:rPr>
        <w:t>Amortization expenses for the years ended December 31, 2012, 2013 and 2014 were $36, $97 and $126, respectively.</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4960" w:type="dxa"/>
            <w:vAlign w:val="bottom"/>
          </w:tcPr>
          <w:p>
            <w:pPr>
              <w:ind w:left="920"/>
              <w:spacing w:after="0"/>
              <w:rPr>
                <w:sz w:val="20"/>
                <w:szCs w:val="20"/>
                <w:color w:val="auto"/>
              </w:rPr>
            </w:pPr>
            <w:r>
              <w:rPr>
                <w:rFonts w:ascii="Arial" w:cs="Arial" w:eastAsia="Arial" w:hAnsi="Arial"/>
                <w:sz w:val="16"/>
                <w:szCs w:val="16"/>
                <w:color w:val="auto"/>
              </w:rPr>
              <w:t>Future amortization expenses for the years ending:</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960" w:type="dxa"/>
            <w:vAlign w:val="bottom"/>
          </w:tcPr>
          <w:p>
            <w:pPr>
              <w:spacing w:after="0"/>
              <w:rPr>
                <w:sz w:val="20"/>
                <w:szCs w:val="20"/>
                <w:color w:val="auto"/>
              </w:rPr>
            </w:pPr>
            <w:r>
              <w:rPr>
                <w:rFonts w:ascii="Arial" w:cs="Arial" w:eastAsia="Arial" w:hAnsi="Arial"/>
                <w:sz w:val="16"/>
                <w:szCs w:val="16"/>
                <w:color w:val="auto"/>
              </w:rPr>
              <w:t>2015</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80"/>
        </w:trPr>
        <w:tc>
          <w:tcPr>
            <w:tcW w:w="496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6"/>
                <w:szCs w:val="16"/>
                <w:b w:val="1"/>
                <w:bCs w:val="1"/>
                <w:color w:val="auto"/>
              </w:rPr>
              <w:t>NOTE 7:-  OTHER PAYABLES AND ACCRUED EXPENSES</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w w:val="96"/>
              </w:rPr>
              <w:t>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355"/>
        </w:trPr>
        <w:tc>
          <w:tcPr>
            <w:tcW w:w="4960" w:type="dxa"/>
            <w:vAlign w:val="bottom"/>
          </w:tcPr>
          <w:p>
            <w:pPr>
              <w:spacing w:after="0"/>
              <w:rPr>
                <w:sz w:val="20"/>
                <w:szCs w:val="20"/>
                <w:color w:val="auto"/>
              </w:rPr>
            </w:pPr>
            <w:r>
              <w:rPr>
                <w:rFonts w:ascii="Arial" w:cs="Arial" w:eastAsia="Arial" w:hAnsi="Arial"/>
                <w:sz w:val="16"/>
                <w:szCs w:val="16"/>
                <w:color w:val="auto"/>
              </w:rPr>
              <w:t>Government authorities</w:t>
            </w:r>
          </w:p>
        </w:tc>
        <w:tc>
          <w:tcPr>
            <w:tcW w:w="960" w:type="dxa"/>
            <w:vAlign w:val="bottom"/>
            <w:gridSpan w:val="2"/>
          </w:tcPr>
          <w:p>
            <w:pPr>
              <w:jc w:val="right"/>
              <w:ind w:right="567"/>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1,725</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20"/>
                <w:szCs w:val="20"/>
                <w:color w:val="auto"/>
              </w:rPr>
            </w:pPr>
            <w:r>
              <w:rPr>
                <w:rFonts w:ascii="Arial" w:cs="Arial" w:eastAsia="Arial" w:hAnsi="Arial"/>
                <w:sz w:val="16"/>
                <w:szCs w:val="16"/>
                <w:color w:val="auto"/>
              </w:rPr>
              <w:t>Warranty provision</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471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379"/>
        </w:trPr>
        <w:tc>
          <w:tcPr>
            <w:tcW w:w="4960" w:type="dxa"/>
            <w:vAlign w:val="bottom"/>
          </w:tcPr>
          <w:p>
            <w:pPr>
              <w:spacing w:after="0"/>
              <w:rPr>
                <w:sz w:val="24"/>
                <w:szCs w:val="24"/>
                <w:color w:val="auto"/>
              </w:rPr>
            </w:pPr>
          </w:p>
        </w:tc>
        <w:tc>
          <w:tcPr>
            <w:tcW w:w="960" w:type="dxa"/>
            <w:vAlign w:val="bottom"/>
            <w:gridSpan w:val="2"/>
          </w:tcPr>
          <w:p>
            <w:pPr>
              <w:jc w:val="right"/>
              <w:ind w:right="567"/>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2,985</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6"/>
                <w:szCs w:val="16"/>
                <w:b w:val="1"/>
                <w:bCs w:val="1"/>
                <w:color w:val="auto"/>
              </w:rPr>
              <w:t>NOTE 8:-  COMMITMENTS AND CONTINGENT LIABILITIES</w:t>
            </w: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20" w:hanging="322"/>
        <w:spacing w:after="0"/>
        <w:tabs>
          <w:tab w:leader="none" w:pos="18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Lease commitments:</w:t>
      </w:r>
    </w:p>
    <w:p>
      <w:pPr>
        <w:spacing w:after="0" w:line="167" w:lineRule="exact"/>
        <w:rPr>
          <w:rFonts w:ascii="Arial" w:cs="Arial" w:eastAsia="Arial" w:hAnsi="Arial"/>
          <w:sz w:val="16"/>
          <w:szCs w:val="16"/>
          <w:color w:val="auto"/>
        </w:rPr>
      </w:pPr>
    </w:p>
    <w:p>
      <w:pPr>
        <w:ind w:left="1840" w:right="699"/>
        <w:spacing w:after="0" w:line="322" w:lineRule="auto"/>
        <w:rPr>
          <w:rFonts w:ascii="Arial" w:cs="Arial" w:eastAsia="Arial" w:hAnsi="Arial"/>
          <w:sz w:val="16"/>
          <w:szCs w:val="16"/>
          <w:color w:val="auto"/>
        </w:rPr>
      </w:pPr>
      <w:r>
        <w:rPr>
          <w:rFonts w:ascii="Arial" w:cs="Arial" w:eastAsia="Arial" w:hAnsi="Arial"/>
          <w:sz w:val="14"/>
          <w:szCs w:val="14"/>
          <w:color w:val="auto"/>
        </w:rPr>
        <w:t>The Company leases facilities and vehicles under operating leases that expire on various dates through 2018. Aggregate minimum lease and rental payments under non-cancelable operating leases as of December 31, 2014, are (in the aggregate) and for each succeeding fiscal year below:</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94"/>
        </w:trPr>
        <w:tc>
          <w:tcPr>
            <w:tcW w:w="6620" w:type="dxa"/>
            <w:vAlign w:val="bottom"/>
          </w:tcPr>
          <w:p>
            <w:pPr>
              <w:jc w:val="right"/>
              <w:ind w:right="6219"/>
              <w:spacing w:after="0"/>
              <w:rPr>
                <w:sz w:val="20"/>
                <w:szCs w:val="20"/>
                <w:color w:val="auto"/>
              </w:rPr>
            </w:pPr>
            <w:r>
              <w:rPr>
                <w:rFonts w:ascii="Arial" w:cs="Arial" w:eastAsia="Arial" w:hAnsi="Arial"/>
                <w:sz w:val="16"/>
                <w:szCs w:val="16"/>
                <w:color w:val="auto"/>
                <w:w w:val="84"/>
              </w:rPr>
              <w:t>2015</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194"/>
        </w:trPr>
        <w:tc>
          <w:tcPr>
            <w:tcW w:w="6620" w:type="dxa"/>
            <w:vAlign w:val="bottom"/>
          </w:tcPr>
          <w:p>
            <w:pPr>
              <w:jc w:val="right"/>
              <w:ind w:right="6219"/>
              <w:spacing w:after="0"/>
              <w:rPr>
                <w:sz w:val="20"/>
                <w:szCs w:val="20"/>
                <w:color w:val="auto"/>
              </w:rPr>
            </w:pPr>
            <w:r>
              <w:rPr>
                <w:rFonts w:ascii="Arial" w:cs="Arial" w:eastAsia="Arial" w:hAnsi="Arial"/>
                <w:sz w:val="16"/>
                <w:szCs w:val="16"/>
                <w:color w:val="auto"/>
                <w:w w:val="84"/>
              </w:rPr>
              <w:t>2016</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985</w:t>
            </w:r>
          </w:p>
        </w:tc>
      </w:tr>
      <w:tr>
        <w:trPr>
          <w:trHeight w:val="194"/>
        </w:trPr>
        <w:tc>
          <w:tcPr>
            <w:tcW w:w="6620" w:type="dxa"/>
            <w:vAlign w:val="bottom"/>
          </w:tcPr>
          <w:p>
            <w:pPr>
              <w:jc w:val="right"/>
              <w:ind w:right="6219"/>
              <w:spacing w:after="0"/>
              <w:rPr>
                <w:sz w:val="20"/>
                <w:szCs w:val="20"/>
                <w:color w:val="auto"/>
              </w:rPr>
            </w:pPr>
            <w:r>
              <w:rPr>
                <w:rFonts w:ascii="Arial" w:cs="Arial" w:eastAsia="Arial" w:hAnsi="Arial"/>
                <w:sz w:val="16"/>
                <w:szCs w:val="16"/>
                <w:color w:val="auto"/>
                <w:w w:val="84"/>
              </w:rPr>
              <w:t>2017</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06"/>
        </w:trPr>
        <w:tc>
          <w:tcPr>
            <w:tcW w:w="6620" w:type="dxa"/>
            <w:vAlign w:val="bottom"/>
          </w:tcPr>
          <w:p>
            <w:pPr>
              <w:jc w:val="right"/>
              <w:ind w:right="6219"/>
              <w:spacing w:after="0"/>
              <w:rPr>
                <w:sz w:val="20"/>
                <w:szCs w:val="20"/>
                <w:color w:val="auto"/>
              </w:rPr>
            </w:pPr>
            <w:r>
              <w:rPr>
                <w:rFonts w:ascii="Arial" w:cs="Arial" w:eastAsia="Arial" w:hAnsi="Arial"/>
                <w:sz w:val="16"/>
                <w:szCs w:val="16"/>
                <w:color w:val="auto"/>
                <w:w w:val="84"/>
              </w:rPr>
              <w:t>2018</w:t>
            </w: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380"/>
        </w:trPr>
        <w:tc>
          <w:tcPr>
            <w:tcW w:w="70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2,982</w:t>
            </w: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1840" w:right="799"/>
        <w:spacing w:after="0" w:line="281" w:lineRule="auto"/>
        <w:rPr>
          <w:sz w:val="20"/>
          <w:szCs w:val="20"/>
          <w:color w:val="auto"/>
        </w:rPr>
      </w:pPr>
      <w:r>
        <w:rPr>
          <w:rFonts w:ascii="Arial" w:cs="Arial" w:eastAsia="Arial" w:hAnsi="Arial"/>
          <w:sz w:val="16"/>
          <w:szCs w:val="16"/>
          <w:color w:val="auto"/>
        </w:rPr>
        <w:t>Total rent expenses for the years ended December 31, 2012, 2013 and 2014 were $891, $1,080 and $1,203, respectively.</w:t>
      </w:r>
    </w:p>
    <w:p>
      <w:pPr>
        <w:spacing w:after="0" w:line="102" w:lineRule="exact"/>
        <w:rPr>
          <w:sz w:val="20"/>
          <w:szCs w:val="20"/>
          <w:color w:val="auto"/>
        </w:rPr>
      </w:pPr>
    </w:p>
    <w:p>
      <w:pPr>
        <w:ind w:left="1800" w:hanging="302"/>
        <w:spacing w:after="0"/>
        <w:tabs>
          <w:tab w:leader="none" w:pos="1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Charges:</w:t>
      </w:r>
    </w:p>
    <w:p>
      <w:pPr>
        <w:spacing w:after="0" w:line="143" w:lineRule="exact"/>
        <w:rPr>
          <w:sz w:val="20"/>
          <w:szCs w:val="20"/>
          <w:color w:val="auto"/>
        </w:rPr>
      </w:pPr>
    </w:p>
    <w:p>
      <w:pPr>
        <w:ind w:left="1840" w:right="579"/>
        <w:spacing w:after="0" w:line="258" w:lineRule="auto"/>
        <w:rPr>
          <w:sz w:val="20"/>
          <w:szCs w:val="20"/>
          <w:color w:val="auto"/>
        </w:rPr>
      </w:pPr>
      <w:r>
        <w:rPr>
          <w:rFonts w:ascii="Arial" w:cs="Arial" w:eastAsia="Arial" w:hAnsi="Arial"/>
          <w:sz w:val="16"/>
          <w:szCs w:val="16"/>
          <w:color w:val="auto"/>
        </w:rPr>
        <w:t>During 2012, the Company obtained lines of credit for total borrowings of up to $2,000 from two Israeli banks. The lines of credit carry interest rates varying between the Bank of Israel’s interest rate plus 1.5% (“Israeli Prime Rate”) plus 3% to 3.5%. Under the agreements, the Company is obligated to satisfy the following covenants for so long as any borrowings are outstanding under the credit line: (a) the Company is required to maintain a 30% ratio of total shareholders’ equity to total assets on a consolidated basis; and</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42" w:name="page143"/>
    <w:bookmarkEnd w:id="142"/>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8:-</w:t>
        <w:tab/>
        <w:t>COMMITMENTS AND CONTINGENT LIABILITIES (Cont.)</w:t>
      </w:r>
    </w:p>
    <w:p>
      <w:pPr>
        <w:spacing w:after="0" w:line="208" w:lineRule="exact"/>
        <w:rPr>
          <w:sz w:val="20"/>
          <w:szCs w:val="20"/>
          <w:color w:val="auto"/>
        </w:rPr>
      </w:pPr>
    </w:p>
    <w:p>
      <w:pPr>
        <w:ind w:left="1840" w:right="699" w:hanging="3"/>
        <w:spacing w:after="0" w:line="267" w:lineRule="auto"/>
        <w:tabs>
          <w:tab w:leader="none" w:pos="206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the end of each fiscal quarter, the Company is required to maintain a minimum of $1,000 cash and cash equivalents on a consolidated basis. A $1,000 line of credit was terminated in October 2014.</w:t>
      </w:r>
    </w:p>
    <w:p>
      <w:pPr>
        <w:spacing w:after="0" w:line="101" w:lineRule="exact"/>
        <w:rPr>
          <w:sz w:val="20"/>
          <w:szCs w:val="20"/>
          <w:color w:val="auto"/>
        </w:rPr>
      </w:pPr>
    </w:p>
    <w:p>
      <w:pPr>
        <w:ind w:left="1840" w:right="619"/>
        <w:spacing w:after="0" w:line="259" w:lineRule="auto"/>
        <w:rPr>
          <w:sz w:val="20"/>
          <w:szCs w:val="20"/>
          <w:color w:val="auto"/>
        </w:rPr>
      </w:pPr>
      <w:r>
        <w:rPr>
          <w:rFonts w:ascii="Arial" w:cs="Arial" w:eastAsia="Arial" w:hAnsi="Arial"/>
          <w:sz w:val="16"/>
          <w:szCs w:val="16"/>
          <w:color w:val="auto"/>
        </w:rPr>
        <w:t>In November 2014, the Company entered into an additional line of credit with an Israeli bank for borrowings of up to $2,000. Borrowings under the line of credit line bear interest at a rate of the Israeli Prime Rate plus 0.45%. Under the agreement, for so long as any borrowings are outstanding under the line of credit, the Company is obligated to maintain a 30% ratio of total shareholders’ equity to total assets.</w:t>
      </w:r>
    </w:p>
    <w:p>
      <w:pPr>
        <w:spacing w:after="0" w:line="85" w:lineRule="exact"/>
        <w:rPr>
          <w:sz w:val="20"/>
          <w:szCs w:val="20"/>
          <w:color w:val="auto"/>
        </w:rPr>
      </w:pPr>
    </w:p>
    <w:p>
      <w:pPr>
        <w:ind w:left="1840" w:right="759"/>
        <w:spacing w:after="0" w:line="267" w:lineRule="auto"/>
        <w:rPr>
          <w:sz w:val="20"/>
          <w:szCs w:val="20"/>
          <w:color w:val="auto"/>
        </w:rPr>
      </w:pPr>
      <w:r>
        <w:rPr>
          <w:rFonts w:ascii="Arial" w:cs="Arial" w:eastAsia="Arial" w:hAnsi="Arial"/>
          <w:sz w:val="16"/>
          <w:szCs w:val="16"/>
          <w:color w:val="auto"/>
        </w:rPr>
        <w:t>As of the date of these financial statements, the Company does not have any borrowings under the lines of credit. The Company is in compliance with the financial covenants contained in the lines of credit.</w:t>
      </w:r>
    </w:p>
    <w:p>
      <w:pPr>
        <w:spacing w:after="0" w:line="88" w:lineRule="exact"/>
        <w:rPr>
          <w:sz w:val="20"/>
          <w:szCs w:val="20"/>
          <w:color w:val="auto"/>
        </w:rPr>
      </w:pPr>
    </w:p>
    <w:p>
      <w:pPr>
        <w:ind w:left="1820" w:hanging="322"/>
        <w:spacing w:after="0"/>
        <w:tabs>
          <w:tab w:leader="none" w:pos="18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Purchase commitments:</w:t>
      </w:r>
    </w:p>
    <w:p>
      <w:pPr>
        <w:spacing w:after="0" w:line="118" w:lineRule="exact"/>
        <w:rPr>
          <w:rFonts w:ascii="Arial" w:cs="Arial" w:eastAsia="Arial" w:hAnsi="Arial"/>
          <w:sz w:val="16"/>
          <w:szCs w:val="16"/>
          <w:color w:val="auto"/>
        </w:rPr>
      </w:pPr>
    </w:p>
    <w:p>
      <w:pPr>
        <w:ind w:left="1840" w:right="999"/>
        <w:spacing w:after="0" w:line="281" w:lineRule="auto"/>
        <w:rPr>
          <w:rFonts w:ascii="Arial" w:cs="Arial" w:eastAsia="Arial" w:hAnsi="Arial"/>
          <w:sz w:val="16"/>
          <w:szCs w:val="16"/>
          <w:color w:val="auto"/>
        </w:rPr>
      </w:pPr>
      <w:r>
        <w:rPr>
          <w:rFonts w:ascii="Arial" w:cs="Arial" w:eastAsia="Arial" w:hAnsi="Arial"/>
          <w:sz w:val="16"/>
          <w:szCs w:val="16"/>
          <w:color w:val="auto"/>
        </w:rPr>
        <w:t>The Company estimates that at December 31, 2014, it had $8,859 of purchase commitments for inventory from vendors.</w:t>
      </w:r>
    </w:p>
    <w:p>
      <w:pPr>
        <w:spacing w:after="0" w:line="65" w:lineRule="exact"/>
        <w:rPr>
          <w:rFonts w:ascii="Arial" w:cs="Arial" w:eastAsia="Arial" w:hAnsi="Arial"/>
          <w:sz w:val="16"/>
          <w:szCs w:val="16"/>
          <w:color w:val="auto"/>
        </w:rPr>
      </w:pPr>
    </w:p>
    <w:p>
      <w:pPr>
        <w:ind w:left="1800" w:hanging="302"/>
        <w:spacing w:after="0"/>
        <w:tabs>
          <w:tab w:leader="none" w:pos="18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Litigation:</w:t>
      </w:r>
    </w:p>
    <w:p>
      <w:pPr>
        <w:spacing w:after="0" w:line="131" w:lineRule="exact"/>
        <w:rPr>
          <w:sz w:val="20"/>
          <w:szCs w:val="20"/>
          <w:color w:val="auto"/>
        </w:rPr>
      </w:pPr>
    </w:p>
    <w:p>
      <w:pPr>
        <w:ind w:left="1840" w:right="579"/>
        <w:spacing w:after="0" w:line="262" w:lineRule="auto"/>
        <w:rPr>
          <w:sz w:val="20"/>
          <w:szCs w:val="20"/>
          <w:color w:val="auto"/>
        </w:rPr>
      </w:pPr>
      <w:r>
        <w:rPr>
          <w:rFonts w:ascii="Arial" w:cs="Arial" w:eastAsia="Arial" w:hAnsi="Arial"/>
          <w:sz w:val="16"/>
          <w:szCs w:val="16"/>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81" w:lineRule="exact"/>
        <w:rPr>
          <w:sz w:val="20"/>
          <w:szCs w:val="20"/>
          <w:color w:val="auto"/>
        </w:rPr>
      </w:pPr>
    </w:p>
    <w:p>
      <w:pPr>
        <w:ind w:left="1820" w:hanging="322"/>
        <w:spacing w:after="0"/>
        <w:tabs>
          <w:tab w:leader="none" w:pos="18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Royalty Commitments:</w:t>
      </w:r>
    </w:p>
    <w:p>
      <w:pPr>
        <w:spacing w:after="0" w:line="118" w:lineRule="exact"/>
        <w:rPr>
          <w:rFonts w:ascii="Arial" w:cs="Arial" w:eastAsia="Arial" w:hAnsi="Arial"/>
          <w:sz w:val="16"/>
          <w:szCs w:val="16"/>
          <w:color w:val="auto"/>
        </w:rPr>
      </w:pPr>
    </w:p>
    <w:p>
      <w:pPr>
        <w:ind w:left="2120" w:right="759" w:hanging="331"/>
        <w:spacing w:after="0" w:line="292" w:lineRule="auto"/>
        <w:tabs>
          <w:tab w:leader="none" w:pos="2114" w:val="left"/>
        </w:tabs>
        <w:numPr>
          <w:ilvl w:val="1"/>
          <w:numId w:val="106"/>
        </w:numPr>
        <w:rPr>
          <w:rFonts w:ascii="Arial" w:cs="Arial" w:eastAsia="Arial" w:hAnsi="Arial"/>
          <w:sz w:val="15"/>
          <w:szCs w:val="15"/>
          <w:color w:val="auto"/>
        </w:rPr>
      </w:pPr>
      <w:r>
        <w:rPr>
          <w:rFonts w:ascii="Arial" w:cs="Arial" w:eastAsia="Arial" w:hAnsi="Arial"/>
          <w:sz w:val="15"/>
          <w:szCs w:val="15"/>
          <w:color w:val="auto"/>
        </w:rPr>
        <w:t>Under the Company’s agreement for purchasing print heads and other products, which was amended in 2014, the Company is obligated to pay royalties at a rate set forth in the agreement up to an agreed maximum amount of the Company’s annual ink revenues.</w:t>
      </w:r>
    </w:p>
    <w:p>
      <w:pPr>
        <w:spacing w:after="0" w:line="73" w:lineRule="exact"/>
        <w:rPr>
          <w:sz w:val="20"/>
          <w:szCs w:val="20"/>
          <w:color w:val="auto"/>
        </w:rPr>
      </w:pPr>
    </w:p>
    <w:p>
      <w:pPr>
        <w:ind w:left="2120" w:right="839" w:hanging="30"/>
        <w:spacing w:after="0" w:line="281" w:lineRule="auto"/>
        <w:rPr>
          <w:sz w:val="20"/>
          <w:szCs w:val="20"/>
          <w:color w:val="auto"/>
        </w:rPr>
      </w:pPr>
      <w:r>
        <w:rPr>
          <w:rFonts w:ascii="Arial" w:cs="Arial" w:eastAsia="Arial" w:hAnsi="Arial"/>
          <w:sz w:val="16"/>
          <w:szCs w:val="16"/>
          <w:color w:val="auto"/>
        </w:rPr>
        <w:t>Royalty expenses for the years ended December 31, 2012, 2013 and 2014 were $648, $563 and $590, respectively.</w:t>
      </w:r>
    </w:p>
    <w:p>
      <w:pPr>
        <w:spacing w:after="0" w:line="66" w:lineRule="exact"/>
        <w:rPr>
          <w:sz w:val="20"/>
          <w:szCs w:val="20"/>
          <w:color w:val="auto"/>
        </w:rPr>
      </w:pPr>
    </w:p>
    <w:p>
      <w:pPr>
        <w:ind w:left="2120" w:right="759" w:hanging="331"/>
        <w:spacing w:after="0" w:line="278" w:lineRule="auto"/>
        <w:tabs>
          <w:tab w:leader="none" w:pos="2114"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The Company received research and development grants from the Office of the Chief Scientist (the “OCS”). In consideration for the research and development grants received from the OCS, the Company has undertaken to pay royalties as a percentage of revenues from products developed from research and development projects financed. The royalty rate is 3.5%. If the Company does not generate sales of products developed with funds provided by the OCS, the Company is not obligated to pay royalties or repay the grants.</w:t>
      </w:r>
    </w:p>
    <w:p>
      <w:pPr>
        <w:spacing w:after="0" w:line="73" w:lineRule="exact"/>
        <w:rPr>
          <w:rFonts w:ascii="Arial" w:cs="Arial" w:eastAsia="Arial" w:hAnsi="Arial"/>
          <w:sz w:val="15"/>
          <w:szCs w:val="15"/>
          <w:color w:val="auto"/>
        </w:rPr>
      </w:pPr>
    </w:p>
    <w:p>
      <w:pPr>
        <w:jc w:val="both"/>
        <w:ind w:left="2120" w:right="719"/>
        <w:spacing w:after="0" w:line="267" w:lineRule="auto"/>
        <w:rPr>
          <w:rFonts w:ascii="Arial" w:cs="Arial" w:eastAsia="Arial" w:hAnsi="Arial"/>
          <w:sz w:val="15"/>
          <w:szCs w:val="15"/>
          <w:color w:val="auto"/>
        </w:rPr>
      </w:pPr>
      <w:r>
        <w:rPr>
          <w:rFonts w:ascii="Arial" w:cs="Arial" w:eastAsia="Arial" w:hAnsi="Arial"/>
          <w:sz w:val="16"/>
          <w:szCs w:val="16"/>
          <w:color w:val="auto"/>
        </w:rPr>
        <w:t>Royalties are payable from the time of commencement of sales of all of these products until the cumulative amount of the royalties paid equals 100% of the dollar-linked amounts of the grants received, and bears interest at the LIBOR rate.</w:t>
      </w:r>
    </w:p>
    <w:p>
      <w:pPr>
        <w:spacing w:after="0" w:line="88" w:lineRule="exact"/>
        <w:rPr>
          <w:rFonts w:ascii="Arial" w:cs="Arial" w:eastAsia="Arial" w:hAnsi="Arial"/>
          <w:sz w:val="15"/>
          <w:szCs w:val="15"/>
          <w:color w:val="auto"/>
        </w:rPr>
      </w:pPr>
    </w:p>
    <w:p>
      <w:pPr>
        <w:ind w:left="2120" w:right="619"/>
        <w:spacing w:after="0" w:line="281" w:lineRule="auto"/>
        <w:rPr>
          <w:rFonts w:ascii="Arial" w:cs="Arial" w:eastAsia="Arial" w:hAnsi="Arial"/>
          <w:sz w:val="15"/>
          <w:szCs w:val="15"/>
          <w:color w:val="auto"/>
        </w:rPr>
      </w:pPr>
      <w:r>
        <w:rPr>
          <w:rFonts w:ascii="Arial" w:cs="Arial" w:eastAsia="Arial" w:hAnsi="Arial"/>
          <w:sz w:val="15"/>
          <w:szCs w:val="15"/>
          <w:color w:val="auto"/>
        </w:rPr>
        <w:t>The total research and development grants that the Company has received from the OCS as of December 31, 2014 were $168. The accumulated interest as of December 31, 2014 was $7. As of December 31, 2014, there were no accumulated royalties paid to the OCS. Accordingly the Company’s total commitment with respect to royalty-bearing participation received or accrued, net of royalties paid or accrued, amounted to $175 as of December 31, 2014.</w:t>
      </w:r>
    </w:p>
    <w:p>
      <w:pPr>
        <w:spacing w:after="0" w:line="68" w:lineRule="exact"/>
        <w:rPr>
          <w:rFonts w:ascii="Arial" w:cs="Arial" w:eastAsia="Arial" w:hAnsi="Arial"/>
          <w:sz w:val="15"/>
          <w:szCs w:val="15"/>
          <w:color w:val="auto"/>
        </w:rPr>
      </w:pPr>
    </w:p>
    <w:p>
      <w:pPr>
        <w:ind w:left="2120" w:right="1059"/>
        <w:spacing w:after="0" w:line="281" w:lineRule="auto"/>
        <w:rPr>
          <w:rFonts w:ascii="Arial" w:cs="Arial" w:eastAsia="Arial" w:hAnsi="Arial"/>
          <w:sz w:val="15"/>
          <w:szCs w:val="15"/>
          <w:color w:val="auto"/>
        </w:rPr>
      </w:pPr>
      <w:r>
        <w:rPr>
          <w:rFonts w:ascii="Arial" w:cs="Arial" w:eastAsia="Arial" w:hAnsi="Arial"/>
          <w:sz w:val="16"/>
          <w:szCs w:val="16"/>
          <w:color w:val="auto"/>
        </w:rPr>
        <w:t>As of December 31, 2014, no revenues had been generated under this project, therefore no royalties had been paid or accrued.</w:t>
      </w:r>
    </w:p>
    <w:p>
      <w:pPr>
        <w:spacing w:after="0" w:line="65" w:lineRule="exact"/>
        <w:rPr>
          <w:rFonts w:ascii="Arial" w:cs="Arial" w:eastAsia="Arial" w:hAnsi="Arial"/>
          <w:sz w:val="15"/>
          <w:szCs w:val="15"/>
          <w:color w:val="auto"/>
        </w:rPr>
      </w:pPr>
    </w:p>
    <w:p>
      <w:pPr>
        <w:ind w:left="1800" w:hanging="302"/>
        <w:spacing w:after="0"/>
        <w:tabs>
          <w:tab w:leader="none" w:pos="18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Guarantees:</w:t>
      </w:r>
    </w:p>
    <w:p>
      <w:pPr>
        <w:spacing w:after="0" w:line="131" w:lineRule="exact"/>
        <w:rPr>
          <w:sz w:val="20"/>
          <w:szCs w:val="20"/>
          <w:color w:val="auto"/>
        </w:rPr>
      </w:pPr>
    </w:p>
    <w:p>
      <w:pPr>
        <w:ind w:left="1840" w:right="759"/>
        <w:spacing w:after="0" w:line="281" w:lineRule="auto"/>
        <w:rPr>
          <w:sz w:val="20"/>
          <w:szCs w:val="20"/>
          <w:color w:val="auto"/>
        </w:rPr>
      </w:pPr>
      <w:r>
        <w:rPr>
          <w:rFonts w:ascii="Arial" w:cs="Arial" w:eastAsia="Arial" w:hAnsi="Arial"/>
          <w:sz w:val="16"/>
          <w:szCs w:val="16"/>
          <w:color w:val="auto"/>
        </w:rPr>
        <w:t>As of December 31, 2014, the Company provided two bank guarantees of $216 in the aggregate for its rented facilities.</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43" w:name="page144"/>
    <w:bookmarkEnd w:id="143"/>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9:-</w:t>
        <w:tab/>
        <w:t>SHAREHOLDERS’ EQUITY</w:t>
      </w:r>
    </w:p>
    <w:p>
      <w:pPr>
        <w:spacing w:after="0" w:line="208" w:lineRule="exact"/>
        <w:rPr>
          <w:sz w:val="20"/>
          <w:szCs w:val="20"/>
          <w:color w:val="auto"/>
        </w:rPr>
      </w:pPr>
    </w:p>
    <w:p>
      <w:pPr>
        <w:ind w:left="1840" w:right="5979" w:hanging="342"/>
        <w:spacing w:after="0" w:line="577" w:lineRule="auto"/>
        <w:tabs>
          <w:tab w:leader="none" w:pos="182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Company’s shares: Ordinary shares:</w:t>
      </w:r>
    </w:p>
    <w:p>
      <w:pPr>
        <w:spacing w:after="0" w:line="1" w:lineRule="exact"/>
        <w:rPr>
          <w:rFonts w:ascii="Arial" w:cs="Arial" w:eastAsia="Arial" w:hAnsi="Arial"/>
          <w:sz w:val="14"/>
          <w:szCs w:val="14"/>
          <w:color w:val="auto"/>
        </w:rPr>
      </w:pPr>
    </w:p>
    <w:p>
      <w:pPr>
        <w:ind w:left="1840" w:right="699"/>
        <w:spacing w:after="0" w:line="259" w:lineRule="auto"/>
        <w:rPr>
          <w:rFonts w:ascii="Arial" w:cs="Arial" w:eastAsia="Arial" w:hAnsi="Arial"/>
          <w:sz w:val="14"/>
          <w:szCs w:val="14"/>
          <w:color w:val="auto"/>
        </w:rPr>
      </w:pPr>
      <w:r>
        <w:rPr>
          <w:rFonts w:ascii="Arial" w:cs="Arial" w:eastAsia="Arial" w:hAnsi="Arial"/>
          <w:sz w:val="16"/>
          <w:szCs w:val="16"/>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70" w:lineRule="exact"/>
        <w:rPr>
          <w:rFonts w:ascii="Arial" w:cs="Arial" w:eastAsia="Arial" w:hAnsi="Arial"/>
          <w:sz w:val="14"/>
          <w:szCs w:val="14"/>
          <w:color w:val="auto"/>
        </w:rPr>
      </w:pPr>
    </w:p>
    <w:p>
      <w:pPr>
        <w:ind w:left="1840"/>
        <w:spacing w:after="0"/>
        <w:rPr>
          <w:rFonts w:ascii="Arial" w:cs="Arial" w:eastAsia="Arial" w:hAnsi="Arial"/>
          <w:sz w:val="14"/>
          <w:szCs w:val="14"/>
          <w:color w:val="auto"/>
        </w:rPr>
      </w:pPr>
      <w:r>
        <w:rPr>
          <w:rFonts w:ascii="Arial" w:cs="Arial" w:eastAsia="Arial" w:hAnsi="Arial"/>
          <w:sz w:val="16"/>
          <w:szCs w:val="16"/>
          <w:color w:val="auto"/>
        </w:rPr>
        <w:t>Preferred A-1 shares:</w:t>
      </w:r>
    </w:p>
    <w:p>
      <w:pPr>
        <w:spacing w:after="0" w:line="203" w:lineRule="exact"/>
        <w:rPr>
          <w:rFonts w:ascii="Arial" w:cs="Arial" w:eastAsia="Arial" w:hAnsi="Arial"/>
          <w:sz w:val="14"/>
          <w:szCs w:val="14"/>
          <w:color w:val="auto"/>
        </w:rPr>
      </w:pPr>
    </w:p>
    <w:p>
      <w:pPr>
        <w:ind w:left="1840" w:right="719"/>
        <w:spacing w:after="0" w:line="316" w:lineRule="auto"/>
        <w:rPr>
          <w:rFonts w:ascii="Arial" w:cs="Arial" w:eastAsia="Arial" w:hAnsi="Arial"/>
          <w:sz w:val="14"/>
          <w:szCs w:val="14"/>
          <w:color w:val="auto"/>
        </w:rPr>
      </w:pPr>
      <w:r>
        <w:rPr>
          <w:rFonts w:ascii="Arial" w:cs="Arial" w:eastAsia="Arial" w:hAnsi="Arial"/>
          <w:sz w:val="15"/>
          <w:szCs w:val="15"/>
          <w:color w:val="auto"/>
        </w:rPr>
        <w:t>Preferred A-1 shares confer their holders preferences related to the distribution of Company’s assets in events of liquidation, merger, re-organization, sale of the Company or its assets.</w:t>
      </w:r>
    </w:p>
    <w:p>
      <w:pPr>
        <w:spacing w:after="0" w:line="127" w:lineRule="exact"/>
        <w:rPr>
          <w:rFonts w:ascii="Arial" w:cs="Arial" w:eastAsia="Arial" w:hAnsi="Arial"/>
          <w:sz w:val="14"/>
          <w:szCs w:val="14"/>
          <w:color w:val="auto"/>
        </w:rPr>
      </w:pPr>
    </w:p>
    <w:p>
      <w:pPr>
        <w:ind w:left="1840" w:right="659"/>
        <w:spacing w:after="0" w:line="262" w:lineRule="auto"/>
        <w:rPr>
          <w:rFonts w:ascii="Arial" w:cs="Arial" w:eastAsia="Arial" w:hAnsi="Arial"/>
          <w:sz w:val="14"/>
          <w:szCs w:val="14"/>
          <w:color w:val="auto"/>
        </w:rPr>
      </w:pPr>
      <w:r>
        <w:rPr>
          <w:rFonts w:ascii="Arial" w:cs="Arial" w:eastAsia="Arial" w:hAnsi="Arial"/>
          <w:sz w:val="16"/>
          <w:szCs w:val="16"/>
          <w:color w:val="auto"/>
        </w:rPr>
        <w:t>Each share of Series A-1 Preferred automatically converts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65" w:lineRule="exact"/>
        <w:rPr>
          <w:rFonts w:ascii="Arial" w:cs="Arial" w:eastAsia="Arial" w:hAnsi="Arial"/>
          <w:sz w:val="14"/>
          <w:szCs w:val="14"/>
          <w:color w:val="auto"/>
        </w:rPr>
      </w:pPr>
    </w:p>
    <w:p>
      <w:pPr>
        <w:ind w:left="1800" w:hanging="302"/>
        <w:spacing w:after="0"/>
        <w:tabs>
          <w:tab w:leader="none" w:pos="18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Stock option plan:</w:t>
      </w:r>
    </w:p>
    <w:p>
      <w:pPr>
        <w:spacing w:after="0" w:line="20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 summary of the Company’s stock option activity and related information is as follows: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Weighted-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3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4"/>
              </w:rPr>
              <w:t>average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34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5"/>
              </w:rPr>
              <w:t>Weighted</w:t>
            </w: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remaining</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34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3"/>
              </w:rPr>
              <w:t>of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4"/>
              </w:rPr>
              <w:t>average</w:t>
            </w: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contractual</w:t>
            </w:r>
          </w:p>
        </w:tc>
        <w:tc>
          <w:tcPr>
            <w:tcW w:w="100" w:type="dxa"/>
            <w:vAlign w:val="bottom"/>
          </w:tcPr>
          <w:p>
            <w:pPr>
              <w:spacing w:after="0"/>
              <w:rPr>
                <w:sz w:val="15"/>
                <w:szCs w:val="15"/>
                <w:color w:val="auto"/>
              </w:rPr>
            </w:pPr>
          </w:p>
        </w:tc>
        <w:tc>
          <w:tcPr>
            <w:tcW w:w="760" w:type="dxa"/>
            <w:vAlign w:val="bottom"/>
          </w:tcPr>
          <w:p>
            <w:pPr>
              <w:jc w:val="center"/>
              <w:ind w:right="42"/>
              <w:spacing w:after="0"/>
              <w:rPr>
                <w:sz w:val="20"/>
                <w:szCs w:val="20"/>
                <w:color w:val="auto"/>
              </w:rPr>
            </w:pPr>
            <w:r>
              <w:rPr>
                <w:rFonts w:ascii="Arial" w:cs="Arial" w:eastAsia="Arial" w:hAnsi="Arial"/>
                <w:sz w:val="15"/>
                <w:szCs w:val="15"/>
                <w:b w:val="1"/>
                <w:bCs w:val="1"/>
                <w:color w:val="auto"/>
                <w:w w:val="86"/>
              </w:rPr>
              <w:t>Aggregate</w:t>
            </w:r>
          </w:p>
        </w:tc>
        <w:tc>
          <w:tcPr>
            <w:tcW w:w="140" w:type="dxa"/>
            <w:vAlign w:val="bottom"/>
          </w:tcPr>
          <w:p>
            <w:pPr>
              <w:spacing w:after="0"/>
              <w:rPr>
                <w:sz w:val="15"/>
                <w:szCs w:val="15"/>
                <w:color w:val="auto"/>
              </w:rPr>
            </w:pPr>
          </w:p>
        </w:tc>
      </w:tr>
      <w:tr>
        <w:trPr>
          <w:trHeight w:val="182"/>
        </w:trPr>
        <w:tc>
          <w:tcPr>
            <w:tcW w:w="34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7"/>
              </w:rPr>
              <w:t>upon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3"/>
              </w:rPr>
              <w:t>exercise</w:t>
            </w: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term</w:t>
            </w:r>
          </w:p>
        </w:tc>
        <w:tc>
          <w:tcPr>
            <w:tcW w:w="100" w:type="dxa"/>
            <w:vAlign w:val="bottom"/>
          </w:tcPr>
          <w:p>
            <w:pPr>
              <w:spacing w:after="0"/>
              <w:rPr>
                <w:sz w:val="15"/>
                <w:szCs w:val="15"/>
                <w:color w:val="auto"/>
              </w:rPr>
            </w:pPr>
          </w:p>
        </w:tc>
        <w:tc>
          <w:tcPr>
            <w:tcW w:w="760" w:type="dxa"/>
            <w:vAlign w:val="bottom"/>
          </w:tcPr>
          <w:p>
            <w:pPr>
              <w:jc w:val="center"/>
              <w:ind w:right="42"/>
              <w:spacing w:after="0"/>
              <w:rPr>
                <w:sz w:val="20"/>
                <w:szCs w:val="20"/>
                <w:color w:val="auto"/>
              </w:rPr>
            </w:pPr>
            <w:r>
              <w:rPr>
                <w:rFonts w:ascii="Arial" w:cs="Arial" w:eastAsia="Arial" w:hAnsi="Arial"/>
                <w:sz w:val="15"/>
                <w:szCs w:val="15"/>
                <w:b w:val="1"/>
                <w:bCs w:val="1"/>
                <w:color w:val="auto"/>
                <w:w w:val="89"/>
              </w:rPr>
              <w:t>intrinsic</w:t>
            </w:r>
          </w:p>
        </w:tc>
        <w:tc>
          <w:tcPr>
            <w:tcW w:w="140" w:type="dxa"/>
            <w:vAlign w:val="bottom"/>
          </w:tcPr>
          <w:p>
            <w:pPr>
              <w:spacing w:after="0"/>
              <w:rPr>
                <w:sz w:val="15"/>
                <w:szCs w:val="15"/>
                <w:color w:val="auto"/>
              </w:rPr>
            </w:pPr>
          </w:p>
        </w:tc>
      </w:tr>
      <w:tr>
        <w:trPr>
          <w:trHeight w:val="191"/>
        </w:trPr>
        <w:tc>
          <w:tcPr>
            <w:tcW w:w="34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79"/>
              </w:rPr>
              <w:t>exercise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price</w:t>
            </w:r>
          </w:p>
        </w:tc>
        <w:tc>
          <w:tcPr>
            <w:tcW w:w="2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(in years)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8"/>
              </w:rPr>
              <w:t>value</w:t>
            </w:r>
          </w:p>
        </w:tc>
        <w:tc>
          <w:tcPr>
            <w:tcW w:w="140" w:type="dxa"/>
            <w:vAlign w:val="bottom"/>
          </w:tcPr>
          <w:p>
            <w:pPr>
              <w:spacing w:after="0"/>
              <w:rPr>
                <w:sz w:val="16"/>
                <w:szCs w:val="16"/>
                <w:color w:val="auto"/>
              </w:rPr>
            </w:pPr>
          </w:p>
        </w:tc>
      </w:tr>
      <w:tr>
        <w:trPr>
          <w:trHeight w:val="358"/>
        </w:trPr>
        <w:tc>
          <w:tcPr>
            <w:tcW w:w="3480" w:type="dxa"/>
            <w:vAlign w:val="bottom"/>
          </w:tcPr>
          <w:p>
            <w:pPr>
              <w:spacing w:after="0"/>
              <w:rPr>
                <w:sz w:val="20"/>
                <w:szCs w:val="20"/>
                <w:color w:val="auto"/>
              </w:rPr>
            </w:pPr>
            <w:r>
              <w:rPr>
                <w:rFonts w:ascii="Arial" w:cs="Arial" w:eastAsia="Arial" w:hAnsi="Arial"/>
                <w:sz w:val="16"/>
                <w:szCs w:val="16"/>
                <w:color w:val="auto"/>
              </w:rPr>
              <w:t>Outstanding at beginning of year</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1,216,262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0.80</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3,988</w:t>
            </w:r>
          </w:p>
        </w:tc>
        <w:tc>
          <w:tcPr>
            <w:tcW w:w="140" w:type="dxa"/>
            <w:vAlign w:val="bottom"/>
          </w:tcPr>
          <w:p>
            <w:pPr>
              <w:spacing w:after="0"/>
              <w:rPr>
                <w:sz w:val="24"/>
                <w:szCs w:val="24"/>
                <w:color w:val="auto"/>
              </w:rPr>
            </w:pPr>
          </w:p>
        </w:tc>
      </w:tr>
      <w:tr>
        <w:trPr>
          <w:trHeight w:val="194"/>
        </w:trPr>
        <w:tc>
          <w:tcPr>
            <w:tcW w:w="348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1,381,725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2.05</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r>
      <w:tr>
        <w:trPr>
          <w:trHeight w:val="206"/>
        </w:trPr>
        <w:tc>
          <w:tcPr>
            <w:tcW w:w="3480" w:type="dxa"/>
            <w:vAlign w:val="bottom"/>
          </w:tcPr>
          <w:p>
            <w:pPr>
              <w:spacing w:after="0"/>
              <w:rPr>
                <w:sz w:val="20"/>
                <w:szCs w:val="20"/>
                <w:color w:val="auto"/>
              </w:rPr>
            </w:pPr>
            <w:r>
              <w:rPr>
                <w:rFonts w:ascii="Arial" w:cs="Arial" w:eastAsia="Arial" w:hAnsi="Arial"/>
                <w:sz w:val="16"/>
                <w:szCs w:val="16"/>
                <w:color w:val="auto"/>
              </w:rPr>
              <w:t>Exercised</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(19,659)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0.36</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7"/>
                <w:szCs w:val="17"/>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0"/>
        </w:trPr>
        <w:tc>
          <w:tcPr>
            <w:tcW w:w="3480" w:type="dxa"/>
            <w:vAlign w:val="bottom"/>
          </w:tcPr>
          <w:p>
            <w:pPr>
              <w:spacing w:after="0"/>
              <w:rPr>
                <w:sz w:val="20"/>
                <w:szCs w:val="20"/>
                <w:color w:val="auto"/>
              </w:rPr>
            </w:pPr>
            <w:r>
              <w:rPr>
                <w:rFonts w:ascii="Arial" w:cs="Arial" w:eastAsia="Arial" w:hAnsi="Arial"/>
                <w:sz w:val="16"/>
                <w:szCs w:val="16"/>
                <w:color w:val="auto"/>
              </w:rPr>
              <w:t>Outstanding at end of year</w:t>
            </w:r>
          </w:p>
        </w:tc>
        <w:tc>
          <w:tcPr>
            <w:tcW w:w="880" w:type="dxa"/>
            <w:vAlign w:val="bottom"/>
          </w:tcPr>
          <w:p>
            <w:pPr>
              <w:jc w:val="right"/>
              <w:spacing w:after="0"/>
              <w:rPr>
                <w:sz w:val="20"/>
                <w:szCs w:val="20"/>
                <w:color w:val="auto"/>
              </w:rPr>
            </w:pPr>
            <w:r>
              <w:rPr>
                <w:rFonts w:ascii="Arial" w:cs="Arial" w:eastAsia="Arial" w:hAnsi="Arial"/>
                <w:sz w:val="16"/>
                <w:szCs w:val="16"/>
                <w:color w:val="auto"/>
              </w:rPr>
              <w:t>2,578,328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1.47</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5.61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21,909</w:t>
            </w:r>
          </w:p>
        </w:tc>
        <w:tc>
          <w:tcPr>
            <w:tcW w:w="140" w:type="dxa"/>
            <w:vAlign w:val="bottom"/>
          </w:tcPr>
          <w:p>
            <w:pPr>
              <w:spacing w:after="0"/>
              <w:rPr>
                <w:sz w:val="24"/>
                <w:szCs w:val="24"/>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64"/>
        </w:trPr>
        <w:tc>
          <w:tcPr>
            <w:tcW w:w="3480" w:type="dxa"/>
            <w:vAlign w:val="bottom"/>
          </w:tcPr>
          <w:p>
            <w:pPr>
              <w:spacing w:after="0"/>
              <w:rPr>
                <w:sz w:val="20"/>
                <w:szCs w:val="20"/>
                <w:color w:val="auto"/>
              </w:rPr>
            </w:pPr>
            <w:r>
              <w:rPr>
                <w:rFonts w:ascii="Arial" w:cs="Arial" w:eastAsia="Arial" w:hAnsi="Arial"/>
                <w:sz w:val="16"/>
                <w:szCs w:val="16"/>
                <w:color w:val="auto"/>
              </w:rPr>
              <w:t>Exercisable at end of year</w:t>
            </w:r>
          </w:p>
        </w:tc>
        <w:tc>
          <w:tcPr>
            <w:tcW w:w="880" w:type="dxa"/>
            <w:vAlign w:val="bottom"/>
          </w:tcPr>
          <w:p>
            <w:pPr>
              <w:jc w:val="right"/>
              <w:spacing w:after="0"/>
              <w:rPr>
                <w:sz w:val="20"/>
                <w:szCs w:val="20"/>
                <w:color w:val="auto"/>
              </w:rPr>
            </w:pPr>
            <w:r>
              <w:rPr>
                <w:rFonts w:ascii="Arial" w:cs="Arial" w:eastAsia="Arial" w:hAnsi="Arial"/>
                <w:sz w:val="16"/>
                <w:szCs w:val="16"/>
                <w:color w:val="auto"/>
              </w:rPr>
              <w:t>1,021,307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0.80</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3.17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9,364</w:t>
            </w:r>
          </w:p>
        </w:tc>
        <w:tc>
          <w:tcPr>
            <w:tcW w:w="140" w:type="dxa"/>
            <w:vAlign w:val="bottom"/>
          </w:tcPr>
          <w:p>
            <w:pPr>
              <w:spacing w:after="0"/>
              <w:rPr>
                <w:sz w:val="24"/>
                <w:szCs w:val="24"/>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64"/>
        </w:trPr>
        <w:tc>
          <w:tcPr>
            <w:tcW w:w="3480" w:type="dxa"/>
            <w:vAlign w:val="bottom"/>
          </w:tcPr>
          <w:p>
            <w:pPr>
              <w:spacing w:after="0"/>
              <w:rPr>
                <w:sz w:val="20"/>
                <w:szCs w:val="20"/>
                <w:color w:val="auto"/>
              </w:rPr>
            </w:pPr>
            <w:r>
              <w:rPr>
                <w:rFonts w:ascii="Arial" w:cs="Arial" w:eastAsia="Arial" w:hAnsi="Arial"/>
                <w:sz w:val="16"/>
                <w:szCs w:val="16"/>
                <w:color w:val="auto"/>
              </w:rPr>
              <w:t>Vested and expected to vest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2,444,834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1.45</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5.45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20,823</w:t>
            </w:r>
          </w:p>
        </w:tc>
        <w:tc>
          <w:tcPr>
            <w:tcW w:w="140" w:type="dxa"/>
            <w:vAlign w:val="bottom"/>
          </w:tcPr>
          <w:p>
            <w:pPr>
              <w:spacing w:after="0"/>
              <w:rPr>
                <w:sz w:val="24"/>
                <w:szCs w:val="24"/>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3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9"/>
              </w:rPr>
              <w:t>F-22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281" w:right="1440" w:bottom="1440" w:gutter="0" w:footer="0" w:header="0"/>
        </w:sectPr>
      </w:pPr>
    </w:p>
    <w:bookmarkStart w:id="144" w:name="page145"/>
    <w:bookmarkEnd w:id="144"/>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b w:val="1"/>
          <w:bCs w:val="1"/>
          <w:color w:val="auto"/>
        </w:rPr>
        <w:t>NOTE 9:-</w:t>
        <w:tab/>
        <w:t>SHAREHOLDERS’ EQUITY (Cont.)</w:t>
      </w:r>
    </w:p>
    <w:p>
      <w:pPr>
        <w:spacing w:after="0" w:line="208" w:lineRule="exact"/>
        <w:rPr>
          <w:sz w:val="20"/>
          <w:szCs w:val="20"/>
          <w:color w:val="auto"/>
        </w:rPr>
      </w:pPr>
    </w:p>
    <w:p>
      <w:pPr>
        <w:ind w:left="1840" w:right="1179" w:hanging="342"/>
        <w:spacing w:after="0" w:line="355" w:lineRule="auto"/>
        <w:tabs>
          <w:tab w:leader="none" w:pos="1824"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As of December 31, 2014, $5,359 unrecognized compensation cost related to stock options is expected to be recognized over a weighted average vesting period of 3.43 years.</w:t>
      </w:r>
    </w:p>
    <w:p>
      <w:pPr>
        <w:spacing w:after="0" w:line="105" w:lineRule="exact"/>
        <w:rPr>
          <w:rFonts w:ascii="Arial" w:cs="Arial" w:eastAsia="Arial" w:hAnsi="Arial"/>
          <w:sz w:val="14"/>
          <w:szCs w:val="14"/>
          <w:color w:val="auto"/>
        </w:rPr>
      </w:pPr>
    </w:p>
    <w:p>
      <w:pPr>
        <w:ind w:left="1800" w:hanging="302"/>
        <w:spacing w:after="0"/>
        <w:tabs>
          <w:tab w:leader="none" w:pos="18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options outstanding as of December 31, 2014 have been classified by exercise price, as follows: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6"/>
          </w:tcPr>
          <w:p>
            <w:pPr>
              <w:jc w:val="center"/>
              <w:ind w:right="260"/>
              <w:spacing w:after="0"/>
              <w:rPr>
                <w:sz w:val="20"/>
                <w:szCs w:val="20"/>
                <w:color w:val="auto"/>
              </w:rPr>
            </w:pPr>
            <w:r>
              <w:rPr>
                <w:rFonts w:ascii="Arial" w:cs="Arial" w:eastAsia="Arial" w:hAnsi="Arial"/>
                <w:sz w:val="15"/>
                <w:szCs w:val="15"/>
                <w:b w:val="1"/>
                <w:bCs w:val="1"/>
                <w:color w:val="auto"/>
                <w:w w:val="86"/>
              </w:rPr>
              <w:t>Options outstanding at December 31, 2014</w:t>
            </w:r>
          </w:p>
        </w:tc>
        <w:tc>
          <w:tcPr>
            <w:tcW w:w="3040" w:type="dxa"/>
            <w:vAlign w:val="bottom"/>
            <w:gridSpan w:val="6"/>
          </w:tcPr>
          <w:p>
            <w:pPr>
              <w:jc w:val="center"/>
              <w:ind w:right="20"/>
              <w:spacing w:after="0"/>
              <w:rPr>
                <w:sz w:val="20"/>
                <w:szCs w:val="20"/>
                <w:color w:val="auto"/>
              </w:rPr>
            </w:pPr>
            <w:r>
              <w:rPr>
                <w:rFonts w:ascii="Arial" w:cs="Arial" w:eastAsia="Arial" w:hAnsi="Arial"/>
                <w:sz w:val="15"/>
                <w:szCs w:val="15"/>
                <w:b w:val="1"/>
                <w:bCs w:val="1"/>
                <w:color w:val="auto"/>
                <w:w w:val="86"/>
              </w:rPr>
              <w:t>Options exercisable at December 31, 2014</w:t>
            </w:r>
          </w:p>
        </w:tc>
      </w:tr>
      <w:tr>
        <w:trPr>
          <w:trHeight w:val="168"/>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w w:val="85"/>
              </w:rPr>
              <w:t>Weighted</w:t>
            </w: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5"/>
                <w:szCs w:val="15"/>
                <w:b w:val="1"/>
                <w:bCs w:val="1"/>
                <w:color w:val="auto"/>
                <w:w w:val="85"/>
              </w:rPr>
              <w:t>Weighted</w:t>
            </w:r>
          </w:p>
        </w:tc>
        <w:tc>
          <w:tcPr>
            <w:tcW w:w="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Weighted</w:t>
            </w: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average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Weighted</w:t>
            </w: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4"/>
              </w:rPr>
              <w:t>average</w:t>
            </w:r>
          </w:p>
        </w:tc>
      </w:tr>
      <w:tr>
        <w:trPr>
          <w:trHeight w:val="182"/>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4"/>
              </w:rPr>
              <w:t>average</w:t>
            </w: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remaining</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4"/>
              </w:rPr>
              <w:t>average</w:t>
            </w: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remaining</w:t>
            </w:r>
          </w:p>
        </w:tc>
      </w:tr>
      <w:tr>
        <w:trPr>
          <w:trHeight w:val="182"/>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Number of</w:t>
            </w: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79"/>
              </w:rPr>
              <w:t>exercise</w:t>
            </w: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contractual</w:t>
            </w:r>
          </w:p>
        </w:tc>
        <w:tc>
          <w:tcPr>
            <w:tcW w:w="11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5"/>
              </w:rPr>
              <w:t>Number of</w:t>
            </w: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79"/>
              </w:rPr>
              <w:t>exercise</w:t>
            </w:r>
          </w:p>
        </w:tc>
        <w:tc>
          <w:tcPr>
            <w:tcW w:w="8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6"/>
              </w:rPr>
              <w:t>contractual</w:t>
            </w:r>
          </w:p>
        </w:tc>
      </w:tr>
      <w:tr>
        <w:trPr>
          <w:trHeight w:val="188"/>
        </w:trPr>
        <w:tc>
          <w:tcPr>
            <w:tcW w:w="2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4"/>
              </w:rPr>
              <w:t>Exercise price</w:t>
            </w: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1"/>
              </w:rPr>
              <w:t>options</w:t>
            </w: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price</w:t>
            </w: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2"/>
              </w:rPr>
              <w:t>life</w:t>
            </w:r>
          </w:p>
        </w:tc>
        <w:tc>
          <w:tcPr>
            <w:tcW w:w="11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options</w:t>
            </w: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price</w:t>
            </w: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life</w:t>
            </w:r>
          </w:p>
        </w:tc>
      </w:tr>
      <w:tr>
        <w:trPr>
          <w:trHeight w:val="180"/>
        </w:trPr>
        <w:tc>
          <w:tcPr>
            <w:tcW w:w="2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In years</w:t>
            </w:r>
          </w:p>
        </w:tc>
        <w:tc>
          <w:tcPr>
            <w:tcW w:w="2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In years</w:t>
            </w:r>
          </w:p>
        </w:tc>
        <w:tc>
          <w:tcPr>
            <w:tcW w:w="20" w:type="dxa"/>
            <w:vAlign w:val="bottom"/>
          </w:tcPr>
          <w:p>
            <w:pPr>
              <w:spacing w:after="0"/>
              <w:rPr>
                <w:sz w:val="15"/>
                <w:szCs w:val="15"/>
                <w:color w:val="auto"/>
              </w:rPr>
            </w:pPr>
          </w:p>
        </w:tc>
      </w:tr>
      <w:tr>
        <w:trPr>
          <w:trHeight w:val="355"/>
        </w:trPr>
        <w:tc>
          <w:tcPr>
            <w:tcW w:w="1300" w:type="dxa"/>
            <w:vAlign w:val="bottom"/>
            <w:gridSpan w:val="2"/>
          </w:tcPr>
          <w:p>
            <w:pPr>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181,848</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0.36</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2.32</w:t>
            </w:r>
          </w:p>
        </w:tc>
        <w:tc>
          <w:tcPr>
            <w:tcW w:w="820" w:type="dxa"/>
            <w:vAlign w:val="bottom"/>
          </w:tcPr>
          <w:p>
            <w:pPr>
              <w:jc w:val="right"/>
              <w:spacing w:after="0"/>
              <w:rPr>
                <w:sz w:val="20"/>
                <w:szCs w:val="20"/>
                <w:color w:val="auto"/>
              </w:rPr>
            </w:pPr>
            <w:r>
              <w:rPr>
                <w:rFonts w:ascii="Arial" w:cs="Arial" w:eastAsia="Arial" w:hAnsi="Arial"/>
                <w:sz w:val="16"/>
                <w:szCs w:val="16"/>
                <w:color w:val="auto"/>
              </w:rPr>
              <w:t>181,848</w:t>
            </w:r>
          </w:p>
        </w:tc>
        <w:tc>
          <w:tcPr>
            <w:tcW w:w="28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0.36</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2.32</w:t>
            </w:r>
          </w:p>
        </w:tc>
      </w:tr>
      <w:tr>
        <w:trPr>
          <w:trHeight w:val="194"/>
        </w:trPr>
        <w:tc>
          <w:tcPr>
            <w:tcW w:w="1440" w:type="dxa"/>
            <w:vAlign w:val="bottom"/>
            <w:gridSpan w:val="3"/>
          </w:tcPr>
          <w:p>
            <w:pPr>
              <w:spacing w:after="0"/>
              <w:rPr>
                <w:sz w:val="20"/>
                <w:szCs w:val="20"/>
                <w:color w:val="auto"/>
              </w:rPr>
            </w:pPr>
            <w:r>
              <w:rPr>
                <w:rFonts w:ascii="Arial" w:cs="Arial" w:eastAsia="Arial" w:hAnsi="Arial"/>
                <w:sz w:val="16"/>
                <w:szCs w:val="16"/>
                <w:color w:val="auto"/>
              </w:rPr>
              <w:t>0.6 – 0.8</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417,367</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0.64</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3.67</w:t>
            </w:r>
          </w:p>
        </w:tc>
        <w:tc>
          <w:tcPr>
            <w:tcW w:w="820" w:type="dxa"/>
            <w:vAlign w:val="bottom"/>
          </w:tcPr>
          <w:p>
            <w:pPr>
              <w:jc w:val="right"/>
              <w:spacing w:after="0"/>
              <w:rPr>
                <w:sz w:val="20"/>
                <w:szCs w:val="20"/>
                <w:color w:val="auto"/>
              </w:rPr>
            </w:pPr>
            <w:r>
              <w:rPr>
                <w:rFonts w:ascii="Arial" w:cs="Arial" w:eastAsia="Arial" w:hAnsi="Arial"/>
                <w:sz w:val="16"/>
                <w:szCs w:val="16"/>
                <w:color w:val="auto"/>
              </w:rPr>
              <w:t>302,688</w:t>
            </w:r>
          </w:p>
        </w:tc>
        <w:tc>
          <w:tcPr>
            <w:tcW w:w="2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0.65</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3.52</w:t>
            </w:r>
          </w:p>
        </w:tc>
      </w:tr>
      <w:tr>
        <w:trPr>
          <w:trHeight w:val="194"/>
        </w:trPr>
        <w:tc>
          <w:tcPr>
            <w:tcW w:w="1440" w:type="dxa"/>
            <w:vAlign w:val="bottom"/>
            <w:gridSpan w:val="3"/>
          </w:tcPr>
          <w:p>
            <w:pPr>
              <w:spacing w:after="0"/>
              <w:rPr>
                <w:sz w:val="20"/>
                <w:szCs w:val="20"/>
                <w:color w:val="auto"/>
              </w:rPr>
            </w:pPr>
            <w:r>
              <w:rPr>
                <w:rFonts w:ascii="Arial" w:cs="Arial" w:eastAsia="Arial" w:hAnsi="Arial"/>
                <w:sz w:val="16"/>
                <w:szCs w:val="16"/>
                <w:color w:val="auto"/>
              </w:rPr>
              <w:t>0.9 – 1.1</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449,944</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0.99</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2.96</w:t>
            </w:r>
          </w:p>
        </w:tc>
        <w:tc>
          <w:tcPr>
            <w:tcW w:w="820" w:type="dxa"/>
            <w:vAlign w:val="bottom"/>
          </w:tcPr>
          <w:p>
            <w:pPr>
              <w:jc w:val="right"/>
              <w:spacing w:after="0"/>
              <w:rPr>
                <w:sz w:val="20"/>
                <w:szCs w:val="20"/>
                <w:color w:val="auto"/>
              </w:rPr>
            </w:pPr>
            <w:r>
              <w:rPr>
                <w:rFonts w:ascii="Arial" w:cs="Arial" w:eastAsia="Arial" w:hAnsi="Arial"/>
                <w:sz w:val="16"/>
                <w:szCs w:val="16"/>
                <w:color w:val="auto"/>
              </w:rPr>
              <w:t>449,944</w:t>
            </w:r>
          </w:p>
        </w:tc>
        <w:tc>
          <w:tcPr>
            <w:tcW w:w="2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0.99</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2.96</w:t>
            </w:r>
          </w:p>
        </w:tc>
      </w:tr>
      <w:tr>
        <w:trPr>
          <w:trHeight w:val="194"/>
        </w:trPr>
        <w:tc>
          <w:tcPr>
            <w:tcW w:w="1440" w:type="dxa"/>
            <w:vAlign w:val="bottom"/>
            <w:gridSpan w:val="3"/>
          </w:tcPr>
          <w:p>
            <w:pPr>
              <w:spacing w:after="0"/>
              <w:rPr>
                <w:sz w:val="20"/>
                <w:szCs w:val="20"/>
                <w:color w:val="auto"/>
              </w:rPr>
            </w:pPr>
            <w:r>
              <w:rPr>
                <w:rFonts w:ascii="Arial" w:cs="Arial" w:eastAsia="Arial" w:hAnsi="Arial"/>
                <w:sz w:val="16"/>
                <w:szCs w:val="16"/>
                <w:color w:val="auto"/>
              </w:rPr>
              <w:t>1.3 – 1.6</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350,592</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1.47</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5.47</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86,829</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1.30</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4.80</w:t>
            </w:r>
          </w:p>
        </w:tc>
      </w:tr>
      <w:tr>
        <w:trPr>
          <w:trHeight w:val="206"/>
        </w:trPr>
        <w:tc>
          <w:tcPr>
            <w:tcW w:w="1440" w:type="dxa"/>
            <w:vAlign w:val="bottom"/>
            <w:gridSpan w:val="3"/>
          </w:tcPr>
          <w:p>
            <w:pPr>
              <w:spacing w:after="0"/>
              <w:rPr>
                <w:sz w:val="20"/>
                <w:szCs w:val="20"/>
                <w:color w:val="auto"/>
              </w:rPr>
            </w:pPr>
            <w:r>
              <w:rPr>
                <w:rFonts w:ascii="Arial" w:cs="Arial" w:eastAsia="Arial" w:hAnsi="Arial"/>
                <w:sz w:val="16"/>
                <w:szCs w:val="16"/>
                <w:color w:val="auto"/>
              </w:rPr>
              <w:t>2.1 – 2.2</w:t>
            </w:r>
          </w:p>
        </w:tc>
        <w:tc>
          <w:tcPr>
            <w:tcW w:w="840" w:type="dxa"/>
            <w:vAlign w:val="bottom"/>
          </w:tcPr>
          <w:p>
            <w:pPr>
              <w:jc w:val="right"/>
              <w:spacing w:after="0"/>
              <w:rPr>
                <w:sz w:val="20"/>
                <w:szCs w:val="20"/>
                <w:color w:val="auto"/>
              </w:rPr>
            </w:pPr>
            <w:r>
              <w:rPr>
                <w:rFonts w:ascii="Arial" w:cs="Arial" w:eastAsia="Arial" w:hAnsi="Arial"/>
                <w:sz w:val="16"/>
                <w:szCs w:val="16"/>
                <w:color w:val="auto"/>
              </w:rPr>
              <w:t>1,178,577</w:t>
            </w:r>
          </w:p>
        </w:tc>
        <w:tc>
          <w:tcPr>
            <w:tcW w:w="2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2.12</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7.86</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380"/>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2,578,328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1,021,309</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ind w:left="1840" w:right="599" w:hanging="342"/>
        <w:spacing w:after="0" w:line="275" w:lineRule="auto"/>
        <w:tabs>
          <w:tab w:leader="none" w:pos="1824"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Company’s Board approved option plans pursuant to which the Company is authorized to issue to employees, directors and officers of the Company and its subsidiaries (the “optionees”) options to purchase ordinary shares of NIS 0.01 par value each. Under the plans, options generally vest in portions as follows: 50% of total options are exercisable two years after the date determined for each optionee, a further 25% three years after the date determined for each optionee and a 25% four years after the date determined for each optionee. Starting in 2014, 25% of total options are exercisable one year after the date determined for each optionee and a further 6.25%, at the end of each subsequent three month period for three years. Options that have vested are exercisable for up to 10 years from the grant date of the options to each employee.</w:t>
      </w:r>
    </w:p>
    <w:p>
      <w:pPr>
        <w:spacing w:after="0" w:line="159" w:lineRule="exact"/>
        <w:rPr>
          <w:sz w:val="20"/>
          <w:szCs w:val="20"/>
          <w:color w:val="auto"/>
        </w:rPr>
      </w:pPr>
    </w:p>
    <w:p>
      <w:pPr>
        <w:ind w:left="1840" w:right="659"/>
        <w:spacing w:after="0" w:line="267" w:lineRule="auto"/>
        <w:rPr>
          <w:sz w:val="20"/>
          <w:szCs w:val="20"/>
          <w:color w:val="auto"/>
        </w:rPr>
      </w:pPr>
      <w:r>
        <w:rPr>
          <w:rFonts w:ascii="Arial" w:cs="Arial" w:eastAsia="Arial" w:hAnsi="Arial"/>
          <w:sz w:val="16"/>
          <w:szCs w:val="16"/>
          <w:color w:val="auto"/>
        </w:rPr>
        <w:t>On July 10, 2014, the Board of Directors approved an increase in the ordinary shares reserved for issuance to 2,640,564 (unaudited) ordinary shares. As of December 31, 2014, an aggregate of 62,236 ordinary shares were available for future grants.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45" w:name="page146"/>
    <w:bookmarkEnd w:id="145"/>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10:- EARNINGS PER SHARE</w:t>
      </w:r>
    </w:p>
    <w:p>
      <w:pPr>
        <w:spacing w:after="0" w:line="20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following table sets forth the computation of basic and diluted net earnings per share:</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86"/>
              </w:rPr>
              <w:t>Year ended</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6"/>
              </w:rPr>
              <w:t>December 31,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2013</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0" w:type="dxa"/>
            <w:vAlign w:val="bottom"/>
          </w:tcPr>
          <w:p>
            <w:pPr>
              <w:spacing w:after="0"/>
              <w:rPr>
                <w:sz w:val="1"/>
                <w:szCs w:val="1"/>
                <w:color w:val="auto"/>
              </w:rPr>
            </w:pPr>
          </w:p>
        </w:tc>
      </w:tr>
      <w:tr>
        <w:trPr>
          <w:trHeight w:val="351"/>
        </w:trPr>
        <w:tc>
          <w:tcPr>
            <w:tcW w:w="3780" w:type="dxa"/>
            <w:vAlign w:val="bottom"/>
          </w:tcPr>
          <w:p>
            <w:pPr>
              <w:spacing w:after="0"/>
              <w:rPr>
                <w:sz w:val="20"/>
                <w:szCs w:val="20"/>
                <w:color w:val="auto"/>
              </w:rPr>
            </w:pPr>
            <w:r>
              <w:rPr>
                <w:rFonts w:ascii="Arial" w:cs="Arial" w:eastAsia="Arial" w:hAnsi="Arial"/>
                <w:sz w:val="16"/>
                <w:szCs w:val="16"/>
                <w:b w:val="1"/>
                <w:bCs w:val="1"/>
                <w:color w:val="auto"/>
              </w:rPr>
              <w:t>Numerator for basic and diluted net earnings per</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0"/>
              <w:spacing w:after="0"/>
              <w:rPr>
                <w:sz w:val="20"/>
                <w:szCs w:val="20"/>
                <w:color w:val="auto"/>
              </w:rPr>
            </w:pPr>
            <w:r>
              <w:rPr>
                <w:rFonts w:ascii="Arial" w:cs="Arial" w:eastAsia="Arial" w:hAnsi="Arial"/>
                <w:sz w:val="16"/>
                <w:szCs w:val="16"/>
                <w:b w:val="1"/>
                <w:bCs w:val="1"/>
                <w:color w:val="auto"/>
              </w:rPr>
              <w:t>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378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2,314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1,134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3,023</w:t>
            </w:r>
          </w:p>
        </w:tc>
        <w:tc>
          <w:tcPr>
            <w:tcW w:w="0" w:type="dxa"/>
            <w:vAlign w:val="bottom"/>
          </w:tcPr>
          <w:p>
            <w:pPr>
              <w:spacing w:after="0"/>
              <w:rPr>
                <w:sz w:val="1"/>
                <w:szCs w:val="1"/>
                <w:color w:val="auto"/>
              </w:rPr>
            </w:pPr>
          </w:p>
        </w:tc>
      </w:tr>
      <w:tr>
        <w:trPr>
          <w:trHeight w:val="364"/>
        </w:trPr>
        <w:tc>
          <w:tcPr>
            <w:tcW w:w="378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 net of</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0"/>
              <w:spacing w:after="0"/>
              <w:rPr>
                <w:sz w:val="20"/>
                <w:szCs w:val="20"/>
                <w:color w:val="auto"/>
              </w:rPr>
            </w:pPr>
            <w:r>
              <w:rPr>
                <w:rFonts w:ascii="Arial" w:cs="Arial" w:eastAsia="Arial" w:hAnsi="Arial"/>
                <w:sz w:val="16"/>
                <w:szCs w:val="16"/>
                <w:b w:val="1"/>
                <w:bCs w:val="1"/>
                <w:color w:val="auto"/>
              </w:rPr>
              <w:t>treasury stock:</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3780" w:type="dxa"/>
            <w:vAlign w:val="bottom"/>
          </w:tcPr>
          <w:p>
            <w:pPr>
              <w:spacing w:after="0"/>
              <w:rPr>
                <w:sz w:val="20"/>
                <w:szCs w:val="20"/>
                <w:color w:val="auto"/>
              </w:rPr>
            </w:pPr>
            <w:r>
              <w:rPr>
                <w:rFonts w:ascii="Arial" w:cs="Arial" w:eastAsia="Arial" w:hAnsi="Arial"/>
                <w:sz w:val="16"/>
                <w:szCs w:val="16"/>
                <w:color w:val="auto"/>
              </w:rPr>
              <w:t>Denominator for basic net earnings per share</w:t>
            </w: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8,953,565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8,953,565</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8,969,588</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Employee stock options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696,008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926,484</w:t>
            </w: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1,476,741</w:t>
            </w:r>
          </w:p>
        </w:tc>
        <w:tc>
          <w:tcPr>
            <w:tcW w:w="0" w:type="dxa"/>
            <w:vAlign w:val="bottom"/>
          </w:tcPr>
          <w:p>
            <w:pPr>
              <w:spacing w:after="0"/>
              <w:rPr>
                <w:sz w:val="1"/>
                <w:szCs w:val="1"/>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rPr>
              <w:t>Denominator for diluted net earnings per share</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9,649,573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9,880,049</w:t>
            </w: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10,446,353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780" w:type="dxa"/>
            <w:vAlign w:val="bottom"/>
          </w:tcPr>
          <w:p>
            <w:pPr>
              <w:spacing w:after="0"/>
              <w:rPr>
                <w:sz w:val="20"/>
                <w:szCs w:val="20"/>
                <w:color w:val="auto"/>
              </w:rPr>
            </w:pPr>
            <w:r>
              <w:rPr>
                <w:rFonts w:ascii="Arial" w:cs="Arial" w:eastAsia="Arial" w:hAnsi="Arial"/>
                <w:sz w:val="16"/>
                <w:szCs w:val="16"/>
                <w:color w:val="auto"/>
              </w:rPr>
              <w:t>Basic net earnings per share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0.26</w:t>
            </w: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0.13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780" w:type="dxa"/>
            <w:vAlign w:val="bottom"/>
          </w:tcPr>
          <w:p>
            <w:pPr>
              <w:spacing w:after="0"/>
              <w:rPr>
                <w:sz w:val="20"/>
                <w:szCs w:val="20"/>
                <w:color w:val="auto"/>
              </w:rPr>
            </w:pPr>
            <w:r>
              <w:rPr>
                <w:rFonts w:ascii="Arial" w:cs="Arial" w:eastAsia="Arial" w:hAnsi="Arial"/>
                <w:sz w:val="16"/>
                <w:szCs w:val="16"/>
                <w:color w:val="auto"/>
              </w:rPr>
              <w:t>Diluted net earnings per share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0.24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0.11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NOTE 11:- TAXES ON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820" w:hanging="322"/>
        <w:spacing w:after="0"/>
        <w:tabs>
          <w:tab w:leader="none" w:pos="18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Tax rates:</w:t>
      </w:r>
    </w:p>
    <w:p>
      <w:pPr>
        <w:spacing w:after="0" w:line="203" w:lineRule="exact"/>
        <w:rPr>
          <w:rFonts w:ascii="Arial" w:cs="Arial" w:eastAsia="Arial" w:hAnsi="Arial"/>
          <w:sz w:val="16"/>
          <w:szCs w:val="16"/>
          <w:color w:val="auto"/>
        </w:rPr>
      </w:pPr>
    </w:p>
    <w:p>
      <w:pPr>
        <w:ind w:left="1840" w:right="779"/>
        <w:spacing w:after="0" w:line="281" w:lineRule="auto"/>
        <w:rPr>
          <w:rFonts w:ascii="Arial" w:cs="Arial" w:eastAsia="Arial" w:hAnsi="Arial"/>
          <w:sz w:val="16"/>
          <w:szCs w:val="16"/>
          <w:color w:val="auto"/>
        </w:rPr>
      </w:pPr>
      <w:r>
        <w:rPr>
          <w:rFonts w:ascii="Arial" w:cs="Arial" w:eastAsia="Arial" w:hAnsi="Arial"/>
          <w:sz w:val="16"/>
          <w:szCs w:val="16"/>
          <w:color w:val="auto"/>
        </w:rPr>
        <w:t>Taxable income of the Israeli companies is subject to the Israeli corporate tax at the rate as follows: 2012 and 2013 – 25% and 2014 – 26.5%.</w:t>
      </w:r>
    </w:p>
    <w:p>
      <w:pPr>
        <w:spacing w:after="0" w:line="150" w:lineRule="exact"/>
        <w:rPr>
          <w:rFonts w:ascii="Arial" w:cs="Arial" w:eastAsia="Arial" w:hAnsi="Arial"/>
          <w:sz w:val="16"/>
          <w:szCs w:val="16"/>
          <w:color w:val="auto"/>
        </w:rPr>
      </w:pPr>
    </w:p>
    <w:p>
      <w:pPr>
        <w:ind w:left="1800" w:hanging="302"/>
        <w:spacing w:after="0"/>
        <w:tabs>
          <w:tab w:leader="none" w:pos="18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Tax benefits under the Law for the Encouragement of Capital Investments, 1959 (the “Law”):</w:t>
      </w:r>
    </w:p>
    <w:p>
      <w:pPr>
        <w:spacing w:after="0" w:line="204" w:lineRule="exact"/>
        <w:rPr>
          <w:sz w:val="20"/>
          <w:szCs w:val="20"/>
          <w:color w:val="auto"/>
        </w:rPr>
      </w:pPr>
    </w:p>
    <w:p>
      <w:pPr>
        <w:ind w:left="1840" w:right="579"/>
        <w:spacing w:after="0" w:line="292" w:lineRule="auto"/>
        <w:rPr>
          <w:sz w:val="20"/>
          <w:szCs w:val="20"/>
          <w:color w:val="auto"/>
        </w:rPr>
      </w:pPr>
      <w:r>
        <w:rPr>
          <w:rFonts w:ascii="Arial" w:cs="Arial" w:eastAsia="Arial" w:hAnsi="Arial"/>
          <w:sz w:val="15"/>
          <w:szCs w:val="15"/>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09" w:lineRule="exact"/>
        <w:rPr>
          <w:sz w:val="20"/>
          <w:szCs w:val="20"/>
          <w:color w:val="auto"/>
        </w:rPr>
      </w:pPr>
    </w:p>
    <w:p>
      <w:pPr>
        <w:ind w:left="1840" w:right="579"/>
        <w:spacing w:after="0" w:line="267" w:lineRule="auto"/>
        <w:rPr>
          <w:sz w:val="20"/>
          <w:szCs w:val="20"/>
          <w:color w:val="auto"/>
        </w:rPr>
      </w:pPr>
      <w:r>
        <w:rPr>
          <w:rFonts w:ascii="Arial" w:cs="Arial" w:eastAsia="Arial" w:hAnsi="Arial"/>
          <w:sz w:val="16"/>
          <w:szCs w:val="16"/>
          <w:color w:val="auto"/>
        </w:rPr>
        <w:t>The duration of tax benefits is subject to a limitation of the earlier of 12 years from commencement of production, or 14 years from the approval date. The Companies began to utilize such tax benefits in 2010.</w:t>
      </w:r>
    </w:p>
    <w:p>
      <w:pPr>
        <w:spacing w:after="0" w:line="125" w:lineRule="exact"/>
        <w:rPr>
          <w:sz w:val="20"/>
          <w:szCs w:val="20"/>
          <w:color w:val="auto"/>
        </w:rPr>
      </w:pPr>
    </w:p>
    <w:p>
      <w:pPr>
        <w:ind w:left="1840" w:right="579"/>
        <w:spacing w:after="0" w:line="259" w:lineRule="auto"/>
        <w:rPr>
          <w:sz w:val="20"/>
          <w:szCs w:val="20"/>
          <w:color w:val="auto"/>
        </w:rPr>
      </w:pPr>
      <w:r>
        <w:rPr>
          <w:rFonts w:ascii="Arial" w:cs="Arial" w:eastAsia="Arial" w:hAnsi="Arial"/>
          <w:sz w:val="16"/>
          <w:szCs w:val="16"/>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46"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Income from sources other than the “Beneficiary Enterprise” are subject to the tax at the regular rate.</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46" w:name="page147"/>
    <w:bookmarkEnd w:id="146"/>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11:- TAXES ON INCOME (Cont.)</w:t>
      </w:r>
    </w:p>
    <w:p>
      <w:pPr>
        <w:spacing w:after="0" w:line="208" w:lineRule="exact"/>
        <w:rPr>
          <w:sz w:val="20"/>
          <w:szCs w:val="20"/>
          <w:color w:val="auto"/>
        </w:rPr>
      </w:pPr>
    </w:p>
    <w:p>
      <w:pPr>
        <w:ind w:left="1840" w:right="679"/>
        <w:spacing w:after="0" w:line="267" w:lineRule="auto"/>
        <w:rPr>
          <w:sz w:val="20"/>
          <w:szCs w:val="20"/>
          <w:color w:val="auto"/>
        </w:rPr>
      </w:pPr>
      <w:r>
        <w:rPr>
          <w:rFonts w:ascii="Arial" w:cs="Arial" w:eastAsia="Arial" w:hAnsi="Arial"/>
          <w:sz w:val="16"/>
          <w:szCs w:val="16"/>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61" w:lineRule="exact"/>
        <w:rPr>
          <w:sz w:val="20"/>
          <w:szCs w:val="20"/>
          <w:color w:val="auto"/>
        </w:rPr>
      </w:pPr>
    </w:p>
    <w:p>
      <w:pPr>
        <w:ind w:left="1840" w:right="679"/>
        <w:spacing w:after="0" w:line="281" w:lineRule="auto"/>
        <w:rPr>
          <w:sz w:val="20"/>
          <w:szCs w:val="20"/>
          <w:color w:val="auto"/>
        </w:rPr>
      </w:pPr>
      <w:r>
        <w:rPr>
          <w:rFonts w:ascii="Arial" w:cs="Arial" w:eastAsia="Arial" w:hAnsi="Arial"/>
          <w:sz w:val="16"/>
          <w:szCs w:val="16"/>
          <w:color w:val="auto"/>
        </w:rPr>
        <w:t>In addition tax-exempt income attributed to Benefiting Enterprise, will subject the Company to taxes upon distribution in any manner including complete liquidation.</w:t>
      </w:r>
    </w:p>
    <w:p>
      <w:pPr>
        <w:spacing w:after="0" w:line="151" w:lineRule="exact"/>
        <w:rPr>
          <w:sz w:val="20"/>
          <w:szCs w:val="20"/>
          <w:color w:val="auto"/>
        </w:rPr>
      </w:pPr>
    </w:p>
    <w:p>
      <w:pPr>
        <w:ind w:left="1840" w:right="579"/>
        <w:spacing w:after="0" w:line="281" w:lineRule="auto"/>
        <w:rPr>
          <w:sz w:val="20"/>
          <w:szCs w:val="20"/>
          <w:color w:val="auto"/>
        </w:rPr>
      </w:pPr>
      <w:r>
        <w:rPr>
          <w:rFonts w:ascii="Arial" w:cs="Arial" w:eastAsia="Arial" w:hAnsi="Arial"/>
          <w:sz w:val="15"/>
          <w:szCs w:val="15"/>
          <w:color w:val="auto"/>
        </w:rPr>
        <w:t>The Company does not intend to distribute any amounts of its undistributed tax-exempt income as dividend. The Company and its Board of Directors intends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53" w:lineRule="exact"/>
        <w:rPr>
          <w:sz w:val="20"/>
          <w:szCs w:val="20"/>
          <w:color w:val="auto"/>
        </w:rPr>
      </w:pPr>
    </w:p>
    <w:p>
      <w:pPr>
        <w:jc w:val="both"/>
        <w:ind w:left="1840" w:right="899"/>
        <w:spacing w:after="0" w:line="262" w:lineRule="auto"/>
        <w:rPr>
          <w:sz w:val="20"/>
          <w:szCs w:val="20"/>
          <w:color w:val="auto"/>
        </w:rPr>
      </w:pPr>
      <w:r>
        <w:rPr>
          <w:rFonts w:ascii="Arial" w:cs="Arial" w:eastAsia="Arial" w:hAnsi="Arial"/>
          <w:sz w:val="16"/>
          <w:szCs w:val="16"/>
          <w:color w:val="auto"/>
        </w:rPr>
        <w:t>As of December 31, 2014, tax-exempt income of $28,116 is attributable to the Company’s and its subsidiary’s various Beneficiary Enterprise programs. If such tax exempt income is distributed, it would be taxed at the reduced corporate tax rate applicable to such income, and $7,029 would be incurred as of December 31, 2014.</w:t>
      </w:r>
    </w:p>
    <w:p>
      <w:pPr>
        <w:spacing w:after="0" w:line="166" w:lineRule="exact"/>
        <w:rPr>
          <w:sz w:val="20"/>
          <w:szCs w:val="20"/>
          <w:color w:val="auto"/>
        </w:rPr>
      </w:pPr>
    </w:p>
    <w:p>
      <w:pPr>
        <w:ind w:left="1840" w:right="699"/>
        <w:spacing w:after="0" w:line="259" w:lineRule="auto"/>
        <w:rPr>
          <w:sz w:val="20"/>
          <w:szCs w:val="20"/>
          <w:color w:val="auto"/>
        </w:rPr>
      </w:pPr>
      <w:r>
        <w:rPr>
          <w:rFonts w:ascii="Arial" w:cs="Arial" w:eastAsia="Arial" w:hAnsi="Arial"/>
          <w:sz w:val="16"/>
          <w:szCs w:val="16"/>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70" w:lineRule="exact"/>
        <w:rPr>
          <w:sz w:val="20"/>
          <w:szCs w:val="20"/>
          <w:color w:val="auto"/>
        </w:rPr>
      </w:pPr>
    </w:p>
    <w:p>
      <w:pPr>
        <w:ind w:left="1840" w:right="699"/>
        <w:spacing w:after="0" w:line="292" w:lineRule="auto"/>
        <w:rPr>
          <w:sz w:val="20"/>
          <w:szCs w:val="20"/>
          <w:color w:val="auto"/>
        </w:rPr>
      </w:pPr>
      <w:r>
        <w:rPr>
          <w:rFonts w:ascii="Arial" w:cs="Arial" w:eastAsia="Arial" w:hAnsi="Arial"/>
          <w:sz w:val="14"/>
          <w:szCs w:val="14"/>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w:t>
      </w:r>
    </w:p>
    <w:p>
      <w:pPr>
        <w:spacing w:after="0" w:line="2" w:lineRule="exact"/>
        <w:rPr>
          <w:sz w:val="20"/>
          <w:szCs w:val="20"/>
          <w:color w:val="auto"/>
        </w:rPr>
      </w:pPr>
    </w:p>
    <w:p>
      <w:pPr>
        <w:ind w:left="2060" w:hanging="223"/>
        <w:spacing w:after="0"/>
        <w:tabs>
          <w:tab w:leader="none" w:pos="20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was registered under the Partnerships Ordinance; (b) all of its limited partners are companies</w:t>
      </w:r>
    </w:p>
    <w:p>
      <w:pPr>
        <w:spacing w:after="0" w:line="21" w:lineRule="exact"/>
        <w:rPr>
          <w:rFonts w:ascii="Arial" w:cs="Arial" w:eastAsia="Arial" w:hAnsi="Arial"/>
          <w:sz w:val="15"/>
          <w:szCs w:val="15"/>
          <w:color w:val="auto"/>
        </w:rPr>
      </w:pPr>
    </w:p>
    <w:p>
      <w:pPr>
        <w:ind w:left="1840" w:right="659"/>
        <w:spacing w:after="0" w:line="272" w:lineRule="auto"/>
        <w:rPr>
          <w:rFonts w:ascii="Arial" w:cs="Arial" w:eastAsia="Arial" w:hAnsi="Arial"/>
          <w:sz w:val="15"/>
          <w:szCs w:val="15"/>
          <w:color w:val="auto"/>
        </w:rPr>
      </w:pPr>
      <w:r>
        <w:rPr>
          <w:rFonts w:ascii="Arial" w:cs="Arial" w:eastAsia="Arial" w:hAnsi="Arial"/>
          <w:sz w:val="15"/>
          <w:szCs w:val="15"/>
          <w:color w:val="auto"/>
        </w:rPr>
        <w:t>incorporated in Israel, but not all of them are governmental entities, which, among other things, has Preferred Enterprise status and are controlled and managed from Israel. Pursuant to the 2011 Amendment, a Preferred Company is entitled to a reduced corporate flat tax rate of 15% with respect to its preferred income derived by its Preferred Enterprise in 2011-2012, unless the Preferred Enterprise is located in a certain development zone, in which case the rate will be 10%. Such corporate tax rate will be reduced to 12.5% and 7%, respectively, in 2013 and will increase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65" w:lineRule="exact"/>
        <w:rPr>
          <w:sz w:val="20"/>
          <w:szCs w:val="20"/>
          <w:color w:val="auto"/>
        </w:rPr>
      </w:pPr>
    </w:p>
    <w:p>
      <w:pPr>
        <w:ind w:left="1840" w:right="619"/>
        <w:spacing w:after="0" w:line="262" w:lineRule="auto"/>
        <w:rPr>
          <w:sz w:val="20"/>
          <w:szCs w:val="20"/>
          <w:color w:val="auto"/>
        </w:rPr>
      </w:pPr>
      <w:r>
        <w:rPr>
          <w:rFonts w:ascii="Arial" w:cs="Arial" w:eastAsia="Arial" w:hAnsi="Arial"/>
          <w:sz w:val="16"/>
          <w:szCs w:val="16"/>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66" w:lineRule="exact"/>
        <w:rPr>
          <w:sz w:val="20"/>
          <w:szCs w:val="20"/>
          <w:color w:val="auto"/>
        </w:rPr>
      </w:pPr>
    </w:p>
    <w:p>
      <w:pPr>
        <w:ind w:left="1820" w:hanging="322"/>
        <w:spacing w:after="0"/>
        <w:tabs>
          <w:tab w:leader="none" w:pos="18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Income taxes of non-Israeli subsidiaries:</w:t>
      </w:r>
    </w:p>
    <w:p>
      <w:pPr>
        <w:spacing w:after="0" w:line="203" w:lineRule="exact"/>
        <w:rPr>
          <w:rFonts w:ascii="Arial" w:cs="Arial" w:eastAsia="Arial" w:hAnsi="Arial"/>
          <w:sz w:val="16"/>
          <w:szCs w:val="16"/>
          <w:color w:val="auto"/>
        </w:rPr>
      </w:pPr>
    </w:p>
    <w:p>
      <w:pPr>
        <w:ind w:left="1840"/>
        <w:spacing w:after="0"/>
        <w:rPr>
          <w:rFonts w:ascii="Arial" w:cs="Arial" w:eastAsia="Arial" w:hAnsi="Arial"/>
          <w:sz w:val="16"/>
          <w:szCs w:val="16"/>
          <w:color w:val="auto"/>
        </w:rPr>
      </w:pPr>
      <w:r>
        <w:rPr>
          <w:rFonts w:ascii="Arial" w:cs="Arial" w:eastAsia="Arial" w:hAnsi="Arial"/>
          <w:sz w:val="14"/>
          <w:szCs w:val="14"/>
          <w:color w:val="auto"/>
        </w:rPr>
        <w:t>Non-Israeli subsidiaries are taxed according to the tax laws in their respective countries of residence.</w:t>
      </w:r>
    </w:p>
    <w:p>
      <w:pPr>
        <w:spacing w:after="0" w:line="202" w:lineRule="exact"/>
        <w:rPr>
          <w:sz w:val="20"/>
          <w:szCs w:val="20"/>
          <w:color w:val="auto"/>
        </w:rPr>
      </w:pPr>
    </w:p>
    <w:p>
      <w:pPr>
        <w:ind w:left="1840" w:right="579"/>
        <w:spacing w:after="0" w:line="267" w:lineRule="auto"/>
        <w:rPr>
          <w:sz w:val="20"/>
          <w:szCs w:val="20"/>
          <w:color w:val="auto"/>
        </w:rPr>
      </w:pPr>
      <w:r>
        <w:rPr>
          <w:rFonts w:ascii="Arial" w:cs="Arial" w:eastAsia="Arial" w:hAnsi="Arial"/>
          <w:sz w:val="16"/>
          <w:szCs w:val="16"/>
          <w:color w:val="auto"/>
        </w:rPr>
        <w:t>Taxes were not provided for undistributed earnings of the Company’s foreign subsidiaries. The Company’s board of directors has determined that the Company does not currently intend to distribute any amounts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47" w:name="page148"/>
    <w:bookmarkEnd w:id="147"/>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11:- TAXES ON INCOME (Cont.)</w:t>
      </w:r>
    </w:p>
    <w:p>
      <w:pPr>
        <w:spacing w:after="0" w:line="208" w:lineRule="exact"/>
        <w:rPr>
          <w:sz w:val="20"/>
          <w:szCs w:val="20"/>
          <w:color w:val="auto"/>
        </w:rPr>
      </w:pPr>
    </w:p>
    <w:p>
      <w:pPr>
        <w:ind w:left="1840" w:right="599"/>
        <w:spacing w:after="0" w:line="259" w:lineRule="auto"/>
        <w:rPr>
          <w:sz w:val="20"/>
          <w:szCs w:val="20"/>
          <w:color w:val="auto"/>
        </w:rPr>
      </w:pPr>
      <w:r>
        <w:rPr>
          <w:rFonts w:ascii="Arial" w:cs="Arial" w:eastAsia="Arial" w:hAnsi="Arial"/>
          <w:sz w:val="16"/>
          <w:szCs w:val="16"/>
          <w:color w:val="auto"/>
        </w:rPr>
        <w:t>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70" w:lineRule="exact"/>
        <w:rPr>
          <w:sz w:val="20"/>
          <w:szCs w:val="20"/>
          <w:color w:val="auto"/>
        </w:rPr>
      </w:pPr>
    </w:p>
    <w:p>
      <w:pPr>
        <w:ind w:left="1840" w:right="719"/>
        <w:spacing w:after="0" w:line="281" w:lineRule="auto"/>
        <w:rPr>
          <w:sz w:val="20"/>
          <w:szCs w:val="20"/>
          <w:color w:val="auto"/>
        </w:rPr>
      </w:pPr>
      <w:r>
        <w:rPr>
          <w:rFonts w:ascii="Arial" w:cs="Arial" w:eastAsia="Arial" w:hAnsi="Arial"/>
          <w:sz w:val="16"/>
          <w:szCs w:val="16"/>
          <w:color w:val="auto"/>
        </w:rPr>
        <w:t>The amount of undistributed earnings of foreign subsidiaries that are considered to be invested as of December 31, 2014 was $2,201.</w:t>
      </w:r>
    </w:p>
    <w:p>
      <w:pPr>
        <w:spacing w:after="0" w:line="151" w:lineRule="exact"/>
        <w:rPr>
          <w:sz w:val="20"/>
          <w:szCs w:val="20"/>
          <w:color w:val="auto"/>
        </w:rPr>
      </w:pPr>
    </w:p>
    <w:p>
      <w:pPr>
        <w:ind w:left="1800" w:hanging="302"/>
        <w:spacing w:after="0"/>
        <w:tabs>
          <w:tab w:leader="none" w:pos="1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Final tax assessments:</w:t>
      </w:r>
    </w:p>
    <w:p>
      <w:pPr>
        <w:spacing w:after="0" w:line="20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The Company and its Israeli subsidiary received final tax assessments through 2009.</w:t>
      </w:r>
    </w:p>
    <w:p>
      <w:pPr>
        <w:spacing w:after="0" w:line="204" w:lineRule="exact"/>
        <w:rPr>
          <w:sz w:val="20"/>
          <w:szCs w:val="20"/>
          <w:color w:val="auto"/>
        </w:rPr>
      </w:pPr>
    </w:p>
    <w:p>
      <w:pPr>
        <w:ind w:left="1840" w:right="699"/>
        <w:spacing w:after="0" w:line="281" w:lineRule="auto"/>
        <w:rPr>
          <w:sz w:val="20"/>
          <w:szCs w:val="20"/>
          <w:color w:val="auto"/>
        </w:rPr>
      </w:pPr>
      <w:r>
        <w:rPr>
          <w:rFonts w:ascii="Arial" w:cs="Arial" w:eastAsia="Arial" w:hAnsi="Arial"/>
          <w:sz w:val="16"/>
          <w:szCs w:val="16"/>
          <w:color w:val="auto"/>
        </w:rPr>
        <w:t>The U.S. subsidiary received final tax assessment through 2009 and the German and the Hong Kong Subsidiaries have not received a final tax assessment since inception.</w:t>
      </w:r>
    </w:p>
    <w:p>
      <w:pPr>
        <w:spacing w:after="0" w:line="151" w:lineRule="exact"/>
        <w:rPr>
          <w:sz w:val="20"/>
          <w:szCs w:val="20"/>
          <w:color w:val="auto"/>
        </w:rPr>
      </w:pPr>
    </w:p>
    <w:p>
      <w:pPr>
        <w:ind w:left="1820" w:hanging="322"/>
        <w:spacing w:after="0"/>
        <w:tabs>
          <w:tab w:leader="none" w:pos="18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Carryforward losses for tax purposes and other temporary differences:</w:t>
      </w:r>
    </w:p>
    <w:p>
      <w:pPr>
        <w:spacing w:after="0" w:line="203" w:lineRule="exact"/>
        <w:rPr>
          <w:rFonts w:ascii="Arial" w:cs="Arial" w:eastAsia="Arial" w:hAnsi="Arial"/>
          <w:sz w:val="16"/>
          <w:szCs w:val="16"/>
          <w:color w:val="auto"/>
        </w:rPr>
      </w:pPr>
    </w:p>
    <w:p>
      <w:pPr>
        <w:ind w:left="1840" w:right="619"/>
        <w:spacing w:after="0" w:line="281" w:lineRule="auto"/>
        <w:rPr>
          <w:rFonts w:ascii="Arial" w:cs="Arial" w:eastAsia="Arial" w:hAnsi="Arial"/>
          <w:sz w:val="16"/>
          <w:szCs w:val="16"/>
          <w:color w:val="auto"/>
        </w:rPr>
      </w:pPr>
      <w:r>
        <w:rPr>
          <w:rFonts w:ascii="Arial" w:cs="Arial" w:eastAsia="Arial" w:hAnsi="Arial"/>
          <w:sz w:val="16"/>
          <w:szCs w:val="16"/>
          <w:color w:val="auto"/>
        </w:rPr>
        <w:t>Carryforward operating tax losses of the Company’s Israeli subsidiary total approximately $10,624 as of December 31, 2014 and may be used indefinitely.</w:t>
      </w:r>
    </w:p>
    <w:p>
      <w:pPr>
        <w:spacing w:after="0" w:line="150" w:lineRule="exact"/>
        <w:rPr>
          <w:rFonts w:ascii="Arial" w:cs="Arial" w:eastAsia="Arial" w:hAnsi="Arial"/>
          <w:sz w:val="16"/>
          <w:szCs w:val="16"/>
          <w:color w:val="auto"/>
        </w:rPr>
      </w:pPr>
    </w:p>
    <w:p>
      <w:pPr>
        <w:ind w:left="1800" w:hanging="302"/>
        <w:spacing w:after="0"/>
        <w:tabs>
          <w:tab w:leader="none" w:pos="18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Deferred income taxes:</w:t>
      </w:r>
    </w:p>
    <w:p>
      <w:pPr>
        <w:spacing w:after="0" w:line="204" w:lineRule="exact"/>
        <w:rPr>
          <w:sz w:val="20"/>
          <w:szCs w:val="20"/>
          <w:color w:val="auto"/>
        </w:rPr>
      </w:pPr>
    </w:p>
    <w:p>
      <w:pPr>
        <w:ind w:left="1840" w:right="639"/>
        <w:spacing w:after="0" w:line="26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4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77"/>
        </w:trPr>
        <w:tc>
          <w:tcPr>
            <w:tcW w:w="4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2013</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r>
      <w:tr>
        <w:trPr>
          <w:trHeight w:val="355"/>
        </w:trPr>
        <w:tc>
          <w:tcPr>
            <w:tcW w:w="4100" w:type="dxa"/>
            <w:vAlign w:val="bottom"/>
          </w:tcPr>
          <w:p>
            <w:pPr>
              <w:spacing w:after="0"/>
              <w:rPr>
                <w:sz w:val="20"/>
                <w:szCs w:val="20"/>
                <w:color w:val="auto"/>
              </w:rPr>
            </w:pPr>
            <w:r>
              <w:rPr>
                <w:rFonts w:ascii="Arial" w:cs="Arial" w:eastAsia="Arial" w:hAnsi="Arial"/>
                <w:sz w:val="16"/>
                <w:szCs w:val="16"/>
                <w:color w:val="auto"/>
              </w:rPr>
              <w:t>Carryforward tax losses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1,511</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1,349</w:t>
            </w:r>
          </w:p>
        </w:tc>
      </w:tr>
      <w:tr>
        <w:trPr>
          <w:trHeight w:val="206"/>
        </w:trPr>
        <w:tc>
          <w:tcPr>
            <w:tcW w:w="4100" w:type="dxa"/>
            <w:vAlign w:val="bottom"/>
          </w:tcPr>
          <w:p>
            <w:pPr>
              <w:spacing w:after="0"/>
              <w:rPr>
                <w:sz w:val="20"/>
                <w:szCs w:val="20"/>
                <w:color w:val="auto"/>
              </w:rPr>
            </w:pPr>
            <w:r>
              <w:rPr>
                <w:rFonts w:ascii="Arial" w:cs="Arial" w:eastAsia="Arial" w:hAnsi="Arial"/>
                <w:sz w:val="16"/>
                <w:szCs w:val="16"/>
                <w:color w:val="auto"/>
              </w:rPr>
              <w:t>Temporary differences</w:t>
            </w:r>
          </w:p>
        </w:tc>
        <w:tc>
          <w:tcPr>
            <w:tcW w:w="1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r>
      <w:tr>
        <w:trPr>
          <w:trHeight w:val="367"/>
        </w:trPr>
        <w:tc>
          <w:tcPr>
            <w:tcW w:w="4100" w:type="dxa"/>
            <w:vAlign w:val="bottom"/>
          </w:tcPr>
          <w:p>
            <w:pPr>
              <w:spacing w:after="0"/>
              <w:rPr>
                <w:sz w:val="20"/>
                <w:szCs w:val="20"/>
                <w:color w:val="auto"/>
              </w:rPr>
            </w:pPr>
            <w:r>
              <w:rPr>
                <w:rFonts w:ascii="Arial" w:cs="Arial" w:eastAsia="Arial" w:hAnsi="Arial"/>
                <w:sz w:val="16"/>
                <w:szCs w:val="16"/>
                <w:color w:val="auto"/>
              </w:rPr>
              <w:t>Deferred tax assets before valuation allowance</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3,069</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3,064</w:t>
            </w:r>
          </w:p>
        </w:tc>
      </w:tr>
      <w:tr>
        <w:trPr>
          <w:trHeight w:val="206"/>
        </w:trPr>
        <w:tc>
          <w:tcPr>
            <w:tcW w:w="4100" w:type="dxa"/>
            <w:vAlign w:val="bottom"/>
          </w:tcPr>
          <w:p>
            <w:pPr>
              <w:spacing w:after="0"/>
              <w:rPr>
                <w:sz w:val="20"/>
                <w:szCs w:val="20"/>
                <w:color w:val="auto"/>
              </w:rPr>
            </w:pPr>
            <w:r>
              <w:rPr>
                <w:rFonts w:ascii="Arial" w:cs="Arial" w:eastAsia="Arial" w:hAnsi="Arial"/>
                <w:sz w:val="16"/>
                <w:szCs w:val="16"/>
                <w:color w:val="auto"/>
              </w:rPr>
              <w:t>Valuation allowance</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(2,934)</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2,741</w:t>
            </w:r>
          </w:p>
        </w:tc>
      </w:tr>
      <w:tr>
        <w:trPr>
          <w:trHeight w:val="380"/>
        </w:trPr>
        <w:tc>
          <w:tcPr>
            <w:tcW w:w="4100" w:type="dxa"/>
            <w:vAlign w:val="bottom"/>
          </w:tcPr>
          <w:p>
            <w:pPr>
              <w:spacing w:after="0"/>
              <w:rPr>
                <w:sz w:val="20"/>
                <w:szCs w:val="20"/>
                <w:color w:val="auto"/>
              </w:rPr>
            </w:pPr>
            <w:r>
              <w:rPr>
                <w:rFonts w:ascii="Arial" w:cs="Arial" w:eastAsia="Arial" w:hAnsi="Arial"/>
                <w:sz w:val="16"/>
                <w:szCs w:val="16"/>
                <w:color w:val="auto"/>
              </w:rPr>
              <w:t>Net deferred tax asset</w:t>
            </w:r>
          </w:p>
        </w:tc>
        <w:tc>
          <w:tcPr>
            <w:tcW w:w="1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32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w:t>
            </w:r>
          </w:p>
        </w:tc>
      </w:tr>
      <w:tr>
        <w:trPr>
          <w:trHeight w:val="380"/>
        </w:trPr>
        <w:tc>
          <w:tcPr>
            <w:tcW w:w="410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380"/>
        </w:trPr>
        <w:tc>
          <w:tcPr>
            <w:tcW w:w="4100" w:type="dxa"/>
            <w:vAlign w:val="bottom"/>
          </w:tcPr>
          <w:p>
            <w:pPr>
              <w:spacing w:after="0"/>
              <w:rPr>
                <w:sz w:val="20"/>
                <w:szCs w:val="20"/>
                <w:color w:val="auto"/>
              </w:rPr>
            </w:pPr>
            <w:r>
              <w:rPr>
                <w:rFonts w:ascii="Arial" w:cs="Arial" w:eastAsia="Arial" w:hAnsi="Arial"/>
                <w:sz w:val="16"/>
                <w:szCs w:val="16"/>
                <w:color w:val="auto"/>
              </w:rPr>
              <w:t>Net deferred tax assets</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69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0"/>
        </w:trPr>
        <w:tc>
          <w:tcPr>
            <w:tcW w:w="4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840" w:right="939"/>
        <w:spacing w:after="0" w:line="281" w:lineRule="auto"/>
        <w:rPr>
          <w:sz w:val="20"/>
          <w:szCs w:val="20"/>
          <w:color w:val="auto"/>
        </w:rPr>
      </w:pPr>
      <w:r>
        <w:rPr>
          <w:rFonts w:ascii="Arial" w:cs="Arial" w:eastAsia="Arial" w:hAnsi="Arial"/>
          <w:sz w:val="16"/>
          <w:szCs w:val="16"/>
          <w:color w:val="auto"/>
        </w:rPr>
        <w:t>The net change in the valuation allowance was mainly due to foreign exchange differences and a decrease in tax rate.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48" w:name="page149"/>
    <w:bookmarkEnd w:id="148"/>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16510</wp:posOffset>
            </wp:positionV>
            <wp:extent cx="499935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11:- TAXES ON INCOME (Cont.)</w:t>
      </w:r>
    </w:p>
    <w:p>
      <w:pPr>
        <w:spacing w:after="0" w:line="208" w:lineRule="exact"/>
        <w:rPr>
          <w:sz w:val="20"/>
          <w:szCs w:val="20"/>
          <w:color w:val="auto"/>
        </w:rPr>
      </w:pPr>
    </w:p>
    <w:p>
      <w:pPr>
        <w:ind w:left="6600"/>
        <w:spacing w:after="0"/>
        <w:rPr>
          <w:sz w:val="20"/>
          <w:szCs w:val="20"/>
          <w:color w:val="auto"/>
        </w:rPr>
      </w:pPr>
      <w:r>
        <w:rPr>
          <w:rFonts w:ascii="Arial" w:cs="Arial" w:eastAsia="Arial" w:hAnsi="Arial"/>
          <w:sz w:val="15"/>
          <w:szCs w:val="15"/>
          <w:b w:val="1"/>
          <w:bCs w:val="1"/>
          <w:color w:val="auto"/>
        </w:rPr>
        <w:t>December 31,</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52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2013</w:t>
            </w:r>
          </w:p>
        </w:tc>
        <w:tc>
          <w:tcPr>
            <w:tcW w:w="3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40" w:type="dxa"/>
            <w:vAlign w:val="bottom"/>
          </w:tcPr>
          <w:p>
            <w:pPr>
              <w:spacing w:after="0"/>
              <w:rPr>
                <w:sz w:val="15"/>
                <w:szCs w:val="15"/>
                <w:color w:val="auto"/>
              </w:rPr>
            </w:pPr>
          </w:p>
        </w:tc>
      </w:tr>
      <w:tr>
        <w:trPr>
          <w:trHeight w:val="355"/>
        </w:trPr>
        <w:tc>
          <w:tcPr>
            <w:tcW w:w="5980" w:type="dxa"/>
            <w:vAlign w:val="bottom"/>
            <w:gridSpan w:val="2"/>
          </w:tcPr>
          <w:p>
            <w:pPr>
              <w:spacing w:after="0"/>
              <w:rPr>
                <w:sz w:val="20"/>
                <w:szCs w:val="20"/>
                <w:color w:val="auto"/>
              </w:rPr>
            </w:pPr>
            <w:r>
              <w:rPr>
                <w:rFonts w:ascii="Arial" w:cs="Arial" w:eastAsia="Arial" w:hAnsi="Arial"/>
                <w:sz w:val="16"/>
                <w:szCs w:val="16"/>
                <w:color w:val="auto"/>
              </w:rPr>
              <w:t>Foreign: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5980" w:type="dxa"/>
            <w:vAlign w:val="bottom"/>
            <w:gridSpan w:val="2"/>
          </w:tcPr>
          <w:p>
            <w:pPr>
              <w:ind w:left="200"/>
              <w:spacing w:after="0"/>
              <w:rPr>
                <w:sz w:val="20"/>
                <w:szCs w:val="20"/>
                <w:color w:val="auto"/>
              </w:rPr>
            </w:pPr>
            <w:r>
              <w:rPr>
                <w:rFonts w:ascii="Arial" w:cs="Arial" w:eastAsia="Arial" w:hAnsi="Arial"/>
                <w:sz w:val="16"/>
                <w:szCs w:val="16"/>
                <w:color w:val="auto"/>
              </w:rPr>
              <w:t>Current deferred tax asset net</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135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w:t>
            </w:r>
          </w:p>
        </w:tc>
        <w:tc>
          <w:tcPr>
            <w:tcW w:w="40" w:type="dxa"/>
            <w:vAlign w:val="bottom"/>
          </w:tcPr>
          <w:p>
            <w:pPr>
              <w:spacing w:after="0"/>
              <w:rPr>
                <w:sz w:val="16"/>
                <w:szCs w:val="16"/>
                <w:color w:val="auto"/>
              </w:rPr>
            </w:pPr>
          </w:p>
        </w:tc>
      </w:tr>
      <w:tr>
        <w:trPr>
          <w:trHeight w:val="206"/>
        </w:trPr>
        <w:tc>
          <w:tcPr>
            <w:tcW w:w="5200" w:type="dxa"/>
            <w:vAlign w:val="bottom"/>
          </w:tcPr>
          <w:p>
            <w:pPr>
              <w:ind w:left="200"/>
              <w:spacing w:after="0"/>
              <w:rPr>
                <w:sz w:val="20"/>
                <w:szCs w:val="20"/>
                <w:color w:val="auto"/>
              </w:rPr>
            </w:pPr>
            <w:r>
              <w:rPr>
                <w:rFonts w:ascii="Arial" w:cs="Arial" w:eastAsia="Arial" w:hAnsi="Arial"/>
                <w:sz w:val="16"/>
                <w:szCs w:val="16"/>
                <w:color w:val="auto"/>
              </w:rPr>
              <w:t>Non-current deferred tax liability net</w:t>
            </w:r>
          </w:p>
        </w:tc>
        <w:tc>
          <w:tcPr>
            <w:tcW w:w="780" w:type="dxa"/>
            <w:vAlign w:val="bottom"/>
          </w:tcPr>
          <w:p>
            <w:pPr>
              <w:spacing w:after="0"/>
              <w:rPr>
                <w:sz w:val="17"/>
                <w:szCs w:val="17"/>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(122)</w:t>
            </w: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0"/>
        </w:trPr>
        <w:tc>
          <w:tcPr>
            <w:tcW w:w="5980" w:type="dxa"/>
            <w:vAlign w:val="bottom"/>
            <w:gridSpan w:val="2"/>
          </w:tcPr>
          <w:p>
            <w:pPr>
              <w:jc w:val="right"/>
              <w:ind w:right="627"/>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69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w:t>
            </w:r>
          </w:p>
        </w:tc>
        <w:tc>
          <w:tcPr>
            <w:tcW w:w="40" w:type="dxa"/>
            <w:vAlign w:val="bottom"/>
          </w:tcPr>
          <w:p>
            <w:pPr>
              <w:spacing w:after="0"/>
              <w:rPr>
                <w:sz w:val="24"/>
                <w:szCs w:val="24"/>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5" w:lineRule="exact"/>
        <w:rPr>
          <w:sz w:val="20"/>
          <w:szCs w:val="20"/>
          <w:color w:val="auto"/>
        </w:rPr>
      </w:pPr>
    </w:p>
    <w:p>
      <w:pPr>
        <w:ind w:left="1840" w:right="679"/>
        <w:spacing w:after="0" w:line="281" w:lineRule="auto"/>
        <w:rPr>
          <w:sz w:val="20"/>
          <w:szCs w:val="20"/>
          <w:color w:val="auto"/>
        </w:rPr>
      </w:pPr>
      <w:r>
        <w:rPr>
          <w:rFonts w:ascii="Arial" w:cs="Arial" w:eastAsia="Arial" w:hAnsi="Arial"/>
          <w:sz w:val="16"/>
          <w:szCs w:val="16"/>
          <w:color w:val="auto"/>
        </w:rPr>
        <w:t>Current deferred tax asset is included within other current assets and prepaid expenses in the balance sheets.</w:t>
      </w:r>
    </w:p>
    <w:p>
      <w:pPr>
        <w:spacing w:after="0" w:line="114" w:lineRule="exact"/>
        <w:rPr>
          <w:sz w:val="20"/>
          <w:szCs w:val="20"/>
          <w:color w:val="auto"/>
        </w:rPr>
      </w:pPr>
    </w:p>
    <w:p>
      <w:pPr>
        <w:ind w:left="1800" w:hanging="302"/>
        <w:spacing w:after="0"/>
        <w:tabs>
          <w:tab w:leader="none" w:pos="1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Taxes on income are comprised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6"/>
              </w:rPr>
              <w:t>Year ended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1"/>
        </w:trPr>
        <w:tc>
          <w:tcPr>
            <w:tcW w:w="3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6"/>
              </w:rPr>
              <w:t>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2013</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r>
      <w:tr>
        <w:trPr>
          <w:trHeight w:val="355"/>
        </w:trPr>
        <w:tc>
          <w:tcPr>
            <w:tcW w:w="3780" w:type="dxa"/>
            <w:vAlign w:val="bottom"/>
          </w:tcPr>
          <w:p>
            <w:pPr>
              <w:spacing w:after="0"/>
              <w:rPr>
                <w:sz w:val="20"/>
                <w:szCs w:val="20"/>
                <w:color w:val="auto"/>
              </w:rPr>
            </w:pPr>
            <w:r>
              <w:rPr>
                <w:rFonts w:ascii="Arial" w:cs="Arial" w:eastAsia="Arial" w:hAnsi="Arial"/>
                <w:sz w:val="16"/>
                <w:szCs w:val="16"/>
                <w:color w:val="auto"/>
              </w:rPr>
              <w:t>Current taxes</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1,255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1,435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914</w:t>
            </w:r>
          </w:p>
        </w:tc>
        <w:tc>
          <w:tcPr>
            <w:tcW w:w="160" w:type="dxa"/>
            <w:vAlign w:val="bottom"/>
          </w:tcPr>
          <w:p>
            <w:pPr>
              <w:spacing w:after="0"/>
              <w:rPr>
                <w:sz w:val="24"/>
                <w:szCs w:val="24"/>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r>
      <w:tr>
        <w:trPr>
          <w:trHeight w:val="20"/>
        </w:trPr>
        <w:tc>
          <w:tcPr>
            <w:tcW w:w="3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0"/>
        </w:trPr>
        <w:tc>
          <w:tcPr>
            <w:tcW w:w="3780" w:type="dxa"/>
            <w:vAlign w:val="bottom"/>
          </w:tcPr>
          <w:p>
            <w:pPr>
              <w:spacing w:after="0"/>
              <w:rPr>
                <w:sz w:val="24"/>
                <w:szCs w:val="24"/>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1,228</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1,393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782</w:t>
            </w:r>
          </w:p>
        </w:tc>
        <w:tc>
          <w:tcPr>
            <w:tcW w:w="16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2"/>
        </w:trPr>
        <w:tc>
          <w:tcPr>
            <w:tcW w:w="3780" w:type="dxa"/>
            <w:vAlign w:val="bottom"/>
          </w:tcPr>
          <w:p>
            <w:pPr>
              <w:spacing w:after="0"/>
              <w:rPr>
                <w:sz w:val="20"/>
                <w:szCs w:val="20"/>
                <w:color w:val="auto"/>
              </w:rPr>
            </w:pPr>
            <w:r>
              <w:rPr>
                <w:rFonts w:ascii="Arial" w:cs="Arial" w:eastAsia="Arial" w:hAnsi="Arial"/>
                <w:sz w:val="16"/>
                <w:szCs w:val="16"/>
                <w:color w:val="auto"/>
              </w:rPr>
              <w:t>Domestic</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1,047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1,012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Pr>
          <w:p>
            <w:pPr>
              <w:spacing w:after="0"/>
              <w:rPr>
                <w:sz w:val="24"/>
                <w:szCs w:val="24"/>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160" w:type="dxa"/>
            <w:vAlign w:val="bottom"/>
          </w:tcPr>
          <w:p>
            <w:pPr>
              <w:spacing w:after="0"/>
              <w:rPr>
                <w:sz w:val="17"/>
                <w:szCs w:val="17"/>
                <w:color w:val="auto"/>
              </w:rPr>
            </w:pPr>
          </w:p>
        </w:tc>
      </w:tr>
      <w:tr>
        <w:trPr>
          <w:trHeight w:val="380"/>
        </w:trPr>
        <w:tc>
          <w:tcPr>
            <w:tcW w:w="3780" w:type="dxa"/>
            <w:vAlign w:val="bottom"/>
          </w:tcPr>
          <w:p>
            <w:pPr>
              <w:spacing w:after="0"/>
              <w:rPr>
                <w:sz w:val="24"/>
                <w:szCs w:val="24"/>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1,228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1,393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782</w:t>
            </w:r>
          </w:p>
        </w:tc>
        <w:tc>
          <w:tcPr>
            <w:tcW w:w="16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28"/>
        </w:trPr>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6"/>
              </w:rPr>
              <w:t>Year ended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3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6"/>
              </w:rPr>
              <w:t>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2013</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Domestic taxes:</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87"/>
        </w:trPr>
        <w:tc>
          <w:tcPr>
            <w:tcW w:w="3780" w:type="dxa"/>
            <w:vAlign w:val="bottom"/>
          </w:tcPr>
          <w:p>
            <w:pPr>
              <w:spacing w:after="0"/>
              <w:rPr>
                <w:sz w:val="20"/>
                <w:szCs w:val="20"/>
                <w:color w:val="auto"/>
              </w:rPr>
            </w:pPr>
            <w:r>
              <w:rPr>
                <w:rFonts w:ascii="Arial" w:cs="Arial" w:eastAsia="Arial" w:hAnsi="Arial"/>
                <w:sz w:val="16"/>
                <w:szCs w:val="16"/>
                <w:color w:val="auto"/>
              </w:rPr>
              <w:t>Current taxes</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1,047</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1,012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Pr>
          <w:p>
            <w:pPr>
              <w:spacing w:after="0"/>
              <w:rPr>
                <w:sz w:val="24"/>
                <w:szCs w:val="24"/>
                <w:color w:val="auto"/>
              </w:rPr>
            </w:pPr>
          </w:p>
        </w:tc>
      </w:tr>
      <w:tr>
        <w:trPr>
          <w:trHeight w:val="379"/>
        </w:trPr>
        <w:tc>
          <w:tcPr>
            <w:tcW w:w="37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3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Foreign taxes:</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76"/>
        </w:trPr>
        <w:tc>
          <w:tcPr>
            <w:tcW w:w="3780" w:type="dxa"/>
            <w:vAlign w:val="bottom"/>
          </w:tcPr>
          <w:p>
            <w:pPr>
              <w:spacing w:after="0"/>
              <w:rPr>
                <w:sz w:val="20"/>
                <w:szCs w:val="20"/>
                <w:color w:val="auto"/>
              </w:rPr>
            </w:pPr>
            <w:r>
              <w:rPr>
                <w:rFonts w:ascii="Arial" w:cs="Arial" w:eastAsia="Arial" w:hAnsi="Arial"/>
                <w:sz w:val="16"/>
                <w:szCs w:val="16"/>
                <w:color w:val="auto"/>
              </w:rPr>
              <w:t>Current taxes</w:t>
            </w:r>
          </w:p>
        </w:tc>
        <w:tc>
          <w:tcPr>
            <w:tcW w:w="3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208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423</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713</w:t>
            </w:r>
          </w:p>
        </w:tc>
        <w:tc>
          <w:tcPr>
            <w:tcW w:w="160" w:type="dxa"/>
            <w:vAlign w:val="bottom"/>
          </w:tcPr>
          <w:p>
            <w:pPr>
              <w:spacing w:after="0"/>
              <w:rPr>
                <w:sz w:val="24"/>
                <w:szCs w:val="24"/>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r>
      <w:tr>
        <w:trPr>
          <w:trHeight w:val="380"/>
        </w:trPr>
        <w:tc>
          <w:tcPr>
            <w:tcW w:w="378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3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160" w:type="dxa"/>
            <w:vAlign w:val="bottom"/>
          </w:tcPr>
          <w:p>
            <w:pPr>
              <w:spacing w:after="0"/>
              <w:rPr>
                <w:sz w:val="24"/>
                <w:szCs w:val="24"/>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rPr>
              <w:t>Taxes on income</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1,228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1,393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782</w:t>
            </w:r>
          </w:p>
        </w:tc>
        <w:tc>
          <w:tcPr>
            <w:tcW w:w="16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F-27</w:t>
            </w: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281" w:right="1440" w:bottom="1440" w:gutter="0" w:footer="0" w:header="0"/>
        </w:sectPr>
      </w:pPr>
    </w:p>
    <w:bookmarkStart w:id="149" w:name="page150"/>
    <w:bookmarkEnd w:id="149"/>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11:- TAXES ON INCOME (Cont.)</w:t>
      </w:r>
    </w:p>
    <w:p>
      <w:pPr>
        <w:spacing w:after="0" w:line="208" w:lineRule="exact"/>
        <w:rPr>
          <w:sz w:val="20"/>
          <w:szCs w:val="20"/>
          <w:color w:val="auto"/>
        </w:rPr>
      </w:pPr>
    </w:p>
    <w:p>
      <w:pPr>
        <w:ind w:left="1840" w:hanging="342"/>
        <w:spacing w:after="0"/>
        <w:tabs>
          <w:tab w:leader="none" w:pos="18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Uncertain tax positions:</w:t>
      </w:r>
    </w:p>
    <w:p>
      <w:pPr>
        <w:spacing w:after="0" w:line="179" w:lineRule="exact"/>
        <w:rPr>
          <w:rFonts w:ascii="Arial" w:cs="Arial" w:eastAsia="Arial" w:hAnsi="Arial"/>
          <w:sz w:val="16"/>
          <w:szCs w:val="16"/>
          <w:color w:val="auto"/>
        </w:rPr>
      </w:pPr>
    </w:p>
    <w:p>
      <w:pPr>
        <w:ind w:left="1840"/>
        <w:spacing w:after="0"/>
        <w:rPr>
          <w:rFonts w:ascii="Arial" w:cs="Arial" w:eastAsia="Arial" w:hAnsi="Arial"/>
          <w:sz w:val="16"/>
          <w:szCs w:val="16"/>
          <w:color w:val="auto"/>
        </w:rPr>
      </w:pPr>
      <w:r>
        <w:rPr>
          <w:rFonts w:ascii="Arial" w:cs="Arial" w:eastAsia="Arial" w:hAnsi="Arial"/>
          <w:sz w:val="14"/>
          <w:szCs w:val="14"/>
          <w:color w:val="auto"/>
        </w:rPr>
        <w:t>A reconciliation of the beginning and ending amount of gross unrecognized tax benefits is as follows: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jc w:val="right"/>
              <w:ind w:right="64"/>
              <w:spacing w:after="0"/>
              <w:rPr>
                <w:sz w:val="20"/>
                <w:szCs w:val="20"/>
                <w:color w:val="auto"/>
              </w:rPr>
            </w:pPr>
            <w:r>
              <w:rPr>
                <w:rFonts w:ascii="Arial" w:cs="Arial" w:eastAsia="Arial" w:hAnsi="Arial"/>
                <w:sz w:val="15"/>
                <w:szCs w:val="15"/>
                <w:b w:val="1"/>
                <w:bCs w:val="1"/>
                <w:color w:val="auto"/>
              </w:rPr>
              <w:t>Year ended</w:t>
            </w:r>
          </w:p>
        </w:tc>
        <w:tc>
          <w:tcPr>
            <w:tcW w:w="780" w:type="dxa"/>
            <w:vAlign w:val="bottom"/>
          </w:tcPr>
          <w:p>
            <w:pPr>
              <w:spacing w:after="0"/>
              <w:rPr>
                <w:sz w:val="15"/>
                <w:szCs w:val="15"/>
                <w:color w:val="auto"/>
              </w:rPr>
            </w:pPr>
          </w:p>
        </w:tc>
      </w:tr>
      <w:tr>
        <w:trPr>
          <w:trHeight w:val="188"/>
        </w:trPr>
        <w:tc>
          <w:tcPr>
            <w:tcW w:w="3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6"/>
              </w:rPr>
              <w:t>December 31,</w:t>
            </w:r>
          </w:p>
        </w:tc>
        <w:tc>
          <w:tcPr>
            <w:tcW w:w="780" w:type="dxa"/>
            <w:vAlign w:val="bottom"/>
            <w:tcBorders>
              <w:bottom w:val="single" w:sz="8" w:color="auto"/>
            </w:tcBorders>
          </w:tcPr>
          <w:p>
            <w:pPr>
              <w:spacing w:after="0"/>
              <w:rPr>
                <w:sz w:val="16"/>
                <w:szCs w:val="16"/>
                <w:color w:val="auto"/>
              </w:rPr>
            </w:pPr>
          </w:p>
        </w:tc>
      </w:tr>
      <w:tr>
        <w:trPr>
          <w:trHeight w:val="180"/>
        </w:trPr>
        <w:tc>
          <w:tcPr>
            <w:tcW w:w="3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r>
      <w:tr>
        <w:trPr>
          <w:trHeight w:val="355"/>
        </w:trPr>
        <w:tc>
          <w:tcPr>
            <w:tcW w:w="3860" w:type="dxa"/>
            <w:vAlign w:val="bottom"/>
          </w:tcPr>
          <w:p>
            <w:pPr>
              <w:spacing w:after="0"/>
              <w:rPr>
                <w:sz w:val="20"/>
                <w:szCs w:val="20"/>
                <w:color w:val="auto"/>
              </w:rPr>
            </w:pPr>
            <w:r>
              <w:rPr>
                <w:rFonts w:ascii="Arial" w:cs="Arial" w:eastAsia="Arial" w:hAnsi="Arial"/>
                <w:sz w:val="16"/>
                <w:szCs w:val="16"/>
                <w:color w:val="auto"/>
              </w:rPr>
              <w:t>Beginning of year</w:t>
            </w:r>
          </w:p>
        </w:tc>
        <w:tc>
          <w:tcPr>
            <w:tcW w:w="2060" w:type="dxa"/>
            <w:vAlign w:val="bottom"/>
            <w:gridSpan w:val="2"/>
          </w:tcPr>
          <w:p>
            <w:pPr>
              <w:jc w:val="right"/>
              <w:ind w:right="567"/>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556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Additions for current year tax positions</w:t>
            </w:r>
          </w:p>
        </w:tc>
        <w:tc>
          <w:tcPr>
            <w:tcW w:w="13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380"/>
        </w:trPr>
        <w:tc>
          <w:tcPr>
            <w:tcW w:w="3860" w:type="dxa"/>
            <w:vAlign w:val="bottom"/>
          </w:tcPr>
          <w:p>
            <w:pPr>
              <w:spacing w:after="0"/>
              <w:rPr>
                <w:sz w:val="20"/>
                <w:szCs w:val="20"/>
                <w:color w:val="auto"/>
              </w:rPr>
            </w:pPr>
            <w:r>
              <w:rPr>
                <w:rFonts w:ascii="Arial" w:cs="Arial" w:eastAsia="Arial" w:hAnsi="Arial"/>
                <w:sz w:val="16"/>
                <w:szCs w:val="16"/>
                <w:color w:val="auto"/>
              </w:rPr>
              <w:t>Balance at December 31</w:t>
            </w:r>
          </w:p>
        </w:tc>
        <w:tc>
          <w:tcPr>
            <w:tcW w:w="2060" w:type="dxa"/>
            <w:vAlign w:val="bottom"/>
            <w:gridSpan w:val="2"/>
          </w:tcPr>
          <w:p>
            <w:pPr>
              <w:jc w:val="right"/>
              <w:ind w:right="567"/>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1,075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0"/>
        </w:trPr>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1840" w:right="1179"/>
        <w:spacing w:after="0" w:line="281" w:lineRule="auto"/>
        <w:rPr>
          <w:sz w:val="20"/>
          <w:szCs w:val="20"/>
          <w:color w:val="auto"/>
        </w:rPr>
      </w:pPr>
      <w:r>
        <w:rPr>
          <w:rFonts w:ascii="Arial" w:cs="Arial" w:eastAsia="Arial" w:hAnsi="Arial"/>
          <w:sz w:val="16"/>
          <w:szCs w:val="16"/>
          <w:color w:val="auto"/>
        </w:rPr>
        <w:t>As of December 31, 2014, the entire amount of the unrecognized tax benefits could affect the Company’s income tax provision and the effective tax rate.</w:t>
      </w:r>
    </w:p>
    <w:p>
      <w:pPr>
        <w:spacing w:after="0" w:line="151" w:lineRule="exact"/>
        <w:rPr>
          <w:sz w:val="20"/>
          <w:szCs w:val="20"/>
          <w:color w:val="auto"/>
        </w:rPr>
      </w:pPr>
    </w:p>
    <w:p>
      <w:pPr>
        <w:ind w:left="1840" w:right="719"/>
        <w:spacing w:after="0" w:line="258" w:lineRule="auto"/>
        <w:rPr>
          <w:sz w:val="20"/>
          <w:szCs w:val="20"/>
          <w:color w:val="auto"/>
        </w:rPr>
      </w:pPr>
      <w:r>
        <w:rPr>
          <w:rFonts w:ascii="Arial" w:cs="Arial" w:eastAsia="Arial" w:hAnsi="Arial"/>
          <w:sz w:val="16"/>
          <w:szCs w:val="16"/>
          <w:color w:val="auto"/>
        </w:rPr>
        <w:t>During the years ended December 31, 2012, 2013 and 2014, an amount of $0, $75 and $(79), respectively, was added to the unrecognized tax benefits derived from interest and exchange rate differences expenses related to prior years' uncertain tax positions. As of December 31, 2013 and 2014, the Company had accrued interest liability related to uncertain tax positions in the amounts of $33 and $82 respectively, which is included within other payables and accrued expenses income tax accrual on the balance sheets.</w:t>
      </w:r>
    </w:p>
    <w:p>
      <w:pPr>
        <w:spacing w:after="0" w:line="134" w:lineRule="exact"/>
        <w:rPr>
          <w:sz w:val="20"/>
          <w:szCs w:val="20"/>
          <w:color w:val="auto"/>
        </w:rPr>
      </w:pPr>
    </w:p>
    <w:p>
      <w:pPr>
        <w:ind w:left="1840" w:right="659"/>
        <w:spacing w:after="0" w:line="281" w:lineRule="auto"/>
        <w:rPr>
          <w:sz w:val="20"/>
          <w:szCs w:val="20"/>
          <w:color w:val="auto"/>
        </w:rPr>
      </w:pPr>
      <w:r>
        <w:rPr>
          <w:rFonts w:ascii="Arial" w:cs="Arial" w:eastAsia="Arial" w:hAnsi="Arial"/>
          <w:sz w:val="16"/>
          <w:szCs w:val="16"/>
          <w:color w:val="auto"/>
        </w:rPr>
        <w:t>Exchange rate differences are recorded within financial income, net, while interest is recorded within income tax expense.</w:t>
      </w:r>
    </w:p>
    <w:p>
      <w:pPr>
        <w:spacing w:after="0" w:line="126" w:lineRule="exact"/>
        <w:rPr>
          <w:sz w:val="20"/>
          <w:szCs w:val="20"/>
          <w:color w:val="auto"/>
        </w:rPr>
      </w:pPr>
    </w:p>
    <w:p>
      <w:pPr>
        <w:ind w:left="1840" w:right="579"/>
        <w:spacing w:after="0" w:line="259" w:lineRule="auto"/>
        <w:rPr>
          <w:sz w:val="20"/>
          <w:szCs w:val="20"/>
          <w:color w:val="auto"/>
        </w:rPr>
      </w:pPr>
      <w:r>
        <w:rPr>
          <w:rFonts w:ascii="Arial" w:cs="Arial" w:eastAsia="Arial" w:hAnsi="Arial"/>
          <w:sz w:val="16"/>
          <w:szCs w:val="16"/>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50" w:name="page151"/>
    <w:bookmarkEnd w:id="150"/>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11:- TAXES ON INCOME (Cont.)</w:t>
      </w:r>
    </w:p>
    <w:p>
      <w:pPr>
        <w:spacing w:after="0" w:line="208" w:lineRule="exact"/>
        <w:rPr>
          <w:sz w:val="20"/>
          <w:szCs w:val="20"/>
          <w:color w:val="auto"/>
        </w:rPr>
      </w:pPr>
    </w:p>
    <w:p>
      <w:pPr>
        <w:ind w:left="1840" w:right="619" w:hanging="342"/>
        <w:spacing w:after="0" w:line="267" w:lineRule="auto"/>
        <w:tabs>
          <w:tab w:leader="none" w:pos="183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52"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6"/>
              </w:rPr>
              <w:t>Year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5"/>
                <w:szCs w:val="15"/>
                <w:b w:val="1"/>
                <w:bCs w:val="1"/>
                <w:color w:val="auto"/>
                <w:w w:val="86"/>
              </w:rPr>
              <w:t>December 31,</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9"/>
              </w:rPr>
              <w:t>2013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3780" w:type="dxa"/>
            <w:vAlign w:val="bottom"/>
          </w:tcPr>
          <w:p>
            <w:pPr>
              <w:spacing w:after="0"/>
              <w:rPr>
                <w:sz w:val="20"/>
                <w:szCs w:val="20"/>
                <w:color w:val="auto"/>
              </w:rPr>
            </w:pPr>
            <w:r>
              <w:rPr>
                <w:rFonts w:ascii="Arial" w:cs="Arial" w:eastAsia="Arial" w:hAnsi="Arial"/>
                <w:sz w:val="16"/>
                <w:szCs w:val="16"/>
                <w:color w:val="auto"/>
              </w:rPr>
              <w:t>Income before taxes, as reported in the consolidated</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3,542</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2,527</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3,805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statements of income</w:t>
            </w:r>
          </w:p>
        </w:tc>
        <w:tc>
          <w:tcPr>
            <w:tcW w:w="2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color w:val="auto"/>
              </w:rPr>
              <w:t>Theoretical tax expense on the above amount at the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Israeli statutory tax rate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632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w w:val="95"/>
              </w:rPr>
              <w:t>Tax adjustment in respect of different tax rate of foreign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subsidiaries</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886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w w:val="90"/>
              </w:rPr>
              <w:t>Non-deductible expenses and other permanent differences</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Deferred taxes on losses and other temporary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differences for which valuation allowance was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provided, net</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1,691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w w:val="98"/>
              </w:rPr>
              <w:t>Stock compensation relating to stock options per ASC</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No. 718</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1,243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20"/>
                <w:szCs w:val="20"/>
                <w:color w:val="auto"/>
              </w:rPr>
            </w:pPr>
            <w:r>
              <w:rPr>
                <w:rFonts w:ascii="Arial" w:cs="Arial" w:eastAsia="Arial" w:hAnsi="Arial"/>
                <w:sz w:val="16"/>
                <w:szCs w:val="16"/>
                <w:color w:val="auto"/>
              </w:rPr>
              <w:t>Beneficiary enterprise benefits (*)</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(1,157)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Change in tax rate</w:t>
            </w:r>
          </w:p>
        </w:tc>
        <w:tc>
          <w:tcPr>
            <w:tcW w:w="240" w:type="dxa"/>
            <w:vAlign w:val="bottom"/>
          </w:tcPr>
          <w:p>
            <w:pPr>
              <w:spacing w:after="0"/>
              <w:rPr>
                <w:sz w:val="17"/>
                <w:szCs w:val="17"/>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(1,120</w:t>
            </w:r>
            <w:r>
              <w:rPr>
                <w:rFonts w:ascii="Arial" w:cs="Arial" w:eastAsia="Arial" w:hAnsi="Arial"/>
                <w:sz w:val="19"/>
                <w:szCs w:val="19"/>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Foreign exchange differences (**)</w:t>
            </w:r>
          </w:p>
        </w:tc>
        <w:tc>
          <w:tcPr>
            <w:tcW w:w="2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rPr>
              <w:t>Actual tax expense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1,228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1,393</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color w:val="auto"/>
              </w:rPr>
              <w:t>(*)  Basic earnings per share amounts of the benefit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80"/>
              <w:spacing w:after="0"/>
              <w:rPr>
                <w:sz w:val="20"/>
                <w:szCs w:val="20"/>
                <w:color w:val="auto"/>
              </w:rPr>
            </w:pPr>
            <w:r>
              <w:rPr>
                <w:rFonts w:ascii="Arial" w:cs="Arial" w:eastAsia="Arial" w:hAnsi="Arial"/>
                <w:sz w:val="16"/>
                <w:szCs w:val="16"/>
                <w:color w:val="auto"/>
              </w:rPr>
              <w:t>resulting from the “Beneficiary Enterprise” status</w:t>
            </w: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280"/>
              <w:spacing w:after="0"/>
              <w:rPr>
                <w:sz w:val="20"/>
                <w:szCs w:val="20"/>
                <w:color w:val="auto"/>
              </w:rPr>
            </w:pPr>
            <w:r>
              <w:rPr>
                <w:rFonts w:ascii="Arial" w:cs="Arial" w:eastAsia="Arial" w:hAnsi="Arial"/>
                <w:sz w:val="16"/>
                <w:szCs w:val="16"/>
                <w:color w:val="auto"/>
                <w:w w:val="99"/>
              </w:rPr>
              <w:t>Diluted earnings per share amounts of the benefit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80"/>
              <w:spacing w:after="0"/>
              <w:rPr>
                <w:sz w:val="20"/>
                <w:szCs w:val="20"/>
                <w:color w:val="auto"/>
              </w:rPr>
            </w:pPr>
            <w:r>
              <w:rPr>
                <w:rFonts w:ascii="Arial" w:cs="Arial" w:eastAsia="Arial" w:hAnsi="Arial"/>
                <w:sz w:val="16"/>
                <w:szCs w:val="16"/>
                <w:color w:val="auto"/>
              </w:rPr>
              <w:t>resulting from the “Beneficiary Enterprise” status</w:t>
            </w: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1840" w:right="599" w:hanging="342"/>
        <w:spacing w:after="0" w:line="277" w:lineRule="auto"/>
        <w:tabs>
          <w:tab w:leader="none" w:pos="1833" w:val="left"/>
        </w:tabs>
        <w:numPr>
          <w:ilvl w:val="0"/>
          <w:numId w:val="120"/>
        </w:numPr>
        <w:rPr>
          <w:rFonts w:ascii="Arial" w:cs="Arial" w:eastAsia="Arial" w:hAnsi="Arial"/>
          <w:sz w:val="15"/>
          <w:szCs w:val="15"/>
          <w:color w:val="auto"/>
        </w:rPr>
      </w:pPr>
      <w:r>
        <w:rPr>
          <w:rFonts w:ascii="Arial" w:cs="Arial" w:eastAsia="Arial" w:hAnsi="Arial"/>
          <w:sz w:val="15"/>
          <w:szCs w:val="15"/>
          <w:color w:val="auto"/>
        </w:rPr>
        <w:t>Results for tax purposes are measured under measurement of results for tax purposes under the Income Tax (Inflationary Adjustments) Law, 1985, in terms of earnings in NIS. As explained in Note 2b, the financial statements are measured in U.S. dollars. The difference between the annual change in the NIS/dollar exchange rate causes a difference between taxable income and the income before taxes shown in the financial statements. In accordance with ASC 740-10-25-3(F), the Company has not provided deferred income taxes in respect of the difference between the functional currency and the tax bases of assets and liabilities.</w:t>
      </w:r>
    </w:p>
    <w:p>
      <w:pPr>
        <w:spacing w:after="0" w:line="133" w:lineRule="exact"/>
        <w:rPr>
          <w:sz w:val="20"/>
          <w:szCs w:val="20"/>
          <w:color w:val="auto"/>
        </w:rPr>
      </w:pPr>
    </w:p>
    <w:p>
      <w:pPr>
        <w:ind w:left="1820" w:hanging="322"/>
        <w:spacing w:after="0"/>
        <w:tabs>
          <w:tab w:leader="none" w:pos="18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Income before income taxes is comprised as follows:</w:t>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Year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1"/>
        </w:trPr>
        <w:tc>
          <w:tcPr>
            <w:tcW w:w="3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86"/>
              </w:rPr>
              <w:t>December 31,</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2012</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9"/>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r>
      <w:tr>
        <w:trPr>
          <w:trHeight w:val="355"/>
        </w:trPr>
        <w:tc>
          <w:tcPr>
            <w:tcW w:w="3780" w:type="dxa"/>
            <w:vAlign w:val="bottom"/>
          </w:tcPr>
          <w:p>
            <w:pPr>
              <w:spacing w:after="0"/>
              <w:rPr>
                <w:sz w:val="20"/>
                <w:szCs w:val="20"/>
                <w:color w:val="auto"/>
              </w:rPr>
            </w:pPr>
            <w:r>
              <w:rPr>
                <w:rFonts w:ascii="Arial" w:cs="Arial" w:eastAsia="Arial" w:hAnsi="Arial"/>
                <w:sz w:val="16"/>
                <w:szCs w:val="16"/>
                <w:color w:val="auto"/>
              </w:rPr>
              <w:t>Domestic</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3,290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1,532</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2,212</w:t>
            </w:r>
          </w:p>
        </w:tc>
        <w:tc>
          <w:tcPr>
            <w:tcW w:w="160" w:type="dxa"/>
            <w:vAlign w:val="bottom"/>
          </w:tcPr>
          <w:p>
            <w:pPr>
              <w:spacing w:after="0"/>
              <w:rPr>
                <w:sz w:val="24"/>
                <w:szCs w:val="24"/>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Foreign</w:t>
            </w: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c>
          <w:tcPr>
            <w:tcW w:w="160" w:type="dxa"/>
            <w:vAlign w:val="bottom"/>
          </w:tcPr>
          <w:p>
            <w:pPr>
              <w:spacing w:after="0"/>
              <w:rPr>
                <w:sz w:val="17"/>
                <w:szCs w:val="17"/>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3,542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2,527</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3,805</w:t>
            </w:r>
          </w:p>
        </w:tc>
        <w:tc>
          <w:tcPr>
            <w:tcW w:w="16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w w:val="97"/>
              </w:rPr>
              <w:t>F-29</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280" w:right="1440" w:bottom="1440" w:gutter="0" w:footer="0" w:header="0"/>
        </w:sectPr>
      </w:pPr>
    </w:p>
    <w:bookmarkStart w:id="151" w:name="page152"/>
    <w:bookmarkEnd w:id="151"/>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12:- GEOGRAPHIC INFOROMATION</w:t>
      </w:r>
    </w:p>
    <w:p>
      <w:pPr>
        <w:spacing w:after="0" w:line="111" w:lineRule="exact"/>
        <w:rPr>
          <w:sz w:val="20"/>
          <w:szCs w:val="20"/>
          <w:color w:val="auto"/>
        </w:rPr>
      </w:pPr>
    </w:p>
    <w:p>
      <w:pPr>
        <w:ind w:left="1820" w:hanging="322"/>
        <w:spacing w:after="0"/>
        <w:tabs>
          <w:tab w:leader="none" w:pos="18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Summary information about geographic areas:</w:t>
      </w:r>
    </w:p>
    <w:p>
      <w:pPr>
        <w:spacing w:after="0" w:line="106" w:lineRule="exact"/>
        <w:rPr>
          <w:rFonts w:ascii="Arial" w:cs="Arial" w:eastAsia="Arial" w:hAnsi="Arial"/>
          <w:sz w:val="16"/>
          <w:szCs w:val="16"/>
          <w:color w:val="auto"/>
        </w:rPr>
      </w:pPr>
    </w:p>
    <w:p>
      <w:pPr>
        <w:ind w:left="1840" w:right="759"/>
        <w:spacing w:after="0" w:line="267" w:lineRule="auto"/>
        <w:rPr>
          <w:rFonts w:ascii="Arial" w:cs="Arial" w:eastAsia="Arial" w:hAnsi="Arial"/>
          <w:sz w:val="16"/>
          <w:szCs w:val="16"/>
          <w:color w:val="auto"/>
        </w:rPr>
      </w:pPr>
      <w:r>
        <w:rPr>
          <w:rFonts w:ascii="Arial" w:cs="Arial" w:eastAsia="Arial" w:hAnsi="Arial"/>
          <w:sz w:val="16"/>
          <w:szCs w:val="16"/>
          <w:color w:val="auto"/>
        </w:rPr>
        <w:t>The Company operates in one reportable segment (see Note 1 for a brief description of the Company’s business). The total revenues are attributed to geographic areas based on the location of the end-users.</w:t>
      </w:r>
    </w:p>
    <w:p>
      <w:pPr>
        <w:spacing w:after="0" w:line="136" w:lineRule="exact"/>
        <w:rPr>
          <w:rFonts w:ascii="Arial" w:cs="Arial" w:eastAsia="Arial" w:hAnsi="Arial"/>
          <w:sz w:val="16"/>
          <w:szCs w:val="16"/>
          <w:color w:val="auto"/>
        </w:rPr>
      </w:pPr>
    </w:p>
    <w:p>
      <w:pPr>
        <w:ind w:left="1840" w:right="779"/>
        <w:spacing w:after="0" w:line="281" w:lineRule="auto"/>
        <w:rPr>
          <w:rFonts w:ascii="Arial" w:cs="Arial" w:eastAsia="Arial" w:hAnsi="Arial"/>
          <w:sz w:val="16"/>
          <w:szCs w:val="16"/>
          <w:color w:val="auto"/>
        </w:rPr>
      </w:pPr>
      <w:r>
        <w:rPr>
          <w:rFonts w:ascii="Arial" w:cs="Arial" w:eastAsia="Arial" w:hAnsi="Arial"/>
          <w:sz w:val="16"/>
          <w:szCs w:val="16"/>
          <w:color w:val="auto"/>
        </w:rPr>
        <w:t>The following table presents total revenues for the years ended December 31, 2012, 2013 and 2014 and long-lived assets as of December 31, 2013 and 2014:</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6"/>
              </w:rPr>
              <w:t>Year ended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6"/>
              </w:rPr>
              <w:t>December 31,</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2013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r>
      <w:tr>
        <w:trPr>
          <w:trHeight w:val="367"/>
        </w:trPr>
        <w:tc>
          <w:tcPr>
            <w:tcW w:w="3780" w:type="dxa"/>
            <w:vAlign w:val="bottom"/>
          </w:tcPr>
          <w:p>
            <w:pPr>
              <w:spacing w:after="0"/>
              <w:rPr>
                <w:sz w:val="20"/>
                <w:szCs w:val="20"/>
                <w:color w:val="auto"/>
              </w:rPr>
            </w:pPr>
            <w:r>
              <w:rPr>
                <w:rFonts w:ascii="Arial" w:cs="Arial" w:eastAsia="Arial" w:hAnsi="Arial"/>
                <w:sz w:val="16"/>
                <w:szCs w:val="16"/>
                <w:color w:val="auto"/>
              </w:rPr>
              <w:t>Revenues from sales to customers located at: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6"/>
        </w:trPr>
        <w:tc>
          <w:tcPr>
            <w:tcW w:w="378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16,886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22,022</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33,188</w:t>
            </w: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America (non-U.S.)</w:t>
            </w: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5,230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5,732</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3,564</w:t>
            </w: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11,921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14,311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18,004</w:t>
            </w: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Asia Pacific – 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11,608</w:t>
            </w:r>
          </w:p>
        </w:tc>
      </w:tr>
      <w:tr>
        <w:trPr>
          <w:trHeight w:val="380"/>
        </w:trPr>
        <w:tc>
          <w:tcPr>
            <w:tcW w:w="3780" w:type="dxa"/>
            <w:vAlign w:val="bottom"/>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39,167</w:t>
            </w: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49,395</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66,364</w:t>
            </w: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37"/>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24"/>
                <w:szCs w:val="24"/>
                <w:color w:val="auto"/>
              </w:rPr>
            </w:pPr>
          </w:p>
        </w:tc>
      </w:tr>
      <w:tr>
        <w:trPr>
          <w:trHeight w:val="177"/>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2013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2014</w:t>
            </w:r>
          </w:p>
        </w:tc>
      </w:tr>
      <w:tr>
        <w:trPr>
          <w:trHeight w:val="367"/>
        </w:trPr>
        <w:tc>
          <w:tcPr>
            <w:tcW w:w="3780" w:type="dxa"/>
            <w:vAlign w:val="bottom"/>
          </w:tcPr>
          <w:p>
            <w:pPr>
              <w:spacing w:after="0"/>
              <w:rPr>
                <w:sz w:val="20"/>
                <w:szCs w:val="20"/>
                <w:color w:val="auto"/>
              </w:rPr>
            </w:pPr>
            <w:r>
              <w:rPr>
                <w:rFonts w:ascii="Arial" w:cs="Arial" w:eastAsia="Arial" w:hAnsi="Arial"/>
                <w:sz w:val="16"/>
                <w:szCs w:val="16"/>
                <w:color w:val="auto"/>
              </w:rPr>
              <w:t>Long-lived assets, by geographic region: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6"/>
        </w:trPr>
        <w:tc>
          <w:tcPr>
            <w:tcW w:w="378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217</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Israel</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2,181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2,961</w:t>
            </w:r>
          </w:p>
        </w:tc>
      </w:tr>
      <w:tr>
        <w:trPr>
          <w:trHeight w:val="194"/>
        </w:trPr>
        <w:tc>
          <w:tcPr>
            <w:tcW w:w="3780" w:type="dxa"/>
            <w:vAlign w:val="bottom"/>
          </w:tcPr>
          <w:p>
            <w:pPr>
              <w:ind w:left="200"/>
              <w:spacing w:after="0"/>
              <w:rPr>
                <w:sz w:val="20"/>
                <w:szCs w:val="20"/>
                <w:color w:val="auto"/>
              </w:rPr>
            </w:pPr>
            <w:r>
              <w:rPr>
                <w:rFonts w:ascii="Arial" w:cs="Arial" w:eastAsia="Arial" w:hAnsi="Arial"/>
                <w:sz w:val="16"/>
                <w:szCs w:val="16"/>
                <w:color w:val="auto"/>
              </w:rPr>
              <w:t>EMEA</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Asia Pacific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380"/>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2,653</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3,660</w:t>
            </w:r>
          </w:p>
        </w:tc>
      </w:tr>
      <w:tr>
        <w:trPr>
          <w:trHeight w:val="20"/>
        </w:trPr>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1800" w:hanging="302"/>
        <w:spacing w:after="0"/>
        <w:tabs>
          <w:tab w:leader="none" w:pos="18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Major Distributors data as a percentage of total revenues:</w:t>
      </w:r>
    </w:p>
    <w:p>
      <w:pPr>
        <w:spacing w:after="0" w:line="204" w:lineRule="exact"/>
        <w:rPr>
          <w:sz w:val="20"/>
          <w:szCs w:val="20"/>
          <w:color w:val="auto"/>
        </w:rPr>
      </w:pPr>
    </w:p>
    <w:p>
      <w:pPr>
        <w:ind w:left="1840" w:right="759"/>
        <w:spacing w:after="0" w:line="281" w:lineRule="auto"/>
        <w:rPr>
          <w:sz w:val="20"/>
          <w:szCs w:val="20"/>
          <w:color w:val="auto"/>
        </w:rPr>
      </w:pPr>
      <w:r>
        <w:rPr>
          <w:rFonts w:ascii="Arial" w:cs="Arial" w:eastAsia="Arial" w:hAnsi="Arial"/>
          <w:sz w:val="16"/>
          <w:szCs w:val="16"/>
          <w:color w:val="auto"/>
        </w:rPr>
        <w:t>The following table sets forth the Distributors that represented 10% or more of the Company’s total revenues in each of the periods set forth below.</w:t>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5"/>
          <w:szCs w:val="15"/>
          <w:b w:val="1"/>
          <w:bCs w:val="1"/>
          <w:color w:val="auto"/>
        </w:rPr>
        <w:t>Year ended</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5"/>
          <w:szCs w:val="15"/>
          <w:b w:val="1"/>
          <w:bCs w:val="1"/>
          <w:color w:val="auto"/>
        </w:rPr>
        <w:t>December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37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b w:val="1"/>
                <w:bCs w:val="1"/>
                <w:color w:val="auto"/>
              </w:rPr>
              <w:t>2012</w:t>
            </w:r>
          </w:p>
        </w:tc>
        <w:tc>
          <w:tcPr>
            <w:tcW w:w="3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2013</w:t>
            </w:r>
          </w:p>
        </w:tc>
        <w:tc>
          <w:tcPr>
            <w:tcW w:w="2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5"/>
                <w:szCs w:val="15"/>
                <w:color w:val="auto"/>
              </w:rPr>
            </w:pPr>
          </w:p>
        </w:tc>
      </w:tr>
      <w:tr>
        <w:trPr>
          <w:trHeight w:val="355"/>
        </w:trPr>
        <w:tc>
          <w:tcPr>
            <w:tcW w:w="4600" w:type="dxa"/>
            <w:vAlign w:val="bottom"/>
            <w:gridSpan w:val="2"/>
          </w:tcPr>
          <w:p>
            <w:pPr>
              <w:spacing w:after="0"/>
              <w:rPr>
                <w:sz w:val="20"/>
                <w:szCs w:val="20"/>
                <w:color w:val="auto"/>
              </w:rPr>
            </w:pPr>
            <w:r>
              <w:rPr>
                <w:rFonts w:ascii="Arial" w:cs="Arial" w:eastAsia="Arial" w:hAnsi="Arial"/>
                <w:sz w:val="16"/>
                <w:szCs w:val="16"/>
                <w:color w:val="auto"/>
              </w:rPr>
              <w:t>Customer A</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17%</w:t>
            </w:r>
          </w:p>
        </w:tc>
        <w:tc>
          <w:tcPr>
            <w:tcW w:w="82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20%</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206"/>
        </w:trPr>
        <w:tc>
          <w:tcPr>
            <w:tcW w:w="4600" w:type="dxa"/>
            <w:vAlign w:val="bottom"/>
            <w:gridSpan w:val="2"/>
          </w:tcPr>
          <w:p>
            <w:pPr>
              <w:spacing w:after="0"/>
              <w:rPr>
                <w:sz w:val="20"/>
                <w:szCs w:val="20"/>
                <w:color w:val="auto"/>
              </w:rPr>
            </w:pPr>
            <w:r>
              <w:rPr>
                <w:rFonts w:ascii="Arial" w:cs="Arial" w:eastAsia="Arial" w:hAnsi="Arial"/>
                <w:sz w:val="16"/>
                <w:szCs w:val="16"/>
                <w:color w:val="auto"/>
              </w:rPr>
              <w:t>Customer B</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8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55"/>
        </w:trPr>
        <w:tc>
          <w:tcPr>
            <w:tcW w:w="37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color w:val="auto"/>
                <w:w w:val="97"/>
              </w:rPr>
              <w:t>F-30</w:t>
            </w: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r>
    </w:tbl>
    <w:p>
      <w:pPr>
        <w:sectPr>
          <w:pgSz w:w="11900" w:h="16838" w:orient="portrait"/>
          <w:cols w:equalWidth="0" w:num="1">
            <w:col w:w="9019"/>
          </w:cols>
          <w:pgMar w:left="1440" w:top="280" w:right="1440" w:bottom="1440" w:gutter="0" w:footer="0" w:header="0"/>
        </w:sectPr>
      </w:pPr>
    </w:p>
    <w:bookmarkStart w:id="152" w:name="page153"/>
    <w:bookmarkEnd w:id="152"/>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13:- SELECTED STATEMENTS OF INCOME DATA</w:t>
      </w:r>
    </w:p>
    <w:p>
      <w:pPr>
        <w:spacing w:after="0" w:line="208" w:lineRule="exact"/>
        <w:rPr>
          <w:sz w:val="20"/>
          <w:szCs w:val="20"/>
          <w:color w:val="auto"/>
        </w:rPr>
      </w:pPr>
    </w:p>
    <w:p>
      <w:pPr>
        <w:ind w:left="1500"/>
        <w:spacing w:after="0"/>
        <w:tabs>
          <w:tab w:leader="none" w:pos="1800" w:val="left"/>
        </w:tabs>
        <w:rPr>
          <w:sz w:val="20"/>
          <w:szCs w:val="20"/>
          <w:color w:val="auto"/>
        </w:rPr>
      </w:pPr>
      <w:r>
        <w:rPr>
          <w:rFonts w:ascii="Arial" w:cs="Arial" w:eastAsia="Arial" w:hAnsi="Arial"/>
          <w:sz w:val="16"/>
          <w:szCs w:val="16"/>
          <w:color w:val="auto"/>
        </w:rPr>
        <w:t>a.</w:t>
        <w:tab/>
        <w:t>Financial income, net:</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6"/>
              </w:rPr>
              <w:t>Year ended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6"/>
              </w:rPr>
              <w:t>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9"/>
              </w:rPr>
              <w:t>2013</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2014</w:t>
            </w:r>
          </w:p>
        </w:tc>
        <w:tc>
          <w:tcPr>
            <w:tcW w:w="40" w:type="dxa"/>
            <w:vAlign w:val="bottom"/>
          </w:tcPr>
          <w:p>
            <w:pPr>
              <w:spacing w:after="0"/>
              <w:rPr>
                <w:sz w:val="15"/>
                <w:szCs w:val="15"/>
                <w:color w:val="auto"/>
              </w:rPr>
            </w:pPr>
          </w:p>
        </w:tc>
      </w:tr>
      <w:tr>
        <w:trPr>
          <w:trHeight w:val="367"/>
        </w:trPr>
        <w:tc>
          <w:tcPr>
            <w:tcW w:w="3780" w:type="dxa"/>
            <w:vAlign w:val="bottom"/>
          </w:tcPr>
          <w:p>
            <w:pPr>
              <w:spacing w:after="0"/>
              <w:rPr>
                <w:sz w:val="20"/>
                <w:szCs w:val="20"/>
                <w:color w:val="auto"/>
              </w:rPr>
            </w:pPr>
            <w:r>
              <w:rPr>
                <w:rFonts w:ascii="Arial" w:cs="Arial" w:eastAsia="Arial" w:hAnsi="Arial"/>
                <w:sz w:val="16"/>
                <w:szCs w:val="16"/>
                <w:color w:val="auto"/>
              </w:rPr>
              <w:t>Financial income: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6"/>
        </w:trPr>
        <w:tc>
          <w:tcPr>
            <w:tcW w:w="3780" w:type="dxa"/>
            <w:vAlign w:val="bottom"/>
          </w:tcPr>
          <w:p>
            <w:pPr>
              <w:ind w:left="200"/>
              <w:spacing w:after="0"/>
              <w:rPr>
                <w:sz w:val="20"/>
                <w:szCs w:val="20"/>
                <w:color w:val="auto"/>
              </w:rPr>
            </w:pPr>
            <w:r>
              <w:rPr>
                <w:rFonts w:ascii="Arial" w:cs="Arial" w:eastAsia="Arial" w:hAnsi="Arial"/>
                <w:sz w:val="16"/>
                <w:szCs w:val="16"/>
                <w:color w:val="auto"/>
              </w:rPr>
              <w:t>Interest on bank deposits and other</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24"/>
                <w:szCs w:val="24"/>
                <w:color w:val="auto"/>
              </w:rPr>
            </w:pP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Foreign currency translation differences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40" w:type="dxa"/>
            <w:vAlign w:val="bottom"/>
          </w:tcPr>
          <w:p>
            <w:pPr>
              <w:spacing w:after="0"/>
              <w:rPr>
                <w:sz w:val="17"/>
                <w:szCs w:val="17"/>
                <w:color w:val="auto"/>
              </w:rPr>
            </w:pPr>
          </w:p>
        </w:tc>
      </w:tr>
      <w:tr>
        <w:trPr>
          <w:trHeight w:val="379"/>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444</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819</w:t>
            </w:r>
          </w:p>
        </w:tc>
        <w:tc>
          <w:tcPr>
            <w:tcW w:w="40" w:type="dxa"/>
            <w:vAlign w:val="bottom"/>
          </w:tcPr>
          <w:p>
            <w:pPr>
              <w:spacing w:after="0"/>
              <w:rPr>
                <w:sz w:val="24"/>
                <w:szCs w:val="24"/>
                <w:color w:val="auto"/>
              </w:rPr>
            </w:pPr>
          </w:p>
        </w:tc>
      </w:tr>
      <w:tr>
        <w:trPr>
          <w:trHeight w:val="186"/>
        </w:trPr>
        <w:tc>
          <w:tcPr>
            <w:tcW w:w="3780" w:type="dxa"/>
            <w:vAlign w:val="bottom"/>
          </w:tcPr>
          <w:p>
            <w:pPr>
              <w:spacing w:after="0"/>
              <w:rPr>
                <w:sz w:val="20"/>
                <w:szCs w:val="20"/>
                <w:color w:val="auto"/>
              </w:rPr>
            </w:pPr>
            <w:r>
              <w:rPr>
                <w:rFonts w:ascii="Arial" w:cs="Arial" w:eastAsia="Arial" w:hAnsi="Arial"/>
                <w:sz w:val="16"/>
                <w:szCs w:val="16"/>
                <w:color w:val="auto"/>
              </w:rPr>
              <w:t>Financial expenses: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376"/>
        </w:trPr>
        <w:tc>
          <w:tcPr>
            <w:tcW w:w="3780" w:type="dxa"/>
            <w:vAlign w:val="bottom"/>
          </w:tcPr>
          <w:p>
            <w:pPr>
              <w:ind w:left="200"/>
              <w:spacing w:after="0"/>
              <w:rPr>
                <w:sz w:val="20"/>
                <w:szCs w:val="20"/>
                <w:color w:val="auto"/>
              </w:rPr>
            </w:pPr>
            <w:r>
              <w:rPr>
                <w:rFonts w:ascii="Arial" w:cs="Arial" w:eastAsia="Arial" w:hAnsi="Arial"/>
                <w:sz w:val="16"/>
                <w:szCs w:val="16"/>
                <w:color w:val="auto"/>
              </w:rPr>
              <w:t>Bank charges</w:t>
            </w:r>
          </w:p>
        </w:tc>
        <w:tc>
          <w:tcPr>
            <w:tcW w:w="2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(166)</w:t>
            </w:r>
          </w:p>
        </w:tc>
      </w:tr>
      <w:tr>
        <w:trPr>
          <w:trHeight w:val="206"/>
        </w:trPr>
        <w:tc>
          <w:tcPr>
            <w:tcW w:w="3780" w:type="dxa"/>
            <w:vAlign w:val="bottom"/>
          </w:tcPr>
          <w:p>
            <w:pPr>
              <w:ind w:left="200"/>
              <w:spacing w:after="0"/>
              <w:rPr>
                <w:sz w:val="20"/>
                <w:szCs w:val="20"/>
                <w:color w:val="auto"/>
              </w:rPr>
            </w:pPr>
            <w:r>
              <w:rPr>
                <w:rFonts w:ascii="Arial" w:cs="Arial" w:eastAsia="Arial" w:hAnsi="Arial"/>
                <w:sz w:val="16"/>
                <w:szCs w:val="16"/>
                <w:color w:val="auto"/>
              </w:rPr>
              <w:t>Foreign currency translation differences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(787)</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(668)</w:t>
            </w:r>
          </w:p>
        </w:tc>
      </w:tr>
      <w:tr>
        <w:trPr>
          <w:trHeight w:val="20"/>
        </w:trPr>
        <w:tc>
          <w:tcPr>
            <w:tcW w:w="3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6"/>
                <w:szCs w:val="16"/>
                <w:color w:val="auto"/>
              </w:rPr>
              <w:t>Total financial expenses: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460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14:- BALANCES AND TRANSACTIONS WITH RELATED PARTIES</w:t>
      </w:r>
    </w:p>
    <w:p>
      <w:pPr>
        <w:spacing w:after="0" w:line="159" w:lineRule="exact"/>
        <w:rPr>
          <w:sz w:val="20"/>
          <w:szCs w:val="20"/>
          <w:color w:val="auto"/>
        </w:rPr>
      </w:pPr>
    </w:p>
    <w:p>
      <w:pPr>
        <w:ind w:left="1500" w:right="599"/>
        <w:spacing w:after="0" w:line="285" w:lineRule="auto"/>
        <w:rPr>
          <w:sz w:val="20"/>
          <w:szCs w:val="20"/>
          <w:color w:val="auto"/>
        </w:rPr>
      </w:pPr>
      <w:r>
        <w:rPr>
          <w:rFonts w:ascii="Arial" w:cs="Arial" w:eastAsia="Arial" w:hAnsi="Arial"/>
          <w:sz w:val="15"/>
          <w:szCs w:val="15"/>
          <w:color w:val="auto"/>
        </w:rPr>
        <w:t>Our policy is to enter into transactions with related parties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6"/>
          <w:szCs w:val="16"/>
          <w:u w:val="single" w:color="auto"/>
          <w:color w:val="auto"/>
        </w:rPr>
        <w:t>Fortissimo</w:t>
      </w:r>
    </w:p>
    <w:p>
      <w:pPr>
        <w:spacing w:after="0" w:line="107" w:lineRule="exact"/>
        <w:rPr>
          <w:sz w:val="20"/>
          <w:szCs w:val="20"/>
          <w:color w:val="auto"/>
        </w:rPr>
      </w:pPr>
    </w:p>
    <w:p>
      <w:pPr>
        <w:ind w:left="1500" w:right="659"/>
        <w:spacing w:after="0" w:line="305" w:lineRule="auto"/>
        <w:rPr>
          <w:sz w:val="20"/>
          <w:szCs w:val="20"/>
          <w:color w:val="auto"/>
        </w:rPr>
      </w:pPr>
      <w:r>
        <w:rPr>
          <w:rFonts w:ascii="Arial" w:cs="Arial" w:eastAsia="Arial" w:hAnsi="Arial"/>
          <w:sz w:val="14"/>
          <w:szCs w:val="14"/>
          <w:color w:val="auto"/>
        </w:rPr>
        <w:t>Fortissimo is the controlling shareholder of the Company. Pursuant to a management fee agreement between the Company and Fortissimo, the Company is required to pay Fortissimo an annual fee of $120 plus an amount equal to 5% of the Company’s net income, as defined in the management services agreement, up to a maximum of $250 per year. During the years ended December 31, 2012, 2013 and 2014 the Company recorded an expense of $175, $120 and $160 respectively, in respect of payments to Fortissimo.</w:t>
      </w:r>
    </w:p>
    <w:p>
      <w:pPr>
        <w:spacing w:after="0" w:line="19" w:lineRule="exact"/>
        <w:rPr>
          <w:sz w:val="20"/>
          <w:szCs w:val="20"/>
          <w:color w:val="auto"/>
        </w:rPr>
      </w:pPr>
    </w:p>
    <w:p>
      <w:pPr>
        <w:ind w:left="1500" w:right="599"/>
        <w:spacing w:after="0" w:line="267" w:lineRule="auto"/>
        <w:rPr>
          <w:sz w:val="20"/>
          <w:szCs w:val="20"/>
          <w:color w:val="auto"/>
        </w:rPr>
      </w:pPr>
      <w:r>
        <w:rPr>
          <w:rFonts w:ascii="Arial" w:cs="Arial" w:eastAsia="Arial" w:hAnsi="Arial"/>
          <w:sz w:val="16"/>
          <w:szCs w:val="16"/>
          <w:color w:val="auto"/>
        </w:rPr>
        <w:t>The agreement may be terminated when our board of directors includes less than two directors appointed by Fortissimo, and the agreement terminates automatically in the event that Fortissimo holds less than 15% of our issued share capital.</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15:- SUBSEQUENT EVENT</w:t>
      </w:r>
    </w:p>
    <w:p>
      <w:pPr>
        <w:spacing w:after="0" w:line="135" w:lineRule="exact"/>
        <w:rPr>
          <w:sz w:val="20"/>
          <w:szCs w:val="20"/>
          <w:color w:val="auto"/>
        </w:rPr>
      </w:pPr>
    </w:p>
    <w:p>
      <w:pPr>
        <w:ind w:left="1500" w:right="579"/>
        <w:spacing w:after="0" w:line="258" w:lineRule="auto"/>
        <w:rPr>
          <w:sz w:val="20"/>
          <w:szCs w:val="20"/>
          <w:color w:val="auto"/>
        </w:rPr>
      </w:pPr>
      <w:r>
        <w:rPr>
          <w:rFonts w:ascii="Arial" w:cs="Arial" w:eastAsia="Arial" w:hAnsi="Arial"/>
          <w:sz w:val="16"/>
          <w:szCs w:val="16"/>
          <w:color w:val="auto"/>
        </w:rPr>
        <w:t>The Company evaluates events or transactions that occur after the balance sheet date but prior to the issuance of consolidated financial statements to identify matters that require additional disclosure. For its consolidated financial statements as of December 31, 2014 and for the year then ended, the Company evaluated subsequent events through March 18, 2015, the date that the consolidated financial statements were issued. Except as described below, the Company has concluded that no subsequent event has occurred that requires disclosure.</w:t>
      </w:r>
    </w:p>
    <w:p>
      <w:pPr>
        <w:spacing w:after="0" w:line="170" w:lineRule="exact"/>
        <w:rPr>
          <w:sz w:val="20"/>
          <w:szCs w:val="20"/>
          <w:color w:val="auto"/>
        </w:rPr>
      </w:pPr>
    </w:p>
    <w:p>
      <w:pPr>
        <w:ind w:left="1840" w:right="639" w:hanging="342"/>
        <w:spacing w:after="0" w:line="262" w:lineRule="auto"/>
        <w:tabs>
          <w:tab w:leader="none" w:pos="180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On January 5, 2015 the Company acquired patents and services from Polymeric Imaging Inc. an American ink developer and manufacturer for total purchase price of $2,000. $1,000 was paid upon closing and the remaining balance will be paid over a two year period after the acquisition as defined in the acquisition agreement.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53" w:name="page154"/>
    <w:bookmarkEnd w:id="153"/>
    <w:p>
      <w:pPr>
        <w:ind w:left="4800"/>
        <w:spacing w:after="0"/>
        <w:rPr>
          <w:sz w:val="20"/>
          <w:szCs w:val="20"/>
          <w:color w:val="auto"/>
        </w:rPr>
      </w:pPr>
      <w:r>
        <w:rPr>
          <w:rFonts w:ascii="Arial" w:cs="Arial" w:eastAsia="Arial" w:hAnsi="Arial"/>
          <w:sz w:val="16"/>
          <w:szCs w:val="16"/>
          <w:b w:val="1"/>
          <w:bCs w:val="1"/>
          <w:color w:val="auto"/>
        </w:rPr>
        <w:t>KORNIT DIGITAL LTD. AND ITS SUBSIDIARIES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-116205</wp:posOffset>
            </wp:positionV>
            <wp:extent cx="499935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NOTE 15:- SUBSEQUENT EVENT (Cont.)</w:t>
      </w:r>
    </w:p>
    <w:p>
      <w:pPr>
        <w:spacing w:after="0" w:line="135" w:lineRule="exact"/>
        <w:rPr>
          <w:sz w:val="20"/>
          <w:szCs w:val="20"/>
          <w:color w:val="auto"/>
        </w:rPr>
      </w:pPr>
    </w:p>
    <w:p>
      <w:pPr>
        <w:ind w:left="1840" w:right="599" w:hanging="23"/>
        <w:spacing w:after="0" w:line="267" w:lineRule="auto"/>
        <w:rPr>
          <w:sz w:val="20"/>
          <w:szCs w:val="20"/>
          <w:color w:val="auto"/>
        </w:rPr>
      </w:pPr>
      <w:r>
        <w:rPr>
          <w:rFonts w:ascii="Arial" w:cs="Arial" w:eastAsia="Arial" w:hAnsi="Arial"/>
          <w:sz w:val="16"/>
          <w:szCs w:val="16"/>
          <w:color w:val="auto"/>
        </w:rPr>
        <w:t>The acquisition will be accounted for as business combination under ASC 805, Business Combination. The final purchase price allocation for the acquisition has not been determined as of the filing of this report.</w:t>
      </w:r>
    </w:p>
    <w:p>
      <w:pPr>
        <w:spacing w:after="0" w:line="161" w:lineRule="exact"/>
        <w:rPr>
          <w:sz w:val="20"/>
          <w:szCs w:val="20"/>
          <w:color w:val="auto"/>
        </w:rPr>
      </w:pPr>
    </w:p>
    <w:p>
      <w:pPr>
        <w:ind w:left="1840" w:right="679" w:hanging="342"/>
        <w:spacing w:after="0" w:line="281" w:lineRule="auto"/>
        <w:tabs>
          <w:tab w:leader="none" w:pos="1799"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In February 2015, one of the Company’s distributors, which accounted for approximately 20% and 25% of the Company’s revenues in 2013 and 2014, respectively, received a letter from a third party alleging that the Company’s systems infringed on one of the third party’s patents. The letter included a copy of a complaint filed against the distributor with the U.S. District Court for the Middle District of Florida. The complaint had not been served as of the date of the letter.</w:t>
      </w:r>
    </w:p>
    <w:p>
      <w:pPr>
        <w:spacing w:after="0" w:line="153" w:lineRule="exact"/>
        <w:rPr>
          <w:sz w:val="20"/>
          <w:szCs w:val="20"/>
          <w:color w:val="auto"/>
        </w:rPr>
      </w:pPr>
    </w:p>
    <w:p>
      <w:pPr>
        <w:jc w:val="both"/>
        <w:ind w:left="1840" w:right="579" w:hanging="23"/>
        <w:spacing w:after="0" w:line="267" w:lineRule="auto"/>
        <w:rPr>
          <w:sz w:val="20"/>
          <w:szCs w:val="20"/>
          <w:color w:val="auto"/>
        </w:rPr>
      </w:pPr>
      <w:r>
        <w:rPr>
          <w:rFonts w:ascii="Arial" w:cs="Arial" w:eastAsia="Arial" w:hAnsi="Arial"/>
          <w:sz w:val="16"/>
          <w:szCs w:val="16"/>
          <w:color w:val="auto"/>
        </w:rPr>
        <w:t>The Company’s agreement with the distributor contains an undertaking by the Company to indemnify the distributor against claims by third parties alleging that the Company’s products infringe third party intellectual property rights.</w:t>
      </w:r>
    </w:p>
    <w:p>
      <w:pPr>
        <w:spacing w:after="0" w:line="161" w:lineRule="exact"/>
        <w:rPr>
          <w:sz w:val="20"/>
          <w:szCs w:val="20"/>
          <w:color w:val="auto"/>
        </w:rPr>
      </w:pPr>
    </w:p>
    <w:p>
      <w:pPr>
        <w:ind w:left="1840" w:right="579" w:hanging="23"/>
        <w:spacing w:after="0" w:line="259" w:lineRule="auto"/>
        <w:rPr>
          <w:sz w:val="20"/>
          <w:szCs w:val="20"/>
          <w:color w:val="auto"/>
        </w:rPr>
      </w:pPr>
      <w:r>
        <w:rPr>
          <w:rFonts w:ascii="Arial" w:cs="Arial" w:eastAsia="Arial" w:hAnsi="Arial"/>
          <w:sz w:val="16"/>
          <w:szCs w:val="16"/>
          <w:color w:val="auto"/>
        </w:rPr>
        <w:t>The Company cannot predict whether it will be subject to any claim or required to indemnify the distributor. The Company believes that there are valid defenses to the claim of infringement; however, given the inherent uncertainty involved in litigation, if the Company is subject to a claim or indemnification, it cannot provide any assurance that an adverse ruling or a negative outcome will not have a material adverse effect on the Company.</w:t>
      </w:r>
    </w:p>
    <w:p>
      <w:pPr>
        <w:spacing w:after="0" w:line="170" w:lineRule="exact"/>
        <w:rPr>
          <w:sz w:val="20"/>
          <w:szCs w:val="20"/>
          <w:color w:val="auto"/>
        </w:rPr>
      </w:pPr>
    </w:p>
    <w:p>
      <w:pPr>
        <w:ind w:left="1840" w:right="579" w:hanging="342"/>
        <w:spacing w:after="0" w:line="258" w:lineRule="auto"/>
        <w:tabs>
          <w:tab w:leader="none" w:pos="181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On March 17, 2015, the Company effected a 1-for-6.5531 share split by means of a share dividend of 5.5531 ordinary shares for each ordinary share then outstanding. As a result, the conversion rate for each preferred share and option was adjusted to reflect this share split. For accounting purposes, this transaction was recorded as a share split and accordingly (unless otherwise noted), all ordinary shares, options and loss per share amounts have been adjusted retroactively for all periods presented in these financial statements.</w:t>
      </w:r>
    </w:p>
    <w:p>
      <w:pPr>
        <w:spacing w:after="0" w:line="169" w:lineRule="exact"/>
        <w:rPr>
          <w:rFonts w:ascii="Arial" w:cs="Arial" w:eastAsia="Arial" w:hAnsi="Arial"/>
          <w:sz w:val="16"/>
          <w:szCs w:val="16"/>
          <w:color w:val="auto"/>
        </w:rPr>
      </w:pPr>
    </w:p>
    <w:p>
      <w:pPr>
        <w:ind w:left="1860" w:right="619" w:firstLine="9"/>
        <w:spacing w:after="0" w:line="292" w:lineRule="auto"/>
        <w:tabs>
          <w:tab w:leader="none" w:pos="2223" w:val="left"/>
        </w:tabs>
        <w:numPr>
          <w:ilvl w:val="1"/>
          <w:numId w:val="126"/>
        </w:numPr>
        <w:rPr>
          <w:rFonts w:ascii="Arial" w:cs="Arial" w:eastAsia="Arial" w:hAnsi="Arial"/>
          <w:sz w:val="14"/>
          <w:szCs w:val="14"/>
          <w:color w:val="auto"/>
        </w:rPr>
      </w:pPr>
      <w:r>
        <w:rPr>
          <w:rFonts w:ascii="Arial" w:cs="Arial" w:eastAsia="Arial" w:hAnsi="Arial"/>
          <w:sz w:val="14"/>
          <w:szCs w:val="14"/>
          <w:color w:val="auto"/>
        </w:rPr>
        <w:t>On March 17, 2015, the Shareholders approved (i) an amendment to the current Articles Of Association of the Company, by which the total authorized share capital was increased to 30,000,000 ordinary shares of NIS 0.01 each, and further approved (ii) subject to initial public offering of the Company's securities, the adoption of an amended and restated Article of Association, under which the authorized shares capital is divided into 200,000,000 ordinary shares of NIS 0.01 par value each.</w:t>
      </w:r>
    </w:p>
    <w:p>
      <w:pPr>
        <w:spacing w:after="0" w:line="1" w:lineRule="exact"/>
        <w:rPr>
          <w:rFonts w:ascii="Arial" w:cs="Arial" w:eastAsia="Arial" w:hAnsi="Arial"/>
          <w:sz w:val="14"/>
          <w:szCs w:val="14"/>
          <w:color w:val="auto"/>
        </w:rPr>
      </w:pPr>
    </w:p>
    <w:p>
      <w:pPr>
        <w:ind w:left="4480" w:hanging="97"/>
        <w:spacing w:after="0"/>
        <w:tabs>
          <w:tab w:leader="none" w:pos="448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 - - - - - - - - - - -</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88900</wp:posOffset>
            </wp:positionV>
            <wp:extent cx="5153025" cy="69221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53025" cy="6922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ind w:left="580" w:right="599" w:firstLine="194"/>
        <w:spacing w:after="0" w:line="2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1280795</wp:posOffset>
            </wp:positionH>
            <wp:positionV relativeFrom="page">
              <wp:posOffset>227330</wp:posOffset>
            </wp:positionV>
            <wp:extent cx="4999355" cy="22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99355" cy="22860"/>
                    </a:xfrm>
                    <a:prstGeom prst="rect">
                      <a:avLst/>
                    </a:prstGeom>
                    <a:noFill/>
                  </pic:spPr>
                </pic:pic>
              </a:graphicData>
            </a:graphic>
          </wp:anchor>
        </w:drawing>
        <w:t>Through and including , 2015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date of this prospectus), all dealers effecting transactions in the ordinary shares,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100"/>
        <w:spacing w:after="0"/>
        <w:rPr>
          <w:sz w:val="20"/>
          <w:szCs w:val="20"/>
          <w:color w:val="auto"/>
        </w:rPr>
      </w:pPr>
      <w:r>
        <w:rPr>
          <w:rFonts w:ascii="Arial" w:cs="Arial" w:eastAsia="Arial" w:hAnsi="Arial"/>
          <w:sz w:val="23"/>
          <w:szCs w:val="23"/>
          <w:b w:val="1"/>
          <w:bCs w:val="1"/>
          <w:color w:val="auto"/>
        </w:rPr>
        <w:t>7,100,000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114935</wp:posOffset>
            </wp:positionV>
            <wp:extent cx="2045970" cy="12693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4597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0"/>
        <w:spacing w:after="0"/>
        <w:rPr>
          <w:sz w:val="20"/>
          <w:szCs w:val="20"/>
          <w:color w:val="auto"/>
        </w:rPr>
      </w:pPr>
      <w:r>
        <w:rPr>
          <w:rFonts w:ascii="Arial" w:cs="Arial" w:eastAsia="Arial" w:hAnsi="Arial"/>
          <w:sz w:val="26"/>
          <w:szCs w:val="26"/>
          <w:b w:val="1"/>
          <w:bCs w:val="1"/>
          <w:color w:val="auto"/>
        </w:rPr>
        <w:t>Kornit Digital Ltd.</w:t>
      </w:r>
    </w:p>
    <w:p>
      <w:pPr>
        <w:spacing w:after="0" w:line="200" w:lineRule="exact"/>
        <w:rPr>
          <w:sz w:val="20"/>
          <w:szCs w:val="20"/>
          <w:color w:val="auto"/>
        </w:rPr>
      </w:pPr>
    </w:p>
    <w:p>
      <w:pPr>
        <w:spacing w:after="0" w:line="297" w:lineRule="exact"/>
        <w:rPr>
          <w:sz w:val="20"/>
          <w:szCs w:val="20"/>
          <w:color w:val="auto"/>
        </w:rPr>
      </w:pPr>
    </w:p>
    <w:p>
      <w:pPr>
        <w:jc w:val="center"/>
        <w:ind w:right="-200"/>
        <w:spacing w:after="0"/>
        <w:rPr>
          <w:sz w:val="20"/>
          <w:szCs w:val="20"/>
          <w:color w:val="auto"/>
        </w:rPr>
      </w:pPr>
      <w:r>
        <w:rPr>
          <w:rFonts w:ascii="Arial" w:cs="Arial" w:eastAsia="Arial" w:hAnsi="Arial"/>
          <w:sz w:val="23"/>
          <w:szCs w:val="23"/>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1099185</wp:posOffset>
            </wp:positionV>
            <wp:extent cx="100012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001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55245</wp:posOffset>
            </wp:positionV>
            <wp:extent cx="100012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001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377190</wp:posOffset>
            </wp:positionV>
            <wp:extent cx="4999355" cy="228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99355" cy="2286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730885</wp:posOffset>
            </wp:positionV>
            <wp:extent cx="499935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650"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b w:val="1"/>
          <w:bCs w:val="1"/>
          <w:color w:val="auto"/>
        </w:rPr>
        <w:t>PART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6. Indemnification of Directors, Officers and Employees.</w:t>
      </w:r>
    </w:p>
    <w:p>
      <w:pPr>
        <w:spacing w:after="0" w:line="208" w:lineRule="exact"/>
        <w:rPr>
          <w:sz w:val="20"/>
          <w:szCs w:val="20"/>
          <w:color w:val="auto"/>
        </w:rPr>
      </w:pPr>
    </w:p>
    <w:p>
      <w:pPr>
        <w:ind w:left="580" w:right="619" w:firstLine="194"/>
        <w:spacing w:after="0" w:line="278" w:lineRule="auto"/>
        <w:rPr>
          <w:sz w:val="20"/>
          <w:szCs w:val="20"/>
          <w:color w:val="auto"/>
        </w:rPr>
      </w:pPr>
      <w:r>
        <w:rPr>
          <w:rFonts w:ascii="Arial" w:cs="Arial" w:eastAsia="Arial" w:hAnsi="Arial"/>
          <w:sz w:val="15"/>
          <w:szCs w:val="15"/>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 company may not exculpate in advance a director from liability arising out of a prohibited dividend or distribution to shareholders.</w:t>
      </w:r>
    </w:p>
    <w:p>
      <w:pPr>
        <w:spacing w:after="0" w:line="158" w:lineRule="exact"/>
        <w:rPr>
          <w:sz w:val="20"/>
          <w:szCs w:val="20"/>
          <w:color w:val="auto"/>
        </w:rPr>
      </w:pPr>
    </w:p>
    <w:p>
      <w:pPr>
        <w:ind w:left="580" w:right="819" w:firstLine="194"/>
        <w:spacing w:after="0" w:line="262" w:lineRule="auto"/>
        <w:rPr>
          <w:sz w:val="20"/>
          <w:szCs w:val="20"/>
          <w:color w:val="auto"/>
        </w:rPr>
      </w:pPr>
      <w:r>
        <w:rPr>
          <w:rFonts w:ascii="Arial" w:cs="Arial" w:eastAsia="Arial" w:hAnsi="Arial"/>
          <w:sz w:val="16"/>
          <w:szCs w:val="16"/>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8" w:lineRule="exact"/>
        <w:rPr>
          <w:sz w:val="20"/>
          <w:szCs w:val="20"/>
          <w:color w:val="auto"/>
        </w:rPr>
      </w:pPr>
    </w:p>
    <w:p>
      <w:pPr>
        <w:ind w:left="960" w:right="639" w:hanging="189"/>
        <w:spacing w:after="0" w:line="268" w:lineRule="auto"/>
        <w:tabs>
          <w:tab w:leader="none" w:pos="943" w:val="left"/>
        </w:tabs>
        <w:numPr>
          <w:ilvl w:val="0"/>
          <w:numId w:val="127"/>
        </w:numPr>
        <w:rPr>
          <w:rFonts w:ascii="Arial" w:cs="Arial" w:eastAsia="Arial" w:hAnsi="Arial"/>
          <w:sz w:val="18"/>
          <w:szCs w:val="18"/>
          <w:color w:val="auto"/>
        </w:rPr>
      </w:pPr>
      <w:r>
        <w:rPr>
          <w:rFonts w:ascii="Arial" w:cs="Arial" w:eastAsia="Arial" w:hAnsi="Arial"/>
          <w:sz w:val="15"/>
          <w:szCs w:val="15"/>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4" w:lineRule="exact"/>
        <w:rPr>
          <w:rFonts w:ascii="Arial" w:cs="Arial" w:eastAsia="Arial" w:hAnsi="Arial"/>
          <w:sz w:val="18"/>
          <w:szCs w:val="18"/>
          <w:color w:val="auto"/>
        </w:rPr>
      </w:pPr>
    </w:p>
    <w:p>
      <w:pPr>
        <w:ind w:left="960" w:right="599" w:hanging="189"/>
        <w:spacing w:after="0" w:line="249" w:lineRule="auto"/>
        <w:tabs>
          <w:tab w:leader="none" w:pos="943" w:val="left"/>
        </w:tabs>
        <w:numPr>
          <w:ilvl w:val="0"/>
          <w:numId w:val="127"/>
        </w:numPr>
        <w:rPr>
          <w:rFonts w:ascii="Arial" w:cs="Arial" w:eastAsia="Arial" w:hAnsi="Arial"/>
          <w:sz w:val="19"/>
          <w:szCs w:val="19"/>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90" w:lineRule="exact"/>
        <w:rPr>
          <w:rFonts w:ascii="Arial" w:cs="Arial" w:eastAsia="Arial" w:hAnsi="Arial"/>
          <w:sz w:val="19"/>
          <w:szCs w:val="19"/>
          <w:color w:val="auto"/>
        </w:rPr>
      </w:pPr>
    </w:p>
    <w:p>
      <w:pPr>
        <w:ind w:left="960" w:right="659" w:hanging="189"/>
        <w:spacing w:after="0" w:line="246" w:lineRule="auto"/>
        <w:tabs>
          <w:tab w:leader="none" w:pos="933" w:val="left"/>
        </w:tabs>
        <w:numPr>
          <w:ilvl w:val="0"/>
          <w:numId w:val="127"/>
        </w:numPr>
        <w:rPr>
          <w:rFonts w:ascii="Arial" w:cs="Arial" w:eastAsia="Arial" w:hAnsi="Arial"/>
          <w:sz w:val="19"/>
          <w:szCs w:val="19"/>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79" w:lineRule="exact"/>
        <w:rPr>
          <w:sz w:val="20"/>
          <w:szCs w:val="20"/>
          <w:color w:val="auto"/>
        </w:rPr>
      </w:pPr>
    </w:p>
    <w:p>
      <w:pPr>
        <w:ind w:left="580" w:right="639" w:firstLine="194"/>
        <w:spacing w:after="0" w:line="355" w:lineRule="auto"/>
        <w:rPr>
          <w:sz w:val="20"/>
          <w:szCs w:val="20"/>
          <w:color w:val="auto"/>
        </w:rPr>
      </w:pPr>
      <w:r>
        <w:rPr>
          <w:rFonts w:ascii="Arial" w:cs="Arial" w:eastAsia="Arial" w:hAnsi="Arial"/>
          <w:sz w:val="14"/>
          <w:szCs w:val="14"/>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17" w:lineRule="exact"/>
        <w:rPr>
          <w:sz w:val="20"/>
          <w:szCs w:val="20"/>
          <w:color w:val="auto"/>
        </w:rPr>
      </w:pPr>
    </w:p>
    <w:p>
      <w:pPr>
        <w:ind w:left="960" w:right="1159" w:hanging="189"/>
        <w:spacing w:after="0" w:line="238" w:lineRule="auto"/>
        <w:tabs>
          <w:tab w:leader="none" w:pos="943" w:val="left"/>
        </w:tabs>
        <w:numPr>
          <w:ilvl w:val="0"/>
          <w:numId w:val="128"/>
        </w:numPr>
        <w:rPr>
          <w:rFonts w:ascii="Arial" w:cs="Arial" w:eastAsia="Arial" w:hAnsi="Arial"/>
          <w:sz w:val="19"/>
          <w:szCs w:val="19"/>
          <w:color w:val="auto"/>
        </w:rPr>
      </w:pPr>
      <w:r>
        <w:rPr>
          <w:rFonts w:ascii="Arial" w:cs="Arial" w:eastAsia="Arial" w:hAnsi="Arial"/>
          <w:sz w:val="16"/>
          <w:szCs w:val="16"/>
          <w:color w:val="auto"/>
        </w:rPr>
        <w:t>a breach of the duty of loyalty to the company, provided that the office holder acted in good faith and had a reasonable basis to believe that the act would not harm the company;</w:t>
      </w:r>
    </w:p>
    <w:p>
      <w:pPr>
        <w:spacing w:after="0" w:line="194" w:lineRule="exact"/>
        <w:rPr>
          <w:rFonts w:ascii="Arial" w:cs="Arial" w:eastAsia="Arial" w:hAnsi="Arial"/>
          <w:sz w:val="19"/>
          <w:szCs w:val="19"/>
          <w:color w:val="auto"/>
        </w:rPr>
      </w:pPr>
    </w:p>
    <w:p>
      <w:pPr>
        <w:ind w:left="960" w:right="839" w:hanging="189"/>
        <w:spacing w:after="0" w:line="238" w:lineRule="auto"/>
        <w:tabs>
          <w:tab w:leader="none" w:pos="943" w:val="left"/>
        </w:tabs>
        <w:numPr>
          <w:ilvl w:val="0"/>
          <w:numId w:val="128"/>
        </w:numPr>
        <w:rPr>
          <w:rFonts w:ascii="Arial" w:cs="Arial" w:eastAsia="Arial" w:hAnsi="Arial"/>
          <w:sz w:val="19"/>
          <w:szCs w:val="19"/>
          <w:color w:val="auto"/>
        </w:rPr>
      </w:pPr>
      <w:r>
        <w:rPr>
          <w:rFonts w:ascii="Arial" w:cs="Arial" w:eastAsia="Arial" w:hAnsi="Arial"/>
          <w:sz w:val="16"/>
          <w:szCs w:val="16"/>
          <w:color w:val="auto"/>
        </w:rPr>
        <w:t>a breach of duty of care to the company or to a third party, to the extent such a breach arises out of the negligent conduct of the office holder; and</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28"/>
        </w:numPr>
        <w:rPr>
          <w:rFonts w:ascii="Arial" w:cs="Arial" w:eastAsia="Arial" w:hAnsi="Arial"/>
          <w:sz w:val="19"/>
          <w:szCs w:val="19"/>
          <w:color w:val="auto"/>
        </w:rPr>
      </w:pPr>
      <w:r>
        <w:rPr>
          <w:rFonts w:ascii="Arial" w:cs="Arial" w:eastAsia="Arial" w:hAnsi="Arial"/>
          <w:sz w:val="16"/>
          <w:szCs w:val="16"/>
          <w:color w:val="auto"/>
        </w:rPr>
        <w:t>a financial liability imposed on the office holder in favor of a third party.</w:t>
      </w:r>
    </w:p>
    <w:p>
      <w:pPr>
        <w:spacing w:after="0" w:line="182" w:lineRule="exact"/>
        <w:rPr>
          <w:sz w:val="20"/>
          <w:szCs w:val="20"/>
          <w:color w:val="auto"/>
        </w:rPr>
      </w:pPr>
    </w:p>
    <w:p>
      <w:pPr>
        <w:ind w:left="580" w:right="719" w:firstLine="194"/>
        <w:spacing w:after="0" w:line="281" w:lineRule="auto"/>
        <w:rPr>
          <w:sz w:val="20"/>
          <w:szCs w:val="20"/>
          <w:color w:val="auto"/>
        </w:rPr>
      </w:pPr>
      <w:r>
        <w:rPr>
          <w:rFonts w:ascii="Arial" w:cs="Arial" w:eastAsia="Arial" w:hAnsi="Arial"/>
          <w:sz w:val="16"/>
          <w:szCs w:val="16"/>
          <w:color w:val="auto"/>
        </w:rPr>
        <w:t>Under the Israeli Companies Law, a company may not indemnify, exculpate or insure an office holder against any of the following:</w:t>
      </w:r>
    </w:p>
    <w:p>
      <w:pPr>
        <w:spacing w:after="0" w:line="163" w:lineRule="exact"/>
        <w:rPr>
          <w:sz w:val="20"/>
          <w:szCs w:val="20"/>
          <w:color w:val="auto"/>
        </w:rPr>
      </w:pPr>
    </w:p>
    <w:p>
      <w:pPr>
        <w:jc w:val="both"/>
        <w:ind w:left="960" w:right="799" w:hanging="189"/>
        <w:spacing w:after="0" w:line="244" w:lineRule="auto"/>
        <w:tabs>
          <w:tab w:leader="none" w:pos="943" w:val="left"/>
        </w:tabs>
        <w:numPr>
          <w:ilvl w:val="0"/>
          <w:numId w:val="129"/>
        </w:numPr>
        <w:rPr>
          <w:rFonts w:ascii="Arial" w:cs="Arial" w:eastAsia="Arial" w:hAnsi="Arial"/>
          <w:sz w:val="19"/>
          <w:szCs w:val="19"/>
          <w:color w:val="auto"/>
        </w:rPr>
      </w:pPr>
      <w:r>
        <w:rPr>
          <w:rFonts w:ascii="Arial" w:cs="Arial" w:eastAsia="Arial" w:hAnsi="Arial"/>
          <w:sz w:val="16"/>
          <w:szCs w:val="16"/>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91" w:lineRule="exact"/>
        <w:rPr>
          <w:rFonts w:ascii="Arial" w:cs="Arial" w:eastAsia="Arial" w:hAnsi="Arial"/>
          <w:sz w:val="19"/>
          <w:szCs w:val="19"/>
          <w:color w:val="auto"/>
        </w:rPr>
      </w:pPr>
    </w:p>
    <w:p>
      <w:pPr>
        <w:ind w:left="960" w:right="1019" w:hanging="189"/>
        <w:spacing w:after="0" w:line="238" w:lineRule="auto"/>
        <w:tabs>
          <w:tab w:leader="none" w:pos="943" w:val="left"/>
        </w:tabs>
        <w:numPr>
          <w:ilvl w:val="0"/>
          <w:numId w:val="129"/>
        </w:numPr>
        <w:rPr>
          <w:rFonts w:ascii="Arial" w:cs="Arial" w:eastAsia="Arial" w:hAnsi="Arial"/>
          <w:sz w:val="19"/>
          <w:szCs w:val="19"/>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7" w:name="page158"/>
    <w:bookmarkEnd w:id="157"/>
    <w:p>
      <w:pPr>
        <w:ind w:left="940" w:hanging="169"/>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6"/>
          <w:szCs w:val="16"/>
          <w:color w:val="auto"/>
        </w:rPr>
        <w:t>an act or omission committed with intent to derive illegal personal benefit; or</w:t>
      </w:r>
    </w:p>
    <w:p>
      <w:pPr>
        <w:spacing w:after="0" w:line="181" w:lineRule="exact"/>
        <w:rPr>
          <w:rFonts w:ascii="Arial" w:cs="Arial" w:eastAsia="Arial" w:hAnsi="Arial"/>
          <w:sz w:val="19"/>
          <w:szCs w:val="19"/>
          <w:color w:val="auto"/>
        </w:rPr>
      </w:pPr>
    </w:p>
    <w:p>
      <w:pPr>
        <w:ind w:left="940" w:hanging="169"/>
        <w:spacing w:after="0"/>
        <w:tabs>
          <w:tab w:leader="none" w:pos="940" w:val="left"/>
        </w:tabs>
        <w:numPr>
          <w:ilvl w:val="0"/>
          <w:numId w:val="130"/>
        </w:numPr>
        <w:rPr>
          <w:rFonts w:ascii="Arial" w:cs="Arial" w:eastAsia="Arial" w:hAnsi="Arial"/>
          <w:sz w:val="19"/>
          <w:szCs w:val="19"/>
          <w:color w:val="auto"/>
        </w:rPr>
      </w:pPr>
      <w:r>
        <w:rPr>
          <w:rFonts w:ascii="Arial" w:cs="Arial" w:eastAsia="Arial" w:hAnsi="Arial"/>
          <w:sz w:val="16"/>
          <w:szCs w:val="16"/>
          <w:color w:val="auto"/>
        </w:rPr>
        <w:t>a fine or forfeit levied against the office holder.</w:t>
      </w:r>
    </w:p>
    <w:p>
      <w:pPr>
        <w:spacing w:after="0" w:line="182" w:lineRule="exact"/>
        <w:rPr>
          <w:sz w:val="20"/>
          <w:szCs w:val="20"/>
          <w:color w:val="auto"/>
        </w:rPr>
      </w:pPr>
    </w:p>
    <w:p>
      <w:pPr>
        <w:ind w:left="580" w:right="599" w:firstLine="194"/>
        <w:spacing w:after="0" w:line="262" w:lineRule="auto"/>
        <w:rPr>
          <w:sz w:val="20"/>
          <w:szCs w:val="20"/>
          <w:color w:val="auto"/>
        </w:rPr>
      </w:pPr>
      <w:r>
        <w:rPr>
          <w:rFonts w:ascii="Arial" w:cs="Arial" w:eastAsia="Arial" w:hAnsi="Arial"/>
          <w:sz w:val="16"/>
          <w:szCs w:val="16"/>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166" w:lineRule="exact"/>
        <w:rPr>
          <w:sz w:val="20"/>
          <w:szCs w:val="20"/>
          <w:color w:val="auto"/>
        </w:rPr>
      </w:pPr>
    </w:p>
    <w:p>
      <w:pPr>
        <w:ind w:left="580" w:right="919" w:firstLine="194"/>
        <w:spacing w:after="0" w:line="267" w:lineRule="auto"/>
        <w:rPr>
          <w:sz w:val="20"/>
          <w:szCs w:val="20"/>
          <w:color w:val="auto"/>
        </w:rPr>
      </w:pPr>
      <w:r>
        <w:rPr>
          <w:rFonts w:ascii="Arial" w:cs="Arial" w:eastAsia="Arial" w:hAnsi="Arial"/>
          <w:sz w:val="16"/>
          <w:szCs w:val="16"/>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61" w:lineRule="exact"/>
        <w:rPr>
          <w:sz w:val="20"/>
          <w:szCs w:val="20"/>
          <w:color w:val="auto"/>
        </w:rPr>
      </w:pPr>
    </w:p>
    <w:p>
      <w:pPr>
        <w:ind w:left="580" w:right="579" w:firstLine="194"/>
        <w:spacing w:after="0" w:line="277" w:lineRule="auto"/>
        <w:rPr>
          <w:sz w:val="20"/>
          <w:szCs w:val="20"/>
          <w:color w:val="auto"/>
        </w:rPr>
      </w:pPr>
      <w:r>
        <w:rPr>
          <w:rFonts w:ascii="Arial" w:cs="Arial" w:eastAsia="Arial" w:hAnsi="Arial"/>
          <w:sz w:val="15"/>
          <w:szCs w:val="15"/>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completion of this offering and the Israeli Companies Law, including with respect to liabilities resulting from this offering to the extent that these liabilities are not covered by insurance.</w:t>
      </w:r>
    </w:p>
    <w:p>
      <w:pPr>
        <w:spacing w:after="0" w:line="157" w:lineRule="exact"/>
        <w:rPr>
          <w:sz w:val="20"/>
          <w:szCs w:val="20"/>
          <w:color w:val="auto"/>
        </w:rPr>
      </w:pPr>
    </w:p>
    <w:p>
      <w:pPr>
        <w:ind w:left="580" w:right="819" w:firstLine="194"/>
        <w:spacing w:after="0" w:line="262" w:lineRule="auto"/>
        <w:rPr>
          <w:sz w:val="20"/>
          <w:szCs w:val="20"/>
          <w:color w:val="auto"/>
        </w:rPr>
      </w:pPr>
      <w:r>
        <w:rPr>
          <w:rFonts w:ascii="Arial" w:cs="Arial" w:eastAsia="Arial" w:hAnsi="Arial"/>
          <w:sz w:val="16"/>
          <w:szCs w:val="16"/>
          <w:color w:val="auto"/>
        </w:rPr>
        <w:t>Insofar as the indemnification for liabilities arising under the Securities Act of 1933, as amended, or the Securities Act, may be permitted to directors, officers or persons controlling the registrant, we have been informed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7. Recent Sales of Unregistered Securities.</w:t>
      </w:r>
    </w:p>
    <w:p>
      <w:pPr>
        <w:spacing w:after="0" w:line="208" w:lineRule="exact"/>
        <w:rPr>
          <w:sz w:val="20"/>
          <w:szCs w:val="20"/>
          <w:color w:val="auto"/>
        </w:rPr>
      </w:pPr>
    </w:p>
    <w:p>
      <w:pPr>
        <w:ind w:left="580" w:right="799" w:firstLine="194"/>
        <w:spacing w:after="0" w:line="355" w:lineRule="auto"/>
        <w:rPr>
          <w:sz w:val="20"/>
          <w:szCs w:val="20"/>
          <w:color w:val="auto"/>
        </w:rPr>
      </w:pPr>
      <w:r>
        <w:rPr>
          <w:rFonts w:ascii="Arial" w:cs="Arial" w:eastAsia="Arial" w:hAnsi="Arial"/>
          <w:sz w:val="14"/>
          <w:szCs w:val="14"/>
          <w:color w:val="auto"/>
        </w:rPr>
        <w:t>Set forth below are the sales of all securities of the registrant sold by the registrant within the past three years (i.e., since January 1, 2012, up to the date of this registration statement) which were not registered under the Securities Act:</w:t>
      </w:r>
    </w:p>
    <w:p>
      <w:pPr>
        <w:spacing w:after="0" w:line="117" w:lineRule="exact"/>
        <w:rPr>
          <w:sz w:val="20"/>
          <w:szCs w:val="20"/>
          <w:color w:val="auto"/>
        </w:rPr>
      </w:pPr>
    </w:p>
    <w:p>
      <w:pPr>
        <w:ind w:left="960" w:right="619" w:hanging="189"/>
        <w:spacing w:after="0" w:line="246" w:lineRule="auto"/>
        <w:tabs>
          <w:tab w:leader="none" w:pos="937" w:val="left"/>
        </w:tabs>
        <w:numPr>
          <w:ilvl w:val="0"/>
          <w:numId w:val="131"/>
        </w:numPr>
        <w:rPr>
          <w:rFonts w:ascii="Arial" w:cs="Arial" w:eastAsia="Arial" w:hAnsi="Arial"/>
          <w:sz w:val="19"/>
          <w:szCs w:val="19"/>
          <w:color w:val="auto"/>
        </w:rPr>
      </w:pPr>
      <w:r>
        <w:rPr>
          <w:rFonts w:ascii="Arial" w:cs="Arial" w:eastAsia="Arial" w:hAnsi="Arial"/>
          <w:sz w:val="16"/>
          <w:szCs w:val="16"/>
          <w:color w:val="auto"/>
        </w:rPr>
        <w:t>We granted share options to employees, directors and consultants under our 2015 Plan, 2012 Plan and 2004 Plan covering an aggregate of 1,977,879 ordinary shares, with exercise prices ranging from $0.36 to $2.17 per share. As of the date of this registration statement, 52,425 of these options have been forfeited and cancelled without being exercised.</w:t>
      </w:r>
    </w:p>
    <w:p>
      <w:pPr>
        <w:spacing w:after="0" w:line="179" w:lineRule="exact"/>
        <w:rPr>
          <w:sz w:val="20"/>
          <w:szCs w:val="20"/>
          <w:color w:val="auto"/>
        </w:rPr>
      </w:pPr>
    </w:p>
    <w:p>
      <w:pPr>
        <w:ind w:left="580" w:right="759" w:firstLine="194"/>
        <w:spacing w:after="0" w:line="267" w:lineRule="auto"/>
        <w:rPr>
          <w:sz w:val="20"/>
          <w:szCs w:val="20"/>
          <w:color w:val="auto"/>
        </w:rPr>
      </w:pPr>
      <w:r>
        <w:rPr>
          <w:rFonts w:ascii="Arial" w:cs="Arial" w:eastAsia="Arial" w:hAnsi="Arial"/>
          <w:sz w:val="16"/>
          <w:szCs w:val="16"/>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No underwriters were employed in connection with the securities issuances set forth in this Item 7.</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8. Exhibits and Financial Statement Schedules.</w:t>
      </w:r>
    </w:p>
    <w:p>
      <w:pPr>
        <w:spacing w:after="0" w:line="208" w:lineRule="exact"/>
        <w:rPr>
          <w:sz w:val="20"/>
          <w:szCs w:val="20"/>
          <w:color w:val="auto"/>
        </w:rPr>
      </w:pPr>
    </w:p>
    <w:p>
      <w:pPr>
        <w:ind w:left="1100" w:hanging="329"/>
        <w:spacing w:after="0"/>
        <w:tabs>
          <w:tab w:leader="none" w:pos="11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Exhibit Index is hereby incorporated herein by reference.</w:t>
      </w:r>
    </w:p>
    <w:p>
      <w:pPr>
        <w:spacing w:after="0" w:line="21" w:lineRule="exact"/>
        <w:rPr>
          <w:rFonts w:ascii="Arial" w:cs="Arial" w:eastAsia="Arial" w:hAnsi="Arial"/>
          <w:sz w:val="16"/>
          <w:szCs w:val="16"/>
          <w:color w:val="auto"/>
        </w:rPr>
      </w:pPr>
    </w:p>
    <w:p>
      <w:pPr>
        <w:ind w:left="1120" w:hanging="349"/>
        <w:spacing w:after="0"/>
        <w:tabs>
          <w:tab w:leader="none" w:pos="11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92" w:lineRule="exact"/>
        <w:rPr>
          <w:sz w:val="20"/>
          <w:szCs w:val="20"/>
          <w:color w:val="auto"/>
        </w:rPr>
      </w:pPr>
    </w:p>
    <w:p>
      <w:pPr>
        <w:ind w:left="580" w:right="599" w:firstLine="194"/>
        <w:spacing w:after="0" w:line="267" w:lineRule="auto"/>
        <w:rPr>
          <w:sz w:val="20"/>
          <w:szCs w:val="20"/>
          <w:color w:val="auto"/>
        </w:rPr>
      </w:pPr>
      <w:r>
        <w:rPr>
          <w:rFonts w:ascii="Arial" w:cs="Arial" w:eastAsia="Arial" w:hAnsi="Arial"/>
          <w:sz w:val="16"/>
          <w:szCs w:val="16"/>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 9. Undertakings.</w:t>
      </w:r>
    </w:p>
    <w:p>
      <w:pPr>
        <w:spacing w:after="0" w:line="208" w:lineRule="exact"/>
        <w:rPr>
          <w:sz w:val="20"/>
          <w:szCs w:val="20"/>
          <w:color w:val="auto"/>
        </w:rPr>
      </w:pPr>
    </w:p>
    <w:p>
      <w:pPr>
        <w:jc w:val="both"/>
        <w:ind w:left="580" w:right="739" w:firstLine="194"/>
        <w:spacing w:after="0" w:line="259"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58" w:name="page159"/>
    <w:bookmarkEnd w:id="158"/>
    <w:p>
      <w:pPr>
        <w:ind w:left="580" w:right="599"/>
        <w:spacing w:after="0" w:line="258" w:lineRule="auto"/>
        <w:rPr>
          <w:sz w:val="20"/>
          <w:szCs w:val="20"/>
          <w:color w:val="auto"/>
        </w:rPr>
      </w:pPr>
      <w:r>
        <w:rPr>
          <w:rFonts w:ascii="Arial" w:cs="Arial" w:eastAsia="Arial" w:hAnsi="Arial"/>
          <w:sz w:val="16"/>
          <w:szCs w:val="16"/>
          <w:color w:val="auto"/>
        </w:rPr>
        <w:t>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undersigned Registrant hereby undertakes:</w:t>
      </w:r>
    </w:p>
    <w:p>
      <w:pPr>
        <w:spacing w:after="0" w:line="204" w:lineRule="exact"/>
        <w:rPr>
          <w:sz w:val="20"/>
          <w:szCs w:val="20"/>
          <w:color w:val="auto"/>
        </w:rPr>
      </w:pPr>
    </w:p>
    <w:p>
      <w:pPr>
        <w:ind w:left="960" w:right="939" w:hanging="189"/>
        <w:spacing w:after="0" w:line="267" w:lineRule="auto"/>
        <w:tabs>
          <w:tab w:leader="none" w:pos="9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161" w:lineRule="exact"/>
        <w:rPr>
          <w:rFonts w:ascii="Arial" w:cs="Arial" w:eastAsia="Arial" w:hAnsi="Arial"/>
          <w:sz w:val="16"/>
          <w:szCs w:val="16"/>
          <w:color w:val="auto"/>
        </w:rPr>
      </w:pPr>
    </w:p>
    <w:p>
      <w:pPr>
        <w:ind w:left="960" w:right="779" w:hanging="189"/>
        <w:spacing w:after="0" w:line="285" w:lineRule="auto"/>
        <w:tabs>
          <w:tab w:leader="none" w:pos="962"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9" w:lineRule="exact"/>
        <w:rPr>
          <w:rFonts w:ascii="Arial" w:cs="Arial" w:eastAsia="Arial" w:hAnsi="Arial"/>
          <w:sz w:val="15"/>
          <w:szCs w:val="15"/>
          <w:color w:val="auto"/>
        </w:rPr>
      </w:pPr>
    </w:p>
    <w:p>
      <w:pPr>
        <w:ind w:left="960" w:right="699" w:hanging="189"/>
        <w:spacing w:after="0" w:line="322" w:lineRule="auto"/>
        <w:tabs>
          <w:tab w:leader="none" w:pos="962"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499935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b w:val="1"/>
          <w:bCs w:val="1"/>
          <w:color w:val="auto"/>
        </w:rPr>
        <w:t>SIGNATURES</w:t>
      </w:r>
    </w:p>
    <w:p>
      <w:pPr>
        <w:spacing w:after="0" w:line="208" w:lineRule="exact"/>
        <w:rPr>
          <w:sz w:val="20"/>
          <w:szCs w:val="20"/>
          <w:color w:val="auto"/>
        </w:rPr>
      </w:pPr>
    </w:p>
    <w:p>
      <w:pPr>
        <w:ind w:left="580" w:right="679" w:firstLine="194"/>
        <w:spacing w:after="0" w:line="308" w:lineRule="auto"/>
        <w:rPr>
          <w:sz w:val="20"/>
          <w:szCs w:val="20"/>
          <w:color w:val="auto"/>
        </w:rPr>
      </w:pPr>
      <w:r>
        <w:rPr>
          <w:rFonts w:ascii="Arial" w:cs="Arial" w:eastAsia="Arial" w:hAnsi="Arial"/>
          <w:sz w:val="14"/>
          <w:szCs w:val="14"/>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ind w:left="580" w:right="739"/>
        <w:spacing w:after="0" w:line="215" w:lineRule="auto"/>
        <w:rPr>
          <w:sz w:val="20"/>
          <w:szCs w:val="20"/>
          <w:color w:val="auto"/>
        </w:rPr>
      </w:pPr>
      <w:r>
        <w:rPr>
          <w:rFonts w:ascii="Arial" w:cs="Arial" w:eastAsia="Arial" w:hAnsi="Arial"/>
          <w:sz w:val="16"/>
          <w:szCs w:val="16"/>
          <w:color w:val="auto"/>
        </w:rPr>
        <w:t>signed on its behalf by the undersigned, thereunto duly authorized, in Rosh Ha-Ayin, Israel on this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March, 2015.</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KORNIT DIGITAL LTD.</w:t>
      </w:r>
    </w:p>
    <w:p>
      <w:pPr>
        <w:spacing w:after="0" w:line="208"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6"/>
          <w:szCs w:val="16"/>
          <w:color w:val="auto"/>
        </w:rPr>
        <w:t>By:</w:t>
        <w:tab/>
        <w:t>/s/ Gabi Seligsohn</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-116205</wp:posOffset>
            </wp:positionV>
            <wp:extent cx="192278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22780" cy="7620"/>
                    </a:xfrm>
                    <a:prstGeom prst="rect">
                      <a:avLst/>
                    </a:prstGeom>
                    <a:noFill/>
                  </pic:spPr>
                </pic:pic>
              </a:graphicData>
            </a:graphic>
          </wp:anchor>
        </w:drawing>
      </w:r>
    </w:p>
    <w:p>
      <w:pPr>
        <w:spacing w:after="0" w:line="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Chief Executive Officer and Director</w:t>
      </w:r>
    </w:p>
    <w:p>
      <w:pPr>
        <w:spacing w:after="0" w:line="167" w:lineRule="exact"/>
        <w:rPr>
          <w:sz w:val="20"/>
          <w:szCs w:val="20"/>
          <w:color w:val="auto"/>
        </w:rPr>
      </w:pPr>
    </w:p>
    <w:p>
      <w:pPr>
        <w:ind w:left="580" w:right="759" w:firstLine="194"/>
        <w:spacing w:after="0" w:line="281"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 March 18, 2015 in the capacities indicated:</w:t>
      </w:r>
    </w:p>
    <w:p>
      <w:pPr>
        <w:sectPr>
          <w:pgSz w:w="11900" w:h="16838" w:orient="portrait"/>
          <w:cols w:equalWidth="0" w:num="1">
            <w:col w:w="9019"/>
          </w:cols>
          <w:pgMar w:left="1440" w:top="123" w:right="1440" w:bottom="1440" w:gutter="0" w:footer="0" w:header="0"/>
        </w:sectPr>
      </w:pPr>
    </w:p>
    <w:p>
      <w:pPr>
        <w:spacing w:after="0" w:line="151" w:lineRule="exact"/>
        <w:rPr>
          <w:sz w:val="20"/>
          <w:szCs w:val="20"/>
          <w:color w:val="auto"/>
        </w:rPr>
      </w:pPr>
    </w:p>
    <w:p>
      <w:pPr>
        <w:jc w:val="center"/>
        <w:ind w:left="1020"/>
        <w:spacing w:after="0"/>
        <w:rPr>
          <w:sz w:val="20"/>
          <w:szCs w:val="20"/>
          <w:color w:val="auto"/>
        </w:rPr>
      </w:pPr>
      <w:r>
        <w:rPr>
          <w:rFonts w:ascii="Arial" w:cs="Arial" w:eastAsia="Arial" w:hAnsi="Arial"/>
          <w:sz w:val="13"/>
          <w:szCs w:val="13"/>
          <w:b w:val="1"/>
          <w:bCs w:val="1"/>
          <w:color w:val="auto"/>
        </w:rPr>
        <w:t>Signature 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36195</wp:posOffset>
            </wp:positionV>
            <wp:extent cx="11150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222"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10795</wp:posOffset>
            </wp:positionV>
            <wp:extent cx="111506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Gabi Seligsohn</w:t>
      </w:r>
    </w:p>
    <w:p>
      <w:pPr>
        <w:spacing w:after="0" w:line="11"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1506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jc w:val="center"/>
        <w:ind w:left="1020"/>
        <w:spacing w:after="0"/>
        <w:rPr>
          <w:sz w:val="20"/>
          <w:szCs w:val="20"/>
          <w:color w:val="auto"/>
        </w:rPr>
      </w:pPr>
      <w:r>
        <w:rPr>
          <w:rFonts w:ascii="Arial" w:cs="Arial" w:eastAsia="Arial" w:hAnsi="Arial"/>
          <w:sz w:val="15"/>
          <w:szCs w:val="15"/>
          <w:color w:val="auto"/>
        </w:rPr>
        <w:t>Guy Avidan</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10795</wp:posOffset>
            </wp:positionV>
            <wp:extent cx="111506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Yuval Cohen</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1506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Ofer Ben-Zur</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1506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5"/>
          <w:szCs w:val="15"/>
          <w:color w:val="auto"/>
        </w:rPr>
        <w:t>Eli Blatt</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1506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color w:val="auto"/>
        </w:rPr>
        <w:t>Lauri Hanover</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1506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5"/>
          <w:szCs w:val="15"/>
          <w:color w:val="auto"/>
        </w:rPr>
        <w:t>Marc Lesnick</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1506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5"/>
          <w:szCs w:val="15"/>
          <w:color w:val="auto"/>
        </w:rPr>
        <w:t>Alon Lumbroso</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1506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Jerry Mandel</w:t>
      </w:r>
    </w:p>
    <w:p>
      <w:pPr>
        <w:spacing w:after="0" w:line="11" w:lineRule="exact"/>
        <w:rPr>
          <w:sz w:val="20"/>
          <w:szCs w:val="20"/>
          <w:color w:val="auto"/>
        </w:rPr>
      </w:pPr>
    </w:p>
    <w:p>
      <w:pPr>
        <w:jc w:val="center"/>
        <w:ind w:left="10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10160</wp:posOffset>
            </wp:positionV>
            <wp:extent cx="111506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jc w:val="center"/>
        <w:ind w:left="1020"/>
        <w:spacing w:after="0"/>
        <w:rPr>
          <w:sz w:val="20"/>
          <w:szCs w:val="20"/>
          <w:color w:val="auto"/>
        </w:rPr>
      </w:pPr>
      <w:r>
        <w:rPr>
          <w:rFonts w:ascii="Arial" w:cs="Arial" w:eastAsia="Arial" w:hAnsi="Arial"/>
          <w:sz w:val="15"/>
          <w:szCs w:val="15"/>
          <w:color w:val="auto"/>
        </w:rPr>
        <w:t>Dov Ofer</w:t>
      </w:r>
    </w:p>
    <w:p>
      <w:pPr>
        <w:spacing w:after="0" w:line="191" w:lineRule="exact"/>
        <w:rPr>
          <w:sz w:val="20"/>
          <w:szCs w:val="20"/>
          <w:color w:val="auto"/>
        </w:rPr>
      </w:pPr>
    </w:p>
    <w:p>
      <w:pPr>
        <w:jc w:val="center"/>
        <w:ind w:left="1020"/>
        <w:spacing w:after="0"/>
        <w:rPr>
          <w:sz w:val="20"/>
          <w:szCs w:val="20"/>
          <w:color w:val="auto"/>
        </w:rPr>
      </w:pPr>
      <w:r>
        <w:rPr>
          <w:rFonts w:ascii="Arial" w:cs="Arial" w:eastAsia="Arial" w:hAnsi="Arial"/>
          <w:sz w:val="13"/>
          <w:szCs w:val="13"/>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25400</wp:posOffset>
            </wp:positionV>
            <wp:extent cx="111506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Gabi Seligsohn</w:t>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5"/>
                <w:szCs w:val="15"/>
                <w:b w:val="1"/>
                <w:bCs w:val="1"/>
                <w:color w:val="auto"/>
              </w:rPr>
              <w:t>Title</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0" w:type="dxa"/>
            <w:vAlign w:val="bottom"/>
          </w:tcPr>
          <w:p>
            <w:pPr>
              <w:spacing w:after="0"/>
              <w:rPr>
                <w:sz w:val="1"/>
                <w:szCs w:val="1"/>
                <w:color w:val="auto"/>
              </w:rPr>
            </w:pPr>
          </w:p>
        </w:tc>
      </w:tr>
      <w:tr>
        <w:trPr>
          <w:trHeight w:val="539"/>
        </w:trPr>
        <w:tc>
          <w:tcPr>
            <w:tcW w:w="4740" w:type="dxa"/>
            <w:vAlign w:val="bottom"/>
            <w:gridSpan w:val="2"/>
          </w:tcPr>
          <w:p>
            <w:pPr>
              <w:spacing w:after="0"/>
              <w:rPr>
                <w:sz w:val="20"/>
                <w:szCs w:val="20"/>
                <w:color w:val="auto"/>
              </w:rPr>
            </w:pPr>
            <w:r>
              <w:rPr>
                <w:rFonts w:ascii="Arial" w:cs="Arial" w:eastAsia="Arial" w:hAnsi="Arial"/>
                <w:sz w:val="15"/>
                <w:szCs w:val="15"/>
                <w:color w:val="auto"/>
              </w:rPr>
              <w:t>Chief Executive Officer and Director (principal executive officer)</w:t>
            </w:r>
          </w:p>
        </w:tc>
        <w:tc>
          <w:tcPr>
            <w:tcW w:w="980" w:type="dxa"/>
            <w:vAlign w:val="bottom"/>
          </w:tcPr>
          <w:p>
            <w:pPr>
              <w:jc w:val="center"/>
              <w:spacing w:after="0"/>
              <w:rPr>
                <w:sz w:val="20"/>
                <w:szCs w:val="20"/>
                <w:color w:val="auto"/>
              </w:rPr>
            </w:pPr>
            <w:r>
              <w:rPr>
                <w:rFonts w:ascii="Arial" w:cs="Arial" w:eastAsia="Arial" w:hAnsi="Arial"/>
                <w:sz w:val="15"/>
                <w:szCs w:val="15"/>
                <w:color w:val="auto"/>
                <w:w w:val="88"/>
              </w:rPr>
              <w:t>March 18, 2015</w:t>
            </w:r>
          </w:p>
        </w:tc>
        <w:tc>
          <w:tcPr>
            <w:tcW w:w="0" w:type="dxa"/>
            <w:vAlign w:val="bottom"/>
          </w:tcPr>
          <w:p>
            <w:pPr>
              <w:spacing w:after="0"/>
              <w:rPr>
                <w:sz w:val="1"/>
                <w:szCs w:val="1"/>
                <w:color w:val="auto"/>
              </w:rPr>
            </w:pPr>
          </w:p>
        </w:tc>
      </w:tr>
      <w:tr>
        <w:trPr>
          <w:trHeight w:val="374"/>
        </w:trPr>
        <w:tc>
          <w:tcPr>
            <w:tcW w:w="4740" w:type="dxa"/>
            <w:vAlign w:val="bottom"/>
            <w:gridSpan w:val="2"/>
          </w:tcPr>
          <w:p>
            <w:pPr>
              <w:spacing w:after="0"/>
              <w:rPr>
                <w:sz w:val="20"/>
                <w:szCs w:val="20"/>
                <w:color w:val="auto"/>
              </w:rPr>
            </w:pPr>
            <w:r>
              <w:rPr>
                <w:rFonts w:ascii="Arial" w:cs="Arial" w:eastAsia="Arial" w:hAnsi="Arial"/>
                <w:sz w:val="15"/>
                <w:szCs w:val="15"/>
                <w:color w:val="auto"/>
                <w:w w:val="97"/>
              </w:rPr>
              <w:t>Chief Financial Officer (principal financial officer and principal accounting</w:t>
            </w: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w w:val="90"/>
              </w:rPr>
              <w:t>March 18, 2015</w:t>
            </w:r>
          </w:p>
        </w:tc>
        <w:tc>
          <w:tcPr>
            <w:tcW w:w="0" w:type="dxa"/>
            <w:vAlign w:val="bottom"/>
          </w:tcPr>
          <w:p>
            <w:pPr>
              <w:spacing w:after="0"/>
              <w:rPr>
                <w:sz w:val="1"/>
                <w:szCs w:val="1"/>
                <w:color w:val="auto"/>
              </w:rPr>
            </w:pPr>
          </w:p>
        </w:tc>
      </w:tr>
      <w:tr>
        <w:trPr>
          <w:trHeight w:val="87"/>
        </w:trPr>
        <w:tc>
          <w:tcPr>
            <w:tcW w:w="4740" w:type="dxa"/>
            <w:vAlign w:val="bottom"/>
            <w:gridSpan w:val="2"/>
            <w:vMerge w:val="restart"/>
          </w:tcPr>
          <w:p>
            <w:pPr>
              <w:spacing w:after="0"/>
              <w:rPr>
                <w:sz w:val="20"/>
                <w:szCs w:val="20"/>
                <w:color w:val="auto"/>
              </w:rPr>
            </w:pPr>
            <w:r>
              <w:rPr>
                <w:rFonts w:ascii="Arial" w:cs="Arial" w:eastAsia="Arial" w:hAnsi="Arial"/>
                <w:sz w:val="15"/>
                <w:szCs w:val="15"/>
                <w:color w:val="auto"/>
              </w:rPr>
              <w:t>officer)</w:t>
            </w: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74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3"/>
        </w:trPr>
        <w:tc>
          <w:tcPr>
            <w:tcW w:w="4740" w:type="dxa"/>
            <w:vAlign w:val="bottom"/>
            <w:gridSpan w:val="2"/>
          </w:tcPr>
          <w:p>
            <w:pPr>
              <w:spacing w:after="0"/>
              <w:rPr>
                <w:sz w:val="20"/>
                <w:szCs w:val="20"/>
                <w:color w:val="auto"/>
              </w:rPr>
            </w:pPr>
            <w:r>
              <w:rPr>
                <w:rFonts w:ascii="Arial" w:cs="Arial" w:eastAsia="Arial" w:hAnsi="Arial"/>
                <w:sz w:val="15"/>
                <w:szCs w:val="15"/>
                <w:color w:val="auto"/>
              </w:rPr>
              <w:t>Chairman of the Board of Directors</w:t>
            </w:r>
          </w:p>
        </w:tc>
        <w:tc>
          <w:tcPr>
            <w:tcW w:w="9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7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98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5"/>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8"/>
              </w:rPr>
              <w:t>March 18, 2015</w:t>
            </w:r>
          </w:p>
        </w:tc>
        <w:tc>
          <w:tcPr>
            <w:tcW w:w="0" w:type="dxa"/>
            <w:vAlign w:val="bottom"/>
          </w:tcPr>
          <w:p>
            <w:pPr>
              <w:spacing w:after="0"/>
              <w:rPr>
                <w:sz w:val="1"/>
                <w:szCs w:val="1"/>
                <w:color w:val="auto"/>
              </w:rPr>
            </w:pPr>
          </w:p>
        </w:tc>
      </w:tr>
    </w:tbl>
    <w:p>
      <w:pPr>
        <w:spacing w:after="0" w:line="566" w:lineRule="exact"/>
        <w:rPr>
          <w:sz w:val="20"/>
          <w:szCs w:val="20"/>
          <w:color w:val="auto"/>
        </w:rPr>
      </w:pPr>
    </w:p>
    <w:p>
      <w:pPr>
        <w:sectPr>
          <w:pgSz w:w="11900" w:h="16838" w:orient="portrait"/>
          <w:cols w:equalWidth="0" w:num="2">
            <w:col w:w="2280" w:space="460"/>
            <w:col w:w="6279"/>
          </w:cols>
          <w:pgMar w:left="1440" w:top="123" w:right="1440" w:bottom="1440" w:gutter="0" w:footer="0" w:header="0"/>
          <w:type w:val="continuous"/>
        </w:sectPr>
      </w:pP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KORNIT DIGITAL NORTH AMERICA INC.</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Authorized Representative in the United States</w:t>
      </w:r>
    </w:p>
    <w:p>
      <w:pPr>
        <w:spacing w:after="0" w:line="216" w:lineRule="exact"/>
        <w:rPr>
          <w:sz w:val="20"/>
          <w:szCs w:val="20"/>
          <w:color w:val="auto"/>
        </w:rPr>
      </w:pPr>
    </w:p>
    <w:p>
      <w:pPr>
        <w:ind w:left="580"/>
        <w:spacing w:after="0"/>
        <w:tabs>
          <w:tab w:leader="none" w:pos="7460" w:val="left"/>
        </w:tabs>
        <w:rPr>
          <w:sz w:val="20"/>
          <w:szCs w:val="20"/>
          <w:color w:val="auto"/>
        </w:rPr>
      </w:pPr>
      <w:r>
        <w:rPr>
          <w:rFonts w:ascii="Arial" w:cs="Arial" w:eastAsia="Arial" w:hAnsi="Arial"/>
          <w:sz w:val="16"/>
          <w:szCs w:val="16"/>
          <w:color w:val="auto"/>
        </w:rPr>
        <w:t>By:/s/ Paul Borucki</w:t>
      </w:r>
      <w:r>
        <w:rPr>
          <w:sz w:val="20"/>
          <w:szCs w:val="20"/>
          <w:color w:val="auto"/>
        </w:rPr>
        <w:tab/>
      </w:r>
      <w:r>
        <w:rPr>
          <w:rFonts w:ascii="Arial" w:cs="Arial" w:eastAsia="Arial" w:hAnsi="Arial"/>
          <w:sz w:val="13"/>
          <w:szCs w:val="13"/>
          <w:color w:val="auto"/>
        </w:rPr>
        <w:t>March 18, 2015</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Name: Paul Borucki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-116205</wp:posOffset>
            </wp:positionV>
            <wp:extent cx="107696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76960" cy="762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191135</wp:posOffset>
            </wp:positionV>
            <wp:extent cx="499935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60" w:name="page161"/>
    <w:bookmarkEnd w:id="160"/>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Arial" w:cs="Arial" w:eastAsia="Arial" w:hAnsi="Arial"/>
                <w:sz w:val="16"/>
                <w:szCs w:val="16"/>
                <w:b w:val="1"/>
                <w:bCs w:val="1"/>
                <w:color w:val="auto"/>
              </w:rPr>
              <w:t>EXHIBIT INDEX</w:t>
            </w:r>
          </w:p>
        </w:tc>
      </w:tr>
      <w:tr>
        <w:trPr>
          <w:trHeight w:val="369"/>
        </w:trPr>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Exhibit No.</w:t>
            </w:r>
          </w:p>
        </w:tc>
        <w:tc>
          <w:tcPr>
            <w:tcW w:w="6780" w:type="dxa"/>
            <w:vAlign w:val="bottom"/>
          </w:tcPr>
          <w:p>
            <w:pPr>
              <w:spacing w:after="0"/>
              <w:rPr>
                <w:sz w:val="20"/>
                <w:szCs w:val="20"/>
                <w:color w:val="auto"/>
              </w:rPr>
            </w:pPr>
            <w:r>
              <w:rPr>
                <w:rFonts w:ascii="Arial" w:cs="Arial" w:eastAsia="Arial" w:hAnsi="Arial"/>
                <w:sz w:val="15"/>
                <w:szCs w:val="15"/>
                <w:b w:val="1"/>
                <w:bCs w:val="1"/>
                <w:color w:val="auto"/>
              </w:rPr>
              <w:t>Description</w:t>
            </w:r>
          </w:p>
        </w:tc>
      </w:tr>
      <w:tr>
        <w:trPr>
          <w:trHeight w:val="180"/>
        </w:trPr>
        <w:tc>
          <w:tcPr>
            <w:tcW w:w="20" w:type="dxa"/>
            <w:vAlign w:val="bottom"/>
          </w:tcPr>
          <w:p>
            <w:pPr>
              <w:spacing w:after="0"/>
              <w:rPr>
                <w:sz w:val="15"/>
                <w:szCs w:val="15"/>
                <w:color w:val="auto"/>
              </w:rPr>
            </w:pPr>
          </w:p>
        </w:tc>
        <w:tc>
          <w:tcPr>
            <w:tcW w:w="92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1.1</w:t>
            </w:r>
          </w:p>
        </w:tc>
        <w:tc>
          <w:tcPr>
            <w:tcW w:w="160" w:type="dxa"/>
            <w:vAlign w:val="bottom"/>
          </w:tcPr>
          <w:p>
            <w:pPr>
              <w:spacing w:after="0"/>
              <w:rPr>
                <w:sz w:val="15"/>
                <w:szCs w:val="15"/>
                <w:color w:val="auto"/>
              </w:rPr>
            </w:pPr>
          </w:p>
        </w:tc>
        <w:tc>
          <w:tcPr>
            <w:tcW w:w="67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93"/>
              </w:rPr>
              <w:t>Form of Underwriting Agreement by and among Kornit Digital Ltd. and the underwriters named therein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Articles of Association of the Registrant**</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2"/>
              </w:rPr>
              <w:t>Form of Amended and Restated Articles of Association of the Registrant, to be effective upon closing of</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this offering</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Specimen Share Certificate**</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3"/>
              </w:rPr>
              <w:t>Opinion of Meitar Liquornik Geva Leshem Tal, Israeli counsel to the Registrant, as to the validity of the</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ordinary shares (including consent)</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2004 Share Option Plan**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2012 Share Incentive Plan**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Form of indemnification agreement by and between Kornit Digital Ltd. and each of its directors and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executive officers**</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3"/>
              </w:rPr>
              <w:t>Sales Representative Agreement, dated April 1, 2014, between the Registrant and Hirsch International</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Corporation†**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4"/>
              </w:rPr>
              <w:t>Original Equipment Manufacturer Supply Agreement, dated January 6, 2006, between the Registrant</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and Spectra Printing, a division of Dimatix, 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3"/>
              </w:rPr>
              <w:t>Amendment No. 1 to Original Equipment Manufacturer Supply Agreement, dated September 20, 2006,</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4"/>
              </w:rPr>
              <w:t>Amendment No. 2 to Original Equipment Manufacturer Supply Agreement, dated September 1, 2007,</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Amendment No. 3 to Original Equipment Manufacturer Supply Agreement, dated March 17, 2008,</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2"/>
              </w:rPr>
              <w:t>Amendment No. 4 to Original Equipment Manufacturer Supply Agreement, dated July 1, 2010, between</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the Registrant and Fujifilm Dimatix, Inc., formerly Spectra Printing, a division of Dimatix, 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10.10</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Amendment No. 5 to Original Equipment Manufacturer Supply Agreement, dated October 4, 2011,</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5"/>
              </w:rPr>
              <w:t>Amendment No. 6 to Original Equipment Manufacturer Supply Agreement, dated December 6, 2012,</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6"/>
              </w:rPr>
              <w:t>Amendment No. 7 to Original Equipment Manufacturer Supply Agreement, dated February 1, 2013,</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10.13</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Amendment No. 8 to Original Equipment Manufacturer Supply Agreement, dated January 1, 2014,</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10.14</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7"/>
              </w:rPr>
              <w:t>Amendment No. 9 to Original Equipment Manufacturer Supply Agreement, dated August 22, 2014,</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8"/>
              </w:rPr>
              <w:t>between the Registrant and Fujifilm Dimatix, Inc., formerly Spectra Printing, a division of Dimatix,</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Inc.†**</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10.15</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4"/>
              </w:rPr>
              <w:t>Amended and Restated Supplier Agreement, dated March 9, 2015, between the Registrant and I.T.S.</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Industrial Technologic Solutions, Ltd.†∞**</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10.16</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Amended and Restated Investors’ Rights Agreement, dated March 18, 2015, by and among the</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Registrant and the other parties thereto</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10.17</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0"/>
              </w:rPr>
              <w:t>Management Services Agreement, dated August 11, 2011, by and between the Registrant and Fortissimo</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Capital Fund II (Israel) L.P.**</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10.18</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1"/>
              </w:rPr>
              <w:t>Termination Agreement, dated March 18, 2015, terminating the Management Services Agreement, dated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August 11, 2011, by and between the Registrant and Fortissimo Capital Fund II (Israel) L.P.</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10.19</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0"/>
              </w:rPr>
              <w:t>Lease Agreement, dated March 25, 2010, by and between the Registrant and Benvenisti Engineering Ltd.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4"/>
              </w:rPr>
              <w:t>as amended by Addendum to Lease Agreement, dated November 21, 2011, and Addendum to Lease</w:t>
            </w: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Agreement, dated September 16, 2014∞**</w:t>
            </w:r>
          </w:p>
        </w:tc>
      </w:tr>
      <w:tr>
        <w:trPr>
          <w:trHeight w:val="255"/>
        </w:trPr>
        <w:tc>
          <w:tcPr>
            <w:tcW w:w="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780" w:type="dxa"/>
            <w:vAlign w:val="bottom"/>
            <w:tcBorders>
              <w:bottom w:val="single" w:sz="8" w:color="auto"/>
            </w:tcBorders>
          </w:tcPr>
          <w:p>
            <w:pPr>
              <w:spacing w:after="0"/>
              <w:rPr>
                <w:sz w:val="22"/>
                <w:szCs w:val="22"/>
                <w:color w:val="auto"/>
              </w:rPr>
            </w:pPr>
          </w:p>
        </w:tc>
      </w:tr>
    </w:tbl>
    <w:p>
      <w:pPr>
        <w:sectPr>
          <w:pgSz w:w="11900" w:h="16838" w:orient="portrait"/>
          <w:cols w:equalWidth="0" w:num="1">
            <w:col w:w="9019"/>
          </w:cols>
          <w:pgMar w:left="1440" w:top="281" w:right="1440" w:bottom="1440" w:gutter="0" w:footer="0" w:header="0"/>
        </w:sectPr>
      </w:pPr>
    </w:p>
    <w:bookmarkStart w:id="161" w:name="page162"/>
    <w:bookmarkEnd w:id="161"/>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80" w:type="dxa"/>
            <w:vAlign w:val="bottom"/>
          </w:tcPr>
          <w:p>
            <w:pPr>
              <w:ind w:left="2200"/>
              <w:spacing w:after="0"/>
              <w:rPr>
                <w:sz w:val="20"/>
                <w:szCs w:val="20"/>
                <w:color w:val="auto"/>
              </w:rPr>
            </w:pPr>
            <w:r>
              <w:rPr>
                <w:rFonts w:ascii="Arial" w:cs="Arial" w:eastAsia="Arial" w:hAnsi="Arial"/>
                <w:sz w:val="16"/>
                <w:szCs w:val="16"/>
                <w:b w:val="1"/>
                <w:bCs w:val="1"/>
                <w:color w:val="auto"/>
              </w:rPr>
              <w:t>EXHIBIT INDEX</w:t>
            </w:r>
          </w:p>
        </w:tc>
      </w:tr>
      <w:tr>
        <w:trPr>
          <w:trHeight w:val="357"/>
        </w:trPr>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Exhibit No.</w:t>
            </w:r>
          </w:p>
        </w:tc>
        <w:tc>
          <w:tcPr>
            <w:tcW w:w="6780" w:type="dxa"/>
            <w:vAlign w:val="bottom"/>
          </w:tcPr>
          <w:p>
            <w:pPr>
              <w:spacing w:after="0"/>
              <w:rPr>
                <w:sz w:val="20"/>
                <w:szCs w:val="20"/>
                <w:color w:val="auto"/>
              </w:rPr>
            </w:pPr>
            <w:r>
              <w:rPr>
                <w:rFonts w:ascii="Arial" w:cs="Arial" w:eastAsia="Arial" w:hAnsi="Arial"/>
                <w:sz w:val="15"/>
                <w:szCs w:val="15"/>
                <w:b w:val="1"/>
                <w:bCs w:val="1"/>
                <w:color w:val="auto"/>
              </w:rPr>
              <w:t>Description</w:t>
            </w:r>
          </w:p>
        </w:tc>
      </w:tr>
      <w:tr>
        <w:trPr>
          <w:trHeight w:val="180"/>
        </w:trPr>
        <w:tc>
          <w:tcPr>
            <w:tcW w:w="20" w:type="dxa"/>
            <w:vAlign w:val="bottom"/>
          </w:tcPr>
          <w:p>
            <w:pPr>
              <w:spacing w:after="0"/>
              <w:rPr>
                <w:sz w:val="15"/>
                <w:szCs w:val="15"/>
                <w:color w:val="auto"/>
              </w:rPr>
            </w:pPr>
          </w:p>
        </w:tc>
        <w:tc>
          <w:tcPr>
            <w:tcW w:w="92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10.20</w:t>
            </w:r>
          </w:p>
        </w:tc>
        <w:tc>
          <w:tcPr>
            <w:tcW w:w="160" w:type="dxa"/>
            <w:vAlign w:val="bottom"/>
          </w:tcPr>
          <w:p>
            <w:pPr>
              <w:spacing w:after="0"/>
              <w:rPr>
                <w:sz w:val="15"/>
                <w:szCs w:val="15"/>
                <w:color w:val="auto"/>
              </w:rPr>
            </w:pPr>
          </w:p>
        </w:tc>
        <w:tc>
          <w:tcPr>
            <w:tcW w:w="67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91"/>
              </w:rPr>
              <w:t>English Summary of the Office and Parking Space Lease Agreement dated as of December 17, 2007, by</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3"/>
              </w:rPr>
              <w:t>and between the Registrant and Industrial Building Corporation Ltd. as amended by Addendum, dated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5"/>
              </w:rPr>
              <w:t>2007, Addendum to Lease Agreement, dated 2007, Addendum to Lease Agreement, dated March 8,</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0"/>
              </w:rPr>
              <w:t>2012, Addendum to Lease Agreement, dated 2012, Addendum to Lease Agreement, dated December 19,</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w w:val="95"/>
              </w:rPr>
              <w:t>2012, Addendum to Lease Agreement, dated May 20, 2013, Addendum to Lease Agreement, dated</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January 12, 2014, and Addendum to Lease Agreement, dated January 12, 2014.**</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10.21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2015 Incentive Compensation Plan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10.22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2015 Employee Stock Purchase Plan</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List of subsidiaries of the Registrant**</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23.1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Consent of Kost Forer Gabbay &amp; Kasierer, a member of Ernst &amp; Young Global, an independent</w:t>
            </w:r>
          </w:p>
        </w:tc>
      </w:tr>
      <w:tr>
        <w:trPr>
          <w:trHeight w:val="19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registered public accounting firm</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Consent of Meitar Liquornik Geva Leshem Tal (included in Exhibit 5.1)</w:t>
            </w:r>
          </w:p>
        </w:tc>
      </w:tr>
      <w:tr>
        <w:trPr>
          <w:trHeight w:val="194"/>
        </w:trPr>
        <w:tc>
          <w:tcPr>
            <w:tcW w:w="940" w:type="dxa"/>
            <w:vAlign w:val="bottom"/>
            <w:gridSpan w:val="2"/>
          </w:tcPr>
          <w:p>
            <w:pPr>
              <w:spacing w:after="0"/>
              <w:rPr>
                <w:sz w:val="20"/>
                <w:szCs w:val="20"/>
                <w:color w:val="auto"/>
              </w:rPr>
            </w:pPr>
            <w:r>
              <w:rPr>
                <w:rFonts w:ascii="Arial" w:cs="Arial" w:eastAsia="Arial" w:hAnsi="Arial"/>
                <w:sz w:val="16"/>
                <w:szCs w:val="16"/>
                <w:color w:val="auto"/>
              </w:rPr>
              <w:t>24.1</w:t>
            </w:r>
          </w:p>
        </w:tc>
        <w:tc>
          <w:tcPr>
            <w:tcW w:w="16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Power of Attorney (included in signature pages of Registration Statement)**</w:t>
            </w:r>
          </w:p>
        </w:tc>
      </w:tr>
      <w:tr>
        <w:trPr>
          <w:trHeight w:val="206"/>
        </w:trPr>
        <w:tc>
          <w:tcPr>
            <w:tcW w:w="940" w:type="dxa"/>
            <w:vAlign w:val="bottom"/>
            <w:gridSpan w:val="2"/>
          </w:tcPr>
          <w:p>
            <w:pPr>
              <w:spacing w:after="0"/>
              <w:rPr>
                <w:sz w:val="20"/>
                <w:szCs w:val="20"/>
                <w:color w:val="auto"/>
              </w:rPr>
            </w:pPr>
            <w:r>
              <w:rPr>
                <w:rFonts w:ascii="Arial" w:cs="Arial" w:eastAsia="Arial" w:hAnsi="Arial"/>
                <w:sz w:val="16"/>
                <w:szCs w:val="16"/>
                <w:color w:val="auto"/>
              </w:rPr>
              <w:t>99.1</w:t>
            </w:r>
          </w:p>
        </w:tc>
        <w:tc>
          <w:tcPr>
            <w:tcW w:w="16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Power of Attorney of Lauri Hanover, Alon Lumbroso, Jerry Mandel and Dov Ofer</w:t>
            </w:r>
          </w:p>
        </w:tc>
      </w:tr>
    </w:tbl>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__________________</w:t>
      </w:r>
    </w:p>
    <w:p>
      <w:pPr>
        <w:spacing w:after="0" w:line="22" w:lineRule="exact"/>
        <w:rPr>
          <w:sz w:val="20"/>
          <w:szCs w:val="20"/>
          <w:color w:val="auto"/>
        </w:rPr>
      </w:pPr>
    </w:p>
    <w:p>
      <w:pPr>
        <w:ind w:left="920" w:hanging="343"/>
        <w:spacing w:after="0"/>
        <w:tabs>
          <w:tab w:leader="none" w:pos="9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0" w:lineRule="exact"/>
        <w:rPr>
          <w:sz w:val="20"/>
          <w:szCs w:val="20"/>
          <w:color w:val="auto"/>
        </w:rPr>
      </w:pPr>
    </w:p>
    <w:p>
      <w:pPr>
        <w:ind w:left="860" w:hanging="283"/>
        <w:spacing w:after="0"/>
        <w:tabs>
          <w:tab w:leader="none" w:pos="8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Confidential treatment requested.</w:t>
      </w:r>
    </w:p>
    <w:p>
      <w:pPr>
        <w:spacing w:after="0" w:line="10" w:lineRule="exact"/>
        <w:rPr>
          <w:sz w:val="20"/>
          <w:szCs w:val="20"/>
          <w:color w:val="auto"/>
        </w:rPr>
      </w:pPr>
    </w:p>
    <w:p>
      <w:pPr>
        <w:ind w:left="880" w:hanging="303"/>
        <w:spacing w:after="0"/>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English translation of the original Hebrew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168275</wp:posOffset>
            </wp:positionV>
            <wp:extent cx="499935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993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6"/>
          <w:szCs w:val="16"/>
          <w:b w:val="1"/>
          <w:bCs w:val="1"/>
          <w:color w:val="auto"/>
        </w:rPr>
        <w:t>Exhibit 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Ordinary Shares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UNDERWRITING AGREEMENT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2015</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w:t>
      </w:r>
      <w:r>
        <w:rPr>
          <w:rFonts w:ascii="Arial" w:cs="Arial" w:eastAsia="Arial" w:hAnsi="Arial"/>
          <w:sz w:val="10"/>
          <w:szCs w:val="10"/>
          <w:color w:val="auto"/>
        </w:rPr>
        <w:t>ARCLAYS</w:t>
      </w:r>
      <w:r>
        <w:rPr>
          <w:rFonts w:ascii="Arial" w:cs="Arial" w:eastAsia="Arial" w:hAnsi="Arial"/>
          <w:sz w:val="16"/>
          <w:szCs w:val="16"/>
          <w:color w:val="auto"/>
        </w:rPr>
        <w:t xml:space="preserve"> C</w:t>
      </w:r>
      <w:r>
        <w:rPr>
          <w:rFonts w:ascii="Arial" w:cs="Arial" w:eastAsia="Arial" w:hAnsi="Arial"/>
          <w:sz w:val="10"/>
          <w:szCs w:val="10"/>
          <w:color w:val="auto"/>
        </w:rPr>
        <w:t>APITAL</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ITIGROUP</w:t>
      </w:r>
      <w:r>
        <w:rPr>
          <w:rFonts w:ascii="Arial" w:cs="Arial" w:eastAsia="Arial" w:hAnsi="Arial"/>
          <w:sz w:val="16"/>
          <w:szCs w:val="16"/>
          <w:color w:val="auto"/>
        </w:rPr>
        <w:t xml:space="preserve"> G</w:t>
      </w:r>
      <w:r>
        <w:rPr>
          <w:rFonts w:ascii="Arial" w:cs="Arial" w:eastAsia="Arial" w:hAnsi="Arial"/>
          <w:sz w:val="10"/>
          <w:szCs w:val="10"/>
          <w:color w:val="auto"/>
        </w:rPr>
        <w:t>LOBAL</w:t>
      </w:r>
      <w:r>
        <w:rPr>
          <w:rFonts w:ascii="Arial" w:cs="Arial" w:eastAsia="Arial" w:hAnsi="Arial"/>
          <w:sz w:val="16"/>
          <w:szCs w:val="16"/>
          <w:color w:val="auto"/>
        </w:rPr>
        <w:t xml:space="preserve"> M</w:t>
      </w:r>
      <w:r>
        <w:rPr>
          <w:rFonts w:ascii="Arial" w:cs="Arial" w:eastAsia="Arial" w:hAnsi="Arial"/>
          <w:sz w:val="10"/>
          <w:szCs w:val="10"/>
          <w:color w:val="auto"/>
        </w:rPr>
        <w:t>ARKETS</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As Representatives of the several</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Underwriters named in Schedule I attached hereto,</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 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745 Seventh Avenue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 Citigroup Global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388 Greenwich Street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10013</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4" w:lineRule="exact"/>
        <w:rPr>
          <w:sz w:val="20"/>
          <w:szCs w:val="20"/>
          <w:color w:val="auto"/>
        </w:rPr>
      </w:pPr>
    </w:p>
    <w:p>
      <w:pPr>
        <w:jc w:val="both"/>
        <w:ind w:firstLine="1163"/>
        <w:spacing w:after="0" w:line="259" w:lineRule="auto"/>
        <w:rPr>
          <w:sz w:val="20"/>
          <w:szCs w:val="20"/>
          <w:color w:val="auto"/>
        </w:rPr>
      </w:pPr>
      <w:r>
        <w:rPr>
          <w:rFonts w:ascii="Arial" w:cs="Arial" w:eastAsia="Arial" w:hAnsi="Arial"/>
          <w:sz w:val="16"/>
          <w:szCs w:val="16"/>
          <w:color w:val="auto"/>
        </w:rPr>
        <w:t>Kornit Digital Ltd., a company incorporated under the laws of the State of Israel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sell [●] of the Company’s ordinary shares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par value NIS 0.01 per share (the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In addition, the Company proposes to grant to the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named in Schedule I attached to this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 option to purchase up to [●] additional Ordinary Shares on the terms set forth in Section 2 (the “</w:t>
      </w:r>
      <w:r>
        <w:rPr>
          <w:rFonts w:ascii="Arial" w:cs="Arial" w:eastAsia="Arial" w:hAnsi="Arial"/>
          <w:sz w:val="16"/>
          <w:szCs w:val="16"/>
          <w:b w:val="1"/>
          <w:bCs w:val="1"/>
          <w:i w:val="1"/>
          <w:iCs w:val="1"/>
          <w:color w:val="auto"/>
        </w:rPr>
        <w:t>Option Shares</w:t>
      </w:r>
      <w:r>
        <w:rPr>
          <w:rFonts w:ascii="Arial" w:cs="Arial" w:eastAsia="Arial" w:hAnsi="Arial"/>
          <w:sz w:val="16"/>
          <w:szCs w:val="16"/>
          <w:color w:val="auto"/>
        </w:rPr>
        <w:t>”). The Firm Shares and the Option Shares, if purchased, are hereinafter collectively called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This Agreement is to confirm the agreement concerning the purchase of the Shares from the Company by the Underwriters.</w:t>
      </w:r>
    </w:p>
    <w:p>
      <w:pPr>
        <w:spacing w:after="0" w:line="170" w:lineRule="exact"/>
        <w:rPr>
          <w:sz w:val="20"/>
          <w:szCs w:val="20"/>
          <w:color w:val="auto"/>
        </w:rPr>
      </w:pPr>
    </w:p>
    <w:p>
      <w:pPr>
        <w:ind w:left="1680" w:hanging="516"/>
        <w:spacing w:after="0"/>
        <w:tabs>
          <w:tab w:leader="none" w:pos="1680"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Representations, Warranties and Agreements of the Company</w:t>
      </w:r>
      <w:r>
        <w:rPr>
          <w:rFonts w:ascii="Arial" w:cs="Arial" w:eastAsia="Arial" w:hAnsi="Arial"/>
          <w:sz w:val="16"/>
          <w:szCs w:val="16"/>
          <w:color w:val="auto"/>
        </w:rPr>
        <w:t>. The Company represents, warrants and agrees that:</w:t>
      </w:r>
    </w:p>
    <w:p>
      <w:pPr>
        <w:spacing w:after="0" w:line="203" w:lineRule="exact"/>
        <w:rPr>
          <w:rFonts w:ascii="Arial" w:cs="Arial" w:eastAsia="Arial" w:hAnsi="Arial"/>
          <w:sz w:val="16"/>
          <w:szCs w:val="16"/>
          <w:color w:val="auto"/>
        </w:rPr>
      </w:pPr>
    </w:p>
    <w:p>
      <w:pPr>
        <w:jc w:val="both"/>
        <w:ind w:firstLine="583"/>
        <w:spacing w:after="0" w:line="311" w:lineRule="auto"/>
        <w:tabs>
          <w:tab w:leader="none" w:pos="1412"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 registration statement on Form F-1 (File No. 333-202291) relating to the Shares has (i) been prepared by the Company in conformity with the requirements of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and the rules and regulations of the Securities and Exchange Commission (the “</w:t>
      </w:r>
      <w:r>
        <w:rPr>
          <w:rFonts w:ascii="Arial" w:cs="Arial" w:eastAsia="Arial" w:hAnsi="Arial"/>
          <w:sz w:val="14"/>
          <w:szCs w:val="14"/>
          <w:b w:val="1"/>
          <w:bCs w:val="1"/>
          <w:i w:val="1"/>
          <w:iCs w:val="1"/>
          <w:color w:val="auto"/>
        </w:rPr>
        <w:t>Commission</w:t>
      </w:r>
      <w:r>
        <w:rPr>
          <w:rFonts w:ascii="Arial" w:cs="Arial" w:eastAsia="Arial" w:hAnsi="Arial"/>
          <w:sz w:val="14"/>
          <w:szCs w:val="14"/>
          <w:color w:val="auto"/>
        </w:rPr>
        <w:t>”) thereunder; (ii) been filed with the Commission under the Securities Act; and (iii) become effective under the Securities Act. Copies of such registration statement and any amendment thereto have been delivered by the Company to you as the representatives (the “</w:t>
      </w:r>
      <w:r>
        <w:rPr>
          <w:rFonts w:ascii="Arial" w:cs="Arial" w:eastAsia="Arial" w:hAnsi="Arial"/>
          <w:sz w:val="14"/>
          <w:szCs w:val="14"/>
          <w:b w:val="1"/>
          <w:bCs w:val="1"/>
          <w:i w:val="1"/>
          <w:iCs w:val="1"/>
          <w:color w:val="auto"/>
        </w:rPr>
        <w:t>Representatives</w:t>
      </w:r>
      <w:r>
        <w:rPr>
          <w:rFonts w:ascii="Arial" w:cs="Arial" w:eastAsia="Arial" w:hAnsi="Arial"/>
          <w:sz w:val="14"/>
          <w:szCs w:val="14"/>
          <w:color w:val="auto"/>
        </w:rPr>
        <w:t>”) of the Underwriters. As used in this Agreement:</w:t>
      </w:r>
    </w:p>
    <w:p>
      <w:pPr>
        <w:spacing w:after="0" w:line="134" w:lineRule="exact"/>
        <w:rPr>
          <w:rFonts w:ascii="Arial" w:cs="Arial" w:eastAsia="Arial" w:hAnsi="Arial"/>
          <w:sz w:val="14"/>
          <w:szCs w:val="14"/>
          <w:color w:val="auto"/>
        </w:rPr>
      </w:pPr>
    </w:p>
    <w:p>
      <w:pPr>
        <w:ind w:left="2300" w:hanging="554"/>
        <w:spacing w:after="0"/>
        <w:tabs>
          <w:tab w:leader="none" w:pos="2300" w:val="left"/>
        </w:tabs>
        <w:numPr>
          <w:ilvl w:val="2"/>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Time</w:t>
      </w:r>
      <w:r>
        <w:rPr>
          <w:rFonts w:ascii="Arial" w:cs="Arial" w:eastAsia="Arial" w:hAnsi="Arial"/>
          <w:sz w:val="16"/>
          <w:szCs w:val="16"/>
          <w:color w:val="auto"/>
        </w:rPr>
        <w:t>” means [●] [a.m.][p.m.] (New York City time)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163" w:name="page164"/>
    <w:bookmarkEnd w:id="163"/>
    <w:p>
      <w:pPr>
        <w:ind w:left="1720" w:hanging="554"/>
        <w:spacing w:after="0"/>
        <w:tabs>
          <w:tab w:leader="none" w:pos="17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date and time as of which such registration statement was declared effective by the Commission;</w:t>
      </w:r>
    </w:p>
    <w:p>
      <w:pPr>
        <w:spacing w:after="0" w:line="203" w:lineRule="exact"/>
        <w:rPr>
          <w:rFonts w:ascii="Arial" w:cs="Arial" w:eastAsia="Arial" w:hAnsi="Arial"/>
          <w:sz w:val="16"/>
          <w:szCs w:val="16"/>
          <w:color w:val="auto"/>
        </w:rPr>
      </w:pPr>
    </w:p>
    <w:p>
      <w:pPr>
        <w:ind w:left="1740" w:hanging="574"/>
        <w:spacing w:after="0"/>
        <w:tabs>
          <w:tab w:leader="none" w:pos="174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Issuer Free Writing Prospectus</w:t>
      </w:r>
      <w:r>
        <w:rPr>
          <w:rFonts w:ascii="Arial" w:cs="Arial" w:eastAsia="Arial" w:hAnsi="Arial"/>
          <w:sz w:val="15"/>
          <w:szCs w:val="15"/>
          <w:color w:val="auto"/>
        </w:rPr>
        <w:t>” means each “issuer free writing prospectus” (as defined in Rule 433 under the Securities Act);</w:t>
      </w:r>
    </w:p>
    <w:p>
      <w:pPr>
        <w:spacing w:after="0" w:line="215" w:lineRule="exact"/>
        <w:rPr>
          <w:rFonts w:ascii="Arial" w:cs="Arial" w:eastAsia="Arial" w:hAnsi="Arial"/>
          <w:sz w:val="15"/>
          <w:szCs w:val="15"/>
          <w:color w:val="auto"/>
        </w:rPr>
      </w:pPr>
    </w:p>
    <w:p>
      <w:pPr>
        <w:ind w:left="1160" w:firstLine="6"/>
        <w:spacing w:after="0" w:line="281" w:lineRule="auto"/>
        <w:tabs>
          <w:tab w:leader="none" w:pos="171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means any preliminary prospectus relating to the Shares included in such registration statement or filed with the Commission pursuant to Rule 424(b) under the Securities Act;</w:t>
      </w:r>
    </w:p>
    <w:p>
      <w:pPr>
        <w:spacing w:after="0" w:line="150" w:lineRule="exact"/>
        <w:rPr>
          <w:rFonts w:ascii="Arial" w:cs="Arial" w:eastAsia="Arial" w:hAnsi="Arial"/>
          <w:sz w:val="16"/>
          <w:szCs w:val="16"/>
          <w:color w:val="auto"/>
        </w:rPr>
      </w:pPr>
    </w:p>
    <w:p>
      <w:pPr>
        <w:jc w:val="both"/>
        <w:ind w:left="1160" w:firstLine="6"/>
        <w:spacing w:after="0" w:line="292" w:lineRule="auto"/>
        <w:tabs>
          <w:tab w:leader="none" w:pos="1784" w:val="left"/>
        </w:tabs>
        <w:numPr>
          <w:ilvl w:val="0"/>
          <w:numId w:val="13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Pricing Disclosure Package</w:t>
      </w:r>
      <w:r>
        <w:rPr>
          <w:rFonts w:ascii="Arial" w:cs="Arial" w:eastAsia="Arial" w:hAnsi="Arial"/>
          <w:sz w:val="15"/>
          <w:szCs w:val="15"/>
          <w:color w:val="auto"/>
        </w:rPr>
        <w:t>” means, as of the Applicable Time, the most recent Preliminary Prospectus, together with the information included in Schedule III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145" w:lineRule="exact"/>
        <w:rPr>
          <w:rFonts w:ascii="Arial" w:cs="Arial" w:eastAsia="Arial" w:hAnsi="Arial"/>
          <w:sz w:val="15"/>
          <w:szCs w:val="15"/>
          <w:color w:val="auto"/>
        </w:rPr>
      </w:pPr>
    </w:p>
    <w:p>
      <w:pPr>
        <w:ind w:left="1740" w:hanging="574"/>
        <w:spacing w:after="0"/>
        <w:tabs>
          <w:tab w:leader="none" w:pos="17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Prospectus</w:t>
      </w:r>
      <w:r>
        <w:rPr>
          <w:rFonts w:ascii="Arial" w:cs="Arial" w:eastAsia="Arial" w:hAnsi="Arial"/>
          <w:sz w:val="14"/>
          <w:szCs w:val="14"/>
          <w:color w:val="auto"/>
        </w:rPr>
        <w:t>” means the final prospectus relating to the Shares, as filed with the Commission pursuant to Rule 424(b) under the Securities</w:t>
      </w:r>
    </w:p>
    <w:p>
      <w:pPr>
        <w:spacing w:after="0" w:line="44"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6"/>
          <w:szCs w:val="16"/>
          <w:color w:val="auto"/>
        </w:rPr>
        <w:t>Act;</w:t>
      </w:r>
    </w:p>
    <w:p>
      <w:pPr>
        <w:spacing w:after="0" w:line="191" w:lineRule="exact"/>
        <w:rPr>
          <w:rFonts w:ascii="Arial" w:cs="Arial" w:eastAsia="Arial" w:hAnsi="Arial"/>
          <w:sz w:val="14"/>
          <w:szCs w:val="14"/>
          <w:color w:val="auto"/>
        </w:rPr>
      </w:pPr>
    </w:p>
    <w:p>
      <w:pPr>
        <w:jc w:val="both"/>
        <w:ind w:left="1160" w:firstLine="6"/>
        <w:spacing w:after="0" w:line="267" w:lineRule="auto"/>
        <w:tabs>
          <w:tab w:leader="none" w:pos="17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such registration statement, as amended as of the Effective Date, including any Preliminary Prospectus or the Prospectus, all exhibits to such registration statement and including the information deemed by virtue of Rule 430A under the Securities Act to be part of such registration statement as of the Effective Date;</w:t>
      </w:r>
    </w:p>
    <w:p>
      <w:pPr>
        <w:spacing w:after="0" w:line="161" w:lineRule="exact"/>
        <w:rPr>
          <w:rFonts w:ascii="Arial" w:cs="Arial" w:eastAsia="Arial" w:hAnsi="Arial"/>
          <w:sz w:val="16"/>
          <w:szCs w:val="16"/>
          <w:color w:val="auto"/>
        </w:rPr>
      </w:pPr>
    </w:p>
    <w:p>
      <w:pPr>
        <w:ind w:left="1160" w:firstLine="6"/>
        <w:spacing w:after="0" w:line="281" w:lineRule="auto"/>
        <w:tabs>
          <w:tab w:leader="none" w:pos="165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of the Securities Act; and</w:t>
      </w:r>
    </w:p>
    <w:p>
      <w:pPr>
        <w:spacing w:after="0" w:line="150" w:lineRule="exact"/>
        <w:rPr>
          <w:rFonts w:ascii="Arial" w:cs="Arial" w:eastAsia="Arial" w:hAnsi="Arial"/>
          <w:sz w:val="16"/>
          <w:szCs w:val="16"/>
          <w:color w:val="auto"/>
        </w:rPr>
      </w:pPr>
    </w:p>
    <w:p>
      <w:pPr>
        <w:ind w:left="1160" w:firstLine="6"/>
        <w:spacing w:after="0" w:line="281" w:lineRule="auto"/>
        <w:tabs>
          <w:tab w:leader="none" w:pos="172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pacing w:after="0" w:line="151"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Any reference to the “</w:t>
      </w:r>
      <w:r>
        <w:rPr>
          <w:rFonts w:ascii="Arial" w:cs="Arial" w:eastAsia="Arial" w:hAnsi="Arial"/>
          <w:sz w:val="14"/>
          <w:szCs w:val="14"/>
          <w:b w:val="1"/>
          <w:bCs w:val="1"/>
          <w:i w:val="1"/>
          <w:iCs w:val="1"/>
          <w:color w:val="auto"/>
        </w:rPr>
        <w:t>most recent Preliminary Prospectus</w:t>
      </w:r>
      <w:r>
        <w:rPr>
          <w:rFonts w:ascii="Arial" w:cs="Arial" w:eastAsia="Arial" w:hAnsi="Arial"/>
          <w:sz w:val="14"/>
          <w:szCs w:val="14"/>
          <w:color w:val="auto"/>
        </w:rPr>
        <w:t>” shall be deemed to refer to the latest Preliminary Prospectus included in the Registration Statement or filed pursuant to Rule 424(b) under the Securities Act prior to or on the date hereof. Any reference herein to the term “Registration Statement” shall be deemed to include the abbreviated registration statement to register additional Ordinary Shares under Rule 462(b) under the Securities Act (the “</w:t>
      </w:r>
      <w:r>
        <w:rPr>
          <w:rFonts w:ascii="Arial" w:cs="Arial" w:eastAsia="Arial" w:hAnsi="Arial"/>
          <w:sz w:val="14"/>
          <w:szCs w:val="14"/>
          <w:b w:val="1"/>
          <w:bCs w:val="1"/>
          <w:i w:val="1"/>
          <w:iCs w:val="1"/>
          <w:color w:val="auto"/>
        </w:rPr>
        <w:t>Rule 462(b) Registration</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Statement</w:t>
      </w:r>
      <w:r>
        <w:rPr>
          <w:rFonts w:ascii="Arial" w:cs="Arial" w:eastAsia="Arial" w:hAnsi="Arial"/>
          <w:sz w:val="14"/>
          <w:szCs w:val="14"/>
          <w:color w:val="auto"/>
        </w:rPr>
        <w:t>”). The Commission has not issued any order preventing or suspending the use of any Preliminary Prospectus or the Prospectus or suspending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effectiveness of the Registration Statement, and no proceeding or examination for such purpose has been instituted or threatened by the Commission.</w:t>
      </w:r>
    </w:p>
    <w:p>
      <w:pPr>
        <w:spacing w:after="0" w:line="334"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13970</wp:posOffset>
            </wp:positionV>
            <wp:extent cx="718375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20"/>
          </w:cols>
          <w:pgMar w:left="880" w:top="805" w:right="299" w:bottom="1440" w:gutter="0" w:footer="0" w:header="0"/>
        </w:sectPr>
      </w:pPr>
    </w:p>
    <w:bookmarkStart w:id="164" w:name="page165"/>
    <w:bookmarkEnd w:id="164"/>
    <w:p>
      <w:pPr>
        <w:jc w:val="both"/>
        <w:ind w:firstLine="583"/>
        <w:spacing w:after="0" w:line="267" w:lineRule="auto"/>
        <w:tabs>
          <w:tab w:leader="none" w:pos="117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i w:val="1"/>
          <w:iCs w:val="1"/>
          <w:color w:val="auto"/>
        </w:rPr>
        <w:t>Emerging Growth Company</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583"/>
        <w:spacing w:after="0" w:line="281" w:lineRule="auto"/>
        <w:tabs>
          <w:tab w:leader="none" w:pos="13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Company (i) has not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Schedule VI hereto.</w:t>
      </w:r>
    </w:p>
    <w:p>
      <w:pPr>
        <w:spacing w:after="0" w:line="153" w:lineRule="exact"/>
        <w:rPr>
          <w:rFonts w:ascii="Arial" w:cs="Arial" w:eastAsia="Arial" w:hAnsi="Arial"/>
          <w:sz w:val="15"/>
          <w:szCs w:val="15"/>
          <w:color w:val="auto"/>
        </w:rPr>
      </w:pPr>
    </w:p>
    <w:p>
      <w:pPr>
        <w:jc w:val="both"/>
        <w:ind w:firstLine="583"/>
        <w:spacing w:after="0" w:line="267" w:lineRule="auto"/>
        <w:tabs>
          <w:tab w:leader="none" w:pos="129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is not on the date hereof and will not be on the applicable Delivery Date, an “ineligible issuer” (as defined in Rule 405 under the Securities Act).</w:t>
      </w:r>
    </w:p>
    <w:p>
      <w:pPr>
        <w:spacing w:after="0" w:line="161" w:lineRule="exact"/>
        <w:rPr>
          <w:rFonts w:ascii="Arial" w:cs="Arial" w:eastAsia="Arial" w:hAnsi="Arial"/>
          <w:sz w:val="16"/>
          <w:szCs w:val="16"/>
          <w:color w:val="auto"/>
        </w:rPr>
      </w:pPr>
    </w:p>
    <w:p>
      <w:pPr>
        <w:jc w:val="both"/>
        <w:ind w:firstLine="583"/>
        <w:spacing w:after="0" w:line="285" w:lineRule="auto"/>
        <w:tabs>
          <w:tab w:leader="none" w:pos="1354"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w:t>
      </w:r>
    </w:p>
    <w:p>
      <w:pPr>
        <w:spacing w:after="0" w:line="149" w:lineRule="exact"/>
        <w:rPr>
          <w:rFonts w:ascii="Arial" w:cs="Arial" w:eastAsia="Arial" w:hAnsi="Arial"/>
          <w:sz w:val="15"/>
          <w:szCs w:val="15"/>
          <w:color w:val="auto"/>
        </w:rPr>
      </w:pPr>
    </w:p>
    <w:p>
      <w:pPr>
        <w:jc w:val="both"/>
        <w:ind w:firstLine="583"/>
        <w:spacing w:after="0" w:line="262" w:lineRule="auto"/>
        <w:tabs>
          <w:tab w:leader="none" w:pos="124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8(e).</w:t>
      </w:r>
    </w:p>
    <w:p>
      <w:pPr>
        <w:spacing w:after="0" w:line="165" w:lineRule="exact"/>
        <w:rPr>
          <w:rFonts w:ascii="Arial" w:cs="Arial" w:eastAsia="Arial" w:hAnsi="Arial"/>
          <w:sz w:val="16"/>
          <w:szCs w:val="16"/>
          <w:color w:val="auto"/>
        </w:rPr>
      </w:pPr>
    </w:p>
    <w:p>
      <w:pPr>
        <w:jc w:val="both"/>
        <w:ind w:firstLine="583"/>
        <w:spacing w:after="0" w:line="285" w:lineRule="auto"/>
        <w:tabs>
          <w:tab w:leader="none" w:pos="1251"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8(e).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65" w:name="page166"/>
    <w:bookmarkEnd w:id="165"/>
    <w:p>
      <w:pPr>
        <w:jc w:val="both"/>
        <w:ind w:firstLine="583"/>
        <w:spacing w:after="0" w:line="285" w:lineRule="auto"/>
        <w:tabs>
          <w:tab w:leader="none" w:pos="1174" w:val="left"/>
        </w:tabs>
        <w:numPr>
          <w:ilvl w:val="0"/>
          <w:numId w:val="141"/>
        </w:numPr>
        <w:rPr>
          <w:rFonts w:ascii="Arial" w:cs="Arial" w:eastAsia="Arial" w:hAnsi="Arial"/>
          <w:sz w:val="15"/>
          <w:szCs w:val="15"/>
          <w:color w:val="auto"/>
        </w:rPr>
      </w:pPr>
      <w:r>
        <w:rPr>
          <w:rFonts w:ascii="Arial" w:cs="Arial" w:eastAsia="Arial" w:hAnsi="Arial"/>
          <w:sz w:val="15"/>
          <w:szCs w:val="15"/>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Section 8(e).</w:t>
      </w:r>
    </w:p>
    <w:p>
      <w:pPr>
        <w:spacing w:after="0" w:line="149" w:lineRule="exact"/>
        <w:rPr>
          <w:rFonts w:ascii="Arial" w:cs="Arial" w:eastAsia="Arial" w:hAnsi="Arial"/>
          <w:sz w:val="15"/>
          <w:szCs w:val="15"/>
          <w:color w:val="auto"/>
        </w:rPr>
      </w:pPr>
    </w:p>
    <w:p>
      <w:pPr>
        <w:jc w:val="both"/>
        <w:ind w:firstLine="583"/>
        <w:spacing w:after="0" w:line="259" w:lineRule="auto"/>
        <w:tabs>
          <w:tab w:leader="none" w:pos="122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Each Issuer Free Writing Prospectus listed in Schedule IV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such Issuer Free Writing Prospectus listed in Schedule IV hereto in reliance upon and in conformity with written information furnished to the Company through the Representatives by or on behalf of any Underwriter specifically for inclusion therein, which information is specified in Section 8(e).</w:t>
      </w:r>
    </w:p>
    <w:p>
      <w:pPr>
        <w:spacing w:after="0" w:line="170" w:lineRule="exact"/>
        <w:rPr>
          <w:rFonts w:ascii="Arial" w:cs="Arial" w:eastAsia="Arial" w:hAnsi="Arial"/>
          <w:sz w:val="16"/>
          <w:szCs w:val="16"/>
          <w:color w:val="auto"/>
        </w:rPr>
      </w:pPr>
    </w:p>
    <w:p>
      <w:pPr>
        <w:jc w:val="both"/>
        <w:ind w:firstLine="583"/>
        <w:spacing w:after="0" w:line="255" w:lineRule="auto"/>
        <w:tabs>
          <w:tab w:leader="none" w:pos="117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Each Written Testing-the-Waters Communication prepared by, or approved by the Company, if any, did not, as of the Applicable Time, when taken together with the Pricing Disclosure Package,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such Written Testing-the-Waters Communication listed on Schedule VI hereto in reliance upon and in conformity with written information furnished to the Company through the Representatives by or on behalf of any Underwriter specifically for inclusion therein, which information is specified in Section 8(e) and the Company has filed publicly on EDGAR at least 21 calendar days prior to any “road show” (as defined in Rule 433 under the Securities Act), any confidentially submitted registration statement and registration statement amendments relating to the offer and sale of the Shares. Each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Initial Delivery Date and as of the Option Shares Delivery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75" w:lineRule="exact"/>
        <w:rPr>
          <w:rFonts w:ascii="Arial" w:cs="Arial" w:eastAsia="Arial" w:hAnsi="Arial"/>
          <w:sz w:val="16"/>
          <w:szCs w:val="16"/>
          <w:color w:val="auto"/>
        </w:rPr>
      </w:pPr>
    </w:p>
    <w:p>
      <w:pPr>
        <w:jc w:val="both"/>
        <w:ind w:firstLine="583"/>
        <w:spacing w:after="0" w:line="277" w:lineRule="auto"/>
        <w:tabs>
          <w:tab w:leader="none" w:pos="1382" w:val="left"/>
        </w:tabs>
        <w:numPr>
          <w:ilvl w:val="0"/>
          <w:numId w:val="141"/>
        </w:numPr>
        <w:rPr>
          <w:rFonts w:ascii="Arial" w:cs="Arial" w:eastAsia="Arial" w:hAnsi="Arial"/>
          <w:sz w:val="15"/>
          <w:szCs w:val="15"/>
          <w:color w:val="auto"/>
        </w:rPr>
      </w:pPr>
      <w:r>
        <w:rPr>
          <w:rFonts w:ascii="Arial" w:cs="Arial" w:eastAsia="Arial" w:hAnsi="Arial"/>
          <w:sz w:val="15"/>
          <w:szCs w:val="15"/>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Representatives, except as set forth on Schedule V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Shares will not be required to be filed pursuant to the Securities Act and the rules and regulations thereunder.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66" w:name="page167"/>
    <w:bookmarkEnd w:id="166"/>
    <w:p>
      <w:pPr>
        <w:jc w:val="both"/>
        <w:ind w:firstLine="583"/>
        <w:spacing w:after="0" w:line="274" w:lineRule="auto"/>
        <w:tabs>
          <w:tab w:leader="none" w:pos="1171"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Company and each of its subsidiaries have been duly organized, are validly existing and, to the extent such concept is applicable,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5"/>
          <w:szCs w:val="15"/>
          <w:b w:val="1"/>
          <w:bCs w:val="1"/>
          <w:i w:val="1"/>
          <w:iCs w:val="1"/>
          <w:color w:val="auto"/>
        </w:rPr>
        <w:t>Material Adverse Effect</w:t>
      </w:r>
      <w:r>
        <w:rPr>
          <w:rFonts w:ascii="Arial" w:cs="Arial" w:eastAsia="Arial" w:hAnsi="Arial"/>
          <w:sz w:val="15"/>
          <w:szCs w:val="15"/>
          <w:color w:val="auto"/>
        </w:rPr>
        <w:t>”). The Company and each of its subsidiaries have all power and authority necessary to own or hold their properties and to conduct the businesses in which they are engaged. The Company does not own or control, directly or indirectly, any corporation, association or other entity other than the subsidiaries listed in Exhibit 21 to the Registration Statement. None of the subsidiaries of the Company (other than Kornit Digital Technologies Ltd. and Kornit Digital North America Inc. (collectively, the “</w:t>
      </w:r>
      <w:r>
        <w:rPr>
          <w:rFonts w:ascii="Arial" w:cs="Arial" w:eastAsia="Arial" w:hAnsi="Arial"/>
          <w:sz w:val="15"/>
          <w:szCs w:val="15"/>
          <w:b w:val="1"/>
          <w:bCs w:val="1"/>
          <w:i w:val="1"/>
          <w:iCs w:val="1"/>
          <w:color w:val="auto"/>
        </w:rPr>
        <w:t>Significant Subsidiaries</w:t>
      </w:r>
      <w:r>
        <w:rPr>
          <w:rFonts w:ascii="Arial" w:cs="Arial" w:eastAsia="Arial" w:hAnsi="Arial"/>
          <w:sz w:val="15"/>
          <w:szCs w:val="15"/>
          <w:color w:val="auto"/>
        </w:rPr>
        <w:t>”)) is a “significant subsidiary” (as defined in Rule 405 under the Securities Act). The Company and its sole Israeli subsidiary, Kornit Digital Technologies Ltd., are not currently designated as a “breaching company” (within the meaning of the Israeli Companies Law 5759-1999) by the Registrar of Companies of the State of Israel, nor has a proceeding been instituted by the Registrar of Companies in Israel for the dissolution of the Company or Kornit Digital Technologies Ltd.</w:t>
      </w:r>
    </w:p>
    <w:p>
      <w:pPr>
        <w:spacing w:after="0" w:line="159" w:lineRule="exact"/>
        <w:rPr>
          <w:rFonts w:ascii="Arial" w:cs="Arial" w:eastAsia="Arial" w:hAnsi="Arial"/>
          <w:sz w:val="15"/>
          <w:szCs w:val="15"/>
          <w:color w:val="auto"/>
        </w:rPr>
      </w:pPr>
    </w:p>
    <w:p>
      <w:pPr>
        <w:jc w:val="both"/>
        <w:ind w:firstLine="583"/>
        <w:spacing w:after="0" w:line="275" w:lineRule="auto"/>
        <w:tabs>
          <w:tab w:leader="none" w:pos="123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Company has an authorized capitalization as set forth in each of the most recent Preliminary Prospectus and the Prospectus, and all of the issued share capital of the Company has been duly authorized and validly issued, is fully paid and non-assessable, conforms to the description thereof contained in the most recent Preliminary Prospectus and was issued in compliance with Israeli securities laws and, to the extent applicable, other foreign and U.S. federal and state securities laws and not in violation of any preemptive right, resale right, right of first refusal or similar right. All of the Company’s options, warrants and other rights to purchase or exchange any securities for shares of the Company have been duly authorized and validly issued, conform to the description thereof contained in the most recent Preliminary Prospectus and were issued in compliance with Israeli securities laws and, to the extent applicable, other foreign or U.S. federal and state securities laws. All of the issued share capital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could not, individually or in the aggregate, reasonably be expected to have a Material Adverse Effect.</w:t>
      </w:r>
    </w:p>
    <w:p>
      <w:pPr>
        <w:spacing w:after="0" w:line="159" w:lineRule="exact"/>
        <w:rPr>
          <w:rFonts w:ascii="Arial" w:cs="Arial" w:eastAsia="Arial" w:hAnsi="Arial"/>
          <w:sz w:val="15"/>
          <w:szCs w:val="15"/>
          <w:color w:val="auto"/>
        </w:rPr>
      </w:pPr>
    </w:p>
    <w:p>
      <w:pPr>
        <w:jc w:val="both"/>
        <w:ind w:firstLine="583"/>
        <w:spacing w:after="0" w:line="262" w:lineRule="auto"/>
        <w:tabs>
          <w:tab w:leader="none" w:pos="121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most recent Preliminary Prospectus, will be issued in compliance with federal and state securities laws and will be free of statutory and contractual preemptive rights, rights of first refusal and similar rights.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67" w:name="page168"/>
    <w:bookmarkEnd w:id="167"/>
    <w:p>
      <w:pPr>
        <w:jc w:val="both"/>
        <w:ind w:firstLine="583"/>
        <w:spacing w:after="0" w:line="256" w:lineRule="auto"/>
        <w:tabs>
          <w:tab w:leader="none" w:pos="127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All grants and issuances of the Company's shares to its, or its subsidiaries', employees were made pursuant to an employee benefit plan, qualified share option plan or other equity compensation plan. With respect to any share options granted (the “Share Options”) (i) each Share Option purported to be issued under Section 102 of the Israel Tax Ordinance qualifies for treatment under that section and for treatment under the capital gains track, (ii) each Share Option intended to qualify as an “incentive stock option” under Section 422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so qualifies in all material respects, and (iii) each grant of a Share Option was duly authorized no later than the date on which the grant of such Share Option was by its terms to be effective by all necessary corporate action, in each case, in all material respects,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w:t>
      </w:r>
    </w:p>
    <w:p>
      <w:pPr>
        <w:spacing w:after="0" w:line="174" w:lineRule="exact"/>
        <w:rPr>
          <w:rFonts w:ascii="Arial" w:cs="Arial" w:eastAsia="Arial" w:hAnsi="Arial"/>
          <w:sz w:val="16"/>
          <w:szCs w:val="16"/>
          <w:color w:val="auto"/>
        </w:rPr>
      </w:pPr>
    </w:p>
    <w:p>
      <w:pPr>
        <w:ind w:firstLine="583"/>
        <w:spacing w:after="0" w:line="281" w:lineRule="auto"/>
        <w:tabs>
          <w:tab w:leader="none" w:pos="117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50" w:lineRule="exact"/>
        <w:rPr>
          <w:rFonts w:ascii="Arial" w:cs="Arial" w:eastAsia="Arial" w:hAnsi="Arial"/>
          <w:sz w:val="16"/>
          <w:szCs w:val="16"/>
          <w:color w:val="auto"/>
        </w:rPr>
      </w:pPr>
    </w:p>
    <w:p>
      <w:pPr>
        <w:jc w:val="both"/>
        <w:ind w:firstLine="583"/>
        <w:spacing w:after="0" w:line="297" w:lineRule="auto"/>
        <w:tabs>
          <w:tab w:leader="none" w:pos="1352"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most recent Preliminary Prospectus will not</w:t>
      </w:r>
    </w:p>
    <w:p>
      <w:pPr>
        <w:spacing w:after="0" w:line="1" w:lineRule="exact"/>
        <w:rPr>
          <w:rFonts w:ascii="Arial" w:cs="Arial" w:eastAsia="Arial" w:hAnsi="Arial"/>
          <w:sz w:val="14"/>
          <w:szCs w:val="14"/>
          <w:color w:val="auto"/>
        </w:rPr>
      </w:pPr>
    </w:p>
    <w:p>
      <w:pPr>
        <w:jc w:val="both"/>
        <w:ind w:firstLine="1"/>
        <w:spacing w:after="0" w:line="295" w:lineRule="auto"/>
        <w:tabs>
          <w:tab w:leader="none" w:pos="19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w:t>
      </w:r>
      <w:r>
        <w:rPr>
          <w:rFonts w:ascii="Arial" w:cs="Arial" w:eastAsia="Arial" w:hAnsi="Arial"/>
          <w:sz w:val="14"/>
          <w:szCs w:val="14"/>
          <w:i w:val="1"/>
          <w:iCs w:val="1"/>
          <w:color w:val="auto"/>
        </w:rPr>
        <w:t>except</w:t>
      </w:r>
      <w:r>
        <w:rPr>
          <w:rFonts w:ascii="Arial" w:cs="Arial" w:eastAsia="Arial" w:hAnsi="Arial"/>
          <w:sz w:val="14"/>
          <w:szCs w:val="14"/>
          <w:color w:val="auto"/>
        </w:rPr>
        <w:t>, for purposes of clauses (i) and (iii) above, any such conflict, breach, violation, default, lien, charge or encumbrance that would not, individually or in the aggregate, reasonably be expected to have a Material Adverse Effect and could not, individually or in the aggregate, reasonably be expected to have a material adverse effect on the Underwriters’ ability to consummate the transactions contemplated hereby.</w:t>
      </w:r>
    </w:p>
    <w:p>
      <w:pPr>
        <w:spacing w:after="0" w:line="149" w:lineRule="exact"/>
        <w:rPr>
          <w:rFonts w:ascii="Arial" w:cs="Arial" w:eastAsia="Arial" w:hAnsi="Arial"/>
          <w:sz w:val="14"/>
          <w:szCs w:val="14"/>
          <w:color w:val="auto"/>
        </w:rPr>
      </w:pPr>
    </w:p>
    <w:p>
      <w:pPr>
        <w:jc w:val="both"/>
        <w:ind w:firstLine="583"/>
        <w:spacing w:after="0" w:line="305" w:lineRule="auto"/>
        <w:tabs>
          <w:tab w:leader="none" w:pos="1224" w:val="left"/>
        </w:tabs>
        <w:numPr>
          <w:ilvl w:val="1"/>
          <w:numId w:val="144"/>
        </w:numPr>
        <w:rPr>
          <w:rFonts w:ascii="Arial" w:cs="Arial" w:eastAsia="Arial" w:hAnsi="Arial"/>
          <w:sz w:val="14"/>
          <w:szCs w:val="14"/>
          <w:color w:val="auto"/>
        </w:rPr>
      </w:pPr>
      <w:r>
        <w:rPr>
          <w:rFonts w:ascii="Arial" w:cs="Arial" w:eastAsia="Arial" w:hAnsi="Arial"/>
          <w:sz w:val="14"/>
          <w:szCs w:val="14"/>
          <w:color w:val="auto"/>
        </w:rPr>
        <w:t>Neither the Company nor any of its subsidiaries (i) has any outstanding obligations to the Office of the Chief Scientist of the Ministry of Economy of the State of Israel (the “</w:t>
      </w:r>
      <w:r>
        <w:rPr>
          <w:rFonts w:ascii="Arial" w:cs="Arial" w:eastAsia="Arial" w:hAnsi="Arial"/>
          <w:sz w:val="14"/>
          <w:szCs w:val="14"/>
          <w:b w:val="1"/>
          <w:bCs w:val="1"/>
          <w:i w:val="1"/>
          <w:iCs w:val="1"/>
          <w:color w:val="auto"/>
        </w:rPr>
        <w:t>Chief Scientist</w:t>
      </w:r>
      <w:r>
        <w:rPr>
          <w:rFonts w:ascii="Arial" w:cs="Arial" w:eastAsia="Arial" w:hAnsi="Arial"/>
          <w:sz w:val="14"/>
          <w:szCs w:val="14"/>
          <w:color w:val="auto"/>
        </w:rPr>
        <w:t>”) except as set forth in each of the most recent Preliminary Prospectus and Prospectus nor (ii) is in violation with respect to any instrument of approval granted to it by the Investment Center of the Ministry of Economy of the State of Israel (the “</w:t>
      </w:r>
      <w:r>
        <w:rPr>
          <w:rFonts w:ascii="Arial" w:cs="Arial" w:eastAsia="Arial" w:hAnsi="Arial"/>
          <w:sz w:val="14"/>
          <w:szCs w:val="14"/>
          <w:b w:val="1"/>
          <w:bCs w:val="1"/>
          <w:i w:val="1"/>
          <w:iCs w:val="1"/>
          <w:color w:val="auto"/>
        </w:rPr>
        <w:t>Investment Center</w:t>
      </w:r>
      <w:r>
        <w:rPr>
          <w:rFonts w:ascii="Arial" w:cs="Arial" w:eastAsia="Arial" w:hAnsi="Arial"/>
          <w:sz w:val="14"/>
          <w:szCs w:val="14"/>
          <w:color w:val="auto"/>
        </w:rPr>
        <w:t>”) or by the Chief Scientist. The Company has not received from the Investment Center any notice denying, revoking or adversely modifying any “approved enterprise” or “benefited enterprise” or “preferred enterprise” status with respect to any of the Company’s facilities or operations (including, in all such cases, notice of proceedings or investigations related thereto).</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68" w:name="page169"/>
    <w:bookmarkEnd w:id="168"/>
    <w:p>
      <w:pPr>
        <w:jc w:val="both"/>
        <w:ind w:firstLine="583"/>
        <w:spacing w:after="0" w:line="300" w:lineRule="auto"/>
        <w:tabs>
          <w:tab w:leader="none" w:pos="1234" w:val="left"/>
        </w:tabs>
        <w:numPr>
          <w:ilvl w:val="0"/>
          <w:numId w:val="145"/>
        </w:numPr>
        <w:rPr>
          <w:rFonts w:ascii="Arial" w:cs="Arial" w:eastAsia="Arial" w:hAnsi="Arial"/>
          <w:sz w:val="14"/>
          <w:szCs w:val="14"/>
          <w:color w:val="auto"/>
        </w:rPr>
      </w:pPr>
      <w:r>
        <w:rPr>
          <w:rFonts w:ascii="Arial" w:cs="Arial" w:eastAsia="Arial" w:hAnsi="Arial"/>
          <w:sz w:val="14"/>
          <w:szCs w:val="14"/>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most recent Preliminary Prospectus, except for (i) the registration of the Shares under the Securities Act; (ii) such consents, approvals, authorizations, orders, filings, registrations or qualifications as may be required under the Securities Exchange Act of 1934, as amended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and applicable state or foreign securities laws and/or the bylaws and rules of the Financial Industry Regulatory Authority (the “</w:t>
      </w:r>
      <w:r>
        <w:rPr>
          <w:rFonts w:ascii="Arial" w:cs="Arial" w:eastAsia="Arial" w:hAnsi="Arial"/>
          <w:sz w:val="14"/>
          <w:szCs w:val="14"/>
          <w:b w:val="1"/>
          <w:bCs w:val="1"/>
          <w:i w:val="1"/>
          <w:iCs w:val="1"/>
          <w:color w:val="auto"/>
        </w:rPr>
        <w:t>FINRA</w:t>
      </w:r>
      <w:r>
        <w:rPr>
          <w:rFonts w:ascii="Arial" w:cs="Arial" w:eastAsia="Arial" w:hAnsi="Arial"/>
          <w:sz w:val="14"/>
          <w:szCs w:val="14"/>
          <w:color w:val="auto"/>
        </w:rPr>
        <w:t>”) in connection with the purchase and sale of the Shares by the Underwriters; and (iii) the filing of certain information with the Registrar of Companies in the State of Israel, following the Closing, regarding the issuance of the Shares.</w:t>
      </w:r>
    </w:p>
    <w:p>
      <w:pPr>
        <w:spacing w:after="0" w:line="141" w:lineRule="exact"/>
        <w:rPr>
          <w:rFonts w:ascii="Arial" w:cs="Arial" w:eastAsia="Arial" w:hAnsi="Arial"/>
          <w:sz w:val="14"/>
          <w:szCs w:val="14"/>
          <w:color w:val="auto"/>
        </w:rPr>
      </w:pPr>
    </w:p>
    <w:p>
      <w:pPr>
        <w:jc w:val="both"/>
        <w:ind w:firstLine="583"/>
        <w:spacing w:after="0" w:line="262" w:lineRule="auto"/>
        <w:tabs>
          <w:tab w:leader="none" w:pos="120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historical financial statements (including the related notes and supporting schedules) included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65" w:lineRule="exact"/>
        <w:rPr>
          <w:rFonts w:ascii="Arial" w:cs="Arial" w:eastAsia="Arial" w:hAnsi="Arial"/>
          <w:sz w:val="16"/>
          <w:szCs w:val="16"/>
          <w:color w:val="auto"/>
        </w:rPr>
      </w:pPr>
    </w:p>
    <w:p>
      <w:pPr>
        <w:jc w:val="both"/>
        <w:ind w:firstLine="583"/>
        <w:spacing w:after="0" w:line="267" w:lineRule="auto"/>
        <w:tabs>
          <w:tab w:leader="none" w:pos="125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Kost Forer Gabbay &amp; Kasierer, a member of Ernst &amp; Young Global, who have certified certain financial statements of the Company and its consolidated subsidiaries, whose report appears in the most recent Preliminary Prospectus and who have delivered the initial letter referred to in Section 7(h) hereof, are independent public accountants as required by the Securities Act and the rules and regulations thereunder.</w:t>
      </w:r>
    </w:p>
    <w:p>
      <w:pPr>
        <w:spacing w:after="0" w:line="161" w:lineRule="exact"/>
        <w:rPr>
          <w:rFonts w:ascii="Arial" w:cs="Arial" w:eastAsia="Arial" w:hAnsi="Arial"/>
          <w:sz w:val="16"/>
          <w:szCs w:val="16"/>
          <w:color w:val="auto"/>
        </w:rPr>
      </w:pPr>
    </w:p>
    <w:p>
      <w:pPr>
        <w:jc w:val="both"/>
        <w:ind w:firstLine="583"/>
        <w:spacing w:after="0" w:line="257" w:lineRule="auto"/>
        <w:tabs>
          <w:tab w:leader="none" w:pos="128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w:t>
      </w:r>
    </w:p>
    <w:p>
      <w:pPr>
        <w:spacing w:after="0" w:line="171" w:lineRule="exact"/>
        <w:rPr>
          <w:rFonts w:ascii="Arial" w:cs="Arial" w:eastAsia="Arial" w:hAnsi="Arial"/>
          <w:sz w:val="16"/>
          <w:szCs w:val="16"/>
          <w:color w:val="auto"/>
        </w:rPr>
      </w:pPr>
    </w:p>
    <w:p>
      <w:pPr>
        <w:jc w:val="both"/>
        <w:ind w:firstLine="583"/>
        <w:spacing w:after="0" w:line="259" w:lineRule="auto"/>
        <w:tabs>
          <w:tab w:leader="none" w:pos="125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 The Company and its subsidiaries maintain disclosure controls and procedures (as such term is defined in Rule 13a-15(e) under the Exchange Act), (ii) such disclosure controls and procedures are designed to ensure that the information required to be disclosed by the Company in reports that it files or submits under the Exchange Act is accumulated and communicated to management of the Company and its subsidiaries, including their respective principal executive officers and principal financial officers, as appropriate and (iii) such disclosure controls and procedures are effective in all material respects to perform the functions for which they were established.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69" w:name="page170"/>
    <w:bookmarkEnd w:id="169"/>
    <w:p>
      <w:pPr>
        <w:jc w:val="both"/>
        <w:ind w:firstLine="583"/>
        <w:spacing w:after="0" w:line="281" w:lineRule="auto"/>
        <w:tabs>
          <w:tab w:leader="none" w:pos="123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Since the date of the most recent balance sheet of the Company and its consolidated subsidiaries reviewed or audited by Kost Forer Gabbay &amp; Kasierer, a member of Ernst &amp; Young Global, (i) the Company has not been advised of or become aware of (A) any material weakness or significant deficiency in in internal controls of the Company or its subsidiaries, and (B) any fraud, whether or not material, that involves management or other employees who have a significant role in the internal controls of the Company and each of its subsidiaries; and (ii) there have been no significant adverse changes in internal controls or in other factors that could significantly affect internal controls, including any corrective actions with regard to significant deficiencies and material weaknesses.</w:t>
      </w:r>
    </w:p>
    <w:p>
      <w:pPr>
        <w:spacing w:after="0" w:line="153" w:lineRule="exact"/>
        <w:rPr>
          <w:rFonts w:ascii="Arial" w:cs="Arial" w:eastAsia="Arial" w:hAnsi="Arial"/>
          <w:sz w:val="15"/>
          <w:szCs w:val="15"/>
          <w:color w:val="auto"/>
        </w:rPr>
      </w:pPr>
    </w:p>
    <w:p>
      <w:pPr>
        <w:ind w:firstLine="583"/>
        <w:spacing w:after="0" w:line="281" w:lineRule="auto"/>
        <w:tabs>
          <w:tab w:leader="none" w:pos="120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w:t>
      </w:r>
    </w:p>
    <w:p>
      <w:pPr>
        <w:spacing w:after="0" w:line="150" w:lineRule="exact"/>
        <w:rPr>
          <w:rFonts w:ascii="Arial" w:cs="Arial" w:eastAsia="Arial" w:hAnsi="Arial"/>
          <w:sz w:val="16"/>
          <w:szCs w:val="16"/>
          <w:color w:val="auto"/>
        </w:rPr>
      </w:pPr>
    </w:p>
    <w:p>
      <w:pPr>
        <w:jc w:val="both"/>
        <w:ind w:firstLine="583"/>
        <w:spacing w:after="0" w:line="296" w:lineRule="auto"/>
        <w:tabs>
          <w:tab w:leader="none" w:pos="1205" w:val="left"/>
        </w:tabs>
        <w:numPr>
          <w:ilvl w:val="0"/>
          <w:numId w:val="146"/>
        </w:numPr>
        <w:rPr>
          <w:rFonts w:ascii="Arial" w:cs="Arial" w:eastAsia="Arial" w:hAnsi="Arial"/>
          <w:sz w:val="14"/>
          <w:szCs w:val="14"/>
          <w:color w:val="auto"/>
        </w:rPr>
      </w:pPr>
      <w:r>
        <w:rPr>
          <w:rFonts w:ascii="Arial" w:cs="Arial" w:eastAsia="Arial" w:hAnsi="Arial"/>
          <w:sz w:val="14"/>
          <w:szCs w:val="14"/>
          <w:color w:val="auto"/>
        </w:rPr>
        <w:t>Since the date of the latest audited financial statements included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in the most recent Preliminary Prospectus, (iii) incurred any material liability or obligation, direct or contingent, other than liabilities and obligations that were incurred in the ordinary course of business or otherwise set forth in the most recent Preliminary Prospectus, (iv) entered into any material transaction not in the ordinary course of business, except as set forth in the most recent Preliminary Prospectus or (v) declared or paid any dividend on its share capital (except for dividends paid solely in ordinary shares) , and since such date, there has not been any change in the share capital (other than the issuance of ordinary shares, if any, pursuant to share option plans or other equity compensation plans or arrangements described in the most recent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146" w:lineRule="exact"/>
        <w:rPr>
          <w:sz w:val="20"/>
          <w:szCs w:val="20"/>
          <w:color w:val="auto"/>
        </w:rPr>
      </w:pPr>
    </w:p>
    <w:p>
      <w:pPr>
        <w:jc w:val="both"/>
        <w:ind w:firstLine="583"/>
        <w:spacing w:after="0" w:line="281" w:lineRule="auto"/>
        <w:tabs>
          <w:tab w:leader="none" w:pos="128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are described in the most recent Preliminary Prospectus or such as do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0" w:name="page171"/>
    <w:bookmarkEnd w:id="170"/>
    <w:p>
      <w:pPr>
        <w:jc w:val="both"/>
        <w:ind w:firstLine="583"/>
        <w:spacing w:after="0" w:line="277" w:lineRule="auto"/>
        <w:tabs>
          <w:tab w:leader="none" w:pos="1327"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Company and each of its subsidiaries have such permits, licenses, patents, franchises, certificates of need and other approvals or authorizations of governmental or regulatory authorities (“</w:t>
      </w:r>
      <w:r>
        <w:rPr>
          <w:rFonts w:ascii="Arial" w:cs="Arial" w:eastAsia="Arial" w:hAnsi="Arial"/>
          <w:sz w:val="15"/>
          <w:szCs w:val="15"/>
          <w:b w:val="1"/>
          <w:bCs w:val="1"/>
          <w:i w:val="1"/>
          <w:iCs w:val="1"/>
          <w:color w:val="auto"/>
        </w:rPr>
        <w:t>Permits</w:t>
      </w:r>
      <w:r>
        <w:rPr>
          <w:rFonts w:ascii="Arial" w:cs="Arial" w:eastAsia="Arial" w:hAnsi="Arial"/>
          <w:sz w:val="15"/>
          <w:szCs w:val="15"/>
          <w:color w:val="auto"/>
        </w:rPr>
        <w:t>”) as are necessary under applicable law to own their properties and conduct their businesses in the manner described in the most recent Preliminary Prospectus, except for any of the foregoing that would not, in the aggregate, reasonably be expected to have a Material Adverse Effect. The Company and each of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156" w:lineRule="exact"/>
        <w:rPr>
          <w:rFonts w:ascii="Arial" w:cs="Arial" w:eastAsia="Arial" w:hAnsi="Arial"/>
          <w:sz w:val="15"/>
          <w:szCs w:val="15"/>
          <w:color w:val="auto"/>
        </w:rPr>
      </w:pPr>
    </w:p>
    <w:p>
      <w:pPr>
        <w:jc w:val="both"/>
        <w:ind w:firstLine="583"/>
        <w:spacing w:after="0" w:line="281" w:lineRule="auto"/>
        <w:tabs>
          <w:tab w:leader="none" w:pos="127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Except as would not reasonably be expected to have a Material Adverse Effect, (i) the Company and each of its subsidiaries owns or possesses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(ii) the Company and each of its subsidiaries has no reason to believe that the conduct of their respective businesses will conflict with, and has not received any notice of any claim of conflict with, any such rights of others.</w:t>
      </w:r>
    </w:p>
    <w:p>
      <w:pPr>
        <w:spacing w:after="0" w:line="153" w:lineRule="exact"/>
        <w:rPr>
          <w:rFonts w:ascii="Arial" w:cs="Arial" w:eastAsia="Arial" w:hAnsi="Arial"/>
          <w:sz w:val="15"/>
          <w:szCs w:val="15"/>
          <w:color w:val="auto"/>
        </w:rPr>
      </w:pPr>
    </w:p>
    <w:p>
      <w:pPr>
        <w:jc w:val="both"/>
        <w:ind w:firstLine="583"/>
        <w:spacing w:after="0" w:line="262" w:lineRule="auto"/>
        <w:tabs>
          <w:tab w:leader="none" w:pos="121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to which the Company or any of its subsidiaries is a party or of which any property or assets of the Company or any of its subsidiaries is the subject that could,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65" w:lineRule="exact"/>
        <w:rPr>
          <w:rFonts w:ascii="Arial" w:cs="Arial" w:eastAsia="Arial" w:hAnsi="Arial"/>
          <w:sz w:val="16"/>
          <w:szCs w:val="16"/>
          <w:color w:val="auto"/>
        </w:rPr>
      </w:pPr>
    </w:p>
    <w:p>
      <w:pPr>
        <w:jc w:val="both"/>
        <w:ind w:firstLine="583"/>
        <w:spacing w:after="0" w:line="305" w:lineRule="auto"/>
        <w:tabs>
          <w:tab w:leader="none" w:pos="1315"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except as would not, individually or in the aggregate, reasonably be expected to have a Material Adverse Effect.</w:t>
      </w:r>
    </w:p>
    <w:p>
      <w:pPr>
        <w:spacing w:after="0" w:line="139" w:lineRule="exact"/>
        <w:rPr>
          <w:rFonts w:ascii="Arial" w:cs="Arial" w:eastAsia="Arial" w:hAnsi="Arial"/>
          <w:sz w:val="14"/>
          <w:szCs w:val="14"/>
          <w:color w:val="auto"/>
        </w:rPr>
      </w:pPr>
    </w:p>
    <w:p>
      <w:pPr>
        <w:jc w:val="both"/>
        <w:ind w:firstLine="583"/>
        <w:spacing w:after="0" w:line="259" w:lineRule="auto"/>
        <w:tabs>
          <w:tab w:leader="none" w:pos="132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statements made in the most recent Preliminary Prospectus under the captions “Business—Regulatory Matters”, “Management”, “Underwriting”, “Taxation and Israeli Government Programs Applicable to our Company”, “U.S. and Israeli Tax Consequences for our Shareholders” and “Enforceability of Civil Liabilities”, insofar as they purport to constitute summaries of the terms of statutes, rules or regulations, legal or governmental proceedings or contracts and other documents described therein, constitute accurate summaries of the terms of such statutes, rules and regulations, legal and governmental proceedings and contracts and other documents in all material respects.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1" w:name="page172"/>
    <w:bookmarkEnd w:id="171"/>
    <w:p>
      <w:pPr>
        <w:jc w:val="both"/>
        <w:ind w:firstLine="583"/>
        <w:spacing w:after="0" w:line="256" w:lineRule="auto"/>
        <w:tabs>
          <w:tab w:leader="none" w:pos="130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Company and its subsidiaries carry, or are covered by, insurance from insurers of recognized financial responsibility in such amounts and covering such risks as is reasonably believed by the Company to be adequate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71" w:lineRule="exact"/>
        <w:rPr>
          <w:rFonts w:ascii="Arial" w:cs="Arial" w:eastAsia="Arial" w:hAnsi="Arial"/>
          <w:sz w:val="16"/>
          <w:szCs w:val="16"/>
          <w:color w:val="auto"/>
        </w:rPr>
      </w:pPr>
    </w:p>
    <w:p>
      <w:pPr>
        <w:ind w:firstLine="583"/>
        <w:spacing w:after="0" w:line="281" w:lineRule="auto"/>
        <w:tabs>
          <w:tab w:leader="none" w:pos="123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on the one hand, and the directors, officers, shareholders, customers or suppliers of the Company, on the other hand, that is required to be described in the most recent Preliminary Prospectus which is not so described.</w:t>
      </w:r>
    </w:p>
    <w:p>
      <w:pPr>
        <w:spacing w:after="0" w:line="150" w:lineRule="exact"/>
        <w:rPr>
          <w:rFonts w:ascii="Arial" w:cs="Arial" w:eastAsia="Arial" w:hAnsi="Arial"/>
          <w:sz w:val="16"/>
          <w:szCs w:val="16"/>
          <w:color w:val="auto"/>
        </w:rPr>
      </w:pPr>
    </w:p>
    <w:p>
      <w:pPr>
        <w:jc w:val="both"/>
        <w:ind w:firstLine="583"/>
        <w:spacing w:after="0" w:line="267" w:lineRule="auto"/>
        <w:tabs>
          <w:tab w:leader="none" w:pos="120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 labor disturbance by or dispute with the employees of the Company or any of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and extension orders applicable to their employees in the State of Israel.</w:t>
      </w:r>
    </w:p>
    <w:p>
      <w:pPr>
        <w:spacing w:after="0" w:line="161" w:lineRule="exact"/>
        <w:rPr>
          <w:rFonts w:ascii="Arial" w:cs="Arial" w:eastAsia="Arial" w:hAnsi="Arial"/>
          <w:sz w:val="16"/>
          <w:szCs w:val="16"/>
          <w:color w:val="auto"/>
        </w:rPr>
      </w:pPr>
    </w:p>
    <w:p>
      <w:pPr>
        <w:jc w:val="both"/>
        <w:ind w:firstLine="583"/>
        <w:spacing w:after="0" w:line="277" w:lineRule="auto"/>
        <w:tabs>
          <w:tab w:leader="none" w:pos="117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2" w:name="page173"/>
    <w:bookmarkEnd w:id="172"/>
    <w:p>
      <w:pPr>
        <w:jc w:val="both"/>
        <w:ind w:firstLine="583"/>
        <w:spacing w:after="0" w:line="294" w:lineRule="auto"/>
        <w:tabs>
          <w:tab w:leader="none" w:pos="1252"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4"/>
          <w:szCs w:val="14"/>
          <w:b w:val="1"/>
          <w:bCs w:val="1"/>
          <w:i w:val="1"/>
          <w:iCs w:val="1"/>
          <w:color w:val="auto"/>
        </w:rPr>
        <w:t>Environmental Laws</w:t>
      </w:r>
      <w:r>
        <w:rPr>
          <w:rFonts w:ascii="Arial" w:cs="Arial" w:eastAsia="Arial" w:hAnsi="Arial"/>
          <w:sz w:val="14"/>
          <w:szCs w:val="14"/>
          <w:color w:val="auto"/>
        </w:rPr>
        <w:t xml:space="preserve">”)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w:t>
      </w:r>
      <w:r>
        <w:rPr>
          <w:rFonts w:ascii="Arial" w:cs="Arial" w:eastAsia="Arial" w:hAnsi="Arial"/>
          <w:sz w:val="14"/>
          <w:szCs w:val="14"/>
          <w:i w:val="1"/>
          <w:iCs w:val="1"/>
          <w:color w:val="auto"/>
        </w:rPr>
        <w:t>except</w:t>
      </w:r>
      <w:r>
        <w:rPr>
          <w:rFonts w:ascii="Arial" w:cs="Arial" w:eastAsia="Arial" w:hAnsi="Arial"/>
          <w:sz w:val="14"/>
          <w:szCs w:val="14"/>
          <w:color w:val="auto"/>
        </w:rPr>
        <w:t>, for purposes of clauses (i) and (ii) above, where such non-compliance, violation, liability, or other obligation would not, in the aggregate, reasonably be expected to have a Material Adverse Effect. Except as described in the most recent Preliminary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45" w:lineRule="exact"/>
        <w:rPr>
          <w:rFonts w:ascii="Arial" w:cs="Arial" w:eastAsia="Arial" w:hAnsi="Arial"/>
          <w:sz w:val="14"/>
          <w:szCs w:val="14"/>
          <w:color w:val="auto"/>
        </w:rPr>
      </w:pPr>
    </w:p>
    <w:p>
      <w:pPr>
        <w:jc w:val="both"/>
        <w:ind w:firstLine="583"/>
        <w:spacing w:after="0" w:line="305" w:lineRule="auto"/>
        <w:tabs>
          <w:tab w:leader="none" w:pos="127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Company and each of its subsidiaries have: (i) timely filed all federal, state, local and foreign income and all other material tax returns required to be filed through the date hereof, subject to permitted extensions, and such returns are true, correct and complete in all material respects, and (ii) timely paid all taxes due, except as may be being contested in good faith and by appropriate proceedings and for which adequate reserves have been made under GAAP, or where the failure to timely pay such taxes would not reasonably be expected to result in a Material Adverse Effect. The Company does not have any knowledge of any tax deficiencies that have been, or would reasonably be expected to be asserted against the Company or any of its subsidiaries, that could, in the aggregate, reasonably be expected to have a Material Adverse Effect.</w:t>
      </w:r>
    </w:p>
    <w:p>
      <w:pPr>
        <w:spacing w:after="0" w:line="139" w:lineRule="exact"/>
        <w:rPr>
          <w:rFonts w:ascii="Arial" w:cs="Arial" w:eastAsia="Arial" w:hAnsi="Arial"/>
          <w:sz w:val="14"/>
          <w:szCs w:val="14"/>
          <w:color w:val="auto"/>
        </w:rPr>
      </w:pPr>
    </w:p>
    <w:p>
      <w:pPr>
        <w:jc w:val="both"/>
        <w:ind w:firstLine="583"/>
        <w:spacing w:after="0" w:line="267" w:lineRule="auto"/>
        <w:tabs>
          <w:tab w:leader="none" w:pos="124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There is no pending, or threatened in writing, audit, examination, investigation, assessment, claim or other proceeding by any governmental authority with respect to the qualification of the Company or any of its subsidiaries as an Industrial Company or an Industrial Enterprise, as the case may be, pursuant to the Law for the Encouragement of Industry (Taxes), 5729-1969 or the Law for the Encouragement of Capital Investments, 5719-1959,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3" w:name="page174"/>
    <w:bookmarkEnd w:id="173"/>
    <w:p>
      <w:pPr>
        <w:jc w:val="both"/>
        <w:ind w:firstLine="583"/>
        <w:spacing w:after="0" w:line="273" w:lineRule="auto"/>
        <w:tabs>
          <w:tab w:leader="none" w:pos="119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 Each “employee benefit plan” (within the meaning of Section 3(3) of the Employee Retirement Security Act of 1974, as amended (“</w:t>
      </w:r>
      <w:r>
        <w:rPr>
          <w:rFonts w:ascii="Arial" w:cs="Arial" w:eastAsia="Arial" w:hAnsi="Arial"/>
          <w:sz w:val="15"/>
          <w:szCs w:val="15"/>
          <w:b w:val="1"/>
          <w:bCs w:val="1"/>
          <w:i w:val="1"/>
          <w:iCs w:val="1"/>
          <w:color w:val="auto"/>
        </w:rPr>
        <w:t>ERISA</w:t>
      </w:r>
      <w:r>
        <w:rPr>
          <w:rFonts w:ascii="Arial" w:cs="Arial" w:eastAsia="Arial" w:hAnsi="Arial"/>
          <w:sz w:val="15"/>
          <w:szCs w:val="15"/>
          <w:color w:val="auto"/>
        </w:rPr>
        <w:t>”)) for which the Company or any member of its “Controlled Group” (defined as any organization which is a member of a controlled group of corporations within the meaning of Section 414 of the Code) would have any liability (each a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65" w:lineRule="exact"/>
        <w:rPr>
          <w:rFonts w:ascii="Arial" w:cs="Arial" w:eastAsia="Arial" w:hAnsi="Arial"/>
          <w:sz w:val="15"/>
          <w:szCs w:val="15"/>
          <w:color w:val="auto"/>
        </w:rPr>
      </w:pPr>
    </w:p>
    <w:p>
      <w:pPr>
        <w:ind w:firstLine="583"/>
        <w:spacing w:after="0" w:line="281" w:lineRule="auto"/>
        <w:tabs>
          <w:tab w:leader="none" w:pos="120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statistical and market-related data included in the most recent Preliminary Prospectus are based on or derived from sources that the Company believes to be reliable in all material respects.</w:t>
      </w:r>
    </w:p>
    <w:p>
      <w:pPr>
        <w:spacing w:after="0" w:line="150" w:lineRule="exact"/>
        <w:rPr>
          <w:rFonts w:ascii="Arial" w:cs="Arial" w:eastAsia="Arial" w:hAnsi="Arial"/>
          <w:sz w:val="16"/>
          <w:szCs w:val="16"/>
          <w:color w:val="auto"/>
        </w:rPr>
      </w:pPr>
    </w:p>
    <w:p>
      <w:pPr>
        <w:jc w:val="both"/>
        <w:ind w:firstLine="583"/>
        <w:spacing w:after="0" w:line="259" w:lineRule="auto"/>
        <w:tabs>
          <w:tab w:leader="none" w:pos="119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and as of the applicable Delivery Date and, after giving effect to the offer and sale of the Shares and the application of the proceeds therefrom as described under “Use of Proceeds” in the most recent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6"/>
          <w:szCs w:val="16"/>
          <w:b w:val="1"/>
          <w:bCs w:val="1"/>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Company Act</w:t>
      </w:r>
      <w:r>
        <w:rPr>
          <w:rFonts w:ascii="Arial" w:cs="Arial" w:eastAsia="Arial" w:hAnsi="Arial"/>
          <w:sz w:val="16"/>
          <w:szCs w:val="16"/>
          <w:color w:val="auto"/>
        </w:rPr>
        <w:t>”), and the rules and regulations of the Commission thereunder, or (ii) a “business development company” (as defined in Section 2(a)(48) of the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Act).</w:t>
      </w:r>
    </w:p>
    <w:p>
      <w:pPr>
        <w:spacing w:after="0" w:line="170" w:lineRule="exact"/>
        <w:rPr>
          <w:rFonts w:ascii="Arial" w:cs="Arial" w:eastAsia="Arial" w:hAnsi="Arial"/>
          <w:sz w:val="16"/>
          <w:szCs w:val="16"/>
          <w:color w:val="auto"/>
        </w:rPr>
      </w:pPr>
    </w:p>
    <w:p>
      <w:pPr>
        <w:jc w:val="both"/>
        <w:ind w:firstLine="583"/>
        <w:spacing w:after="0" w:line="262" w:lineRule="auto"/>
        <w:tabs>
          <w:tab w:leader="none" w:pos="121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65" w:lineRule="exact"/>
        <w:rPr>
          <w:rFonts w:ascii="Arial" w:cs="Arial" w:eastAsia="Arial" w:hAnsi="Arial"/>
          <w:sz w:val="16"/>
          <w:szCs w:val="16"/>
          <w:color w:val="auto"/>
        </w:rPr>
      </w:pPr>
    </w:p>
    <w:p>
      <w:pPr>
        <w:jc w:val="both"/>
        <w:ind w:firstLine="583"/>
        <w:spacing w:after="0" w:line="267" w:lineRule="auto"/>
        <w:tabs>
          <w:tab w:leader="none" w:pos="129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4" w:name="page175"/>
    <w:bookmarkEnd w:id="174"/>
    <w:p>
      <w:pPr>
        <w:ind w:firstLine="583"/>
        <w:spacing w:after="0" w:line="281" w:lineRule="auto"/>
        <w:tabs>
          <w:tab w:leader="none" w:pos="120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150" w:lineRule="exact"/>
        <w:rPr>
          <w:rFonts w:ascii="Arial" w:cs="Arial" w:eastAsia="Arial" w:hAnsi="Arial"/>
          <w:sz w:val="16"/>
          <w:szCs w:val="16"/>
          <w:color w:val="auto"/>
        </w:rPr>
      </w:pPr>
    </w:p>
    <w:p>
      <w:pPr>
        <w:ind w:firstLine="583"/>
        <w:spacing w:after="0" w:line="281" w:lineRule="auto"/>
        <w:tabs>
          <w:tab w:leader="none" w:pos="123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50" w:lineRule="exact"/>
        <w:rPr>
          <w:rFonts w:ascii="Arial" w:cs="Arial" w:eastAsia="Arial" w:hAnsi="Arial"/>
          <w:sz w:val="16"/>
          <w:szCs w:val="16"/>
          <w:color w:val="auto"/>
        </w:rPr>
      </w:pPr>
    </w:p>
    <w:p>
      <w:pPr>
        <w:jc w:val="both"/>
        <w:ind w:firstLine="583"/>
        <w:spacing w:after="0" w:line="285" w:lineRule="auto"/>
        <w:tabs>
          <w:tab w:leader="none" w:pos="131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Assuming the Underwriters have not offered the Shares or otherwise engaged in solicitation, advertising or any other action constituting an offer to the public under the Israeli Securities Law 5728-1968, as amended, (the “</w:t>
      </w:r>
      <w:r>
        <w:rPr>
          <w:rFonts w:ascii="Arial" w:cs="Arial" w:eastAsia="Arial" w:hAnsi="Arial"/>
          <w:sz w:val="15"/>
          <w:szCs w:val="15"/>
          <w:b w:val="1"/>
          <w:bCs w:val="1"/>
          <w:i w:val="1"/>
          <w:iCs w:val="1"/>
          <w:color w:val="auto"/>
        </w:rPr>
        <w:t>Israeli Securities Law</w:t>
      </w:r>
      <w:r>
        <w:rPr>
          <w:rFonts w:ascii="Arial" w:cs="Arial" w:eastAsia="Arial" w:hAnsi="Arial"/>
          <w:sz w:val="15"/>
          <w:szCs w:val="15"/>
          <w:color w:val="auto"/>
        </w:rPr>
        <w:t>”) in Israel, the Company has not engaged in any form of solicitation, advertising or any other action constituting an offer under the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49" w:lineRule="exact"/>
        <w:rPr>
          <w:rFonts w:ascii="Arial" w:cs="Arial" w:eastAsia="Arial" w:hAnsi="Arial"/>
          <w:sz w:val="15"/>
          <w:szCs w:val="15"/>
          <w:color w:val="auto"/>
        </w:rPr>
      </w:pPr>
    </w:p>
    <w:p>
      <w:pPr>
        <w:ind w:left="1220" w:hanging="637"/>
        <w:spacing w:after="0"/>
        <w:tabs>
          <w:tab w:leader="none" w:pos="122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Shares have been approved for listing, subject to official notice of issuance and evidence of satisfactory distribution on, The NASDAQ Global Market.</w:t>
      </w:r>
    </w:p>
    <w:p>
      <w:pPr>
        <w:spacing w:after="0" w:line="226" w:lineRule="exact"/>
        <w:rPr>
          <w:rFonts w:ascii="Arial" w:cs="Arial" w:eastAsia="Arial" w:hAnsi="Arial"/>
          <w:sz w:val="14"/>
          <w:szCs w:val="14"/>
          <w:color w:val="auto"/>
        </w:rPr>
      </w:pPr>
    </w:p>
    <w:p>
      <w:pPr>
        <w:jc w:val="both"/>
        <w:ind w:firstLine="583"/>
        <w:spacing w:after="0" w:line="292" w:lineRule="auto"/>
        <w:tabs>
          <w:tab w:leader="none" w:pos="1288"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Representatives have consented in accordance with Section 1(j) or 5(a)(vi) and any Issuer Free Writing Prospectus set forth on Schedule V hereto.</w:t>
      </w:r>
    </w:p>
    <w:p>
      <w:pPr>
        <w:spacing w:after="0" w:line="145" w:lineRule="exact"/>
        <w:rPr>
          <w:rFonts w:ascii="Arial" w:cs="Arial" w:eastAsia="Arial" w:hAnsi="Arial"/>
          <w:sz w:val="15"/>
          <w:szCs w:val="15"/>
          <w:color w:val="auto"/>
        </w:rPr>
      </w:pPr>
    </w:p>
    <w:p>
      <w:pPr>
        <w:jc w:val="both"/>
        <w:ind w:firstLine="583"/>
        <w:spacing w:after="0" w:line="292" w:lineRule="auto"/>
        <w:tabs>
          <w:tab w:leader="none" w:pos="1277" w:val="left"/>
        </w:tabs>
        <w:numPr>
          <w:ilvl w:val="0"/>
          <w:numId w:val="152"/>
        </w:numPr>
        <w:rPr>
          <w:rFonts w:ascii="Arial" w:cs="Arial" w:eastAsia="Arial" w:hAnsi="Arial"/>
          <w:sz w:val="15"/>
          <w:szCs w:val="15"/>
          <w:color w:val="auto"/>
        </w:rPr>
      </w:pPr>
      <w:r>
        <w:rPr>
          <w:rFonts w:ascii="Arial" w:cs="Arial" w:eastAsia="Arial" w:hAnsi="Arial"/>
          <w:sz w:val="15"/>
          <w:szCs w:val="15"/>
          <w:color w:val="auto"/>
        </w:rPr>
        <w:t>Neither the Company nor any subsidiary is in violation of or has received notice of any violation with respect to any Israeli, federal or state law relating to discrimination in the hiring, promotion or pay of employees, nor any applicable Israeli, federal or state wage and hour laws, nor any state law precluding the denial of credit due to the neighborhood in which a property is situated, the violation of any of which could reasonably be expected to have a Material Adverse Effect.</w:t>
      </w:r>
    </w:p>
    <w:p>
      <w:pPr>
        <w:spacing w:after="0" w:line="145" w:lineRule="exact"/>
        <w:rPr>
          <w:rFonts w:ascii="Arial" w:cs="Arial" w:eastAsia="Arial" w:hAnsi="Arial"/>
          <w:sz w:val="15"/>
          <w:szCs w:val="15"/>
          <w:color w:val="auto"/>
        </w:rPr>
      </w:pPr>
    </w:p>
    <w:p>
      <w:pPr>
        <w:jc w:val="both"/>
        <w:ind w:firstLine="583"/>
        <w:spacing w:after="0" w:line="297" w:lineRule="auto"/>
        <w:tabs>
          <w:tab w:leader="none" w:pos="1296" w:val="left"/>
        </w:tabs>
        <w:numPr>
          <w:ilvl w:val="0"/>
          <w:numId w:val="152"/>
        </w:numPr>
        <w:rPr>
          <w:rFonts w:ascii="Arial" w:cs="Arial" w:eastAsia="Arial" w:hAnsi="Arial"/>
          <w:sz w:val="14"/>
          <w:szCs w:val="14"/>
          <w:color w:val="auto"/>
        </w:rPr>
      </w:pPr>
      <w:r>
        <w:rPr>
          <w:rFonts w:ascii="Arial" w:cs="Arial" w:eastAsia="Arial" w:hAnsi="Arial"/>
          <w:sz w:val="14"/>
          <w:szCs w:val="14"/>
          <w:color w:val="auto"/>
        </w:rPr>
        <w:t>Neither the Company nor any of its subsidiaries, nor, to the knowledge of the Company,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 relating to political activity; (ii) made any direct or indirect unlawful payment to any foreign or domestic government official, “foreign official” (as defined in the U.S. Foreign Corrupt Practices Act of 1977, as amended, and the rules and regulations thereunder (collectively, the “</w:t>
      </w:r>
      <w:r>
        <w:rPr>
          <w:rFonts w:ascii="Arial" w:cs="Arial" w:eastAsia="Arial" w:hAnsi="Arial"/>
          <w:sz w:val="14"/>
          <w:szCs w:val="14"/>
          <w:b w:val="1"/>
          <w:bCs w:val="1"/>
          <w:i w:val="1"/>
          <w:iCs w:val="1"/>
          <w:color w:val="auto"/>
        </w:rPr>
        <w:t>FCPA</w:t>
      </w:r>
      <w:r>
        <w:rPr>
          <w:rFonts w:ascii="Arial" w:cs="Arial" w:eastAsia="Arial" w:hAnsi="Arial"/>
          <w:sz w:val="14"/>
          <w:szCs w:val="14"/>
          <w:color w:val="auto"/>
        </w:rPr>
        <w:t>”)) or employee from corporate funds; (iii) violated or is in violation of any provision of the FCPA, Section 291 and 291A of the Israeli Penal Law 5733-1973, the U.K. Bribery Act 2010, as amended, or any other applicable anti-bribery statute or regulation; or (iv) made any bribe, rebate, payoff, influence payment, kickback or other unlawful payment to any domestic government official, foreign official or employee; and the Company and its subsidiaries and the Company's controlled affiliates have conducted their respective businesses in compliance with the FCPA, Sections 291 and 291A of the Israeli Penal Law 5733-1973, U.K. Bribery Act 2010, and all other applicable anti-bribery statutes and regulations, and have instituted and maintain policies and procedures designed to promote continued compliance therewith.</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5" w:name="page176"/>
    <w:bookmarkEnd w:id="175"/>
    <w:p>
      <w:pPr>
        <w:jc w:val="both"/>
        <w:ind w:firstLine="583"/>
        <w:spacing w:after="0" w:line="281" w:lineRule="auto"/>
        <w:tabs>
          <w:tab w:leader="none" w:pos="1284"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5"/>
          <w:szCs w:val="15"/>
          <w:b w:val="1"/>
          <w:bCs w:val="1"/>
          <w:i w:val="1"/>
          <w:iCs w:val="1"/>
          <w:color w:val="auto"/>
        </w:rPr>
        <w:t>Money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Laundering Laws</w:t>
      </w:r>
      <w:r>
        <w:rPr>
          <w:rFonts w:ascii="Arial" w:cs="Arial" w:eastAsia="Arial" w:hAnsi="Arial"/>
          <w:sz w:val="15"/>
          <w:szCs w:val="15"/>
          <w:color w:val="auto"/>
        </w:rPr>
        <w:t>”) and no action, suit or proceeding by or before any court or governmental agency, authority or body or any arbitrator involving the Company or any of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subsidiaries with respect to the Money Laundering Laws is pending or, to the knowledge of the Company, threatened.</w:t>
      </w:r>
    </w:p>
    <w:p>
      <w:pPr>
        <w:spacing w:after="0" w:line="153" w:lineRule="exact"/>
        <w:rPr>
          <w:sz w:val="20"/>
          <w:szCs w:val="20"/>
          <w:color w:val="auto"/>
        </w:rPr>
      </w:pPr>
    </w:p>
    <w:p>
      <w:pPr>
        <w:jc w:val="both"/>
        <w:ind w:firstLine="583"/>
        <w:spacing w:after="0" w:line="274" w:lineRule="auto"/>
        <w:tabs>
          <w:tab w:leader="none" w:pos="1266" w:val="left"/>
        </w:tabs>
        <w:numPr>
          <w:ilvl w:val="0"/>
          <w:numId w:val="154"/>
        </w:numPr>
        <w:rPr>
          <w:rFonts w:ascii="Arial" w:cs="Arial" w:eastAsia="Arial" w:hAnsi="Arial"/>
          <w:sz w:val="15"/>
          <w:szCs w:val="15"/>
          <w:color w:val="auto"/>
        </w:rPr>
      </w:pPr>
      <w:r>
        <w:rPr>
          <w:rFonts w:ascii="Arial" w:cs="Arial" w:eastAsia="Arial" w:hAnsi="Arial"/>
          <w:sz w:val="15"/>
          <w:szCs w:val="15"/>
          <w:color w:val="auto"/>
        </w:rPr>
        <w:t>Neither the Company nor any of its subsidiaries nor, to the knowledge of the Company, any director, officer, agent, employee or controlled affiliate of the Company or any of its subsidiaries is (i) currently subject to any sanctions administered by the Office of Foreign Assets Control of the U.S. Treasury Department (“</w:t>
      </w:r>
      <w:r>
        <w:rPr>
          <w:rFonts w:ascii="Arial" w:cs="Arial" w:eastAsia="Arial" w:hAnsi="Arial"/>
          <w:sz w:val="15"/>
          <w:szCs w:val="15"/>
          <w:b w:val="1"/>
          <w:bCs w:val="1"/>
          <w:i w:val="1"/>
          <w:iCs w:val="1"/>
          <w:color w:val="auto"/>
        </w:rPr>
        <w:t>OFAC</w:t>
      </w:r>
      <w:r>
        <w:rPr>
          <w:rFonts w:ascii="Arial" w:cs="Arial" w:eastAsia="Arial" w:hAnsi="Arial"/>
          <w:sz w:val="15"/>
          <w:szCs w:val="15"/>
          <w:color w:val="auto"/>
        </w:rPr>
        <w:t>”), the U.S. Department of State, the United Nations Security Council (“</w:t>
      </w:r>
      <w:r>
        <w:rPr>
          <w:rFonts w:ascii="Arial" w:cs="Arial" w:eastAsia="Arial" w:hAnsi="Arial"/>
          <w:sz w:val="15"/>
          <w:szCs w:val="15"/>
          <w:b w:val="1"/>
          <w:bCs w:val="1"/>
          <w:i w:val="1"/>
          <w:iCs w:val="1"/>
          <w:color w:val="auto"/>
        </w:rPr>
        <w:t>UNSC</w:t>
      </w:r>
      <w:r>
        <w:rPr>
          <w:rFonts w:ascii="Arial" w:cs="Arial" w:eastAsia="Arial" w:hAnsi="Arial"/>
          <w:sz w:val="15"/>
          <w:szCs w:val="15"/>
          <w:color w:val="auto"/>
        </w:rPr>
        <w:t>”), the European Union (“</w:t>
      </w:r>
      <w:r>
        <w:rPr>
          <w:rFonts w:ascii="Arial" w:cs="Arial" w:eastAsia="Arial" w:hAnsi="Arial"/>
          <w:sz w:val="15"/>
          <w:szCs w:val="15"/>
          <w:b w:val="1"/>
          <w:bCs w:val="1"/>
          <w:i w:val="1"/>
          <w:iCs w:val="1"/>
          <w:color w:val="auto"/>
        </w:rPr>
        <w:t>EU</w:t>
      </w:r>
      <w:r>
        <w:rPr>
          <w:rFonts w:ascii="Arial" w:cs="Arial" w:eastAsia="Arial" w:hAnsi="Arial"/>
          <w:sz w:val="15"/>
          <w:szCs w:val="15"/>
          <w:color w:val="auto"/>
        </w:rPr>
        <w:t>”), Her Majesty’s Treasury (“</w:t>
      </w:r>
      <w:r>
        <w:rPr>
          <w:rFonts w:ascii="Arial" w:cs="Arial" w:eastAsia="Arial" w:hAnsi="Arial"/>
          <w:sz w:val="15"/>
          <w:szCs w:val="15"/>
          <w:b w:val="1"/>
          <w:bCs w:val="1"/>
          <w:i w:val="1"/>
          <w:iCs w:val="1"/>
          <w:color w:val="auto"/>
        </w:rPr>
        <w:t>HMT</w:t>
      </w:r>
      <w:r>
        <w:rPr>
          <w:rFonts w:ascii="Arial" w:cs="Arial" w:eastAsia="Arial" w:hAnsi="Arial"/>
          <w:sz w:val="15"/>
          <w:szCs w:val="15"/>
          <w:color w:val="auto"/>
        </w:rPr>
        <w:t>”), or other relevant sanctions authority (collectively, “</w:t>
      </w:r>
      <w:r>
        <w:rPr>
          <w:rFonts w:ascii="Arial" w:cs="Arial" w:eastAsia="Arial" w:hAnsi="Arial"/>
          <w:sz w:val="15"/>
          <w:szCs w:val="15"/>
          <w:b w:val="1"/>
          <w:bCs w:val="1"/>
          <w:i w:val="1"/>
          <w:iCs w:val="1"/>
          <w:color w:val="auto"/>
        </w:rPr>
        <w:t>Sanctions</w:t>
      </w:r>
      <w:r>
        <w:rPr>
          <w:rFonts w:ascii="Arial" w:cs="Arial" w:eastAsia="Arial" w:hAnsi="Arial"/>
          <w:sz w:val="15"/>
          <w:szCs w:val="15"/>
          <w:color w:val="auto"/>
        </w:rPr>
        <w:t>”); or (ii) located, organized or ordinarily resident in a country that is the subject of comprehensive country-wide Sanctions (including, without limitation, Cuba, Iran, North Korea, Sudan, and Syria); and the Company will not directly or indirectly use the proceeds of the offering, or lend, contribute or otherwise make available such proceeds to any subsidiary, joint venture partner or other person or entity, for the purpose of financing the activities of any person that is the target of Sanctions, or in any country or territory that currently is the subject or target of comprehensive country-wide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that at the time of the dealing or transaction is or was the subject or target of Sanctions or in any country or territory that at the time of the dealing or transaction is or was the subject or target of comprehensive Sanctions, in violation of applicable Sanctions.</w:t>
      </w:r>
    </w:p>
    <w:p>
      <w:pPr>
        <w:spacing w:after="0" w:line="159" w:lineRule="exact"/>
        <w:rPr>
          <w:rFonts w:ascii="Arial" w:cs="Arial" w:eastAsia="Arial" w:hAnsi="Arial"/>
          <w:sz w:val="15"/>
          <w:szCs w:val="15"/>
          <w:color w:val="auto"/>
        </w:rPr>
      </w:pPr>
    </w:p>
    <w:p>
      <w:pPr>
        <w:ind w:firstLine="583"/>
        <w:spacing w:after="0" w:line="281" w:lineRule="auto"/>
        <w:tabs>
          <w:tab w:leader="none" w:pos="126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no approvals are currently required in the State of Israel in order for the Company to pay dividends or other distributions declared by the Company to the holders of Underlying Securities, including the Depositary.</w:t>
      </w:r>
    </w:p>
    <w:p>
      <w:pPr>
        <w:spacing w:after="0" w:line="150" w:lineRule="exact"/>
        <w:rPr>
          <w:rFonts w:ascii="Arial" w:cs="Arial" w:eastAsia="Arial" w:hAnsi="Arial"/>
          <w:sz w:val="16"/>
          <w:szCs w:val="16"/>
          <w:color w:val="auto"/>
        </w:rPr>
      </w:pPr>
    </w:p>
    <w:p>
      <w:pPr>
        <w:jc w:val="both"/>
        <w:ind w:firstLine="583"/>
        <w:spacing w:after="0" w:line="262" w:lineRule="auto"/>
        <w:tabs>
          <w:tab w:leader="none" w:pos="123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Subject to the qualifications and assumptions set forth in the Pricing Disclosure Package, the Registration Statement and the Prospectus, the Company does not believe it was, for its most recently completed taxable year, a “passive foreign investment company” (as defined in Section 1297 of the Code, and the regulations promulgated thereunder). Based on the Company’s current projected income, assets and activities, the Company does not expect to be classified as a “passive foreign investment company” for the taxable year starting on January 1, 2015 or for any foreseeable subsequent taxable year.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6" w:name="page177"/>
    <w:bookmarkEnd w:id="176"/>
    <w:p>
      <w:pPr>
        <w:jc w:val="both"/>
        <w:ind w:firstLine="583"/>
        <w:spacing w:after="0" w:line="267" w:lineRule="auto"/>
        <w:tabs>
          <w:tab w:leader="none" w:pos="125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Assuming that the Underwriters are not otherwise subject to taxation in the State of Israel, none of the issuance, delivery and sale of the Shares by the Company or the execution and delivery of this Agreement will be subject to any tax (including interest and penalties) imposed on the Underwriters by the State of Israel or any political subdivision thereof whether imposed directly or through withholding.</w:t>
      </w:r>
    </w:p>
    <w:p>
      <w:pPr>
        <w:spacing w:after="0" w:line="161" w:lineRule="exact"/>
        <w:rPr>
          <w:rFonts w:ascii="Arial" w:cs="Arial" w:eastAsia="Arial" w:hAnsi="Arial"/>
          <w:sz w:val="16"/>
          <w:szCs w:val="16"/>
          <w:color w:val="auto"/>
        </w:rPr>
      </w:pPr>
    </w:p>
    <w:p>
      <w:pPr>
        <w:ind w:firstLine="583"/>
        <w:spacing w:after="0" w:line="316" w:lineRule="auto"/>
        <w:tabs>
          <w:tab w:leader="none" w:pos="1189" w:val="left"/>
        </w:tabs>
        <w:numPr>
          <w:ilvl w:val="0"/>
          <w:numId w:val="155"/>
        </w:numPr>
        <w:rPr>
          <w:rFonts w:ascii="Arial" w:cs="Arial" w:eastAsia="Arial" w:hAnsi="Arial"/>
          <w:sz w:val="15"/>
          <w:szCs w:val="15"/>
          <w:color w:val="auto"/>
        </w:rPr>
      </w:pPr>
      <w:r>
        <w:rPr>
          <w:rFonts w:ascii="Arial" w:cs="Arial" w:eastAsia="Arial" w:hAnsi="Arial"/>
          <w:sz w:val="15"/>
          <w:szCs w:val="15"/>
          <w:color w:val="auto"/>
        </w:rPr>
        <w:t>Neither the Company, any of its subsidiaries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27" w:lineRule="exact"/>
        <w:rPr>
          <w:rFonts w:ascii="Arial" w:cs="Arial" w:eastAsia="Arial" w:hAnsi="Arial"/>
          <w:sz w:val="15"/>
          <w:szCs w:val="15"/>
          <w:color w:val="auto"/>
        </w:rPr>
      </w:pPr>
    </w:p>
    <w:p>
      <w:pPr>
        <w:jc w:val="both"/>
        <w:ind w:firstLine="583"/>
        <w:spacing w:after="0" w:line="322" w:lineRule="auto"/>
        <w:tabs>
          <w:tab w:leader="none" w:pos="1383" w:val="left"/>
        </w:tabs>
        <w:numPr>
          <w:ilvl w:val="0"/>
          <w:numId w:val="155"/>
        </w:numPr>
        <w:rPr>
          <w:rFonts w:ascii="Arial" w:cs="Arial" w:eastAsia="Arial" w:hAnsi="Arial"/>
          <w:sz w:val="14"/>
          <w:szCs w:val="14"/>
          <w:color w:val="auto"/>
        </w:rPr>
      </w:pPr>
      <w:r>
        <w:rPr>
          <w:rFonts w:ascii="Arial" w:cs="Arial" w:eastAsia="Arial" w:hAnsi="Arial"/>
          <w:sz w:val="14"/>
          <w:szCs w:val="14"/>
          <w:color w:val="auto"/>
        </w:rPr>
        <w:t>Except as disclosed in the Pricing Disclosure Package and the Prospectus, for a period of twelve months prior to and including the date hereof, the Company has not offered or sold any of its securities in Israel except under the employee benefit plans, qualified share option plans or other equity compensation plans or arrangements existing on the date hereof, including the exercise of options granted under such plans, and disclosed in the Pricing Disclosure Package and the Prospectus.</w:t>
      </w:r>
    </w:p>
    <w:p>
      <w:pPr>
        <w:spacing w:after="0" w:line="127" w:lineRule="exact"/>
        <w:rPr>
          <w:rFonts w:ascii="Arial" w:cs="Arial" w:eastAsia="Arial" w:hAnsi="Arial"/>
          <w:sz w:val="14"/>
          <w:szCs w:val="14"/>
          <w:color w:val="auto"/>
        </w:rPr>
      </w:pPr>
    </w:p>
    <w:p>
      <w:pPr>
        <w:ind w:left="1180" w:hanging="597"/>
        <w:spacing w:after="0"/>
        <w:tabs>
          <w:tab w:leader="none" w:pos="11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qualifies as a “foreign private issuer” within the meaning of Rule 405 under the Act.</w:t>
      </w:r>
    </w:p>
    <w:p>
      <w:pPr>
        <w:spacing w:after="0" w:line="203" w:lineRule="exact"/>
        <w:rPr>
          <w:rFonts w:ascii="Arial" w:cs="Arial" w:eastAsia="Arial" w:hAnsi="Arial"/>
          <w:sz w:val="16"/>
          <w:szCs w:val="16"/>
          <w:color w:val="auto"/>
        </w:rPr>
      </w:pPr>
    </w:p>
    <w:p>
      <w:pPr>
        <w:ind w:left="1180" w:hanging="597"/>
        <w:spacing w:after="0"/>
        <w:tabs>
          <w:tab w:leader="none" w:pos="118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Company has duly designated Kornit Digital North America, Inc. as its authorized agent to receive service of process as set forth in Section 19.</w:t>
      </w:r>
    </w:p>
    <w:p>
      <w:pPr>
        <w:spacing w:after="0" w:line="2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pursuant to this Agreement in connection with the offering of the Shares shall be deemed a representation and warranty by the Company, as to matters covered thereby, to each Underwriter.</w:t>
      </w:r>
    </w:p>
    <w:p>
      <w:pPr>
        <w:spacing w:after="0" w:line="151" w:lineRule="exact"/>
        <w:rPr>
          <w:sz w:val="20"/>
          <w:szCs w:val="20"/>
          <w:color w:val="auto"/>
        </w:rPr>
      </w:pPr>
    </w:p>
    <w:p>
      <w:pPr>
        <w:jc w:val="both"/>
        <w:ind w:firstLine="1164"/>
        <w:spacing w:after="0" w:line="285" w:lineRule="auto"/>
        <w:tabs>
          <w:tab w:leader="none" w:pos="1700" w:val="left"/>
        </w:tabs>
        <w:numPr>
          <w:ilvl w:val="0"/>
          <w:numId w:val="156"/>
        </w:numPr>
        <w:rPr>
          <w:rFonts w:ascii="Arial" w:cs="Arial" w:eastAsia="Arial" w:hAnsi="Arial"/>
          <w:sz w:val="15"/>
          <w:szCs w:val="15"/>
          <w:color w:val="auto"/>
        </w:rPr>
      </w:pPr>
      <w:r>
        <w:rPr>
          <w:rFonts w:ascii="Arial" w:cs="Arial" w:eastAsia="Arial" w:hAnsi="Arial"/>
          <w:sz w:val="15"/>
          <w:szCs w:val="15"/>
          <w:i w:val="1"/>
          <w:iCs w:val="1"/>
          <w:color w:val="auto"/>
        </w:rPr>
        <w:t xml:space="preserve">Purchase of the Shares by the Underwriters. </w:t>
      </w:r>
      <w:r>
        <w:rPr>
          <w:rFonts w:ascii="Arial" w:cs="Arial" w:eastAsia="Arial" w:hAnsi="Arial"/>
          <w:sz w:val="15"/>
          <w:szCs w:val="15"/>
          <w:color w:val="auto"/>
        </w:rPr>
        <w:t>On the basis of the representations, warranties and covenants contained in, and subject to the terms and</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of, this Agreement, the Company agrees to sell [●] Firm Shares to the several Underwriters, and each of the Underwriters, severally and not jointly, agrees to purchase the number of Firm Shares set forth opposite that Underwriter’s name in Schedule I hereto. The respective purchase obligations of the Underwriters with respect to the Firm Shares shall be rounded among the Underwriters to avoid fractional shares, as the Representatives may determine.</w:t>
      </w:r>
    </w:p>
    <w:p>
      <w:pPr>
        <w:spacing w:after="0" w:line="150" w:lineRule="exact"/>
        <w:rPr>
          <w:sz w:val="20"/>
          <w:szCs w:val="20"/>
          <w:color w:val="auto"/>
        </w:rPr>
      </w:pPr>
    </w:p>
    <w:p>
      <w:pPr>
        <w:jc w:val="both"/>
        <w:ind w:firstLine="1163"/>
        <w:spacing w:after="0" w:line="259" w:lineRule="auto"/>
        <w:rPr>
          <w:sz w:val="20"/>
          <w:szCs w:val="20"/>
          <w:color w:val="auto"/>
        </w:rPr>
      </w:pPr>
      <w:r>
        <w:rPr>
          <w:rFonts w:ascii="Arial" w:cs="Arial" w:eastAsia="Arial" w:hAnsi="Arial"/>
          <w:sz w:val="16"/>
          <w:szCs w:val="16"/>
          <w:color w:val="auto"/>
        </w:rPr>
        <w:t>In addition, the Company grants to the Underwriters an option to purchase up to [●] additional Option Shares. Any such election to purchase Option Shares shall be made in proportion to the maximum number of Option Shares to be sold by the Company. Each Underwriter agrees, severally and not jointly, to purchase the number of Option Shares (subject to such adjustments to eliminate fractional shares as the Representatives may determine) that bears the same proportion to the total number of Option Shares to be sold on such Delivery Date as the number of Firm Shares set forth in Schedule I hereto opposite the name of such Underwriter bears to the total number of Firm Shares.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7" w:name="page178"/>
    <w:bookmarkEnd w:id="177"/>
    <w:p>
      <w:pPr>
        <w:ind w:left="1160"/>
        <w:spacing w:after="0"/>
        <w:rPr>
          <w:sz w:val="20"/>
          <w:szCs w:val="20"/>
          <w:color w:val="auto"/>
        </w:rPr>
      </w:pPr>
      <w:r>
        <w:rPr>
          <w:rFonts w:ascii="Arial" w:cs="Arial" w:eastAsia="Arial" w:hAnsi="Arial"/>
          <w:sz w:val="16"/>
          <w:szCs w:val="16"/>
          <w:color w:val="auto"/>
        </w:rPr>
        <w:t>The purchase price payable by the Underwriters for both the Firm Shares and any Option Shares is $[●] per share.</w:t>
      </w:r>
    </w:p>
    <w:p>
      <w:pPr>
        <w:spacing w:after="0" w:line="204" w:lineRule="exact"/>
        <w:rPr>
          <w:sz w:val="20"/>
          <w:szCs w:val="20"/>
          <w:color w:val="auto"/>
        </w:rPr>
      </w:pPr>
    </w:p>
    <w:p>
      <w:pPr>
        <w:ind w:firstLine="1163"/>
        <w:spacing w:after="0" w:line="281" w:lineRule="auto"/>
        <w:rPr>
          <w:sz w:val="20"/>
          <w:szCs w:val="20"/>
          <w:color w:val="auto"/>
        </w:rPr>
      </w:pPr>
      <w:r>
        <w:rPr>
          <w:rFonts w:ascii="Arial" w:cs="Arial" w:eastAsia="Arial" w:hAnsi="Arial"/>
          <w:sz w:val="16"/>
          <w:szCs w:val="16"/>
          <w:color w:val="auto"/>
        </w:rPr>
        <w:t>The Company is not obligated to deliver any of the Firm Shares or Option Shares to be delivered on the applicable Delivery Date, except upon payment for all such Shares to be purchased on such Delivery Date as provided herein.</w:t>
      </w:r>
    </w:p>
    <w:p>
      <w:pPr>
        <w:spacing w:after="0" w:line="151" w:lineRule="exact"/>
        <w:rPr>
          <w:sz w:val="20"/>
          <w:szCs w:val="20"/>
          <w:color w:val="auto"/>
        </w:rPr>
      </w:pPr>
    </w:p>
    <w:p>
      <w:pPr>
        <w:ind w:firstLine="1164"/>
        <w:spacing w:after="0" w:line="281" w:lineRule="auto"/>
        <w:tabs>
          <w:tab w:leader="none" w:pos="1833"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Offering of Shares by the Underwriters</w:t>
      </w:r>
      <w:r>
        <w:rPr>
          <w:rFonts w:ascii="Arial" w:cs="Arial" w:eastAsia="Arial" w:hAnsi="Arial"/>
          <w:sz w:val="16"/>
          <w:szCs w:val="16"/>
          <w:color w:val="auto"/>
        </w:rPr>
        <w:t>. Upon authorization by the Representatives of the release of the Firm Shares, the several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propose to offer the Firm Shares for sale upon the terms and conditions to be set forth in the Prospectus.</w:t>
      </w:r>
    </w:p>
    <w:p>
      <w:pPr>
        <w:spacing w:after="0" w:line="150" w:lineRule="exact"/>
        <w:rPr>
          <w:rFonts w:ascii="Arial" w:cs="Arial" w:eastAsia="Arial" w:hAnsi="Arial"/>
          <w:sz w:val="16"/>
          <w:szCs w:val="16"/>
          <w:color w:val="auto"/>
        </w:rPr>
      </w:pPr>
    </w:p>
    <w:p>
      <w:pPr>
        <w:jc w:val="both"/>
        <w:ind w:firstLine="1164"/>
        <w:spacing w:after="0" w:line="277" w:lineRule="auto"/>
        <w:tabs>
          <w:tab w:leader="none" w:pos="1687" w:val="left"/>
        </w:tabs>
        <w:numPr>
          <w:ilvl w:val="0"/>
          <w:numId w:val="157"/>
        </w:numPr>
        <w:rPr>
          <w:rFonts w:ascii="Arial" w:cs="Arial" w:eastAsia="Arial" w:hAnsi="Arial"/>
          <w:sz w:val="15"/>
          <w:szCs w:val="15"/>
          <w:color w:val="auto"/>
        </w:rPr>
      </w:pPr>
      <w:r>
        <w:rPr>
          <w:rFonts w:ascii="Arial" w:cs="Arial" w:eastAsia="Arial" w:hAnsi="Arial"/>
          <w:sz w:val="15"/>
          <w:szCs w:val="15"/>
          <w:i w:val="1"/>
          <w:iCs w:val="1"/>
          <w:color w:val="auto"/>
        </w:rPr>
        <w:t xml:space="preserve">Delivery of and Payment for the Shares. </w:t>
      </w:r>
      <w:r>
        <w:rPr>
          <w:rFonts w:ascii="Arial" w:cs="Arial" w:eastAsia="Arial" w:hAnsi="Arial"/>
          <w:sz w:val="15"/>
          <w:szCs w:val="15"/>
          <w:color w:val="auto"/>
        </w:rPr>
        <w:t>Delivery of and payment for the Firm Shares shall be made at 10:00 A.M., New York City time, on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full business day following the date of this Agreement or at such other date or place as shall be determined by agreement between the Representatives and the Company. This date and time are sometimes referred to as the “</w:t>
      </w:r>
      <w:r>
        <w:rPr>
          <w:rFonts w:ascii="Arial" w:cs="Arial" w:eastAsia="Arial" w:hAnsi="Arial"/>
          <w:sz w:val="15"/>
          <w:szCs w:val="15"/>
          <w:b w:val="1"/>
          <w:bCs w:val="1"/>
          <w:i w:val="1"/>
          <w:iCs w:val="1"/>
          <w:color w:val="auto"/>
        </w:rPr>
        <w:t>Initial Delivery Date</w:t>
      </w:r>
      <w:r>
        <w:rPr>
          <w:rFonts w:ascii="Arial" w:cs="Arial" w:eastAsia="Arial" w:hAnsi="Arial"/>
          <w:sz w:val="15"/>
          <w:szCs w:val="15"/>
          <w:color w:val="auto"/>
        </w:rPr>
        <w:t>”. Delivery of the Firm Shares shall be made to the Representatives for the account of each Underwriter against payment by the several Underwriters through the Representatives and of the respective aggregate purchase prices of the Firm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Firm Shares through the facilities of the Depository Trust Company (“</w:t>
      </w:r>
      <w:r>
        <w:rPr>
          <w:rFonts w:ascii="Arial" w:cs="Arial" w:eastAsia="Arial" w:hAnsi="Arial"/>
          <w:sz w:val="15"/>
          <w:szCs w:val="15"/>
          <w:b w:val="1"/>
          <w:bCs w:val="1"/>
          <w:i w:val="1"/>
          <w:iCs w:val="1"/>
          <w:color w:val="auto"/>
        </w:rPr>
        <w:t>DTC</w:t>
      </w:r>
      <w:r>
        <w:rPr>
          <w:rFonts w:ascii="Arial" w:cs="Arial" w:eastAsia="Arial" w:hAnsi="Arial"/>
          <w:sz w:val="15"/>
          <w:szCs w:val="15"/>
          <w:color w:val="auto"/>
        </w:rPr>
        <w:t>”) unless the Representatives shall otherwise instruct.</w:t>
      </w:r>
    </w:p>
    <w:p>
      <w:pPr>
        <w:spacing w:after="0" w:line="157" w:lineRule="exact"/>
        <w:rPr>
          <w:sz w:val="20"/>
          <w:szCs w:val="20"/>
          <w:color w:val="auto"/>
        </w:rPr>
      </w:pPr>
    </w:p>
    <w:p>
      <w:pPr>
        <w:jc w:val="both"/>
        <w:ind w:firstLine="1163"/>
        <w:spacing w:after="0" w:line="256" w:lineRule="auto"/>
        <w:rPr>
          <w:sz w:val="20"/>
          <w:szCs w:val="20"/>
          <w:color w:val="auto"/>
        </w:rPr>
      </w:pPr>
      <w:r>
        <w:rPr>
          <w:rFonts w:ascii="Arial" w:cs="Arial" w:eastAsia="Arial" w:hAnsi="Arial"/>
          <w:sz w:val="16"/>
          <w:szCs w:val="16"/>
          <w:color w:val="auto"/>
        </w:rPr>
        <w:t xml:space="preserve">The option granted in Section 2 will expire 30 days after the date of this Agreement and may be exercised in whole or from time to time in part by written notice being given to the Company by the Representatives within such 30-day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date falls on a day that is not a business day, the option granted in Section 2 will expire on the next succeeding business day. Such notice shall set forth the aggregate number of Option Shares as to which the option is being exercised, the names in which the Option Shares are to be registered, the denominations in which the Option Shares are to be issued and the date and time, as determined by the Representatives, when the Option Shares are to be delivered;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Option Shares are delivered is sometimes referred to as an “</w:t>
      </w:r>
      <w:r>
        <w:rPr>
          <w:rFonts w:ascii="Arial" w:cs="Arial" w:eastAsia="Arial" w:hAnsi="Arial"/>
          <w:sz w:val="16"/>
          <w:szCs w:val="16"/>
          <w:b w:val="1"/>
          <w:bCs w:val="1"/>
          <w:i w:val="1"/>
          <w:iCs w:val="1"/>
          <w:color w:val="auto"/>
        </w:rPr>
        <w:t>Option Shares Delivery Date</w:t>
      </w:r>
      <w:r>
        <w:rPr>
          <w:rFonts w:ascii="Arial" w:cs="Arial" w:eastAsia="Arial" w:hAnsi="Arial"/>
          <w:sz w:val="16"/>
          <w:szCs w:val="16"/>
          <w:color w:val="auto"/>
        </w:rPr>
        <w:t>”, and the Initial Delivery Date and any Option Shares Delivery Date are sometimes each referred to as a “</w:t>
      </w:r>
      <w:r>
        <w:rPr>
          <w:rFonts w:ascii="Arial" w:cs="Arial" w:eastAsia="Arial" w:hAnsi="Arial"/>
          <w:sz w:val="16"/>
          <w:szCs w:val="16"/>
          <w:b w:val="1"/>
          <w:bCs w:val="1"/>
          <w:i w:val="1"/>
          <w:iCs w:val="1"/>
          <w:color w:val="auto"/>
        </w:rPr>
        <w:t>Delivery Date</w:t>
      </w:r>
      <w:r>
        <w:rPr>
          <w:rFonts w:ascii="Arial" w:cs="Arial" w:eastAsia="Arial" w:hAnsi="Arial"/>
          <w:sz w:val="16"/>
          <w:szCs w:val="16"/>
          <w:color w:val="auto"/>
        </w:rPr>
        <w:t>”.</w:t>
      </w:r>
    </w:p>
    <w:p>
      <w:pPr>
        <w:spacing w:after="0" w:line="174" w:lineRule="exact"/>
        <w:rPr>
          <w:sz w:val="20"/>
          <w:szCs w:val="20"/>
          <w:color w:val="auto"/>
        </w:rPr>
      </w:pPr>
    </w:p>
    <w:p>
      <w:pPr>
        <w:jc w:val="both"/>
        <w:ind w:firstLine="1163"/>
        <w:spacing w:after="0" w:line="276" w:lineRule="auto"/>
        <w:rPr>
          <w:sz w:val="20"/>
          <w:szCs w:val="20"/>
          <w:color w:val="auto"/>
        </w:rPr>
      </w:pPr>
      <w:r>
        <w:rPr>
          <w:rFonts w:ascii="Arial" w:cs="Arial" w:eastAsia="Arial" w:hAnsi="Arial"/>
          <w:sz w:val="15"/>
          <w:szCs w:val="15"/>
          <w:color w:val="auto"/>
        </w:rPr>
        <w:t>Delivery of the Option Shares by the Company and payment for the Option Shares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Shares Delivery Date, the Company shall deliver or cause to be delivered the Option Shares being sold by the Company on such Option Share Delivery Date to the Representatives for the account of each Underwriter against payment by the several Underwriters through the Representatives and of the respective aggregate purchase prices of the Option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Shares through the facilities of DTC unless the Representatives shall otherwise instruct.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78" w:name="page179"/>
    <w:bookmarkEnd w:id="178"/>
    <w:p>
      <w:pPr>
        <w:ind w:left="540" w:hanging="516"/>
        <w:spacing w:after="0"/>
        <w:tabs>
          <w:tab w:leader="none" w:pos="540"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Further Agreements of the Company and the Underwriters</w:t>
      </w:r>
      <w:r>
        <w:rPr>
          <w:rFonts w:ascii="Arial" w:cs="Arial" w:eastAsia="Arial" w:hAnsi="Arial"/>
          <w:sz w:val="16"/>
          <w:szCs w:val="16"/>
          <w:color w:val="auto"/>
        </w:rPr>
        <w:t>. (a) The Company agrees:</w:t>
      </w:r>
    </w:p>
    <w:p>
      <w:pPr>
        <w:spacing w:after="0" w:line="204" w:lineRule="exact"/>
        <w:rPr>
          <w:sz w:val="20"/>
          <w:szCs w:val="20"/>
          <w:color w:val="auto"/>
        </w:rPr>
      </w:pPr>
    </w:p>
    <w:p>
      <w:pPr>
        <w:jc w:val="both"/>
        <w:ind w:left="-560" w:firstLine="584"/>
        <w:spacing w:after="0" w:line="274" w:lineRule="auto"/>
        <w:tabs>
          <w:tab w:leader="none" w:pos="633"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162" w:lineRule="exact"/>
        <w:rPr>
          <w:rFonts w:ascii="Arial" w:cs="Arial" w:eastAsia="Arial" w:hAnsi="Arial"/>
          <w:sz w:val="15"/>
          <w:szCs w:val="15"/>
          <w:color w:val="auto"/>
        </w:rPr>
      </w:pPr>
    </w:p>
    <w:p>
      <w:pPr>
        <w:ind w:left="-560" w:firstLine="584"/>
        <w:spacing w:after="0" w:line="316" w:lineRule="auto"/>
        <w:tabs>
          <w:tab w:leader="none" w:pos="599"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To furnish promptly upon request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27" w:lineRule="exact"/>
        <w:rPr>
          <w:rFonts w:ascii="Arial" w:cs="Arial" w:eastAsia="Arial" w:hAnsi="Arial"/>
          <w:sz w:val="15"/>
          <w:szCs w:val="15"/>
          <w:color w:val="auto"/>
        </w:rPr>
      </w:pPr>
    </w:p>
    <w:p>
      <w:pPr>
        <w:jc w:val="both"/>
        <w:ind w:left="-560" w:firstLine="584"/>
        <w:spacing w:after="0" w:line="274" w:lineRule="auto"/>
        <w:tabs>
          <w:tab w:leader="none" w:pos="587"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To deliver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and (C) each Issuer Free Writing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356"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179" w:name="page180"/>
    <w:bookmarkEnd w:id="179"/>
    <w:p>
      <w:pPr>
        <w:ind w:firstLine="584"/>
        <w:spacing w:after="0" w:line="281" w:lineRule="auto"/>
        <w:tabs>
          <w:tab w:leader="none" w:pos="117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To file promptly with the Commission any amendment or supplement to the Registration Statement or the Prospectus that may, in the judgment of the Company or the Representatives, be required by the Securities Act or requested by the Commission.</w:t>
      </w:r>
    </w:p>
    <w:p>
      <w:pPr>
        <w:spacing w:after="0" w:line="150" w:lineRule="exact"/>
        <w:rPr>
          <w:rFonts w:ascii="Arial" w:cs="Arial" w:eastAsia="Arial" w:hAnsi="Arial"/>
          <w:sz w:val="16"/>
          <w:szCs w:val="16"/>
          <w:color w:val="auto"/>
        </w:rPr>
      </w:pPr>
    </w:p>
    <w:p>
      <w:pPr>
        <w:ind w:firstLine="584"/>
        <w:spacing w:after="0" w:line="316" w:lineRule="auto"/>
        <w:tabs>
          <w:tab w:leader="none" w:pos="1167" w:val="left"/>
        </w:tabs>
        <w:numPr>
          <w:ilvl w:val="0"/>
          <w:numId w:val="160"/>
        </w:numPr>
        <w:rPr>
          <w:rFonts w:ascii="Arial" w:cs="Arial" w:eastAsia="Arial" w:hAnsi="Arial"/>
          <w:sz w:val="15"/>
          <w:szCs w:val="15"/>
          <w:color w:val="auto"/>
        </w:rPr>
      </w:pPr>
      <w:r>
        <w:rPr>
          <w:rFonts w:ascii="Arial" w:cs="Arial" w:eastAsia="Arial" w:hAnsi="Arial"/>
          <w:sz w:val="15"/>
          <w:szCs w:val="15"/>
          <w:color w:val="auto"/>
        </w:rPr>
        <w:t>Prior to filing with the Commission any amendment or supplement to the Registration Statement or the Prospectus, to furnish a copy thereof to the Representatives and counsel for the Underwriters and not to file any such amendment or supplement to which the Representatives shall reasonably object.</w:t>
      </w:r>
    </w:p>
    <w:p>
      <w:pPr>
        <w:spacing w:after="0" w:line="127" w:lineRule="exact"/>
        <w:rPr>
          <w:rFonts w:ascii="Arial" w:cs="Arial" w:eastAsia="Arial" w:hAnsi="Arial"/>
          <w:sz w:val="15"/>
          <w:szCs w:val="15"/>
          <w:color w:val="auto"/>
        </w:rPr>
      </w:pPr>
    </w:p>
    <w:p>
      <w:pPr>
        <w:ind w:left="1280" w:hanging="696"/>
        <w:spacing w:after="0"/>
        <w:tabs>
          <w:tab w:leader="none" w:pos="128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Not to make any offer relating to the Shares that would constitute an Issuer Free Writing Prospectus without the prior written consent of the</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Representatives.</w:t>
      </w:r>
    </w:p>
    <w:p>
      <w:pPr>
        <w:spacing w:after="0" w:line="191" w:lineRule="exact"/>
        <w:rPr>
          <w:rFonts w:ascii="Arial" w:cs="Arial" w:eastAsia="Arial" w:hAnsi="Arial"/>
          <w:sz w:val="15"/>
          <w:szCs w:val="15"/>
          <w:color w:val="auto"/>
        </w:rPr>
      </w:pPr>
    </w:p>
    <w:p>
      <w:pPr>
        <w:jc w:val="both"/>
        <w:ind w:firstLine="584"/>
        <w:spacing w:after="0" w:line="300" w:lineRule="auto"/>
        <w:tabs>
          <w:tab w:leader="none" w:pos="1169"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41" w:lineRule="exact"/>
        <w:rPr>
          <w:rFonts w:ascii="Arial" w:cs="Arial" w:eastAsia="Arial" w:hAnsi="Arial"/>
          <w:sz w:val="14"/>
          <w:szCs w:val="14"/>
          <w:color w:val="auto"/>
        </w:rPr>
      </w:pPr>
    </w:p>
    <w:p>
      <w:pPr>
        <w:jc w:val="both"/>
        <w:ind w:firstLine="584"/>
        <w:spacing w:after="0" w:line="259" w:lineRule="auto"/>
        <w:tabs>
          <w:tab w:leader="none" w:pos="121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thereunder (including, at the option of the Company, Rule 158).</w:t>
      </w:r>
    </w:p>
    <w:p>
      <w:pPr>
        <w:spacing w:after="0" w:line="170" w:lineRule="exact"/>
        <w:rPr>
          <w:rFonts w:ascii="Arial" w:cs="Arial" w:eastAsia="Arial" w:hAnsi="Arial"/>
          <w:sz w:val="16"/>
          <w:szCs w:val="16"/>
          <w:color w:val="auto"/>
        </w:rPr>
      </w:pPr>
    </w:p>
    <w:p>
      <w:pPr>
        <w:jc w:val="both"/>
        <w:ind w:firstLine="584"/>
        <w:spacing w:after="0" w:line="305" w:lineRule="auto"/>
        <w:tabs>
          <w:tab w:leader="none" w:pos="1207"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xml:space="preserve">Promptly from time to time to take such action as the Representatives may reasonably request to qualify the Shares for offering and sale under the securities or Blue Sky laws of Canada and such other jurisdictions as the Representatives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334"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13970</wp:posOffset>
            </wp:positionV>
            <wp:extent cx="718375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20"/>
          </w:cols>
          <w:pgMar w:left="880" w:top="805" w:right="299" w:bottom="1440" w:gutter="0" w:footer="0" w:header="0"/>
        </w:sectPr>
      </w:pPr>
    </w:p>
    <w:bookmarkStart w:id="180" w:name="page181"/>
    <w:bookmarkEnd w:id="180"/>
    <w:p>
      <w:pPr>
        <w:jc w:val="both"/>
        <w:ind w:left="-3" w:firstLine="584"/>
        <w:spacing w:after="0" w:line="290" w:lineRule="auto"/>
        <w:tabs>
          <w:tab w:leader="none" w:pos="1213" w:val="left"/>
        </w:tabs>
        <w:numPr>
          <w:ilvl w:val="1"/>
          <w:numId w:val="161"/>
        </w:numPr>
        <w:rPr>
          <w:rFonts w:ascii="Arial" w:cs="Arial" w:eastAsia="Arial" w:hAnsi="Arial"/>
          <w:sz w:val="14"/>
          <w:szCs w:val="14"/>
          <w:color w:val="auto"/>
        </w:rPr>
      </w:pPr>
      <w:r>
        <w:rPr>
          <w:rFonts w:ascii="Arial" w:cs="Arial" w:eastAsia="Arial" w:hAnsi="Arial"/>
          <w:sz w:val="14"/>
          <w:szCs w:val="14"/>
          <w:color w:val="auto"/>
        </w:rPr>
        <w:t>For a period commencing on the date hereof and ending on the 180th day after the date of the Prospectus (the “</w:t>
      </w:r>
      <w:r>
        <w:rPr>
          <w:rFonts w:ascii="Arial" w:cs="Arial" w:eastAsia="Arial" w:hAnsi="Arial"/>
          <w:sz w:val="14"/>
          <w:szCs w:val="14"/>
          <w:b w:val="1"/>
          <w:bCs w:val="1"/>
          <w:i w:val="1"/>
          <w:iCs w:val="1"/>
          <w:color w:val="auto"/>
        </w:rPr>
        <w:t>Lock-Up Period</w:t>
      </w:r>
      <w:r>
        <w:rPr>
          <w:rFonts w:ascii="Arial" w:cs="Arial" w:eastAsia="Arial" w:hAnsi="Arial"/>
          <w:sz w:val="14"/>
          <w:szCs w:val="14"/>
          <w:color w:val="auto"/>
        </w:rPr>
        <w:t>”), not to, directly or indirectly, (A) offer for sale, sell, pledge, or otherwise dispose of (or enter into any transaction or device that is designed to, or could be expected to, result in the disposition by any person at any time in the future of) any Ordinary Shares or securities convertible into or exercisable or exchangeable for Ordinary Shares (other than (i) the Shares, (ii) Ordinary Shares or other securities issued pursuant to employee benefit plans, qualified share option plans or other employee compensation plans existing on the date hereof (“</w:t>
      </w:r>
      <w:r>
        <w:rPr>
          <w:rFonts w:ascii="Arial" w:cs="Arial" w:eastAsia="Arial" w:hAnsi="Arial"/>
          <w:sz w:val="14"/>
          <w:szCs w:val="14"/>
          <w:b w:val="1"/>
          <w:bCs w:val="1"/>
          <w:i w:val="1"/>
          <w:iCs w:val="1"/>
          <w:color w:val="auto"/>
        </w:rPr>
        <w:t>Existing Plans</w:t>
      </w:r>
      <w:r>
        <w:rPr>
          <w:rFonts w:ascii="Arial" w:cs="Arial" w:eastAsia="Arial" w:hAnsi="Arial"/>
          <w:sz w:val="14"/>
          <w:szCs w:val="14"/>
          <w:color w:val="auto"/>
        </w:rPr>
        <w:t>”) or upon exercise of currently outstanding options, warrants or rights in net or cashless transactions and (iii) Ordinary Shares or other securities issued in connection with acquisitions, strategic partnerships or lending, leasing or other commercial transactions (including joint ventures, marketing or distribution arrangements, collaboration agreements or intellectual property license agreements) in an amount not to exceed 5% of the Company’s outstanding Ordinary Shares as of the Initial Delivery Date; provided that, in each case, the recipient of such Ordinary Shares or other securities executes and delivers a lock-up agreement in the form of Exhibit A hereto), or sell or grant options, rights or warrants with respect to any Ordinary Shares or securities convertible into or exchangeable for Ordinary Shares (other than the grant of options or rights pursuant to Existing Plans; provided that, in each case, the recipient of such options or rights executes and delivers a lock-up agreement in the form of Exhibit A hereto), (B) enter into any swap or other derivatives transaction that transfers to another, in whole or in part, any of the economic benefits or risks of ownership of such Ordinary Shares, whether any such transaction described in clause</w:t>
      </w:r>
    </w:p>
    <w:p>
      <w:pPr>
        <w:spacing w:after="0" w:line="3" w:lineRule="exact"/>
        <w:rPr>
          <w:rFonts w:ascii="Arial" w:cs="Arial" w:eastAsia="Arial" w:hAnsi="Arial"/>
          <w:sz w:val="14"/>
          <w:szCs w:val="14"/>
          <w:color w:val="auto"/>
        </w:rPr>
      </w:pPr>
    </w:p>
    <w:p>
      <w:pPr>
        <w:jc w:val="both"/>
        <w:ind w:left="-3" w:firstLine="3"/>
        <w:spacing w:after="0" w:line="255" w:lineRule="auto"/>
        <w:tabs>
          <w:tab w:leader="none" w:pos="26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or (B) above is to be settled by delivery of Ordinary Shares or other securities, in cash or otherwise, (C) 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(D) publicly disclose the intention to do any of the foregoing, in each case without the prior written consent of Barclays Capital Inc. and Citigroup Global Markets Inc., on behalf of the Underwriters, and to cause each officer, director and shareholder of the Company set forth on Schedule II hereto to furnish to the Representatives, prior to the Initial Delivery Date, a letter or letters, substantially in the form of Exhibit A hereto (the “</w:t>
      </w:r>
      <w:r>
        <w:rPr>
          <w:rFonts w:ascii="Arial" w:cs="Arial" w:eastAsia="Arial" w:hAnsi="Arial"/>
          <w:sz w:val="16"/>
          <w:szCs w:val="16"/>
          <w:b w:val="1"/>
          <w:bCs w:val="1"/>
          <w:i w:val="1"/>
          <w:iCs w:val="1"/>
          <w:color w:val="auto"/>
        </w:rPr>
        <w:t>Lock-Up Agreements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left="-3" w:firstLine="584"/>
        <w:spacing w:after="0" w:line="258" w:lineRule="auto"/>
        <w:tabs>
          <w:tab w:leader="none" w:pos="119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If Barclays Capital Inc. and Citigroup Global Markets Inc., in their sole discretion, agree to release or waive the restrictions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by issuing a press release substantially in the form of Exhibit B hereto, and containing such other information as Barclays Capital Inc. and Citigroup Global Markets Inc. may require with respect to the circumstances of the release or waiver and/or the identity of the officer(s) and/or director(s) with respect to which the release or waiver applies, through a major news service at least two business days before the effective date of the release or waiver.</w:t>
      </w:r>
    </w:p>
    <w:p>
      <w:pPr>
        <w:spacing w:after="0" w:line="364" w:lineRule="exact"/>
        <w:rPr>
          <w:sz w:val="20"/>
          <w:szCs w:val="20"/>
          <w:color w:val="auto"/>
        </w:rPr>
      </w:pPr>
    </w:p>
    <w:p>
      <w:pPr>
        <w:ind w:left="4997"/>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718375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17"/>
          </w:cols>
          <w:pgMar w:left="883" w:top="805" w:right="299" w:bottom="1440" w:gutter="0" w:footer="0" w:header="0"/>
        </w:sectPr>
      </w:pPr>
    </w:p>
    <w:bookmarkStart w:id="181" w:name="page182"/>
    <w:bookmarkEnd w:id="181"/>
    <w:p>
      <w:pPr>
        <w:ind w:left="-3" w:firstLine="584"/>
        <w:spacing w:after="0" w:line="281" w:lineRule="auto"/>
        <w:tabs>
          <w:tab w:leader="none" w:pos="118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To apply the net proceeds from the sale of the Shares being sold by the Company substantially in accordance with the description as set forth in the Prospectus under the caption “Use of Proceeds.”</w:t>
      </w:r>
    </w:p>
    <w:p>
      <w:pPr>
        <w:spacing w:after="0" w:line="150" w:lineRule="exact"/>
        <w:rPr>
          <w:rFonts w:ascii="Arial" w:cs="Arial" w:eastAsia="Arial" w:hAnsi="Arial"/>
          <w:sz w:val="16"/>
          <w:szCs w:val="16"/>
          <w:color w:val="auto"/>
        </w:rPr>
      </w:pPr>
    </w:p>
    <w:p>
      <w:pPr>
        <w:ind w:left="1177" w:hanging="596"/>
        <w:spacing w:after="0"/>
        <w:tabs>
          <w:tab w:leader="none" w:pos="117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To file with the Commission such information on Form 6-K or Form 20-F as may be required by Rule 463 under the Securities Act.</w:t>
      </w:r>
    </w:p>
    <w:p>
      <w:pPr>
        <w:spacing w:after="0" w:line="203" w:lineRule="exact"/>
        <w:rPr>
          <w:rFonts w:ascii="Arial" w:cs="Arial" w:eastAsia="Arial" w:hAnsi="Arial"/>
          <w:sz w:val="16"/>
          <w:szCs w:val="16"/>
          <w:color w:val="auto"/>
        </w:rPr>
      </w:pPr>
    </w:p>
    <w:p>
      <w:pPr>
        <w:jc w:val="both"/>
        <w:ind w:left="-3" w:firstLine="584"/>
        <w:spacing w:after="0" w:line="267" w:lineRule="auto"/>
        <w:tabs>
          <w:tab w:leader="none" w:pos="121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w:t>
      </w:r>
    </w:p>
    <w:p>
      <w:pPr>
        <w:spacing w:after="0" w:line="161" w:lineRule="exact"/>
        <w:rPr>
          <w:rFonts w:ascii="Arial" w:cs="Arial" w:eastAsia="Arial" w:hAnsi="Arial"/>
          <w:sz w:val="16"/>
          <w:szCs w:val="16"/>
          <w:color w:val="auto"/>
        </w:rPr>
      </w:pPr>
    </w:p>
    <w:p>
      <w:pPr>
        <w:ind w:left="1137" w:hanging="556"/>
        <w:spacing w:after="0"/>
        <w:tabs>
          <w:tab w:leader="none" w:pos="1137" w:val="left"/>
        </w:tabs>
        <w:numPr>
          <w:ilvl w:val="1"/>
          <w:numId w:val="163"/>
        </w:numPr>
        <w:rPr>
          <w:rFonts w:ascii="Arial" w:cs="Arial" w:eastAsia="Arial" w:hAnsi="Arial"/>
          <w:sz w:val="14"/>
          <w:szCs w:val="14"/>
          <w:color w:val="auto"/>
        </w:rPr>
      </w:pPr>
      <w:r>
        <w:rPr>
          <w:rFonts w:ascii="Arial" w:cs="Arial" w:eastAsia="Arial" w:hAnsi="Arial"/>
          <w:sz w:val="14"/>
          <w:szCs w:val="14"/>
          <w:color w:val="auto"/>
        </w:rPr>
        <w:t>The Company will promptly notify the Representatives if the Company ceases to be an Emerging Growth Company at any time prior to the later of</w:t>
      </w:r>
    </w:p>
    <w:p>
      <w:pPr>
        <w:spacing w:after="0" w:line="44" w:lineRule="exact"/>
        <w:rPr>
          <w:rFonts w:ascii="Arial" w:cs="Arial" w:eastAsia="Arial" w:hAnsi="Arial"/>
          <w:sz w:val="14"/>
          <w:szCs w:val="14"/>
          <w:color w:val="auto"/>
        </w:rPr>
      </w:pPr>
    </w:p>
    <w:p>
      <w:pPr>
        <w:ind w:left="-3" w:firstLine="3"/>
        <w:spacing w:after="0" w:line="299" w:lineRule="auto"/>
        <w:tabs>
          <w:tab w:leader="none" w:pos="262"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time when a prospectus relating to the offering or sale of the Shares or any other securities relating thereto is not required by the Securities Act to be delivered (whether physically or through compliance with Rule 172 under the Securities Act or any similar rule) and (B) completion of the Lock-Up Period.</w:t>
      </w:r>
    </w:p>
    <w:p>
      <w:pPr>
        <w:spacing w:after="0" w:line="139" w:lineRule="exact"/>
        <w:rPr>
          <w:rFonts w:ascii="Arial" w:cs="Arial" w:eastAsia="Arial" w:hAnsi="Arial"/>
          <w:sz w:val="15"/>
          <w:szCs w:val="15"/>
          <w:color w:val="auto"/>
        </w:rPr>
      </w:pPr>
    </w:p>
    <w:p>
      <w:pPr>
        <w:jc w:val="both"/>
        <w:ind w:left="-3" w:firstLine="584"/>
        <w:spacing w:after="0" w:line="278" w:lineRule="auto"/>
        <w:tabs>
          <w:tab w:leader="none" w:pos="1175" w:val="left"/>
        </w:tabs>
        <w:numPr>
          <w:ilvl w:val="1"/>
          <w:numId w:val="164"/>
        </w:numPr>
        <w:rPr>
          <w:rFonts w:ascii="Arial" w:cs="Arial" w:eastAsia="Arial" w:hAnsi="Arial"/>
          <w:sz w:val="15"/>
          <w:szCs w:val="15"/>
          <w:color w:val="auto"/>
        </w:rPr>
      </w:pPr>
      <w:r>
        <w:rPr>
          <w:rFonts w:ascii="Arial" w:cs="Arial" w:eastAsia="Arial" w:hAnsi="Arial"/>
          <w:sz w:val="15"/>
          <w:szCs w:val="15"/>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The Company will promptly notify the Representatives of (A) any distribution by the Company of Written Testing-the-Waters Communications and (B) any request by the Commission for information concerning the Written Testing-the-Waters Communications.</w:t>
      </w:r>
    </w:p>
    <w:p>
      <w:pPr>
        <w:spacing w:after="0" w:line="157" w:lineRule="exact"/>
        <w:rPr>
          <w:rFonts w:ascii="Arial" w:cs="Arial" w:eastAsia="Arial" w:hAnsi="Arial"/>
          <w:sz w:val="15"/>
          <w:szCs w:val="15"/>
          <w:color w:val="auto"/>
        </w:rPr>
      </w:pPr>
    </w:p>
    <w:p>
      <w:pPr>
        <w:ind w:left="-3" w:firstLine="584"/>
        <w:spacing w:after="0" w:line="316" w:lineRule="auto"/>
        <w:tabs>
          <w:tab w:leader="none" w:pos="1229" w:val="left"/>
        </w:tabs>
        <w:numPr>
          <w:ilvl w:val="1"/>
          <w:numId w:val="164"/>
        </w:numPr>
        <w:rPr>
          <w:rFonts w:ascii="Arial" w:cs="Arial" w:eastAsia="Arial" w:hAnsi="Arial"/>
          <w:sz w:val="15"/>
          <w:szCs w:val="15"/>
          <w:color w:val="auto"/>
        </w:rPr>
      </w:pPr>
      <w:r>
        <w:rPr>
          <w:rFonts w:ascii="Arial" w:cs="Arial" w:eastAsia="Arial" w:hAnsi="Arial"/>
          <w:sz w:val="15"/>
          <w:szCs w:val="15"/>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27" w:lineRule="exact"/>
        <w:rPr>
          <w:rFonts w:ascii="Arial" w:cs="Arial" w:eastAsia="Arial" w:hAnsi="Arial"/>
          <w:sz w:val="15"/>
          <w:szCs w:val="15"/>
          <w:color w:val="auto"/>
        </w:rPr>
      </w:pPr>
    </w:p>
    <w:p>
      <w:pPr>
        <w:ind w:left="-3" w:firstLine="584"/>
        <w:spacing w:after="0" w:line="281" w:lineRule="auto"/>
        <w:tabs>
          <w:tab w:leader="none" w:pos="1189"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344" w:lineRule="exact"/>
        <w:rPr>
          <w:sz w:val="20"/>
          <w:szCs w:val="20"/>
          <w:color w:val="auto"/>
        </w:rPr>
      </w:pPr>
    </w:p>
    <w:p>
      <w:pPr>
        <w:ind w:left="4997"/>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718375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17"/>
          </w:cols>
          <w:pgMar w:left="883" w:top="805" w:right="299" w:bottom="1440" w:gutter="0" w:footer="0" w:header="0"/>
        </w:sectPr>
      </w:pPr>
    </w:p>
    <w:bookmarkStart w:id="182" w:name="page183"/>
    <w:bookmarkEnd w:id="182"/>
    <w:p>
      <w:pPr>
        <w:jc w:val="both"/>
        <w:ind w:left="300" w:firstLine="574"/>
        <w:spacing w:after="0" w:line="258" w:lineRule="auto"/>
        <w:tabs>
          <w:tab w:leader="none" w:pos="148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i w:val="1"/>
          <w:iCs w:val="1"/>
          <w:color w:val="auto"/>
        </w:rPr>
        <w:t>Permitted Issuer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such consent shall be required with respect to any such issuer information contained in any document filed by 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69" w:lineRule="exact"/>
        <w:rPr>
          <w:rFonts w:ascii="Arial" w:cs="Arial" w:eastAsia="Arial" w:hAnsi="Arial"/>
          <w:sz w:val="16"/>
          <w:szCs w:val="16"/>
          <w:color w:val="auto"/>
        </w:rPr>
      </w:pPr>
    </w:p>
    <w:p>
      <w:pPr>
        <w:jc w:val="both"/>
        <w:ind w:firstLine="1164"/>
        <w:spacing w:after="0" w:line="292" w:lineRule="auto"/>
        <w:tabs>
          <w:tab w:leader="none" w:pos="1700" w:val="left"/>
        </w:tabs>
        <w:numPr>
          <w:ilvl w:val="1"/>
          <w:numId w:val="165"/>
        </w:numPr>
        <w:rPr>
          <w:rFonts w:ascii="Arial" w:cs="Arial" w:eastAsia="Arial" w:hAnsi="Arial"/>
          <w:sz w:val="14"/>
          <w:szCs w:val="14"/>
          <w:color w:val="auto"/>
        </w:rPr>
      </w:pPr>
      <w:r>
        <w:rPr>
          <w:rFonts w:ascii="Arial" w:cs="Arial" w:eastAsia="Arial" w:hAnsi="Arial"/>
          <w:sz w:val="14"/>
          <w:szCs w:val="14"/>
          <w:i w:val="1"/>
          <w:iCs w:val="1"/>
          <w:color w:val="auto"/>
        </w:rPr>
        <w:t xml:space="preserve">Expenses. </w:t>
      </w:r>
      <w:r>
        <w:rPr>
          <w:rFonts w:ascii="Arial" w:cs="Arial" w:eastAsia="Arial" w:hAnsi="Arial"/>
          <w:sz w:val="14"/>
          <w:szCs w:val="14"/>
          <w:color w:val="auto"/>
        </w:rPr>
        <w:t>The Company agrees, whether or not the transactions contemplated by this Agreement are consummated or this Agreement is terminated,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 pay all expenses, costs, fees and taxes incident to and in connection with (a) the authorization, issuance, sale and delivery of the Shares and any stamp duties or other taxes payable in that connection,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all as provided in this Agreement; (d) the production and distribution of this Agreement, any supplemental agreement among Underwriters, and any other related documents in connection with the offering, purchase, sale and delivery of the Shares; (e) any required review by the FINRA of the terms of sale of the Shares (including related fees and expenses of counsel to the Underwriters in an amount that, together with the fees and expenses of counsel to the Underwriters pursuant to clauses (g) and (h)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not exceed $30,000); (f) the listing of the Shares on The NASDAQ Global Market and/or any other exchange; (g) the qualification of the Shares under the securities laws of the several jurisdictions as provided in Section 5(a)(ix) and the preparation, printing and distribution of a Blue Sky Memorandum (including related fees and expenses of counsel to the Underwriters, which, together with the fees and expenses of counsel to the Underwriters pursuant to clauses (e) and (h)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not exceed $30,000); (h) the preparation, printing and distribution of one or more versions of the Preliminary Prospectus and the Prospectus for distribution in Canada, including in the form of a Canadian “wrapper” (including related fees and expenses of Canadian counsel to the Underwriters, which, together with the fees and expenses of counsel to the Underwriters pursuant to clauses (e) and (g)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not exceed $30,000); (i) the investor presentations on any “road show” or any Testing-the-Waters Communication, undertaken in connection with the marketing of the Shares, including, without limitation, expenses associated with any electronic road show, travel and lodging expenses of the representatives and officers of the Company and 50% of the cost of any aircraft chartered in connection with the road show; and (j) all other costs and expenses incident to the performance of the obligations of the Company under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except as provided in this Section 6 and in Section 11,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83" w:name="page184"/>
    <w:bookmarkEnd w:id="183"/>
    <w:p>
      <w:pPr>
        <w:jc w:val="both"/>
        <w:ind w:firstLine="1164"/>
        <w:spacing w:after="0" w:line="267" w:lineRule="auto"/>
        <w:tabs>
          <w:tab w:leader="none" w:pos="1736"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Conditions of Underwriters’ Obligations</w:t>
      </w:r>
      <w:r>
        <w:rPr>
          <w:rFonts w:ascii="Arial" w:cs="Arial" w:eastAsia="Arial" w:hAnsi="Arial"/>
          <w:sz w:val="16"/>
          <w:szCs w:val="16"/>
          <w:color w:val="auto"/>
        </w:rPr>
        <w:t>. The respective obligations of the Underwriters hereunder are subject to the accuracy, when made and on</w:t>
      </w:r>
      <w:r>
        <w:rPr>
          <w:rFonts w:ascii="Arial" w:cs="Arial" w:eastAsia="Arial" w:hAnsi="Arial"/>
          <w:sz w:val="16"/>
          <w:szCs w:val="16"/>
          <w:i w:val="1"/>
          <w:iCs w:val="1"/>
          <w:color w:val="auto"/>
        </w:rPr>
        <w:t xml:space="preserve"> </w:t>
      </w:r>
      <w:r>
        <w:rPr>
          <w:rFonts w:ascii="Arial" w:cs="Arial" w:eastAsia="Arial" w:hAnsi="Arial"/>
          <w:sz w:val="16"/>
          <w:szCs w:val="16"/>
          <w:color w:val="auto"/>
        </w:rPr>
        <w:t>each Delivery Date, of the representations and warranties of the Company contained herein, to the performance by the Company of its obligations hereunder, and to each of the following additional terms and conditions:</w:t>
      </w:r>
    </w:p>
    <w:p>
      <w:pPr>
        <w:spacing w:after="0" w:line="161" w:lineRule="exact"/>
        <w:rPr>
          <w:rFonts w:ascii="Arial" w:cs="Arial" w:eastAsia="Arial" w:hAnsi="Arial"/>
          <w:sz w:val="16"/>
          <w:szCs w:val="16"/>
          <w:color w:val="auto"/>
        </w:rPr>
      </w:pPr>
    </w:p>
    <w:p>
      <w:pPr>
        <w:jc w:val="both"/>
        <w:ind w:left="1160" w:firstLine="586"/>
        <w:spacing w:after="0" w:line="257" w:lineRule="auto"/>
        <w:tabs>
          <w:tab w:leader="none" w:pos="2014"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71" w:lineRule="exact"/>
        <w:rPr>
          <w:rFonts w:ascii="Arial" w:cs="Arial" w:eastAsia="Arial" w:hAnsi="Arial"/>
          <w:sz w:val="16"/>
          <w:szCs w:val="16"/>
          <w:color w:val="auto"/>
        </w:rPr>
      </w:pPr>
    </w:p>
    <w:p>
      <w:pPr>
        <w:jc w:val="both"/>
        <w:ind w:left="1160" w:firstLine="586"/>
        <w:spacing w:after="0" w:line="292" w:lineRule="auto"/>
        <w:tabs>
          <w:tab w:leader="none" w:pos="2041" w:val="left"/>
        </w:tabs>
        <w:numPr>
          <w:ilvl w:val="1"/>
          <w:numId w:val="166"/>
        </w:numPr>
        <w:rPr>
          <w:rFonts w:ascii="Arial" w:cs="Arial" w:eastAsia="Arial" w:hAnsi="Arial"/>
          <w:sz w:val="15"/>
          <w:szCs w:val="15"/>
          <w:color w:val="auto"/>
        </w:rPr>
      </w:pPr>
      <w:r>
        <w:rPr>
          <w:rFonts w:ascii="Arial" w:cs="Arial" w:eastAsia="Arial" w:hAnsi="Arial"/>
          <w:sz w:val="15"/>
          <w:szCs w:val="15"/>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is material or omits to state a fact which is material and is required to be stated therein or is necessary to make the statements therein not misleading.</w:t>
      </w:r>
    </w:p>
    <w:p>
      <w:pPr>
        <w:spacing w:after="0" w:line="145" w:lineRule="exact"/>
        <w:rPr>
          <w:rFonts w:ascii="Arial" w:cs="Arial" w:eastAsia="Arial" w:hAnsi="Arial"/>
          <w:sz w:val="15"/>
          <w:szCs w:val="15"/>
          <w:color w:val="auto"/>
        </w:rPr>
      </w:pPr>
    </w:p>
    <w:p>
      <w:pPr>
        <w:jc w:val="both"/>
        <w:ind w:left="1160" w:firstLine="586"/>
        <w:spacing w:after="0" w:line="285" w:lineRule="auto"/>
        <w:tabs>
          <w:tab w:leader="none" w:pos="2071"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149" w:lineRule="exact"/>
        <w:rPr>
          <w:rFonts w:ascii="Arial" w:cs="Arial" w:eastAsia="Arial" w:hAnsi="Arial"/>
          <w:sz w:val="15"/>
          <w:szCs w:val="15"/>
          <w:color w:val="auto"/>
        </w:rPr>
      </w:pPr>
    </w:p>
    <w:p>
      <w:pPr>
        <w:ind w:left="1160" w:firstLine="586"/>
        <w:spacing w:after="0" w:line="316" w:lineRule="auto"/>
        <w:tabs>
          <w:tab w:leader="none" w:pos="2063" w:val="left"/>
        </w:tabs>
        <w:numPr>
          <w:ilvl w:val="1"/>
          <w:numId w:val="166"/>
        </w:numPr>
        <w:rPr>
          <w:rFonts w:ascii="Arial" w:cs="Arial" w:eastAsia="Arial" w:hAnsi="Arial"/>
          <w:sz w:val="15"/>
          <w:szCs w:val="15"/>
          <w:color w:val="auto"/>
        </w:rPr>
      </w:pPr>
      <w:r>
        <w:rPr>
          <w:rFonts w:ascii="Arial" w:cs="Arial" w:eastAsia="Arial" w:hAnsi="Arial"/>
          <w:sz w:val="15"/>
          <w:szCs w:val="15"/>
          <w:color w:val="auto"/>
        </w:rPr>
        <w:t>White &amp; Case LLP shall have furnished to the Representatives its written opinion and negative assurance letter, as U.S. counsel to the Company, addressed to the Underwriters and dated such Delivery Date, in form and substance reasonably satisfactory to the Representatives.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84" w:name="page185"/>
    <w:bookmarkEnd w:id="184"/>
    <w:p>
      <w:pPr>
        <w:ind w:left="20" w:firstLine="586"/>
        <w:spacing w:after="0" w:line="281" w:lineRule="auto"/>
        <w:tabs>
          <w:tab w:leader="none" w:pos="86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Meitar Liquornik Geva Leshem Tal shall have furnished to the Representatives its written opinion, as Israeli counsel to the Company, addressed to the Underwriters and dated such Delivery Date, in form and substance reasonably satisfactory to the Representatives.</w:t>
      </w:r>
    </w:p>
    <w:p>
      <w:pPr>
        <w:spacing w:after="0" w:line="150" w:lineRule="exact"/>
        <w:rPr>
          <w:rFonts w:ascii="Arial" w:cs="Arial" w:eastAsia="Arial" w:hAnsi="Arial"/>
          <w:sz w:val="16"/>
          <w:szCs w:val="16"/>
          <w:color w:val="auto"/>
        </w:rPr>
      </w:pPr>
    </w:p>
    <w:p>
      <w:pPr>
        <w:ind w:left="20" w:firstLine="586"/>
        <w:spacing w:after="0" w:line="281" w:lineRule="auto"/>
        <w:tabs>
          <w:tab w:leader="none" w:pos="89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G.E. Ehrlich (1995) Ltd. shall have furnished to the Representatives its written opinion, as intellectual property counsel to the Company, addressed to the Underwriters and dated such Delivery Date, in form and substance reasonably satisfactory to the Representatives.</w:t>
      </w:r>
    </w:p>
    <w:p>
      <w:pPr>
        <w:spacing w:after="0" w:line="150" w:lineRule="exact"/>
        <w:rPr>
          <w:rFonts w:ascii="Arial" w:cs="Arial" w:eastAsia="Arial" w:hAnsi="Arial"/>
          <w:sz w:val="16"/>
          <w:szCs w:val="16"/>
          <w:color w:val="auto"/>
        </w:rPr>
      </w:pPr>
    </w:p>
    <w:p>
      <w:pPr>
        <w:jc w:val="both"/>
        <w:ind w:left="20" w:firstLine="586"/>
        <w:spacing w:after="0" w:line="285" w:lineRule="auto"/>
        <w:tabs>
          <w:tab w:leader="none" w:pos="882"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Representatives shall have received from Skadden, Arps, Slate, Meagher &amp; Flom LLP, as U.S. counsel to the Underwriters, such opinion or opinions and negative assurance letter,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49" w:lineRule="exact"/>
        <w:rPr>
          <w:rFonts w:ascii="Arial" w:cs="Arial" w:eastAsia="Arial" w:hAnsi="Arial"/>
          <w:sz w:val="15"/>
          <w:szCs w:val="15"/>
          <w:color w:val="auto"/>
        </w:rPr>
      </w:pPr>
    </w:p>
    <w:p>
      <w:pPr>
        <w:jc w:val="both"/>
        <w:ind w:left="20" w:firstLine="586"/>
        <w:spacing w:after="0" w:line="285" w:lineRule="auto"/>
        <w:tabs>
          <w:tab w:leader="none" w:pos="892"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Representatives shall have received from Gross, Kleinhendler, Hodak, Halevy, Greenberg &amp; Co., as Israeli counsel to the Underwriters, such opinion or opinions,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49" w:lineRule="exact"/>
        <w:rPr>
          <w:rFonts w:ascii="Arial" w:cs="Arial" w:eastAsia="Arial" w:hAnsi="Arial"/>
          <w:sz w:val="15"/>
          <w:szCs w:val="15"/>
          <w:color w:val="auto"/>
        </w:rPr>
      </w:pPr>
    </w:p>
    <w:p>
      <w:pPr>
        <w:jc w:val="both"/>
        <w:ind w:left="20" w:firstLine="586"/>
        <w:spacing w:after="0" w:line="277" w:lineRule="auto"/>
        <w:tabs>
          <w:tab w:leader="none" w:pos="835" w:val="left"/>
        </w:tabs>
        <w:numPr>
          <w:ilvl w:val="0"/>
          <w:numId w:val="167"/>
        </w:numPr>
        <w:rPr>
          <w:rFonts w:ascii="Arial" w:cs="Arial" w:eastAsia="Arial" w:hAnsi="Arial"/>
          <w:sz w:val="15"/>
          <w:szCs w:val="15"/>
          <w:color w:val="auto"/>
        </w:rPr>
      </w:pPr>
      <w:r>
        <w:rPr>
          <w:rFonts w:ascii="Arial" w:cs="Arial" w:eastAsia="Arial" w:hAnsi="Arial"/>
          <w:sz w:val="15"/>
          <w:szCs w:val="15"/>
          <w:color w:val="auto"/>
        </w:rPr>
        <w:t>At the time of execution of this Agreement, the Representatives shall have received from Kost Forer Gabbay &amp; Kasierer, a member of Ernst &amp; Young Global, a letter, in form and substance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35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185" w:name="page186"/>
    <w:bookmarkEnd w:id="185"/>
    <w:p>
      <w:pPr>
        <w:jc w:val="both"/>
        <w:ind w:left="20" w:firstLine="586"/>
        <w:spacing w:after="0" w:line="276" w:lineRule="auto"/>
        <w:tabs>
          <w:tab w:leader="none" w:pos="861" w:val="left"/>
        </w:tabs>
        <w:numPr>
          <w:ilvl w:val="0"/>
          <w:numId w:val="168"/>
        </w:numPr>
        <w:rPr>
          <w:rFonts w:ascii="Arial" w:cs="Arial" w:eastAsia="Arial" w:hAnsi="Arial"/>
          <w:sz w:val="15"/>
          <w:szCs w:val="15"/>
          <w:color w:val="auto"/>
        </w:rPr>
      </w:pPr>
      <w:r>
        <w:rPr>
          <w:rFonts w:ascii="Arial" w:cs="Arial" w:eastAsia="Arial" w:hAnsi="Arial"/>
          <w:sz w:val="15"/>
          <w:szCs w:val="15"/>
          <w:color w:val="auto"/>
        </w:rPr>
        <w:t>With respect to the letter of Kost Forer Gabbay &amp; Kasierer, a member of Ernst &amp; Young Global referred to in the preceding paragraph and delivered to the Representatives concurrently with the execution of this Agreement (the “</w:t>
      </w:r>
      <w:r>
        <w:rPr>
          <w:rFonts w:ascii="Arial" w:cs="Arial" w:eastAsia="Arial" w:hAnsi="Arial"/>
          <w:sz w:val="15"/>
          <w:szCs w:val="15"/>
          <w:b w:val="1"/>
          <w:bCs w:val="1"/>
          <w:i w:val="1"/>
          <w:iCs w:val="1"/>
          <w:color w:val="auto"/>
        </w:rPr>
        <w:t>initial letter</w:t>
      </w:r>
      <w:r>
        <w:rPr>
          <w:rFonts w:ascii="Arial" w:cs="Arial" w:eastAsia="Arial" w:hAnsi="Arial"/>
          <w:sz w:val="15"/>
          <w:szCs w:val="15"/>
          <w:color w:val="auto"/>
        </w:rPr>
        <w:t>”), the Company shall have furnished to the Representatives a letter (the “</w:t>
      </w:r>
      <w:r>
        <w:rPr>
          <w:rFonts w:ascii="Arial" w:cs="Arial" w:eastAsia="Arial" w:hAnsi="Arial"/>
          <w:sz w:val="15"/>
          <w:szCs w:val="15"/>
          <w:b w:val="1"/>
          <w:bCs w:val="1"/>
          <w:i w:val="1"/>
          <w:iCs w:val="1"/>
          <w:color w:val="auto"/>
        </w:rPr>
        <w:t>bring-down letter</w:t>
      </w:r>
      <w:r>
        <w:rPr>
          <w:rFonts w:ascii="Arial" w:cs="Arial" w:eastAsia="Arial" w:hAnsi="Arial"/>
          <w:sz w:val="15"/>
          <w:szCs w:val="15"/>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57" w:lineRule="exact"/>
        <w:rPr>
          <w:rFonts w:ascii="Arial" w:cs="Arial" w:eastAsia="Arial" w:hAnsi="Arial"/>
          <w:sz w:val="15"/>
          <w:szCs w:val="15"/>
          <w:color w:val="auto"/>
        </w:rPr>
      </w:pPr>
    </w:p>
    <w:p>
      <w:pPr>
        <w:ind w:left="20" w:firstLine="586"/>
        <w:spacing w:after="0" w:line="281" w:lineRule="auto"/>
        <w:tabs>
          <w:tab w:leader="none" w:pos="88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a certificate, dated such Delivery Date, of its Chief Executive Officer and its Chief Financial Officer as to such matters as the Representatives may reasonably request, including, without limitation, a statement:</w:t>
      </w:r>
    </w:p>
    <w:p>
      <w:pPr>
        <w:spacing w:after="0" w:line="151" w:lineRule="exact"/>
        <w:rPr>
          <w:sz w:val="20"/>
          <w:szCs w:val="20"/>
          <w:color w:val="auto"/>
        </w:rPr>
      </w:pPr>
    </w:p>
    <w:p>
      <w:pPr>
        <w:jc w:val="both"/>
        <w:ind w:left="20" w:firstLine="586"/>
        <w:spacing w:after="0" w:line="267" w:lineRule="auto"/>
        <w:tabs>
          <w:tab w:leader="none" w:pos="11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61" w:lineRule="exact"/>
        <w:rPr>
          <w:rFonts w:ascii="Arial" w:cs="Arial" w:eastAsia="Arial" w:hAnsi="Arial"/>
          <w:sz w:val="16"/>
          <w:szCs w:val="16"/>
          <w:color w:val="auto"/>
        </w:rPr>
      </w:pPr>
    </w:p>
    <w:p>
      <w:pPr>
        <w:ind w:left="20" w:firstLine="586"/>
        <w:spacing w:after="0" w:line="281" w:lineRule="auto"/>
        <w:tabs>
          <w:tab w:leader="none" w:pos="118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That no stop order suspending the effectiveness of the Registration Statement has been issued; and no proceedings or examination for that purpose have been instituted or, to the knowledge of such officers, threatened;</w:t>
      </w:r>
    </w:p>
    <w:p>
      <w:pPr>
        <w:spacing w:after="0" w:line="150" w:lineRule="exact"/>
        <w:rPr>
          <w:rFonts w:ascii="Arial" w:cs="Arial" w:eastAsia="Arial" w:hAnsi="Arial"/>
          <w:sz w:val="16"/>
          <w:szCs w:val="16"/>
          <w:color w:val="auto"/>
        </w:rPr>
      </w:pPr>
    </w:p>
    <w:p>
      <w:pPr>
        <w:jc w:val="both"/>
        <w:ind w:left="20" w:firstLine="586"/>
        <w:spacing w:after="0" w:line="278" w:lineRule="auto"/>
        <w:tabs>
          <w:tab w:leader="none" w:pos="1195"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That they have examined the Registration Statement, the Prospectus and the Pricing Disclosure Package, and, in their opinion, (A) (1)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157" w:lineRule="exact"/>
        <w:rPr>
          <w:rFonts w:ascii="Arial" w:cs="Arial" w:eastAsia="Arial" w:hAnsi="Arial"/>
          <w:sz w:val="15"/>
          <w:szCs w:val="15"/>
          <w:color w:val="auto"/>
        </w:rPr>
      </w:pPr>
    </w:p>
    <w:p>
      <w:pPr>
        <w:ind w:left="1160" w:hanging="554"/>
        <w:spacing w:after="0"/>
        <w:tabs>
          <w:tab w:leader="none" w:pos="116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To the effect of Section 7(l)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representation with respect to the judgment of the Representatives need be made).</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186" w:name="page187"/>
    <w:bookmarkEnd w:id="186"/>
    <w:p>
      <w:pPr>
        <w:jc w:val="both"/>
        <w:ind w:left="20" w:firstLine="586"/>
        <w:spacing w:after="0" w:line="298" w:lineRule="auto"/>
        <w:tabs>
          <w:tab w:leader="none" w:pos="1165" w:val="left"/>
        </w:tabs>
        <w:numPr>
          <w:ilvl w:val="0"/>
          <w:numId w:val="170"/>
        </w:numPr>
        <w:rPr>
          <w:rFonts w:ascii="Arial" w:cs="Arial" w:eastAsia="Arial" w:hAnsi="Arial"/>
          <w:sz w:val="14"/>
          <w:szCs w:val="14"/>
          <w:color w:val="auto"/>
        </w:rPr>
      </w:pPr>
      <w:r>
        <w:rPr>
          <w:rFonts w:ascii="Arial" w:cs="Arial" w:eastAsia="Arial" w:hAnsi="Arial"/>
          <w:sz w:val="14"/>
          <w:szCs w:val="14"/>
          <w:color w:val="auto"/>
        </w:rPr>
        <w:t>(i) Neither the Company nor any of its subsidiaries shall have sustained, since the date of the latest audited financial statements included in the most recent Preliminary Prospectus, any loss or interference with its business from fire, explosion, flood or other calamity, whether or not covered by insurance, or from any labor dispute or court or governmental action, order or decree, or (ii) since such date, and except as set out in the Pricing Disclosure Package,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Shares being delivered on such Delivery Date on the terms and in the manner contemplated in the Prospectus.</w:t>
      </w:r>
    </w:p>
    <w:p>
      <w:pPr>
        <w:spacing w:after="0" w:line="144" w:lineRule="exact"/>
        <w:rPr>
          <w:rFonts w:ascii="Arial" w:cs="Arial" w:eastAsia="Arial" w:hAnsi="Arial"/>
          <w:sz w:val="14"/>
          <w:szCs w:val="14"/>
          <w:color w:val="auto"/>
        </w:rPr>
      </w:pPr>
    </w:p>
    <w:p>
      <w:pPr>
        <w:jc w:val="both"/>
        <w:ind w:left="20" w:firstLine="586"/>
        <w:spacing w:after="0" w:line="273" w:lineRule="auto"/>
        <w:tabs>
          <w:tab w:leader="none" w:pos="1482" w:val="left"/>
        </w:tabs>
        <w:numPr>
          <w:ilvl w:val="0"/>
          <w:numId w:val="170"/>
        </w:numPr>
        <w:rPr>
          <w:rFonts w:ascii="Arial" w:cs="Arial" w:eastAsia="Arial" w:hAnsi="Arial"/>
          <w:sz w:val="15"/>
          <w:szCs w:val="15"/>
          <w:color w:val="auto"/>
        </w:rPr>
      </w:pPr>
      <w:r>
        <w:rPr>
          <w:rFonts w:ascii="Arial" w:cs="Arial" w:eastAsia="Arial" w:hAnsi="Arial"/>
          <w:sz w:val="15"/>
          <w:szCs w:val="15"/>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or the State of Israel shall have become engaged in hostilities, there shall have been an escalation in hostilities involving the United States or the State of Israel or there shall have been a declaration of a national emergency by the United States or war by the United States or the State of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Representatives, impracticable or inadvisable to proceed with the public offering or delivery of the Shares being delivered on such Delivery Date on the terms and in the manner contemplated in the Prospectus.</w:t>
      </w:r>
    </w:p>
    <w:p>
      <w:pPr>
        <w:spacing w:after="0" w:line="162" w:lineRule="exact"/>
        <w:rPr>
          <w:rFonts w:ascii="Arial" w:cs="Arial" w:eastAsia="Arial" w:hAnsi="Arial"/>
          <w:sz w:val="15"/>
          <w:szCs w:val="15"/>
          <w:color w:val="auto"/>
        </w:rPr>
      </w:pPr>
    </w:p>
    <w:p>
      <w:pPr>
        <w:ind w:left="20" w:firstLine="586"/>
        <w:spacing w:after="0" w:line="281" w:lineRule="auto"/>
        <w:tabs>
          <w:tab w:leader="none" w:pos="13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NASDAQ Global Market shall have approved the Shares for listing, subject only to official notice of issuance and evidence of satisfactory distribution.</w:t>
      </w:r>
    </w:p>
    <w:p>
      <w:pPr>
        <w:spacing w:after="0" w:line="150" w:lineRule="exact"/>
        <w:rPr>
          <w:rFonts w:ascii="Arial" w:cs="Arial" w:eastAsia="Arial" w:hAnsi="Arial"/>
          <w:sz w:val="16"/>
          <w:szCs w:val="16"/>
          <w:color w:val="auto"/>
        </w:rPr>
      </w:pPr>
    </w:p>
    <w:p>
      <w:pPr>
        <w:ind w:left="20" w:firstLine="586"/>
        <w:spacing w:after="0" w:line="281" w:lineRule="auto"/>
        <w:tabs>
          <w:tab w:leader="none" w:pos="122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Lock-Up Agreements between the Representatives and the officers, directors and shareholders of the Company set forth on Schedule II, delivered to the Representatives on or before the date of this Agreement, shall be in full force and effect on such Delivery Date.</w:t>
      </w:r>
    </w:p>
    <w:p>
      <w:pPr>
        <w:spacing w:after="0" w:line="34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187" w:name="page188"/>
    <w:bookmarkEnd w:id="187"/>
    <w:p>
      <w:pPr>
        <w:ind w:left="1160" w:firstLine="586"/>
        <w:spacing w:after="0" w:line="281" w:lineRule="auto"/>
        <w:tabs>
          <w:tab w:leader="none" w:pos="240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On or prior to each Delivery Date, the Company shall have furnished to the Underwriters such further certificates and documents as the Representatives may reasonably request.</w:t>
      </w:r>
    </w:p>
    <w:p>
      <w:pPr>
        <w:spacing w:after="0" w:line="151" w:lineRule="exact"/>
        <w:rPr>
          <w:sz w:val="20"/>
          <w:szCs w:val="20"/>
          <w:color w:val="auto"/>
        </w:rPr>
      </w:pPr>
    </w:p>
    <w:p>
      <w:pPr>
        <w:ind w:firstLine="1163"/>
        <w:spacing w:after="0" w:line="281"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51" w:lineRule="exact"/>
        <w:rPr>
          <w:sz w:val="20"/>
          <w:szCs w:val="20"/>
          <w:color w:val="auto"/>
        </w:rPr>
      </w:pPr>
    </w:p>
    <w:p>
      <w:pPr>
        <w:ind w:left="1680" w:hanging="516"/>
        <w:spacing w:after="0"/>
        <w:tabs>
          <w:tab w:leader="none" w:pos="1680"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p>
    <w:p>
      <w:pPr>
        <w:spacing w:after="0" w:line="203" w:lineRule="exact"/>
        <w:rPr>
          <w:rFonts w:ascii="Arial" w:cs="Arial" w:eastAsia="Arial" w:hAnsi="Arial"/>
          <w:sz w:val="16"/>
          <w:szCs w:val="16"/>
          <w:color w:val="auto"/>
        </w:rPr>
      </w:pPr>
    </w:p>
    <w:p>
      <w:pPr>
        <w:jc w:val="both"/>
        <w:ind w:left="1160" w:firstLine="586"/>
        <w:spacing w:after="0" w:line="271" w:lineRule="auto"/>
        <w:tabs>
          <w:tab w:leader="none" w:pos="2343" w:val="left"/>
        </w:tabs>
        <w:numPr>
          <w:ilvl w:val="1"/>
          <w:numId w:val="172"/>
        </w:numPr>
        <w:rPr>
          <w:rFonts w:ascii="Arial" w:cs="Arial" w:eastAsia="Arial" w:hAnsi="Arial"/>
          <w:sz w:val="15"/>
          <w:szCs w:val="15"/>
          <w:color w:val="auto"/>
        </w:rPr>
      </w:pPr>
      <w:r>
        <w:rPr>
          <w:rFonts w:ascii="Arial" w:cs="Arial" w:eastAsia="Arial" w:hAnsi="Arial"/>
          <w:sz w:val="15"/>
          <w:szCs w:val="15"/>
          <w:color w:val="auto"/>
        </w:rPr>
        <w:t>The Company hereby agrees to indemnify and hold harmless each Underwriter, its affiliates, directors, officers, employees and agents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Arial" w:cs="Arial" w:eastAsia="Arial" w:hAnsi="Arial"/>
          <w:sz w:val="15"/>
          <w:szCs w:val="15"/>
          <w:b w:val="1"/>
          <w:bCs w:val="1"/>
          <w:i w:val="1"/>
          <w:iCs w:val="1"/>
          <w:color w:val="auto"/>
        </w:rPr>
        <w:t>Marketing Materials</w:t>
      </w:r>
      <w:r>
        <w:rPr>
          <w:rFonts w:ascii="Arial" w:cs="Arial" w:eastAsia="Arial" w:hAnsi="Arial"/>
          <w:sz w:val="15"/>
          <w:szCs w:val="15"/>
          <w:color w:val="auto"/>
        </w:rPr>
        <w:t>”), or (E) any Blue Sky application or other document prepared or executed by the Company (or based upon any written information furnished by the Company specifically for use therein) specifically for the purpose of qualifying any or all of the Shares under the securities laws of any state or other jurisdiction (any such application, document or information being hereinafter called a “</w:t>
      </w:r>
      <w:r>
        <w:rPr>
          <w:rFonts w:ascii="Arial" w:cs="Arial" w:eastAsia="Arial" w:hAnsi="Arial"/>
          <w:sz w:val="15"/>
          <w:szCs w:val="15"/>
          <w:b w:val="1"/>
          <w:bCs w:val="1"/>
          <w:i w:val="1"/>
          <w:iCs w:val="1"/>
          <w:color w:val="auto"/>
        </w:rPr>
        <w:t>Blue Sky Application</w:t>
      </w:r>
      <w:r>
        <w:rPr>
          <w:rFonts w:ascii="Arial" w:cs="Arial" w:eastAsia="Arial" w:hAnsi="Arial"/>
          <w:sz w:val="15"/>
          <w:szCs w:val="15"/>
          <w:color w:val="auto"/>
        </w:rPr>
        <w:t xml:space="preserve">”)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agent, employee or controlling person promptly upon demand for any legal or other expenses reasonably incurred by that Underwriter, affiliate, director, officer, agent, employee or controlling person in connection with investigating or defending or preparing to defend against any such loss, claim, damage, liability or action as such expenses are incurred;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8(e). The foregoing indemnity agreement is in addition to any liability which the Company may otherwise have to any Underwriter or to any affiliate, director, officer, agent, employee or controlling person of that Underwriter.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88" w:name="page189"/>
    <w:bookmarkEnd w:id="188"/>
    <w:p>
      <w:pPr>
        <w:jc w:val="both"/>
        <w:ind w:left="20" w:firstLine="586"/>
        <w:spacing w:after="0" w:line="291" w:lineRule="auto"/>
        <w:tabs>
          <w:tab w:leader="none" w:pos="1206" w:val="left"/>
        </w:tabs>
        <w:numPr>
          <w:ilvl w:val="1"/>
          <w:numId w:val="173"/>
        </w:numPr>
        <w:rPr>
          <w:rFonts w:ascii="Arial" w:cs="Arial" w:eastAsia="Arial" w:hAnsi="Arial"/>
          <w:sz w:val="14"/>
          <w:szCs w:val="14"/>
          <w:color w:val="auto"/>
        </w:rPr>
      </w:pPr>
      <w:r>
        <w:rPr>
          <w:rFonts w:ascii="Arial" w:cs="Arial" w:eastAsia="Arial" w:hAnsi="Arial"/>
          <w:sz w:val="14"/>
          <w:szCs w:val="14"/>
          <w:color w:val="auto"/>
        </w:rPr>
        <w:t>Each Underwriter, severally and not jointly, shall indemnify and hold harmless the Company, its directors, officers, employees and agents,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w:t>
      </w:r>
    </w:p>
    <w:p>
      <w:pPr>
        <w:spacing w:after="0" w:line="3" w:lineRule="exact"/>
        <w:rPr>
          <w:rFonts w:ascii="Arial" w:cs="Arial" w:eastAsia="Arial" w:hAnsi="Arial"/>
          <w:sz w:val="14"/>
          <w:szCs w:val="14"/>
          <w:color w:val="auto"/>
        </w:rPr>
      </w:pPr>
    </w:p>
    <w:p>
      <w:pPr>
        <w:jc w:val="both"/>
        <w:ind w:left="20" w:firstLine="4"/>
        <w:spacing w:after="0" w:line="254" w:lineRule="auto"/>
        <w:tabs>
          <w:tab w:leader="none" w:pos="26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8(e). The foregoing indemnity agreement is in addition to any liability that any Underwriter may otherwise have to the Company or any such director, officer, employee or controlling person.</w:t>
      </w: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189" w:name="page190"/>
    <w:bookmarkEnd w:id="189"/>
    <w:p>
      <w:pPr>
        <w:jc w:val="both"/>
        <w:ind w:left="20" w:firstLine="586"/>
        <w:spacing w:after="0" w:line="291" w:lineRule="auto"/>
        <w:tabs>
          <w:tab w:leader="none" w:pos="1355" w:val="left"/>
        </w:tabs>
        <w:numPr>
          <w:ilvl w:val="0"/>
          <w:numId w:val="175"/>
        </w:numPr>
        <w:rPr>
          <w:rFonts w:ascii="Arial" w:cs="Arial" w:eastAsia="Arial" w:hAnsi="Arial"/>
          <w:sz w:val="14"/>
          <w:szCs w:val="14"/>
          <w:color w:val="auto"/>
        </w:rPr>
      </w:pPr>
      <w:r>
        <w:rPr>
          <w:rFonts w:ascii="Arial" w:cs="Arial" w:eastAsia="Arial" w:hAnsi="Arial"/>
          <w:sz w:val="14"/>
          <w:szCs w:val="14"/>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failure to notify the indemnifying party shall not relieve it from any liability which it may have under this Section 8 except to the extent it has been materially prejudiced (through the forfeiture of substantive rights and defenses) by such failure and,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8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8(a)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have notice of the terms of such settlement at least 30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338"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190" w:name="page191"/>
    <w:bookmarkEnd w:id="190"/>
    <w:p>
      <w:pPr>
        <w:jc w:val="both"/>
        <w:ind w:left="20" w:firstLine="586"/>
        <w:spacing w:after="0" w:line="271" w:lineRule="auto"/>
        <w:tabs>
          <w:tab w:leader="none" w:pos="1227"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8 shall for any reason be unavailable to or insufficient to hold harmless an indemnified party under Section 8(a) or 8(b)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(before deducting expenses) received by the Company,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8(d) are several in proportion to their respective underwriting obligations and not joint.</w:t>
      </w:r>
    </w:p>
    <w:p>
      <w:pPr>
        <w:spacing w:after="0" w:line="36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191" w:name="page192"/>
    <w:bookmarkEnd w:id="191"/>
    <w:p>
      <w:pPr>
        <w:jc w:val="both"/>
        <w:ind w:left="20" w:firstLine="586"/>
        <w:spacing w:after="0" w:line="258" w:lineRule="auto"/>
        <w:tabs>
          <w:tab w:leader="none" w:pos="127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Underwriters severally confirm and the Company acknowledges and agrees that the statements regarding delivery of shares by the Underwriters set forth on the cover page of, and the concession and reallowance figures and the paragraph relating to stabilization, short positions and penalty bids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69" w:lineRule="exact"/>
        <w:rPr>
          <w:rFonts w:ascii="Arial" w:cs="Arial" w:eastAsia="Arial" w:hAnsi="Arial"/>
          <w:sz w:val="16"/>
          <w:szCs w:val="16"/>
          <w:color w:val="auto"/>
        </w:rPr>
      </w:pPr>
    </w:p>
    <w:p>
      <w:pPr>
        <w:ind w:left="540" w:hanging="516"/>
        <w:spacing w:after="0"/>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Defaulting Underwriters</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left="20" w:firstLine="586"/>
        <w:spacing w:after="0" w:line="273" w:lineRule="auto"/>
        <w:tabs>
          <w:tab w:leader="none" w:pos="1339" w:val="left"/>
        </w:tabs>
        <w:numPr>
          <w:ilvl w:val="1"/>
          <w:numId w:val="178"/>
        </w:numPr>
        <w:rPr>
          <w:rFonts w:ascii="Arial" w:cs="Arial" w:eastAsia="Arial" w:hAnsi="Arial"/>
          <w:sz w:val="15"/>
          <w:szCs w:val="15"/>
          <w:color w:val="auto"/>
        </w:rPr>
      </w:pPr>
      <w:r>
        <w:rPr>
          <w:rFonts w:ascii="Arial" w:cs="Arial" w:eastAsia="Arial" w:hAnsi="Arial"/>
          <w:sz w:val="15"/>
          <w:szCs w:val="15"/>
          <w:color w:val="auto"/>
        </w:rPr>
        <w:t>If, on any Delivery Date, any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 this Section 9, purchases Shares that a defaulting Underwriter agreed but failed to purchase.</w:t>
      </w:r>
    </w:p>
    <w:p>
      <w:pPr>
        <w:spacing w:after="0" w:line="356"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192" w:name="page193"/>
    <w:bookmarkEnd w:id="192"/>
    <w:p>
      <w:pPr>
        <w:jc w:val="both"/>
        <w:ind w:left="1160" w:firstLine="586"/>
        <w:spacing w:after="0" w:line="257" w:lineRule="auto"/>
        <w:tabs>
          <w:tab w:leader="none" w:pos="2276"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all the Shares, then the Company shall have the right to require each non-defaulting Underwriter to purchase the total number of Shares that such Underwriter agreed to purchase hereunder plus such Underwriter's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(based on the total number of Shares that such Underwriter agreed to purchase hereunder) of the Shares of such defaulting Underwriter or Underwriters for which such arrangements have not been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non-defaulting Underwriters shall not be obligated to purchase more than 110% of the total number of Shares that it agreed to purchase on such Delivery Date pursuant to the terms of Section 2.</w:t>
      </w:r>
    </w:p>
    <w:p>
      <w:pPr>
        <w:spacing w:after="0" w:line="171" w:lineRule="exact"/>
        <w:rPr>
          <w:rFonts w:ascii="Arial" w:cs="Arial" w:eastAsia="Arial" w:hAnsi="Arial"/>
          <w:sz w:val="16"/>
          <w:szCs w:val="16"/>
          <w:color w:val="auto"/>
        </w:rPr>
      </w:pPr>
    </w:p>
    <w:p>
      <w:pPr>
        <w:jc w:val="both"/>
        <w:ind w:left="1160" w:firstLine="586"/>
        <w:spacing w:after="0" w:line="258" w:lineRule="auto"/>
        <w:tabs>
          <w:tab w:leader="none" w:pos="226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all the Shares, or if the Company shall not exercise the right described in paragraph (b) above, then this Agreement shall terminate without liability on the part of the non-defaulting Underwriters. Any termination of this Agreement pursuant to this Section 9 shall be without liability on the part of the Company, except that the Company will continue to be liable for the payment of expenses as set forth in Sections 6 and 11 and except that the provisions of Section 8 shall not terminate and shall remain in effect.</w:t>
      </w:r>
    </w:p>
    <w:p>
      <w:pPr>
        <w:spacing w:after="0" w:line="169" w:lineRule="exact"/>
        <w:rPr>
          <w:rFonts w:ascii="Arial" w:cs="Arial" w:eastAsia="Arial" w:hAnsi="Arial"/>
          <w:sz w:val="16"/>
          <w:szCs w:val="16"/>
          <w:color w:val="auto"/>
        </w:rPr>
      </w:pPr>
    </w:p>
    <w:p>
      <w:pPr>
        <w:ind w:left="1160" w:firstLine="586"/>
        <w:spacing w:after="0" w:line="281" w:lineRule="auto"/>
        <w:tabs>
          <w:tab w:leader="none" w:pos="244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Nothing contained herein shall relieve a defaulting Underwriter of any liability it may have to the Company or any non-defaulting Underwriter for damages caused by its default.</w:t>
      </w:r>
    </w:p>
    <w:p>
      <w:pPr>
        <w:spacing w:after="0" w:line="150" w:lineRule="exact"/>
        <w:rPr>
          <w:rFonts w:ascii="Arial" w:cs="Arial" w:eastAsia="Arial" w:hAnsi="Arial"/>
          <w:sz w:val="16"/>
          <w:szCs w:val="16"/>
          <w:color w:val="auto"/>
        </w:rPr>
      </w:pPr>
    </w:p>
    <w:p>
      <w:pPr>
        <w:jc w:val="both"/>
        <w:ind w:firstLine="1164"/>
        <w:spacing w:after="0" w:line="267" w:lineRule="auto"/>
        <w:tabs>
          <w:tab w:leader="none" w:pos="1873"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obligations of the Underwriters hereunder may be terminated by the Representatives by notice given to and received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prior to delivery of and payment for the Firm Shares if, prior to that time, any of the events described in Sections 7(l) and 7(m) shall have occurred or if the Underwriters shall decline to purchase the Shares for any reason permitted under this Agreement.</w:t>
      </w:r>
    </w:p>
    <w:p>
      <w:pPr>
        <w:spacing w:after="0" w:line="161" w:lineRule="exact"/>
        <w:rPr>
          <w:rFonts w:ascii="Arial" w:cs="Arial" w:eastAsia="Arial" w:hAnsi="Arial"/>
          <w:sz w:val="16"/>
          <w:szCs w:val="16"/>
          <w:color w:val="auto"/>
        </w:rPr>
      </w:pPr>
    </w:p>
    <w:p>
      <w:pPr>
        <w:jc w:val="both"/>
        <w:ind w:firstLine="1164"/>
        <w:spacing w:after="0" w:line="305" w:lineRule="auto"/>
        <w:tabs>
          <w:tab w:leader="none" w:pos="1734" w:val="left"/>
        </w:tabs>
        <w:numPr>
          <w:ilvl w:val="0"/>
          <w:numId w:val="180"/>
        </w:numPr>
        <w:rPr>
          <w:rFonts w:ascii="Arial" w:cs="Arial" w:eastAsia="Arial" w:hAnsi="Arial"/>
          <w:sz w:val="14"/>
          <w:szCs w:val="14"/>
          <w:color w:val="auto"/>
        </w:rPr>
      </w:pPr>
      <w:r>
        <w:rPr>
          <w:rFonts w:ascii="Arial" w:cs="Arial" w:eastAsia="Arial" w:hAnsi="Arial"/>
          <w:sz w:val="14"/>
          <w:szCs w:val="14"/>
          <w:i w:val="1"/>
          <w:iCs w:val="1"/>
          <w:color w:val="auto"/>
        </w:rPr>
        <w:t xml:space="preserve">Reimbursement of Underwriters’ Expenses. </w:t>
      </w:r>
      <w:r>
        <w:rPr>
          <w:rFonts w:ascii="Arial" w:cs="Arial" w:eastAsia="Arial" w:hAnsi="Arial"/>
          <w:sz w:val="14"/>
          <w:szCs w:val="14"/>
          <w:color w:val="auto"/>
        </w:rPr>
        <w:t>If (a) the Company shall fail to tender the Shares for delivery to the Underwriters for any reason, or (b)</w:t>
      </w:r>
      <w:r>
        <w:rPr>
          <w:rFonts w:ascii="Arial" w:cs="Arial" w:eastAsia="Arial" w:hAnsi="Arial"/>
          <w:sz w:val="14"/>
          <w:szCs w:val="14"/>
          <w:i w:val="1"/>
          <w:iCs w:val="1"/>
          <w:color w:val="auto"/>
        </w:rPr>
        <w:t xml:space="preserve"> </w:t>
      </w:r>
      <w:r>
        <w:rPr>
          <w:rFonts w:ascii="Arial" w:cs="Arial" w:eastAsia="Arial" w:hAnsi="Arial"/>
          <w:sz w:val="14"/>
          <w:szCs w:val="14"/>
          <w:color w:val="auto"/>
        </w:rPr>
        <w:t>the Underwriters shall decline to purchase the Shares for any reason permitted under this Agreement,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Representatives. If this Agreement is terminated pursuant to Section 9 by reason of the default of one or more Underwriters, the Company shall not be obligated to reimburse any defaulting Underwriter on account of those expenses.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93" w:name="page194"/>
    <w:bookmarkEnd w:id="193"/>
    <w:p>
      <w:pPr>
        <w:jc w:val="both"/>
        <w:ind w:firstLine="1164"/>
        <w:spacing w:after="0" w:line="256" w:lineRule="auto"/>
        <w:tabs>
          <w:tab w:leader="none" w:pos="1764"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Research Analyst Independence. </w:t>
      </w:r>
      <w:r>
        <w:rPr>
          <w:rFonts w:ascii="Arial" w:cs="Arial" w:eastAsia="Arial" w:hAnsi="Arial"/>
          <w:sz w:val="16"/>
          <w:szCs w:val="16"/>
          <w:color w:val="auto"/>
        </w:rPr>
        <w:t>The Company acknowledges that the Underwriters’ research analysts and research departments are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1" w:lineRule="exact"/>
        <w:rPr>
          <w:rFonts w:ascii="Arial" w:cs="Arial" w:eastAsia="Arial" w:hAnsi="Arial"/>
          <w:sz w:val="16"/>
          <w:szCs w:val="16"/>
          <w:color w:val="auto"/>
        </w:rPr>
      </w:pPr>
    </w:p>
    <w:p>
      <w:pPr>
        <w:jc w:val="both"/>
        <w:ind w:firstLine="1164"/>
        <w:spacing w:after="0" w:line="298" w:lineRule="auto"/>
        <w:tabs>
          <w:tab w:leader="none" w:pos="1861" w:val="left"/>
        </w:tabs>
        <w:numPr>
          <w:ilvl w:val="0"/>
          <w:numId w:val="181"/>
        </w:numPr>
        <w:rPr>
          <w:rFonts w:ascii="Arial" w:cs="Arial" w:eastAsia="Arial" w:hAnsi="Arial"/>
          <w:sz w:val="14"/>
          <w:szCs w:val="14"/>
          <w:color w:val="auto"/>
        </w:rPr>
      </w:pPr>
      <w:r>
        <w:rPr>
          <w:rFonts w:ascii="Arial" w:cs="Arial" w:eastAsia="Arial" w:hAnsi="Arial"/>
          <w:sz w:val="14"/>
          <w:szCs w:val="14"/>
          <w:i w:val="1"/>
          <w:iCs w:val="1"/>
          <w:color w:val="auto"/>
        </w:rPr>
        <w:t>No Fiduciary Duty</w:t>
      </w:r>
      <w:r>
        <w:rPr>
          <w:rFonts w:ascii="Arial" w:cs="Arial" w:eastAsia="Arial" w:hAnsi="Arial"/>
          <w:sz w:val="14"/>
          <w:szCs w:val="14"/>
          <w:color w:val="auto"/>
        </w:rPr>
        <w:t>. The Company acknowledges and agrees that in connection with this offering, sale of the Shares or any other services the</w:t>
      </w:r>
      <w:r>
        <w:rPr>
          <w:rFonts w:ascii="Arial" w:cs="Arial" w:eastAsia="Arial" w:hAnsi="Arial"/>
          <w:sz w:val="14"/>
          <w:szCs w:val="14"/>
          <w:i w:val="1"/>
          <w:iCs w:val="1"/>
          <w:color w:val="auto"/>
        </w:rPr>
        <w:t xml:space="preserve"> </w:t>
      </w:r>
      <w:r>
        <w:rPr>
          <w:rFonts w:ascii="Arial" w:cs="Arial" w:eastAsia="Arial" w:hAnsi="Arial"/>
          <w:sz w:val="14"/>
          <w:szCs w:val="14"/>
          <w:color w:val="auto"/>
        </w:rPr>
        <w:t>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and any other person, on the one hand, and the Underwriters, on the other, exists; (b) the Underwriters are not acting as advisors, expert or otherwise, to the Company, including, without limitation, with respect to the determination of the public offering price of the Shares, and such relationship between the Company, on the one hand, and the Underwriters, on the other, is entirely and solely commercial, based on arms-length negotiations; (c) any duties and obligations that the Underwriters may have to the Company shall be limited to those duties and obligations specifically stated herein; and (d) the Underwriters and their respective affiliates may have interests that differ from those of the Company. The Company hereby waives any claims that the Company may have against the Underwriters with respect to any breach of fiduciary duty in connection with this offering.</w:t>
      </w:r>
    </w:p>
    <w:p>
      <w:pPr>
        <w:spacing w:after="0" w:line="144" w:lineRule="exact"/>
        <w:rPr>
          <w:rFonts w:ascii="Arial" w:cs="Arial" w:eastAsia="Arial" w:hAnsi="Arial"/>
          <w:sz w:val="14"/>
          <w:szCs w:val="14"/>
          <w:color w:val="auto"/>
        </w:rPr>
      </w:pPr>
    </w:p>
    <w:p>
      <w:pPr>
        <w:ind w:left="1720" w:hanging="556"/>
        <w:spacing w:after="0"/>
        <w:tabs>
          <w:tab w:leader="none" w:pos="1720"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Notices, etc. </w:t>
      </w:r>
      <w:r>
        <w:rPr>
          <w:rFonts w:ascii="Arial" w:cs="Arial" w:eastAsia="Arial" w:hAnsi="Arial"/>
          <w:sz w:val="16"/>
          <w:szCs w:val="16"/>
          <w:color w:val="auto"/>
        </w:rPr>
        <w:t>All statements, requests, notices and agreements hereunder shall be in writing, and:</w:t>
      </w:r>
    </w:p>
    <w:p>
      <w:pPr>
        <w:spacing w:after="0" w:line="203" w:lineRule="exact"/>
        <w:rPr>
          <w:rFonts w:ascii="Arial" w:cs="Arial" w:eastAsia="Arial" w:hAnsi="Arial"/>
          <w:sz w:val="16"/>
          <w:szCs w:val="16"/>
          <w:color w:val="auto"/>
        </w:rPr>
      </w:pPr>
    </w:p>
    <w:p>
      <w:pPr>
        <w:jc w:val="both"/>
        <w:ind w:left="1160" w:firstLine="586"/>
        <w:spacing w:after="0" w:line="285" w:lineRule="auto"/>
        <w:tabs>
          <w:tab w:leader="none" w:pos="2302" w:val="left"/>
        </w:tabs>
        <w:numPr>
          <w:ilvl w:val="1"/>
          <w:numId w:val="181"/>
        </w:numPr>
        <w:rPr>
          <w:rFonts w:ascii="Arial" w:cs="Arial" w:eastAsia="Arial" w:hAnsi="Arial"/>
          <w:sz w:val="15"/>
          <w:szCs w:val="15"/>
          <w:color w:val="auto"/>
        </w:rPr>
      </w:pPr>
      <w:r>
        <w:rPr>
          <w:rFonts w:ascii="Arial" w:cs="Arial" w:eastAsia="Arial" w:hAnsi="Arial"/>
          <w:sz w:val="15"/>
          <w:szCs w:val="15"/>
          <w:color w:val="auto"/>
        </w:rPr>
        <w:t>if to the Underwriters, shall be delivered or sent by mail or facsimile transmission to (i) Barclays Capital Inc., 745 Seventh Avenue, New York, New York 10019, Attention: Syndicate Registration (Fax: (646) 834-8133), with a copy, in the case of any notice pursuant to Section 8(c), to the Director of Litigation, Office of the General Counsel, Barclays Capital Inc., 745 Seventh Avenue, New York, New York 10019 and (ii) Citigroup Global Markets Inc., 388 Greenwich Street, New York, New York 10013 Attention: General Counsel, (Fax: (646) 291-1469); and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94" w:name="page195"/>
    <w:bookmarkEnd w:id="194"/>
    <w:p>
      <w:pPr>
        <w:ind w:left="1160" w:firstLine="586"/>
        <w:spacing w:after="0" w:line="281" w:lineRule="auto"/>
        <w:tabs>
          <w:tab w:leader="none" w:pos="229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if to the Company, shall be delivered or sent by mail or facsimile transmission to the address of the Company set forth in the Registration Statement, Attention: Gabi Seligsohn (Fax: (+972) 3-908-0280).</w:t>
      </w:r>
    </w:p>
    <w:p>
      <w:pPr>
        <w:spacing w:after="0" w:line="15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Any such statements, requests, notices or agreements shall take effect at the time of receipt thereof. The Company shall be entitled to act and rely upon any request, consent, notice or agreement given or made on behalf of the Underwriters by Barclays Capital Inc. on behalf of the Representatives.</w:t>
      </w:r>
    </w:p>
    <w:p>
      <w:pPr>
        <w:spacing w:after="0" w:line="151" w:lineRule="exact"/>
        <w:rPr>
          <w:sz w:val="20"/>
          <w:szCs w:val="20"/>
          <w:color w:val="auto"/>
        </w:rPr>
      </w:pPr>
    </w:p>
    <w:p>
      <w:pPr>
        <w:jc w:val="both"/>
        <w:ind w:firstLine="1164"/>
        <w:spacing w:after="0" w:line="256" w:lineRule="auto"/>
        <w:tabs>
          <w:tab w:leader="none" w:pos="180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Persons Entitled to Benefit of Agreement</w:t>
      </w:r>
      <w:r>
        <w:rPr>
          <w:rFonts w:ascii="Arial" w:cs="Arial" w:eastAsia="Arial" w:hAnsi="Arial"/>
          <w:sz w:val="16"/>
          <w:szCs w:val="16"/>
          <w:color w:val="auto"/>
        </w:rPr>
        <w:t>. This Agreement shall inure to the benefit of and be binding upon the Underwriters,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8(b)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74" w:lineRule="exact"/>
        <w:rPr>
          <w:rFonts w:ascii="Arial" w:cs="Arial" w:eastAsia="Arial" w:hAnsi="Arial"/>
          <w:sz w:val="16"/>
          <w:szCs w:val="16"/>
          <w:color w:val="auto"/>
        </w:rPr>
      </w:pPr>
    </w:p>
    <w:p>
      <w:pPr>
        <w:jc w:val="both"/>
        <w:ind w:firstLine="1164"/>
        <w:spacing w:after="0" w:line="267" w:lineRule="auto"/>
        <w:tabs>
          <w:tab w:leader="none" w:pos="1728"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Survival. </w:t>
      </w:r>
      <w:r>
        <w:rPr>
          <w:rFonts w:ascii="Arial" w:cs="Arial" w:eastAsia="Arial" w:hAnsi="Arial"/>
          <w:sz w:val="16"/>
          <w:szCs w:val="16"/>
          <w:color w:val="auto"/>
        </w:rPr>
        <w:t>The respective indemnities, representations, warranties and agreements of the Company and the Underwriters contained in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161" w:lineRule="exact"/>
        <w:rPr>
          <w:rFonts w:ascii="Arial" w:cs="Arial" w:eastAsia="Arial" w:hAnsi="Arial"/>
          <w:sz w:val="16"/>
          <w:szCs w:val="16"/>
          <w:color w:val="auto"/>
        </w:rPr>
      </w:pPr>
    </w:p>
    <w:p>
      <w:pPr>
        <w:jc w:val="both"/>
        <w:ind w:firstLine="1164"/>
        <w:spacing w:after="0" w:line="267" w:lineRule="auto"/>
        <w:tabs>
          <w:tab w:leader="none" w:pos="1788"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Definition of the Terms “Business Day”, “Affiliate” and “Subsidiary”</w:t>
      </w:r>
      <w:r>
        <w:rPr>
          <w:rFonts w:ascii="Arial" w:cs="Arial" w:eastAsia="Arial" w:hAnsi="Arial"/>
          <w:sz w:val="16"/>
          <w:szCs w:val="16"/>
          <w:color w:val="auto"/>
        </w:rPr>
        <w:t>. For purposes of this Agreement,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each Monday,</w:t>
      </w:r>
      <w:r>
        <w:rPr>
          <w:rFonts w:ascii="Arial" w:cs="Arial" w:eastAsia="Arial" w:hAnsi="Arial"/>
          <w:sz w:val="16"/>
          <w:szCs w:val="16"/>
          <w:i w:val="1"/>
          <w:iCs w:val="1"/>
          <w:color w:val="auto"/>
        </w:rPr>
        <w:t xml:space="preserve"> </w:t>
      </w:r>
      <w:r>
        <w:rPr>
          <w:rFonts w:ascii="Arial" w:cs="Arial" w:eastAsia="Arial" w:hAnsi="Arial"/>
          <w:sz w:val="16"/>
          <w:szCs w:val="16"/>
          <w:color w:val="auto"/>
        </w:rPr>
        <w:t>Tuesday, Wednesday, Thursday or Friday that is not a day on which banking institutions in New York are generally authorized or obligated by law or executive order to close, and (b)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have the meanings set forth in Rule 405 under the Securities Act.</w:t>
      </w:r>
    </w:p>
    <w:p>
      <w:pPr>
        <w:spacing w:after="0" w:line="157" w:lineRule="exact"/>
        <w:rPr>
          <w:rFonts w:ascii="Arial" w:cs="Arial" w:eastAsia="Arial" w:hAnsi="Arial"/>
          <w:sz w:val="16"/>
          <w:szCs w:val="16"/>
          <w:color w:val="auto"/>
        </w:rPr>
      </w:pPr>
    </w:p>
    <w:p>
      <w:pPr>
        <w:ind w:firstLine="1164"/>
        <w:spacing w:after="0" w:line="286" w:lineRule="auto"/>
        <w:tabs>
          <w:tab w:leader="none" w:pos="1776"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This Agreement shall be governed by and construed in accordance with the laws of the State of New York without regard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to conflict of laws principles (other than Section 5-1401 of the General Obligations Law).</w:t>
      </w:r>
    </w:p>
    <w:p>
      <w:pPr>
        <w:spacing w:after="0" w:line="146" w:lineRule="exact"/>
        <w:rPr>
          <w:rFonts w:ascii="Arial" w:cs="Arial" w:eastAsia="Arial" w:hAnsi="Arial"/>
          <w:sz w:val="16"/>
          <w:szCs w:val="16"/>
          <w:color w:val="auto"/>
        </w:rPr>
      </w:pPr>
    </w:p>
    <w:p>
      <w:pPr>
        <w:jc w:val="both"/>
        <w:ind w:firstLine="1164"/>
        <w:spacing w:after="0" w:line="275" w:lineRule="auto"/>
        <w:tabs>
          <w:tab w:leader="none" w:pos="1740" w:val="left"/>
        </w:tabs>
        <w:numPr>
          <w:ilvl w:val="0"/>
          <w:numId w:val="183"/>
        </w:numPr>
        <w:rPr>
          <w:rFonts w:ascii="Arial" w:cs="Arial" w:eastAsia="Arial" w:hAnsi="Arial"/>
          <w:sz w:val="15"/>
          <w:szCs w:val="15"/>
          <w:color w:val="auto"/>
        </w:rPr>
      </w:pPr>
      <w:r>
        <w:rPr>
          <w:rFonts w:ascii="Arial" w:cs="Arial" w:eastAsia="Arial" w:hAnsi="Arial"/>
          <w:sz w:val="15"/>
          <w:szCs w:val="15"/>
          <w:i w:val="1"/>
          <w:iCs w:val="1"/>
          <w:color w:val="auto"/>
        </w:rPr>
        <w:t xml:space="preserve">Submission to Jurisdiction, Etc. </w:t>
      </w:r>
      <w:r>
        <w:rPr>
          <w:rFonts w:ascii="Arial" w:cs="Arial" w:eastAsia="Arial" w:hAnsi="Arial"/>
          <w:sz w:val="15"/>
          <w:szCs w:val="15"/>
          <w:color w:val="auto"/>
        </w:rPr>
        <w:t>The Company hereby submits to the non-exclusive jurisdiction of the U.S. federal and New York state courts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irrevocably appoints Kornit Digital North America Inc., as its authorized agent in the Borough of Manhattan, The City of New York, New York upon which process may be served in any such suit or proceeding, and agrees that service of process upon such agent, and written notice of said service to the Company by the person serving the same to the address provided in Section 8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seven years from the date of this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95" w:name="page196"/>
    <w:bookmarkEnd w:id="195"/>
    <w:p>
      <w:pPr>
        <w:jc w:val="both"/>
        <w:ind w:firstLine="1164"/>
        <w:spacing w:after="0" w:line="281" w:lineRule="auto"/>
        <w:tabs>
          <w:tab w:leader="none" w:pos="1813" w:val="left"/>
        </w:tabs>
        <w:numPr>
          <w:ilvl w:val="0"/>
          <w:numId w:val="184"/>
        </w:numPr>
        <w:rPr>
          <w:rFonts w:ascii="Arial" w:cs="Arial" w:eastAsia="Arial" w:hAnsi="Arial"/>
          <w:sz w:val="15"/>
          <w:szCs w:val="15"/>
          <w:color w:val="auto"/>
        </w:rPr>
      </w:pPr>
      <w:r>
        <w:rPr>
          <w:rFonts w:ascii="Arial" w:cs="Arial" w:eastAsia="Arial" w:hAnsi="Arial"/>
          <w:sz w:val="15"/>
          <w:szCs w:val="15"/>
          <w:i w:val="1"/>
          <w:iCs w:val="1"/>
          <w:color w:val="auto"/>
        </w:rPr>
        <w:t>Waiver of Immunity</w:t>
      </w:r>
      <w:r>
        <w:rPr>
          <w:rFonts w:ascii="Arial" w:cs="Arial" w:eastAsia="Arial" w:hAnsi="Arial"/>
          <w:sz w:val="15"/>
          <w:szCs w:val="15"/>
          <w:color w:val="auto"/>
        </w:rPr>
        <w:t>. With respect to any suit or proceeding arising out of or relating to this Agreement or the transactions contemplated hereby,</w:t>
      </w:r>
      <w:r>
        <w:rPr>
          <w:rFonts w:ascii="Arial" w:cs="Arial" w:eastAsia="Arial" w:hAnsi="Arial"/>
          <w:sz w:val="15"/>
          <w:szCs w:val="15"/>
          <w:i w:val="1"/>
          <w:iCs w:val="1"/>
          <w:color w:val="auto"/>
        </w:rPr>
        <w:t xml:space="preserve"> </w:t>
      </w:r>
      <w:r>
        <w:rPr>
          <w:rFonts w:ascii="Arial" w:cs="Arial" w:eastAsia="Arial" w:hAnsi="Arial"/>
          <w:sz w:val="15"/>
          <w:szCs w:val="15"/>
          <w:color w:val="auto"/>
        </w:rPr>
        <w:t>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153" w:lineRule="exact"/>
        <w:rPr>
          <w:rFonts w:ascii="Arial" w:cs="Arial" w:eastAsia="Arial" w:hAnsi="Arial"/>
          <w:sz w:val="15"/>
          <w:szCs w:val="15"/>
          <w:color w:val="auto"/>
        </w:rPr>
      </w:pPr>
    </w:p>
    <w:p>
      <w:pPr>
        <w:jc w:val="both"/>
        <w:ind w:firstLine="1164"/>
        <w:spacing w:after="0" w:line="256" w:lineRule="auto"/>
        <w:tabs>
          <w:tab w:leader="none" w:pos="1740"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Judgment Currency. </w:t>
      </w:r>
      <w:r>
        <w:rPr>
          <w:rFonts w:ascii="Arial" w:cs="Arial" w:eastAsia="Arial" w:hAnsi="Arial"/>
          <w:sz w:val="16"/>
          <w:szCs w:val="16"/>
          <w:color w:val="auto"/>
        </w:rPr>
        <w:t>The obligation of the Company in respect of any sum due to any Underwriter under this Agreement shall, notwithstanding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in a currency other than U.S. dollars or any other applicable currency (the “</w:t>
      </w:r>
      <w:r>
        <w:rPr>
          <w:rFonts w:ascii="Arial" w:cs="Arial" w:eastAsia="Arial" w:hAnsi="Arial"/>
          <w:sz w:val="16"/>
          <w:szCs w:val="16"/>
          <w:b w:val="1"/>
          <w:bCs w:val="1"/>
          <w:i w:val="1"/>
          <w:iCs w:val="1"/>
          <w:color w:val="auto"/>
        </w:rPr>
        <w:t>Judgment Currency</w:t>
      </w:r>
      <w:r>
        <w:rPr>
          <w:rFonts w:ascii="Arial" w:cs="Arial" w:eastAsia="Arial" w:hAnsi="Arial"/>
          <w:sz w:val="16"/>
          <w:szCs w:val="16"/>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agrees,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an amount equal to the excess of the U.S. dollars or other applicable currency so purchased over the sum originally due to such Underwriter hereunder.</w:t>
      </w:r>
    </w:p>
    <w:p>
      <w:pPr>
        <w:spacing w:after="0" w:line="174" w:lineRule="exact"/>
        <w:rPr>
          <w:rFonts w:ascii="Arial" w:cs="Arial" w:eastAsia="Arial" w:hAnsi="Arial"/>
          <w:sz w:val="16"/>
          <w:szCs w:val="16"/>
          <w:color w:val="auto"/>
        </w:rPr>
      </w:pPr>
    </w:p>
    <w:p>
      <w:pPr>
        <w:ind w:firstLine="1164"/>
        <w:spacing w:after="0" w:line="281" w:lineRule="auto"/>
        <w:tabs>
          <w:tab w:leader="none" w:pos="1800"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Waiver of Jury Trial</w:t>
      </w:r>
      <w:r>
        <w:rPr>
          <w:rFonts w:ascii="Arial" w:cs="Arial" w:eastAsia="Arial" w:hAnsi="Arial"/>
          <w:sz w:val="16"/>
          <w:szCs w:val="16"/>
          <w:color w:val="auto"/>
        </w:rPr>
        <w:t>. The Company and the Underwriters hereby irrevocably waive, to the fullest extent permitted by applicable law,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trial by jury in any legal proceeding arising out of or relating to this Agreement or the transactions contemplated hereby.</w:t>
      </w:r>
    </w:p>
    <w:p>
      <w:pPr>
        <w:spacing w:after="0" w:line="150" w:lineRule="exact"/>
        <w:rPr>
          <w:rFonts w:ascii="Arial" w:cs="Arial" w:eastAsia="Arial" w:hAnsi="Arial"/>
          <w:sz w:val="16"/>
          <w:szCs w:val="16"/>
          <w:color w:val="auto"/>
        </w:rPr>
      </w:pPr>
    </w:p>
    <w:p>
      <w:pPr>
        <w:ind w:firstLine="1164"/>
        <w:spacing w:after="0" w:line="281" w:lineRule="auto"/>
        <w:tabs>
          <w:tab w:leader="none" w:pos="1970"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in one or more counterparts and, if executed in more than one counterpart,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counterparts shall each be deemed to be an original but all such counterparts shall together constitute one and the same instrument.</w:t>
      </w:r>
    </w:p>
    <w:p>
      <w:pPr>
        <w:spacing w:after="0" w:line="150" w:lineRule="exact"/>
        <w:rPr>
          <w:rFonts w:ascii="Arial" w:cs="Arial" w:eastAsia="Arial" w:hAnsi="Arial"/>
          <w:sz w:val="16"/>
          <w:szCs w:val="16"/>
          <w:color w:val="auto"/>
        </w:rPr>
      </w:pPr>
    </w:p>
    <w:p>
      <w:pPr>
        <w:ind w:firstLine="1164"/>
        <w:spacing w:after="0" w:line="281" w:lineRule="auto"/>
        <w:tabs>
          <w:tab w:leader="none" w:pos="1885"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Headings. </w:t>
      </w:r>
      <w:r>
        <w:rPr>
          <w:rFonts w:ascii="Arial" w:cs="Arial" w:eastAsia="Arial" w:hAnsi="Arial"/>
          <w:sz w:val="16"/>
          <w:szCs w:val="16"/>
          <w:color w:val="auto"/>
        </w:rPr>
        <w:t>The headings herein are inserted for convenience of reference only and are not intended to be part of, or to affect the meaning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of, this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96" w:name="page197"/>
    <w:bookmarkEnd w:id="196"/>
    <w:p>
      <w:pPr>
        <w:ind w:left="580"/>
        <w:spacing w:after="0"/>
        <w:rPr>
          <w:sz w:val="20"/>
          <w:szCs w:val="20"/>
          <w:color w:val="auto"/>
        </w:rPr>
      </w:pPr>
      <w:r>
        <w:rPr>
          <w:rFonts w:ascii="Arial" w:cs="Arial" w:eastAsia="Arial" w:hAnsi="Arial"/>
          <w:sz w:val="14"/>
          <w:szCs w:val="14"/>
          <w:color w:val="auto"/>
        </w:rPr>
        <w:t>If the foregoing correctly sets forth the agreement between the Company and the Underwriters, please indicate your acceptance in the space provided for that purpose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Very truly yours,</w:t>
      </w:r>
    </w:p>
    <w:p>
      <w:pPr>
        <w:spacing w:after="0" w:line="204"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KORNIT DIGITAL LTD.</w:t>
      </w:r>
    </w:p>
    <w:p>
      <w:pPr>
        <w:spacing w:after="0" w:line="20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-116205</wp:posOffset>
            </wp:positionV>
            <wp:extent cx="329946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99460" cy="762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Title: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197" w:name="page198"/>
    <w:bookmarkEnd w:id="197"/>
    <w:p>
      <w:pPr>
        <w:jc w:val="right"/>
        <w:ind w:right="4179"/>
        <w:spacing w:after="0"/>
        <w:rPr>
          <w:sz w:val="20"/>
          <w:szCs w:val="20"/>
          <w:color w:val="auto"/>
        </w:rPr>
      </w:pPr>
      <w:r>
        <w:rPr>
          <w:rFonts w:ascii="Arial" w:cs="Arial" w:eastAsia="Arial" w:hAnsi="Arial"/>
          <w:sz w:val="16"/>
          <w:szCs w:val="16"/>
          <w:color w:val="auto"/>
        </w:rPr>
        <w:t>Accepted: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w:t>
      </w:r>
      <w:r>
        <w:rPr>
          <w:rFonts w:ascii="Arial" w:cs="Arial" w:eastAsia="Arial" w:hAnsi="Arial"/>
          <w:sz w:val="10"/>
          <w:szCs w:val="10"/>
          <w:color w:val="auto"/>
        </w:rPr>
        <w:t>ARCLAYS</w:t>
      </w:r>
      <w:r>
        <w:rPr>
          <w:rFonts w:ascii="Arial" w:cs="Arial" w:eastAsia="Arial" w:hAnsi="Arial"/>
          <w:sz w:val="16"/>
          <w:szCs w:val="16"/>
          <w:color w:val="auto"/>
        </w:rPr>
        <w:t xml:space="preserve"> C</w:t>
      </w:r>
      <w:r>
        <w:rPr>
          <w:rFonts w:ascii="Arial" w:cs="Arial" w:eastAsia="Arial" w:hAnsi="Arial"/>
          <w:sz w:val="10"/>
          <w:szCs w:val="10"/>
          <w:color w:val="auto"/>
        </w:rPr>
        <w:t>APITAL</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ITIGROUP</w:t>
      </w:r>
      <w:r>
        <w:rPr>
          <w:rFonts w:ascii="Arial" w:cs="Arial" w:eastAsia="Arial" w:hAnsi="Arial"/>
          <w:sz w:val="16"/>
          <w:szCs w:val="16"/>
          <w:color w:val="auto"/>
        </w:rPr>
        <w:t xml:space="preserve"> G</w:t>
      </w:r>
      <w:r>
        <w:rPr>
          <w:rFonts w:ascii="Arial" w:cs="Arial" w:eastAsia="Arial" w:hAnsi="Arial"/>
          <w:sz w:val="10"/>
          <w:szCs w:val="10"/>
          <w:color w:val="auto"/>
        </w:rPr>
        <w:t>LOBAL</w:t>
      </w:r>
      <w:r>
        <w:rPr>
          <w:rFonts w:ascii="Arial" w:cs="Arial" w:eastAsia="Arial" w:hAnsi="Arial"/>
          <w:sz w:val="16"/>
          <w:szCs w:val="16"/>
          <w:color w:val="auto"/>
        </w:rPr>
        <w:t xml:space="preserve"> M</w:t>
      </w:r>
      <w:r>
        <w:rPr>
          <w:rFonts w:ascii="Arial" w:cs="Arial" w:eastAsia="Arial" w:hAnsi="Arial"/>
          <w:sz w:val="10"/>
          <w:szCs w:val="10"/>
          <w:color w:val="auto"/>
        </w:rPr>
        <w:t>ARKETS</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of the several Underwriters named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in Schedule I hereto</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By B</w:t>
      </w:r>
      <w:r>
        <w:rPr>
          <w:rFonts w:ascii="Arial" w:cs="Arial" w:eastAsia="Arial" w:hAnsi="Arial"/>
          <w:sz w:val="10"/>
          <w:szCs w:val="10"/>
          <w:color w:val="auto"/>
        </w:rPr>
        <w:t>ARCLAYS</w:t>
      </w:r>
      <w:r>
        <w:rPr>
          <w:rFonts w:ascii="Arial" w:cs="Arial" w:eastAsia="Arial" w:hAnsi="Arial"/>
          <w:sz w:val="16"/>
          <w:szCs w:val="16"/>
          <w:color w:val="auto"/>
        </w:rPr>
        <w:t xml:space="preserve"> C</w:t>
      </w:r>
      <w:r>
        <w:rPr>
          <w:rFonts w:ascii="Arial" w:cs="Arial" w:eastAsia="Arial" w:hAnsi="Arial"/>
          <w:sz w:val="10"/>
          <w:szCs w:val="10"/>
          <w:color w:val="auto"/>
        </w:rPr>
        <w:t>APITAL</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-116205</wp:posOffset>
            </wp:positionV>
            <wp:extent cx="323024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3024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By C</w:t>
      </w:r>
      <w:r>
        <w:rPr>
          <w:rFonts w:ascii="Arial" w:cs="Arial" w:eastAsia="Arial" w:hAnsi="Arial"/>
          <w:sz w:val="10"/>
          <w:szCs w:val="10"/>
          <w:color w:val="auto"/>
        </w:rPr>
        <w:t>ITIGROUP</w:t>
      </w:r>
      <w:r>
        <w:rPr>
          <w:rFonts w:ascii="Arial" w:cs="Arial" w:eastAsia="Arial" w:hAnsi="Arial"/>
          <w:sz w:val="16"/>
          <w:szCs w:val="16"/>
          <w:color w:val="auto"/>
        </w:rPr>
        <w:t xml:space="preserve"> G</w:t>
      </w:r>
      <w:r>
        <w:rPr>
          <w:rFonts w:ascii="Arial" w:cs="Arial" w:eastAsia="Arial" w:hAnsi="Arial"/>
          <w:sz w:val="10"/>
          <w:szCs w:val="10"/>
          <w:color w:val="auto"/>
        </w:rPr>
        <w:t>LOBAL</w:t>
      </w:r>
      <w:r>
        <w:rPr>
          <w:rFonts w:ascii="Arial" w:cs="Arial" w:eastAsia="Arial" w:hAnsi="Arial"/>
          <w:sz w:val="16"/>
          <w:szCs w:val="16"/>
          <w:color w:val="auto"/>
        </w:rPr>
        <w:t xml:space="preserve"> M</w:t>
      </w:r>
      <w:r>
        <w:rPr>
          <w:rFonts w:ascii="Arial" w:cs="Arial" w:eastAsia="Arial" w:hAnsi="Arial"/>
          <w:sz w:val="10"/>
          <w:szCs w:val="10"/>
          <w:color w:val="auto"/>
        </w:rPr>
        <w:t>ARKETS</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-116205</wp:posOffset>
            </wp:positionV>
            <wp:extent cx="323024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30245" cy="7620"/>
                    </a:xfrm>
                    <a:prstGeom prst="rect">
                      <a:avLst/>
                    </a:prstGeom>
                    <a:noFill/>
                  </pic:spPr>
                </pic:pic>
              </a:graphicData>
            </a:graphic>
          </wp:anchor>
        </w:drawing>
      </w:r>
    </w:p>
    <w:p>
      <w:pPr>
        <w:spacing w:after="0" w:line="37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5" w:right="1440" w:bottom="1440" w:gutter="0" w:footer="0" w:header="0"/>
        </w:sectPr>
      </w:pPr>
    </w:p>
    <w:bookmarkStart w:id="198" w:name="page199"/>
    <w:bookmarkEnd w:id="198"/>
    <w:p>
      <w:pPr>
        <w:jc w:val="right"/>
        <w:ind w:right="1060"/>
        <w:spacing w:after="0"/>
        <w:rPr>
          <w:sz w:val="20"/>
          <w:szCs w:val="20"/>
          <w:color w:val="auto"/>
        </w:rPr>
      </w:pPr>
      <w:r>
        <w:rPr>
          <w:rFonts w:ascii="Arial" w:cs="Arial" w:eastAsia="Arial" w:hAnsi="Arial"/>
          <w:sz w:val="16"/>
          <w:szCs w:val="16"/>
          <w:b w:val="1"/>
          <w:bCs w:val="1"/>
          <w:color w:val="auto"/>
        </w:rPr>
        <w:t>SCHEDULE 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488378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83785"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76135" cy="1231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1231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76135" cy="1231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1231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Stifel, Nicolaus &amp; Company, Incorporated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76135" cy="1231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1231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Needham &amp; Company, LLC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176135"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421640</wp:posOffset>
            </wp:positionV>
            <wp:extent cx="718375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Firm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14566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456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459"/>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214566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45665" cy="7620"/>
                    </a:xfrm>
                    <a:prstGeom prst="rect">
                      <a:avLst/>
                    </a:prstGeom>
                    <a:noFill/>
                  </pic:spPr>
                </pic:pic>
              </a:graphicData>
            </a:graphic>
          </wp:anchor>
        </w:drawing>
      </w:r>
    </w:p>
    <w:p>
      <w:pPr>
        <w:sectPr>
          <w:pgSz w:w="11900" w:h="16838" w:orient="portrait"/>
          <w:cols w:equalWidth="0" w:num="2">
            <w:col w:w="7200" w:space="720"/>
            <w:col w:w="2239"/>
          </w:cols>
          <w:pgMar w:left="300" w:top="801" w:right="1440" w:bottom="1440" w:gutter="0" w:footer="0" w:header="0"/>
        </w:sectPr>
      </w:pPr>
    </w:p>
    <w:bookmarkStart w:id="199" w:name="page200"/>
    <w:bookmarkEnd w:id="199"/>
    <w:p>
      <w:pPr>
        <w:jc w:val="center"/>
        <w:ind w:right="-1160"/>
        <w:spacing w:after="0"/>
        <w:rPr>
          <w:sz w:val="20"/>
          <w:szCs w:val="20"/>
          <w:color w:val="auto"/>
        </w:rPr>
      </w:pPr>
      <w:r>
        <w:rPr>
          <w:rFonts w:ascii="Arial" w:cs="Arial" w:eastAsia="Arial" w:hAnsi="Arial"/>
          <w:sz w:val="16"/>
          <w:szCs w:val="16"/>
          <w:b w:val="1"/>
          <w:bCs w:val="1"/>
          <w:color w:val="auto"/>
        </w:rPr>
        <w:t>SCHEDULE II</w:t>
      </w:r>
    </w:p>
    <w:p>
      <w:pPr>
        <w:spacing w:after="0" w:line="208" w:lineRule="exact"/>
        <w:rPr>
          <w:sz w:val="20"/>
          <w:szCs w:val="20"/>
          <w:color w:val="auto"/>
        </w:rPr>
      </w:pPr>
    </w:p>
    <w:p>
      <w:pPr>
        <w:jc w:val="right"/>
        <w:ind w:right="2699"/>
        <w:spacing w:after="0"/>
        <w:rPr>
          <w:sz w:val="20"/>
          <w:szCs w:val="20"/>
          <w:color w:val="auto"/>
        </w:rPr>
      </w:pPr>
      <w:r>
        <w:rPr>
          <w:rFonts w:ascii="Arial" w:cs="Arial" w:eastAsia="Arial" w:hAnsi="Arial"/>
          <w:sz w:val="16"/>
          <w:szCs w:val="16"/>
          <w:color w:val="auto"/>
        </w:rPr>
        <w:t>PERSONS DELIVERING LOCK-UP AGREEMENTS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Directors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Officers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200" w:name="page201"/>
    <w:bookmarkEnd w:id="200"/>
    <w:p>
      <w:pPr>
        <w:jc w:val="center"/>
        <w:ind w:right="-1160"/>
        <w:spacing w:after="0"/>
        <w:rPr>
          <w:sz w:val="20"/>
          <w:szCs w:val="20"/>
          <w:color w:val="auto"/>
        </w:rPr>
      </w:pPr>
      <w:r>
        <w:rPr>
          <w:rFonts w:ascii="Arial" w:cs="Arial" w:eastAsia="Arial" w:hAnsi="Arial"/>
          <w:sz w:val="16"/>
          <w:szCs w:val="16"/>
          <w:b w:val="1"/>
          <w:bCs w:val="1"/>
          <w:color w:val="auto"/>
        </w:rPr>
        <w:t>SCHEDULE III</w:t>
      </w:r>
    </w:p>
    <w:p>
      <w:pPr>
        <w:spacing w:after="0" w:line="208" w:lineRule="exact"/>
        <w:rPr>
          <w:sz w:val="20"/>
          <w:szCs w:val="20"/>
          <w:color w:val="auto"/>
        </w:rPr>
      </w:pPr>
    </w:p>
    <w:p>
      <w:pPr>
        <w:jc w:val="right"/>
        <w:ind w:right="3139"/>
        <w:spacing w:after="0"/>
        <w:rPr>
          <w:sz w:val="20"/>
          <w:szCs w:val="20"/>
          <w:color w:val="auto"/>
        </w:rPr>
      </w:pPr>
      <w:r>
        <w:rPr>
          <w:rFonts w:ascii="Arial" w:cs="Arial" w:eastAsia="Arial" w:hAnsi="Arial"/>
          <w:sz w:val="16"/>
          <w:szCs w:val="16"/>
          <w:color w:val="auto"/>
        </w:rPr>
        <w:t>CONVEYED PRICING INFORMATION</w:t>
      </w:r>
    </w:p>
    <w:p>
      <w:pPr>
        <w:spacing w:after="0" w:line="204" w:lineRule="exact"/>
        <w:rPr>
          <w:sz w:val="20"/>
          <w:szCs w:val="20"/>
          <w:color w:val="auto"/>
        </w:rPr>
      </w:pPr>
    </w:p>
    <w:p>
      <w:pPr>
        <w:ind w:left="160" w:hanging="159"/>
        <w:spacing w:after="0"/>
        <w:tabs>
          <w:tab w:leader="none" w:pos="1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Public offering price</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left="160" w:hanging="159"/>
        <w:spacing w:after="0"/>
        <w:tabs>
          <w:tab w:leader="none" w:pos="1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Number of shares offered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201" w:name="page202"/>
    <w:bookmarkEnd w:id="201"/>
    <w:p>
      <w:pPr>
        <w:jc w:val="center"/>
        <w:ind w:right="-1160"/>
        <w:spacing w:after="0"/>
        <w:rPr>
          <w:sz w:val="20"/>
          <w:szCs w:val="20"/>
          <w:color w:val="auto"/>
        </w:rPr>
      </w:pPr>
      <w:r>
        <w:rPr>
          <w:rFonts w:ascii="Arial" w:cs="Arial" w:eastAsia="Arial" w:hAnsi="Arial"/>
          <w:sz w:val="16"/>
          <w:szCs w:val="16"/>
          <w:b w:val="1"/>
          <w:bCs w:val="1"/>
          <w:u w:val="single" w:color="auto"/>
          <w:color w:val="auto"/>
        </w:rPr>
        <w:t>SCHEDULE IV</w:t>
      </w:r>
    </w:p>
    <w:p>
      <w:pPr>
        <w:spacing w:after="0" w:line="208" w:lineRule="exact"/>
        <w:rPr>
          <w:sz w:val="20"/>
          <w:szCs w:val="20"/>
          <w:color w:val="auto"/>
        </w:rPr>
      </w:pPr>
    </w:p>
    <w:p>
      <w:pPr>
        <w:jc w:val="right"/>
        <w:ind w:right="1979"/>
        <w:spacing w:after="0"/>
        <w:rPr>
          <w:sz w:val="20"/>
          <w:szCs w:val="20"/>
          <w:color w:val="auto"/>
        </w:rPr>
      </w:pPr>
      <w:r>
        <w:rPr>
          <w:rFonts w:ascii="Arial" w:cs="Arial" w:eastAsia="Arial" w:hAnsi="Arial"/>
          <w:sz w:val="16"/>
          <w:szCs w:val="16"/>
          <w:color w:val="auto"/>
        </w:rPr>
        <w:t>ISSUER FREE WRITING PROSPECTUSES – ROAD SHOW MATERIALS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[List of certain “road show”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202" w:name="page203"/>
    <w:bookmarkEnd w:id="202"/>
    <w:p>
      <w:pPr>
        <w:jc w:val="center"/>
        <w:ind w:right="-1140"/>
        <w:spacing w:after="0"/>
        <w:rPr>
          <w:sz w:val="20"/>
          <w:szCs w:val="20"/>
          <w:color w:val="auto"/>
        </w:rPr>
      </w:pPr>
      <w:r>
        <w:rPr>
          <w:rFonts w:ascii="Arial" w:cs="Arial" w:eastAsia="Arial" w:hAnsi="Arial"/>
          <w:sz w:val="16"/>
          <w:szCs w:val="16"/>
          <w:b w:val="1"/>
          <w:bCs w:val="1"/>
          <w:u w:val="single" w:color="auto"/>
          <w:color w:val="auto"/>
        </w:rPr>
        <w:t>SCHEDULE V</w:t>
      </w:r>
    </w:p>
    <w:p>
      <w:pPr>
        <w:spacing w:after="0" w:line="208" w:lineRule="exact"/>
        <w:rPr>
          <w:sz w:val="20"/>
          <w:szCs w:val="20"/>
          <w:color w:val="auto"/>
        </w:rPr>
      </w:pPr>
    </w:p>
    <w:p>
      <w:pPr>
        <w:jc w:val="right"/>
        <w:ind w:right="3119"/>
        <w:spacing w:after="0"/>
        <w:rPr>
          <w:sz w:val="20"/>
          <w:szCs w:val="20"/>
          <w:color w:val="auto"/>
        </w:rPr>
      </w:pPr>
      <w:r>
        <w:rPr>
          <w:rFonts w:ascii="Arial" w:cs="Arial" w:eastAsia="Arial" w:hAnsi="Arial"/>
          <w:sz w:val="16"/>
          <w:szCs w:val="16"/>
          <w:color w:val="auto"/>
        </w:rPr>
        <w:t>ISSUER FREE WRITING PROSPECTUS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[List of all “Issuer Free Writing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203" w:name="page204"/>
    <w:bookmarkEnd w:id="203"/>
    <w:p>
      <w:pPr>
        <w:jc w:val="center"/>
        <w:ind w:right="-1140"/>
        <w:spacing w:after="0"/>
        <w:rPr>
          <w:sz w:val="20"/>
          <w:szCs w:val="20"/>
          <w:color w:val="auto"/>
        </w:rPr>
      </w:pPr>
      <w:r>
        <w:rPr>
          <w:rFonts w:ascii="Arial" w:cs="Arial" w:eastAsia="Arial" w:hAnsi="Arial"/>
          <w:sz w:val="16"/>
          <w:szCs w:val="16"/>
          <w:b w:val="1"/>
          <w:bCs w:val="1"/>
          <w:u w:val="single" w:color="auto"/>
          <w:color w:val="auto"/>
        </w:rPr>
        <w:t>SCHEDULE VI</w:t>
      </w:r>
    </w:p>
    <w:p>
      <w:pPr>
        <w:spacing w:after="0" w:line="208"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WRITTEN TESTING-THE-WATERS COMMUNICATIONS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[List of all Written Testing-the-Waters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204" w:name="page205"/>
    <w:bookmarkEnd w:id="204"/>
    <w:p>
      <w:pPr>
        <w:jc w:val="center"/>
        <w:spacing w:after="0"/>
        <w:rPr>
          <w:sz w:val="20"/>
          <w:szCs w:val="20"/>
          <w:color w:val="auto"/>
        </w:rPr>
      </w:pPr>
      <w:r>
        <w:rPr>
          <w:rFonts w:ascii="Arial" w:cs="Arial" w:eastAsia="Arial" w:hAnsi="Arial"/>
          <w:sz w:val="16"/>
          <w:szCs w:val="16"/>
          <w:b w:val="1"/>
          <w:bCs w:val="1"/>
          <w:color w:val="auto"/>
        </w:rPr>
        <w:t>EXHIBIT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LOCK-UP LETTER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As Representatives of the several</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Underwriters named in Schedule I of the Underwriting Agreement,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 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745 Seventh Avenue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 Citigroup Global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388 Greenwich Street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10013</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4" w:lineRule="exact"/>
        <w:rPr>
          <w:sz w:val="20"/>
          <w:szCs w:val="20"/>
          <w:color w:val="auto"/>
        </w:rPr>
      </w:pPr>
    </w:p>
    <w:p>
      <w:pPr>
        <w:jc w:val="both"/>
        <w:ind w:firstLine="1092"/>
        <w:spacing w:after="0" w:line="292" w:lineRule="auto"/>
        <w:rPr>
          <w:sz w:val="20"/>
          <w:szCs w:val="20"/>
          <w:color w:val="auto"/>
        </w:rPr>
      </w:pPr>
      <w:r>
        <w:rPr>
          <w:rFonts w:ascii="Arial" w:cs="Arial" w:eastAsia="Arial" w:hAnsi="Arial"/>
          <w:sz w:val="15"/>
          <w:szCs w:val="15"/>
          <w:color w:val="auto"/>
        </w:rPr>
        <w:t xml:space="preserve">The undersigned understands that you and certain other firms (the </w:t>
      </w:r>
      <w:r>
        <w:rPr>
          <w:rFonts w:ascii="Arial" w:cs="Arial" w:eastAsia="Arial" w:hAnsi="Arial"/>
          <w:sz w:val="15"/>
          <w:szCs w:val="15"/>
          <w:i w:val="1"/>
          <w:iCs w:val="1"/>
          <w:color w:val="auto"/>
        </w:rPr>
        <w:t>"Underwriters")</w:t>
      </w:r>
      <w:r>
        <w:rPr>
          <w:rFonts w:ascii="Arial" w:cs="Arial" w:eastAsia="Arial" w:hAnsi="Arial"/>
          <w:sz w:val="15"/>
          <w:szCs w:val="15"/>
          <w:color w:val="auto"/>
        </w:rPr>
        <w:t xml:space="preserve"> propose to enter into an Underwriting Agreement (the </w:t>
      </w:r>
      <w:r>
        <w:rPr>
          <w:rFonts w:ascii="Arial" w:cs="Arial" w:eastAsia="Arial" w:hAnsi="Arial"/>
          <w:sz w:val="15"/>
          <w:szCs w:val="15"/>
          <w:i w:val="1"/>
          <w:iCs w:val="1"/>
          <w:color w:val="auto"/>
        </w:rPr>
        <w:t>"Underwriting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Agreement') </w:t>
      </w:r>
      <w:r>
        <w:rPr>
          <w:rFonts w:ascii="Arial" w:cs="Arial" w:eastAsia="Arial" w:hAnsi="Arial"/>
          <w:sz w:val="15"/>
          <w:szCs w:val="15"/>
          <w:color w:val="auto"/>
        </w:rPr>
        <w:t>providing for the purchase by the Underwriters of ordinary shares (the</w:t>
      </w:r>
      <w:r>
        <w:rPr>
          <w:rFonts w:ascii="Arial" w:cs="Arial" w:eastAsia="Arial" w:hAnsi="Arial"/>
          <w:sz w:val="15"/>
          <w:szCs w:val="15"/>
          <w:i w:val="1"/>
          <w:iCs w:val="1"/>
          <w:color w:val="auto"/>
        </w:rPr>
        <w:t xml:space="preserve"> "Shares"), </w:t>
      </w:r>
      <w:r>
        <w:rPr>
          <w:rFonts w:ascii="Arial" w:cs="Arial" w:eastAsia="Arial" w:hAnsi="Arial"/>
          <w:sz w:val="15"/>
          <w:szCs w:val="15"/>
          <w:color w:val="auto"/>
        </w:rPr>
        <w:t>par value NIS 0.01 per share (the</w:t>
      </w:r>
      <w:r>
        <w:rPr>
          <w:rFonts w:ascii="Arial" w:cs="Arial" w:eastAsia="Arial" w:hAnsi="Arial"/>
          <w:sz w:val="15"/>
          <w:szCs w:val="15"/>
          <w:i w:val="1"/>
          <w:iCs w:val="1"/>
          <w:color w:val="auto"/>
        </w:rPr>
        <w:t xml:space="preserve"> "Ordinary Shares"), </w:t>
      </w:r>
      <w:r>
        <w:rPr>
          <w:rFonts w:ascii="Arial" w:cs="Arial" w:eastAsia="Arial" w:hAnsi="Arial"/>
          <w:sz w:val="15"/>
          <w:szCs w:val="15"/>
          <w:color w:val="auto"/>
        </w:rPr>
        <w:t>of Kornit Digital Ltd.,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company incorporated under the laws of the Stale of Israel (the </w:t>
      </w:r>
      <w:r>
        <w:rPr>
          <w:rFonts w:ascii="Arial" w:cs="Arial" w:eastAsia="Arial" w:hAnsi="Arial"/>
          <w:sz w:val="15"/>
          <w:szCs w:val="15"/>
          <w:i w:val="1"/>
          <w:iCs w:val="1"/>
          <w:color w:val="auto"/>
        </w:rPr>
        <w:t>"Company"),</w:t>
      </w:r>
      <w:r>
        <w:rPr>
          <w:rFonts w:ascii="Arial" w:cs="Arial" w:eastAsia="Arial" w:hAnsi="Arial"/>
          <w:sz w:val="15"/>
          <w:szCs w:val="15"/>
          <w:color w:val="auto"/>
        </w:rPr>
        <w:t xml:space="preserve"> and that the Underwriters propose to reoffer the Shares to the public (the </w:t>
      </w:r>
      <w:r>
        <w:rPr>
          <w:rFonts w:ascii="Arial" w:cs="Arial" w:eastAsia="Arial" w:hAnsi="Arial"/>
          <w:sz w:val="15"/>
          <w:szCs w:val="15"/>
          <w:i w:val="1"/>
          <w:iCs w:val="1"/>
          <w:color w:val="auto"/>
        </w:rPr>
        <w:t>"Offering").</w:t>
      </w:r>
    </w:p>
    <w:p>
      <w:pPr>
        <w:spacing w:after="0" w:line="146" w:lineRule="exact"/>
        <w:rPr>
          <w:sz w:val="20"/>
          <w:szCs w:val="20"/>
          <w:color w:val="auto"/>
        </w:rPr>
      </w:pPr>
    </w:p>
    <w:p>
      <w:pPr>
        <w:jc w:val="both"/>
        <w:ind w:firstLine="1092"/>
        <w:spacing w:after="0" w:line="274" w:lineRule="auto"/>
        <w:rPr>
          <w:sz w:val="20"/>
          <w:szCs w:val="20"/>
          <w:color w:val="auto"/>
        </w:rPr>
      </w:pPr>
      <w:r>
        <w:rPr>
          <w:rFonts w:ascii="Arial" w:cs="Arial" w:eastAsia="Arial" w:hAnsi="Arial"/>
          <w:sz w:val="15"/>
          <w:szCs w:val="15"/>
          <w:color w:val="auto"/>
        </w:rPr>
        <w:t xml:space="preserve">In consideration of the execution of the Underwriting Agreement by the Underwriters, and for other good and valuable consideration, the undersigned hereby irrevocably agrees that, without the prior written consent of Barclays Capital Inc. and Citigroup Global Markets Inc., on behalf of the Underwriters,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Ordinary Shares or securities convertible into or exercisable or exchangeable for Ordinary Shares or any other securities of the Company, or (4) publicly disclose the intention to do any of the foregoing for a period commencing on the date hereof and ending on the 180th day after the date of the Prospectus relating to the Offering (such 180-day period,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Lock-Up Period</w:t>
      </w:r>
      <w:r>
        <w:rPr>
          <w:rFonts w:ascii="Arial" w:cs="Arial" w:eastAsia="Arial" w:hAnsi="Arial"/>
          <w:sz w:val="15"/>
          <w:szCs w:val="15"/>
          <w:i w:val="1"/>
          <w:iCs w:val="1"/>
          <w:color w:val="auto"/>
        </w:rPr>
        <w:t>")</w:t>
      </w:r>
      <w:r>
        <w:rPr>
          <w:rFonts w:ascii="Arial" w:cs="Arial" w:eastAsia="Arial" w:hAnsi="Arial"/>
          <w:sz w:val="15"/>
          <w:szCs w:val="15"/>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205" w:name="page206"/>
    <w:bookmarkEnd w:id="205"/>
    <w:p>
      <w:pPr>
        <w:ind w:left="1080"/>
        <w:spacing w:after="0"/>
        <w:rPr>
          <w:sz w:val="20"/>
          <w:szCs w:val="20"/>
          <w:color w:val="auto"/>
        </w:rPr>
      </w:pPr>
      <w:r>
        <w:rPr>
          <w:rFonts w:ascii="Arial" w:cs="Arial" w:eastAsia="Arial" w:hAnsi="Arial"/>
          <w:sz w:val="16"/>
          <w:szCs w:val="16"/>
          <w:color w:val="auto"/>
        </w:rPr>
        <w:t>The foregoing paragraph shall not apply to:</w:t>
      </w:r>
    </w:p>
    <w:p>
      <w:pPr>
        <w:spacing w:after="0" w:line="204" w:lineRule="exact"/>
        <w:rPr>
          <w:sz w:val="20"/>
          <w:szCs w:val="20"/>
          <w:color w:val="auto"/>
        </w:rPr>
      </w:pPr>
    </w:p>
    <w:p>
      <w:pPr>
        <w:ind w:left="1300" w:hanging="212"/>
        <w:spacing w:after="0"/>
        <w:tabs>
          <w:tab w:leader="none" w:pos="13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transactions relating to Ordinary Shares or other securities acquired in the open market after the completion of the Offering,</w:t>
      </w:r>
    </w:p>
    <w:p>
      <w:pPr>
        <w:spacing w:after="0" w:line="203" w:lineRule="exact"/>
        <w:rPr>
          <w:rFonts w:ascii="Arial" w:cs="Arial" w:eastAsia="Arial" w:hAnsi="Arial"/>
          <w:sz w:val="16"/>
          <w:szCs w:val="16"/>
          <w:color w:val="auto"/>
        </w:rPr>
      </w:pPr>
    </w:p>
    <w:p>
      <w:pPr>
        <w:ind w:firstLine="1088"/>
        <w:spacing w:after="0" w:line="281" w:lineRule="auto"/>
        <w:tabs>
          <w:tab w:leader="none" w:pos="132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bona fide gifts that are made exclusively between and among the uudersigned or members of the uudersigned's family or affiliates of the undersigned of Ordinary Shares or securities convertible into or exercisable or exchangeable for Ordinary Shares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Lock-Up Securities</w:t>
      </w:r>
      <w:r>
        <w:rPr>
          <w:rFonts w:ascii="Arial" w:cs="Arial" w:eastAsia="Arial" w:hAnsi="Arial"/>
          <w:sz w:val="16"/>
          <w:szCs w:val="16"/>
          <w:i w:val="1"/>
          <w:iCs w:val="1"/>
          <w:color w:val="auto"/>
        </w:rPr>
        <w:t>"),</w:t>
      </w:r>
    </w:p>
    <w:p>
      <w:pPr>
        <w:spacing w:after="0" w:line="150" w:lineRule="exact"/>
        <w:rPr>
          <w:rFonts w:ascii="Arial" w:cs="Arial" w:eastAsia="Arial" w:hAnsi="Arial"/>
          <w:sz w:val="16"/>
          <w:szCs w:val="16"/>
          <w:color w:val="auto"/>
        </w:rPr>
      </w:pPr>
    </w:p>
    <w:p>
      <w:pPr>
        <w:jc w:val="both"/>
        <w:ind w:firstLine="1094"/>
        <w:spacing w:after="0" w:line="292" w:lineRule="auto"/>
        <w:tabs>
          <w:tab w:leader="none" w:pos="1324"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transfers of Lock-Up Securities that are made exclusively between and among the undersigned or members of the undersigned's family or any trust, or similar entity, controlled by such family member or members, for the direct or indirect benefit of the undersigned or the family member or members of the undersigned, or affiliates of the uudersigned, or to any investment fund or other entity controlled or managed by, or under the common control or management with, the undersigned,</w:t>
      </w:r>
    </w:p>
    <w:p>
      <w:pPr>
        <w:spacing w:after="0" w:line="145" w:lineRule="exact"/>
        <w:rPr>
          <w:rFonts w:ascii="Arial" w:cs="Arial" w:eastAsia="Arial" w:hAnsi="Arial"/>
          <w:sz w:val="15"/>
          <w:szCs w:val="15"/>
          <w:color w:val="auto"/>
        </w:rPr>
      </w:pPr>
    </w:p>
    <w:p>
      <w:pPr>
        <w:ind w:firstLine="1088"/>
        <w:spacing w:after="0" w:line="281" w:lineRule="auto"/>
        <w:tabs>
          <w:tab w:leader="none" w:pos="132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transfers of Lock-Up Securities to the undersigned's limited or general partners (if a partnership), members (if a limited liability company), beneficiaries (if a trust) or shareholders (if a corporation),</w:t>
      </w:r>
    </w:p>
    <w:p>
      <w:pPr>
        <w:spacing w:after="0" w:line="150" w:lineRule="exact"/>
        <w:rPr>
          <w:rFonts w:ascii="Arial" w:cs="Arial" w:eastAsia="Arial" w:hAnsi="Arial"/>
          <w:sz w:val="16"/>
          <w:szCs w:val="16"/>
          <w:color w:val="auto"/>
        </w:rPr>
      </w:pPr>
    </w:p>
    <w:p>
      <w:pPr>
        <w:ind w:left="220" w:hanging="219"/>
        <w:spacing w:after="0"/>
        <w:tabs>
          <w:tab w:leader="none" w:pos="2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transfer of Lock-Up Securities by will or by intestacy,</w:t>
      </w:r>
    </w:p>
    <w:p>
      <w:pPr>
        <w:spacing w:after="0" w:line="203" w:lineRule="exact"/>
        <w:rPr>
          <w:rFonts w:ascii="Arial" w:cs="Arial" w:eastAsia="Arial" w:hAnsi="Arial"/>
          <w:sz w:val="16"/>
          <w:szCs w:val="16"/>
          <w:color w:val="auto"/>
        </w:rPr>
      </w:pPr>
    </w:p>
    <w:p>
      <w:pPr>
        <w:ind w:firstLine="1088"/>
        <w:spacing w:after="0" w:line="281" w:lineRule="auto"/>
        <w:tabs>
          <w:tab w:leader="none" w:pos="1294"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the cash exercise of warrants or the exercise of stock options granted pursuant to the Company's stock option/incentive plans or otherwise outstanding on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restrictions shall apply to Ordinary Shares issued upon </w:t>
      </w:r>
      <w:r>
        <w:rPr>
          <w:rFonts w:ascii="Arial" w:cs="Arial" w:eastAsia="Arial" w:hAnsi="Arial"/>
          <w:sz w:val="16"/>
          <w:szCs w:val="16"/>
          <w:b w:val="1"/>
          <w:bCs w:val="1"/>
          <w:color w:val="auto"/>
        </w:rPr>
        <w:t>such exercise or conversion,</w:t>
      </w:r>
    </w:p>
    <w:p>
      <w:pPr>
        <w:spacing w:after="0" w:line="150" w:lineRule="exact"/>
        <w:rPr>
          <w:rFonts w:ascii="Arial" w:cs="Arial" w:eastAsia="Arial" w:hAnsi="Arial"/>
          <w:sz w:val="16"/>
          <w:szCs w:val="16"/>
          <w:color w:val="auto"/>
        </w:rPr>
      </w:pPr>
    </w:p>
    <w:p>
      <w:pPr>
        <w:jc w:val="both"/>
        <w:ind w:firstLine="1106"/>
        <w:spacing w:after="0" w:line="281" w:lineRule="auto"/>
        <w:tabs>
          <w:tab w:leader="none" w:pos="1348" w:val="left"/>
        </w:tabs>
        <w:numPr>
          <w:ilvl w:val="3"/>
          <w:numId w:val="187"/>
        </w:numPr>
        <w:rPr>
          <w:rFonts w:ascii="Arial" w:cs="Arial" w:eastAsia="Arial" w:hAnsi="Arial"/>
          <w:sz w:val="15"/>
          <w:szCs w:val="15"/>
          <w:color w:val="auto"/>
        </w:rPr>
      </w:pPr>
      <w:r>
        <w:rPr>
          <w:rFonts w:ascii="Arial" w:cs="Arial" w:eastAsia="Arial" w:hAnsi="Arial"/>
          <w:sz w:val="15"/>
          <w:szCs w:val="15"/>
          <w:color w:val="auto"/>
        </w:rPr>
        <w:t xml:space="preserve">the establishment of any contract, instruction or plan that satisfies all of the requirements of Rule 10b5-1 (a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Rule 10b5-l Plan</w:t>
      </w:r>
      <w:r>
        <w:rPr>
          <w:rFonts w:ascii="Arial" w:cs="Arial" w:eastAsia="Arial" w:hAnsi="Arial"/>
          <w:sz w:val="15"/>
          <w:szCs w:val="15"/>
          <w:i w:val="1"/>
          <w:iCs w:val="1"/>
          <w:color w:val="auto"/>
        </w:rPr>
        <w:t>")</w:t>
      </w:r>
      <w:r>
        <w:rPr>
          <w:rFonts w:ascii="Arial" w:cs="Arial" w:eastAsia="Arial" w:hAnsi="Arial"/>
          <w:sz w:val="15"/>
          <w:szCs w:val="15"/>
          <w:color w:val="auto"/>
        </w:rPr>
        <w:t xml:space="preserve"> under the Securities Exchange Act of 1934, as amended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i w:val="1"/>
          <w:iCs w:val="1"/>
          <w:color w:val="auto"/>
        </w:rPr>
        <w:t>"); provided, however,</w:t>
      </w:r>
      <w:r>
        <w:rPr>
          <w:rFonts w:ascii="Arial" w:cs="Arial" w:eastAsia="Arial" w:hAnsi="Arial"/>
          <w:sz w:val="15"/>
          <w:szCs w:val="15"/>
          <w:color w:val="auto"/>
        </w:rPr>
        <w:t xml:space="preserve"> that no sales of Ordinary Shares or securities convertible into, or exchangeable or exercisable for, Ordinary Shares, shall be made pursuant to a Rule 1ObS-1 Plan prior to the expiration of the Lock-Up Period (as the same may be extended pursuant to the provisions hereof);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w:t>
      </w:r>
    </w:p>
    <w:p>
      <w:pPr>
        <w:spacing w:after="0" w:line="153" w:lineRule="exact"/>
        <w:rPr>
          <w:rFonts w:ascii="Arial" w:cs="Arial" w:eastAsia="Arial" w:hAnsi="Arial"/>
          <w:sz w:val="15"/>
          <w:szCs w:val="15"/>
          <w:color w:val="auto"/>
        </w:rPr>
      </w:pPr>
    </w:p>
    <w:p>
      <w:pPr>
        <w:jc w:val="both"/>
        <w:ind w:firstLine="1083"/>
        <w:spacing w:after="0" w:line="262" w:lineRule="auto"/>
        <w:tabs>
          <w:tab w:leader="none" w:pos="1314" w:val="left"/>
        </w:tabs>
        <w:numPr>
          <w:ilvl w:val="2"/>
          <w:numId w:val="187"/>
        </w:numPr>
        <w:rPr>
          <w:rFonts w:ascii="Arial" w:cs="Arial" w:eastAsia="Arial" w:hAnsi="Arial"/>
          <w:sz w:val="16"/>
          <w:szCs w:val="16"/>
          <w:color w:val="auto"/>
        </w:rPr>
      </w:pPr>
      <w:r>
        <w:rPr>
          <w:rFonts w:ascii="Arial" w:cs="Arial" w:eastAsia="Arial" w:hAnsi="Arial"/>
          <w:sz w:val="16"/>
          <w:szCs w:val="16"/>
          <w:color w:val="auto"/>
        </w:rPr>
        <w:t xml:space="preserve">any demands or requests for, exercise any right with respect to, or take any action in preparation of, the registration by the Company under the Securities Act of 1933, as amended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i w:val="1"/>
          <w:iCs w:val="1"/>
          <w:color w:val="auto"/>
        </w:rPr>
        <w:t>")</w:t>
      </w:r>
      <w:r>
        <w:rPr>
          <w:rFonts w:ascii="Arial" w:cs="Arial" w:eastAsia="Arial" w:hAnsi="Arial"/>
          <w:sz w:val="16"/>
          <w:szCs w:val="16"/>
          <w:color w:val="auto"/>
        </w:rPr>
        <w:t xml:space="preserve"> of the undersigned's Ordinary Shares, provided that no transfer of tl1e undersigned's Ordinary Shares registered pursuant to the exercise of any such right and no registration statement shall be filed under the Securities Act with respect to any of the undersigned's Ordinary Shares during the Lock-Up Period, and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06" w:name="page207"/>
    <w:bookmarkEnd w:id="206"/>
    <w:p>
      <w:pPr>
        <w:jc w:val="both"/>
        <w:ind w:firstLine="1094"/>
        <w:spacing w:after="0" w:line="292" w:lineRule="auto"/>
        <w:tabs>
          <w:tab w:leader="none" w:pos="1286"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dispositions of Lock-Up Securities pursuant to a bona fide third-party tender offer, merger, consolidation or other similar transaction made to all holders of the Company's Ordinary Shares involving a change of control of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that such tender offer, merger, consolidation or other such transaction is not completed, the Ordinary Shares held by the undersigned shall remain subject to the provisions of this Lock-Up Letter Agreement;</w:t>
      </w:r>
    </w:p>
    <w:p>
      <w:pPr>
        <w:spacing w:after="0" w:line="146" w:lineRule="exact"/>
        <w:rPr>
          <w:sz w:val="20"/>
          <w:szCs w:val="20"/>
          <w:color w:val="auto"/>
        </w:rPr>
      </w:pPr>
    </w:p>
    <w:p>
      <w:pPr>
        <w:jc w:val="both"/>
        <w:ind w:firstLine="1063"/>
        <w:spacing w:after="0" w:line="25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it shall be a condition to any transfer pursuant to clauses (b) through (e) that (i) the transferee or donee agrees to be bound by the terms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Lock Up Letter Agreement (including, without limitation, the restrictions set forth in the preceding sentence) to the same extent as if the transferee/donee were a party hereto, and (ii) the undersigned notifies Barclays Capital Inc. and Citigroup Global Markets Inc. at least two business days prior to the proposed transfer or disposition;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in the case of (a) through (d) and (f) through (h), each party (donor, donee, transferor or transferee) shall not be required by law (including without limitation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requirements of the Securities Act and the Exchange Act) to make, and shall agree to not voluntarily make, any filing or public announcement of the transfer or disposition prior to the expiration of the 180-day period referred to above.</w:t>
      </w:r>
    </w:p>
    <w:p>
      <w:pPr>
        <w:spacing w:after="0" w:line="170" w:lineRule="exact"/>
        <w:rPr>
          <w:sz w:val="20"/>
          <w:szCs w:val="20"/>
          <w:color w:val="auto"/>
        </w:rPr>
      </w:pPr>
    </w:p>
    <w:p>
      <w:pPr>
        <w:jc w:val="both"/>
        <w:ind w:firstLine="1092"/>
        <w:spacing w:after="0" w:line="255" w:lineRule="auto"/>
        <w:rPr>
          <w:sz w:val="20"/>
          <w:szCs w:val="20"/>
          <w:color w:val="auto"/>
        </w:rPr>
      </w:pPr>
      <w:r>
        <w:rPr>
          <w:rFonts w:ascii="Arial" w:cs="Arial" w:eastAsia="Arial" w:hAnsi="Arial"/>
          <w:sz w:val="16"/>
          <w:szCs w:val="16"/>
          <w:color w:val="auto"/>
        </w:rPr>
        <w:t>If the undersigned is an officer or director of the Company, (i) the undersigned agrees that the foregoing provisions shall be equally applicable to any issuer directed Shares, as referred to in FINRA Rule 5131(d)(2)(A) that the undersigned may purchase in the Offering pursuant to an allocation of Shares that is directed in writing by the Company, (ii) each of Barclays Capital Inc. and Citigroup Global Markets Inc. agree that, at least three business days before the effective date of any release or waiver of the foregoing restrictions in connection with a transfer of Ordinary Shares, Barclays Capital Inc. and Citigroup Global Markets Inc. will notify the Company of the impending release or waiver and (iii) the Company has agreed in the Underwriting Agreement to announce the impending release or waiver by issuing a press release through a major news service (as referred to in FINRA Rule 513l(d)(2)(B)) at least two business days before the effective date of the release or waiver. Any release or waiver granted by Barclays Capital Inc. and Citigroup Global Markets Inc.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that are applicable to the transferor, to the extent and for the duration that such terms remain in effect at the time of the transfer.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07" w:name="page208"/>
    <w:bookmarkEnd w:id="207"/>
    <w:p>
      <w:pPr>
        <w:jc w:val="both"/>
        <w:ind w:firstLine="1087"/>
        <w:spacing w:after="0" w:line="281" w:lineRule="auto"/>
        <w:rPr>
          <w:sz w:val="20"/>
          <w:szCs w:val="20"/>
          <w:color w:val="auto"/>
        </w:rPr>
      </w:pPr>
      <w:r>
        <w:rPr>
          <w:rFonts w:ascii="Arial" w:cs="Arial" w:eastAsia="Arial" w:hAnsi="Arial"/>
          <w:sz w:val="16"/>
          <w:szCs w:val="16"/>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51" w:lineRule="exact"/>
        <w:rPr>
          <w:sz w:val="20"/>
          <w:szCs w:val="20"/>
          <w:color w:val="auto"/>
        </w:rPr>
      </w:pPr>
    </w:p>
    <w:p>
      <w:pPr>
        <w:jc w:val="both"/>
        <w:ind w:firstLine="1236"/>
        <w:spacing w:after="0" w:line="262" w:lineRule="auto"/>
        <w:rPr>
          <w:sz w:val="20"/>
          <w:szCs w:val="20"/>
          <w:color w:val="auto"/>
        </w:rPr>
      </w:pPr>
      <w:r>
        <w:rPr>
          <w:rFonts w:ascii="Arial" w:cs="Arial" w:eastAsia="Arial" w:hAnsi="Arial"/>
          <w:sz w:val="16"/>
          <w:szCs w:val="16"/>
          <w:color w:val="auto"/>
        </w:rPr>
        <w:t>It is understood that the undersigned will be released from its obligations under this Lock-Up Letter Agreement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Shares, or (iv) in the event that the Underwriting Agreement has not been executed by May 31,2015.</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undersigned understands that the Company and the Underwriters will proceed with the Offering in reliance on this Lock-Up Letter Agreement.</w:t>
      </w:r>
    </w:p>
    <w:p>
      <w:pPr>
        <w:spacing w:after="0" w:line="215" w:lineRule="exact"/>
        <w:rPr>
          <w:sz w:val="20"/>
          <w:szCs w:val="20"/>
          <w:color w:val="auto"/>
        </w:rPr>
      </w:pPr>
    </w:p>
    <w:p>
      <w:pPr>
        <w:jc w:val="both"/>
        <w:ind w:firstLine="1081"/>
        <w:spacing w:after="0" w:line="281" w:lineRule="auto"/>
        <w:rPr>
          <w:sz w:val="20"/>
          <w:szCs w:val="20"/>
          <w:color w:val="auto"/>
        </w:rPr>
      </w:pPr>
      <w:r>
        <w:rPr>
          <w:rFonts w:ascii="Arial" w:cs="Arial" w:eastAsia="Arial" w:hAnsi="Arial"/>
          <w:sz w:val="16"/>
          <w:szCs w:val="16"/>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08" w:name="page209"/>
    <w:bookmarkEnd w:id="208"/>
    <w:p>
      <w:pPr>
        <w:jc w:val="both"/>
        <w:ind w:firstLine="1081"/>
        <w:spacing w:after="0" w:line="267"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enter into this Lock-Up Letter Agreement and that, upon request, the undersigned will execute and additional documents reasonably necessary in connection with the enforcement hereof. Any obligations of the undersigned shall be binding upon the heirs, personal representatives, successors and assigns of the undersigned.</w:t>
      </w:r>
    </w:p>
    <w:p>
      <w:pPr>
        <w:spacing w:after="0" w:line="16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Very truly yours,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By:</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-116205</wp:posOffset>
            </wp:positionV>
            <wp:extent cx="336867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8675" cy="7620"/>
                    </a:xfrm>
                    <a:prstGeom prst="rect">
                      <a:avLst/>
                    </a:prstGeom>
                    <a:noFill/>
                  </pic:spPr>
                </pic:pic>
              </a:graphicData>
            </a:graphic>
          </wp:anchor>
        </w:drawing>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Title:</w:t>
      </w:r>
    </w:p>
    <w:p>
      <w:pPr>
        <w:spacing w:after="0" w:line="38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13970</wp:posOffset>
            </wp:positionV>
            <wp:extent cx="718375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100"/>
          </w:cols>
          <w:pgMar w:left="500" w:top="805" w:right="29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6"/>
          <w:szCs w:val="16"/>
          <w:b w:val="1"/>
          <w:bCs w:val="1"/>
          <w:color w:val="auto"/>
        </w:rPr>
        <w:t>EXHIBIT B</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PRESS RELEASE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Kornit Digital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date</w:t>
      </w:r>
      <w:r>
        <w:rPr>
          <w:rFonts w:ascii="Arial" w:cs="Arial" w:eastAsia="Arial" w:hAnsi="Arial"/>
          <w:sz w:val="16"/>
          <w:szCs w:val="16"/>
          <w:color w:val="auto"/>
        </w:rPr>
        <w:t>]</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Kornit Digital Ltd., (the “</w:t>
      </w:r>
      <w:r>
        <w:rPr>
          <w:rFonts w:ascii="Arial" w:cs="Arial" w:eastAsia="Arial" w:hAnsi="Arial"/>
          <w:sz w:val="16"/>
          <w:szCs w:val="16"/>
          <w:i w:val="1"/>
          <w:iCs w:val="1"/>
          <w:color w:val="auto"/>
        </w:rPr>
        <w:t>Company</w:t>
      </w:r>
      <w:r>
        <w:rPr>
          <w:rFonts w:ascii="Arial" w:cs="Arial" w:eastAsia="Arial" w:hAnsi="Arial"/>
          <w:sz w:val="16"/>
          <w:szCs w:val="16"/>
          <w:color w:val="auto"/>
        </w:rPr>
        <w:t>”) announced today that Barclays Capital Inc. and Citigroup Global Markets Inc., the joint lead book-running managers in the Company’s recent public sale of [●] ordinary shares [and the other underwriters of such offering whose consent is required][is][are][waiving] [releasing] a lock-up restriction with respect to [●] of the Company’s ordinary shares held by [certain officers or directors] [an officer or director] of the Company. The [waiver] [release] will take effect on [</w:t>
      </w:r>
      <w:r>
        <w:rPr>
          <w:rFonts w:ascii="Arial" w:cs="Arial" w:eastAsia="Arial" w:hAnsi="Arial"/>
          <w:sz w:val="16"/>
          <w:szCs w:val="16"/>
          <w:i w:val="1"/>
          <w:iCs w:val="1"/>
          <w:color w:val="auto"/>
        </w:rPr>
        <w:t>insert date</w:t>
      </w:r>
      <w:r>
        <w:rPr>
          <w:rFonts w:ascii="Arial" w:cs="Arial" w:eastAsia="Arial" w:hAnsi="Arial"/>
          <w:sz w:val="16"/>
          <w:szCs w:val="16"/>
          <w:color w:val="auto"/>
        </w:rPr>
        <w:t>], and the shares may be sold or otherwise disposed of on or after such date.</w:t>
      </w:r>
    </w:p>
    <w:p>
      <w:pPr>
        <w:spacing w:after="0" w:line="166"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t>Exhibit 3.2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COMPANIES LAW, 1999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160655</wp:posOffset>
            </wp:positionV>
            <wp:extent cx="179959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99590" cy="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ARTICLES OF ASSOCIATION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160655</wp:posOffset>
            </wp:positionV>
            <wp:extent cx="179959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99590"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RELIMINARY</w:t>
      </w:r>
    </w:p>
    <w:p>
      <w:pPr>
        <w:spacing w:after="0" w:line="204" w:lineRule="exact"/>
        <w:rPr>
          <w:sz w:val="20"/>
          <w:szCs w:val="20"/>
          <w:color w:val="auto"/>
        </w:rPr>
      </w:pPr>
    </w:p>
    <w:p>
      <w:pPr>
        <w:ind w:left="600" w:hanging="599"/>
        <w:spacing w:after="0"/>
        <w:tabs>
          <w:tab w:leader="none" w:pos="600" w:val="left"/>
        </w:tabs>
        <w:numPr>
          <w:ilvl w:val="0"/>
          <w:numId w:val="189"/>
        </w:numPr>
        <w:rPr>
          <w:rFonts w:ascii="Arial" w:cs="Arial" w:eastAsia="Arial" w:hAnsi="Arial"/>
          <w:sz w:val="16"/>
          <w:szCs w:val="16"/>
          <w:color w:val="auto"/>
        </w:rPr>
      </w:pP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EFINITIONS</w:t>
      </w:r>
      <w:r>
        <w:rPr>
          <w:rFonts w:ascii="Arial" w:cs="Arial" w:eastAsia="Arial" w:hAnsi="Arial"/>
          <w:sz w:val="16"/>
          <w:szCs w:val="16"/>
          <w:b w:val="1"/>
          <w:bCs w:val="1"/>
          <w:u w:val="single" w:color="auto"/>
          <w:color w:val="auto"/>
        </w:rPr>
        <w:t>; I</w:t>
      </w:r>
      <w:r>
        <w:rPr>
          <w:rFonts w:ascii="Arial" w:cs="Arial" w:eastAsia="Arial" w:hAnsi="Arial"/>
          <w:sz w:val="10"/>
          <w:szCs w:val="10"/>
          <w:b w:val="1"/>
          <w:bCs w:val="1"/>
          <w:u w:val="single" w:color="auto"/>
          <w:color w:val="auto"/>
        </w:rPr>
        <w:t>NTERPRETATION</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580" w:hanging="7"/>
        <w:spacing w:after="0" w:line="281" w:lineRule="auto"/>
        <w:tabs>
          <w:tab w:leader="none" w:pos="122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In these Articles, the following terms (whether or not capitalized) shall bear the meanings set forth opposite to them respectively, unless inconsistent with the subject or context.</w:t>
      </w:r>
    </w:p>
    <w:p>
      <w:pPr>
        <w:sectPr>
          <w:pgSz w:w="11900" w:h="16838" w:orient="portrait"/>
          <w:cols w:equalWidth="0" w:num="1">
            <w:col w:w="11300"/>
          </w:cols>
          <w:pgMar w:left="300" w:top="341" w:right="299" w:bottom="1440" w:gutter="0" w:footer="0" w:header="0"/>
        </w:sectPr>
      </w:pPr>
    </w:p>
    <w:p>
      <w:pPr>
        <w:spacing w:after="0" w:line="24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“Articles”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“Board of Directors”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“Chairman”</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“Company”</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“Companies Law”</w:t>
      </w:r>
    </w:p>
    <w:p>
      <w:pPr>
        <w:spacing w:after="0" w:line="3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“Director(s)”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“External Director(s)”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“General Meeting”</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“NIS”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“Office”</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“Office Holder” or “Officer”</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“RTP Law”</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“Securities Law”</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“Shareholder(s)”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writing” or “writing”</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shall mean these Articles of Association, as amended from time to time.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Board of Directors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Chairman of the Board of Directors, or the Chairman of the General Meeting, as the context provides;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shall mean </w:t>
      </w:r>
      <w:r>
        <w:rPr>
          <w:rFonts w:ascii="Arial" w:cs="Arial" w:eastAsia="Arial" w:hAnsi="Arial"/>
          <w:sz w:val="16"/>
          <w:szCs w:val="16"/>
          <w:b w:val="1"/>
          <w:bCs w:val="1"/>
          <w:color w:val="auto"/>
        </w:rPr>
        <w:t>KORNIT DIGITAL LTD</w:t>
      </w:r>
      <w:r>
        <w:rPr>
          <w:rFonts w:ascii="Arial" w:cs="Arial" w:eastAsia="Arial" w:hAnsi="Arial"/>
          <w:sz w:val="16"/>
          <w:szCs w:val="16"/>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shall mean the Israeli Companies Law, 5759-1999. The Companies Law shall include reference to the Companies Ordinance (New</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Version), 5743-1983, of the State of Israel, to the extent in effect according to the provisions thereof.</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member(s) of the Board of Directors holding office at any given time, including alternate directors.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as defined in the Companies Law.</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an Annual General Meeting or Special General Meeting of the Shareholders, as the case may be.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New Israeli Shekels.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registered office of the Company at any given time.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as defined in the Companies Law.</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Israeli Restrictive Trade Practices Law, 5758-1988.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Israeli Securities Law, 5728-1968.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shall mean the shareholder(s) of the Company, at any given time.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shall mean written, printed, photocopied, photographic, typed, sent via email, facsimile or produced by any visible substitute for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writing, or partly one and partly another, and signed shall be construed accordingly.</w:t>
      </w:r>
    </w:p>
    <w:p>
      <w:pPr>
        <w:spacing w:after="0" w:line="200" w:lineRule="exact"/>
        <w:rPr>
          <w:sz w:val="20"/>
          <w:szCs w:val="20"/>
          <w:color w:val="auto"/>
        </w:rPr>
      </w:pPr>
    </w:p>
    <w:p>
      <w:pPr>
        <w:sectPr>
          <w:pgSz w:w="11900" w:h="16838" w:orient="portrait"/>
          <w:cols w:equalWidth="0" w:num="2">
            <w:col w:w="2440" w:space="320"/>
            <w:col w:w="8540"/>
          </w:cols>
          <w:pgMar w:left="300" w:top="341" w:right="299" w:bottom="1440" w:gutter="0" w:footer="0" w:header="0"/>
          <w:type w:val="continuous"/>
        </w:sectPr>
      </w:pPr>
    </w:p>
    <w:p>
      <w:pPr>
        <w:spacing w:after="0" w:line="88" w:lineRule="exact"/>
        <w:rPr>
          <w:sz w:val="20"/>
          <w:szCs w:val="20"/>
          <w:color w:val="auto"/>
        </w:rPr>
      </w:pPr>
    </w:p>
    <w:p>
      <w:pPr>
        <w:ind w:left="1160" w:hanging="587"/>
        <w:spacing w:after="0"/>
        <w:tabs>
          <w:tab w:leader="none" w:pos="116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Unless otherwise defined in these Articles or required by the context, terms used herein shall have the meaning provided therefor under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18375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type w:val="continuous"/>
        </w:sectPr>
      </w:pPr>
    </w:p>
    <w:bookmarkStart w:id="211" w:name="page212"/>
    <w:bookmarkEnd w:id="211"/>
    <w:p>
      <w:pPr>
        <w:jc w:val="both"/>
        <w:ind w:left="580" w:hanging="7"/>
        <w:spacing w:after="0" w:line="295" w:lineRule="auto"/>
        <w:tabs>
          <w:tab w:leader="none" w:pos="128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these Articles in its entirety and not to any part hereof; all references herein to Articles, Sections or clauses shall be deemed references to Articles, Sections or clauses of these Articles;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supranational, national, federal, state, local, or foreign statute or law and all rules and regulations promulgated thereunder (including, any rules, regulations or forms prescribed by any governmental authority or securities exchange commission or authority, if and to the extent applicable); any reference to a “day” or a number of “days” (without any explicit reference otherwise, such as to business days) shall be interpreted as a reference to a calendar day or number of calendar days; reference to month or year means according to the Gregorian calendar; any reference to a “company”, “corporate body” or “entity” shall include a, partnership, corporation, limited liability company, association, trust, unincorporated organization, or a government or agency or political subdivision thereof, and reference to a “person” shall mean any of the foregoing or an individual.</w:t>
      </w:r>
    </w:p>
    <w:p>
      <w:pPr>
        <w:spacing w:after="0" w:line="148" w:lineRule="exact"/>
        <w:rPr>
          <w:rFonts w:ascii="Arial" w:cs="Arial" w:eastAsia="Arial" w:hAnsi="Arial"/>
          <w:sz w:val="14"/>
          <w:szCs w:val="14"/>
          <w:color w:val="auto"/>
        </w:rPr>
      </w:pPr>
    </w:p>
    <w:p>
      <w:pPr>
        <w:ind w:left="1300" w:hanging="727"/>
        <w:spacing w:after="0"/>
        <w:tabs>
          <w:tab w:leader="none" w:pos="130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captions in these Articles are for convenience only and shall not be deemed a part hereof or affect the construction or interpretation of any provision</w:t>
      </w:r>
    </w:p>
    <w:p>
      <w:pPr>
        <w:spacing w:after="0" w:line="44"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w:t>
      </w:r>
      <w:r>
        <w:rPr>
          <w:rFonts w:ascii="Arial" w:cs="Arial" w:eastAsia="Arial" w:hAnsi="Arial"/>
          <w:sz w:val="10"/>
          <w:szCs w:val="10"/>
          <w:b w:val="1"/>
          <w:bCs w:val="1"/>
          <w:color w:val="auto"/>
        </w:rPr>
        <w:t>IMITED</w:t>
      </w:r>
      <w:r>
        <w:rPr>
          <w:rFonts w:ascii="Arial" w:cs="Arial" w:eastAsia="Arial" w:hAnsi="Arial"/>
          <w:sz w:val="16"/>
          <w:szCs w:val="16"/>
          <w:b w:val="1"/>
          <w:bCs w:val="1"/>
          <w:color w:val="auto"/>
        </w:rPr>
        <w:t xml:space="preserve"> L</w:t>
      </w:r>
      <w:r>
        <w:rPr>
          <w:rFonts w:ascii="Arial" w:cs="Arial" w:eastAsia="Arial" w:hAnsi="Arial"/>
          <w:sz w:val="10"/>
          <w:szCs w:val="10"/>
          <w:b w:val="1"/>
          <w:bCs w:val="1"/>
          <w:color w:val="auto"/>
        </w:rPr>
        <w:t>IABILITY</w:t>
      </w:r>
    </w:p>
    <w:p>
      <w:pPr>
        <w:spacing w:after="0" w:line="208" w:lineRule="exact"/>
        <w:rPr>
          <w:sz w:val="20"/>
          <w:szCs w:val="20"/>
          <w:color w:val="auto"/>
        </w:rPr>
      </w:pPr>
    </w:p>
    <w:p>
      <w:pPr>
        <w:ind w:left="580" w:hanging="579"/>
        <w:spacing w:after="0" w:line="281" w:lineRule="auto"/>
        <w:tabs>
          <w:tab w:leader="none" w:pos="63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Company is a limited liability company and therefore each shareholder’s obligations to the Company shall be limited to the payment of the nominal value of the shares held by such shareholder, subject to the provisions of the Companies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UBLIC</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6"/>
          <w:szCs w:val="16"/>
          <w:b w:val="1"/>
          <w:bCs w:val="1"/>
          <w:color w:val="auto"/>
        </w:rPr>
        <w:t>; C</w:t>
      </w:r>
      <w:r>
        <w:rPr>
          <w:rFonts w:ascii="Arial" w:cs="Arial" w:eastAsia="Arial" w:hAnsi="Arial"/>
          <w:sz w:val="10"/>
          <w:szCs w:val="10"/>
          <w:b w:val="1"/>
          <w:bCs w:val="1"/>
          <w:color w:val="auto"/>
        </w:rPr>
        <w:t>OMPANY</w:t>
      </w:r>
      <w:r>
        <w:rPr>
          <w:rFonts w:ascii="Arial" w:cs="Arial" w:eastAsia="Arial" w:hAnsi="Arial"/>
          <w:sz w:val="16"/>
          <w:szCs w:val="16"/>
          <w:b w:val="1"/>
          <w:bCs w:val="1"/>
          <w:color w:val="auto"/>
        </w:rPr>
        <w:t>’</w:t>
      </w:r>
      <w:r>
        <w:rPr>
          <w:rFonts w:ascii="Arial" w:cs="Arial" w:eastAsia="Arial" w:hAnsi="Arial"/>
          <w:sz w:val="10"/>
          <w:szCs w:val="10"/>
          <w:b w:val="1"/>
          <w:bCs w:val="1"/>
          <w:color w:val="auto"/>
        </w:rPr>
        <w:t>S</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BJECTIVES</w:t>
      </w:r>
    </w:p>
    <w:p>
      <w:pPr>
        <w:spacing w:after="0" w:line="204" w:lineRule="exact"/>
        <w:rPr>
          <w:sz w:val="20"/>
          <w:szCs w:val="20"/>
          <w:color w:val="auto"/>
        </w:rPr>
      </w:pPr>
    </w:p>
    <w:p>
      <w:pPr>
        <w:ind w:left="600" w:hanging="599"/>
        <w:spacing w:after="0"/>
        <w:tabs>
          <w:tab w:leader="none" w:pos="600" w:val="left"/>
        </w:tabs>
        <w:numPr>
          <w:ilvl w:val="0"/>
          <w:numId w:val="193"/>
        </w:numPr>
        <w:rPr>
          <w:rFonts w:ascii="Arial" w:cs="Arial" w:eastAsia="Arial" w:hAnsi="Arial"/>
          <w:sz w:val="16"/>
          <w:szCs w:val="16"/>
          <w:color w:val="auto"/>
        </w:rPr>
      </w:pP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UBLIC</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OMPANY</w:t>
      </w:r>
      <w:r>
        <w:rPr>
          <w:rFonts w:ascii="Arial" w:cs="Arial" w:eastAsia="Arial" w:hAnsi="Arial"/>
          <w:sz w:val="16"/>
          <w:szCs w:val="16"/>
          <w:b w:val="1"/>
          <w:bCs w:val="1"/>
          <w:u w:val="single" w:color="auto"/>
          <w:color w:val="auto"/>
        </w:rPr>
        <w:t>; O</w:t>
      </w:r>
      <w:r>
        <w:rPr>
          <w:rFonts w:ascii="Arial" w:cs="Arial" w:eastAsia="Arial" w:hAnsi="Arial"/>
          <w:sz w:val="10"/>
          <w:szCs w:val="10"/>
          <w:b w:val="1"/>
          <w:bCs w:val="1"/>
          <w:u w:val="single" w:color="auto"/>
          <w:color w:val="auto"/>
        </w:rPr>
        <w:t>BJECTIVES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1220" w:hanging="637"/>
        <w:spacing w:after="0"/>
        <w:tabs>
          <w:tab w:leader="none" w:pos="122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Company is a Public Company as such term is defined in and as long as it qualifies under the Companies Law.</w:t>
      </w:r>
    </w:p>
    <w:p>
      <w:pPr>
        <w:spacing w:after="0" w:line="203" w:lineRule="exact"/>
        <w:rPr>
          <w:rFonts w:ascii="Arial" w:cs="Arial" w:eastAsia="Arial" w:hAnsi="Arial"/>
          <w:sz w:val="16"/>
          <w:szCs w:val="16"/>
          <w:color w:val="auto"/>
        </w:rPr>
      </w:pPr>
    </w:p>
    <w:p>
      <w:pPr>
        <w:ind w:left="1220" w:hanging="637"/>
        <w:spacing w:after="0"/>
        <w:tabs>
          <w:tab w:leader="none" w:pos="122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Company's objectives are to carry on any business, and do any act, which is not prohibited by law.</w:t>
      </w:r>
    </w:p>
    <w:p>
      <w:pPr>
        <w:spacing w:after="0" w:line="199" w:lineRule="exact"/>
        <w:rPr>
          <w:rFonts w:ascii="Arial" w:cs="Arial" w:eastAsia="Arial" w:hAnsi="Arial"/>
          <w:sz w:val="16"/>
          <w:szCs w:val="16"/>
          <w:color w:val="auto"/>
        </w:rPr>
      </w:pPr>
    </w:p>
    <w:p>
      <w:pPr>
        <w:ind w:left="600" w:hanging="599"/>
        <w:spacing w:after="0"/>
        <w:tabs>
          <w:tab w:leader="none" w:pos="600" w:val="left"/>
        </w:tabs>
        <w:numPr>
          <w:ilvl w:val="0"/>
          <w:numId w:val="193"/>
        </w:numPr>
        <w:rPr>
          <w:rFonts w:ascii="Arial" w:cs="Arial" w:eastAsia="Arial" w:hAnsi="Arial"/>
          <w:sz w:val="16"/>
          <w:szCs w:val="16"/>
          <w:color w:val="auto"/>
        </w:rPr>
      </w:pP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ONATIONS</w:t>
      </w:r>
      <w:r>
        <w:rPr>
          <w:rFonts w:ascii="Arial" w:cs="Arial" w:eastAsia="Arial" w:hAnsi="Arial"/>
          <w:sz w:val="16"/>
          <w:szCs w:val="16"/>
          <w:color w:val="auto"/>
        </w:rPr>
        <w:t>.</w:t>
      </w:r>
    </w:p>
    <w:p>
      <w:pPr>
        <w:spacing w:after="0" w:line="208" w:lineRule="exact"/>
        <w:rPr>
          <w:sz w:val="20"/>
          <w:szCs w:val="20"/>
          <w:color w:val="auto"/>
        </w:rPr>
      </w:pPr>
    </w:p>
    <w:p>
      <w:pPr>
        <w:ind w:left="580"/>
        <w:spacing w:after="0" w:line="281" w:lineRule="auto"/>
        <w:rPr>
          <w:sz w:val="20"/>
          <w:szCs w:val="20"/>
          <w:color w:val="auto"/>
        </w:rPr>
      </w:pPr>
      <w:r>
        <w:rPr>
          <w:rFonts w:ascii="Arial" w:cs="Arial" w:eastAsia="Arial" w:hAnsi="Arial"/>
          <w:sz w:val="16"/>
          <w:szCs w:val="16"/>
          <w:color w:val="auto"/>
        </w:rPr>
        <w:t>The Company may donate a reasonable amount of money (in cash or in kind, including the Company’s securities) for any purpose that the Board of Directors finds appropriate.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APITAL</w:t>
      </w:r>
    </w:p>
    <w:p>
      <w:pPr>
        <w:spacing w:after="0" w:line="204" w:lineRule="exact"/>
        <w:rPr>
          <w:sz w:val="20"/>
          <w:szCs w:val="20"/>
          <w:color w:val="auto"/>
        </w:rPr>
      </w:pPr>
    </w:p>
    <w:p>
      <w:pPr>
        <w:ind w:left="600" w:hanging="599"/>
        <w:spacing w:after="0"/>
        <w:tabs>
          <w:tab w:leader="none" w:pos="600" w:val="left"/>
        </w:tabs>
        <w:numPr>
          <w:ilvl w:val="0"/>
          <w:numId w:val="194"/>
        </w:numPr>
        <w:rPr>
          <w:rFonts w:ascii="Arial" w:cs="Arial" w:eastAsia="Arial" w:hAnsi="Arial"/>
          <w:sz w:val="16"/>
          <w:szCs w:val="16"/>
          <w:color w:val="auto"/>
        </w:rPr>
      </w:pP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UTHORIZED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APITAL</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1380" w:hanging="807"/>
        <w:spacing w:after="0"/>
        <w:tabs>
          <w:tab w:leader="none" w:pos="1380"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The share capital of the Company shall consist of NIS 2,000,000 divided into 200,000,000 Ordinary Shares, of a nominal value of NIS 0.01 each (the</w:t>
      </w:r>
    </w:p>
    <w:p>
      <w:pPr>
        <w:spacing w:after="0" w:line="33"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91" w:lineRule="exact"/>
        <w:rPr>
          <w:rFonts w:ascii="Arial" w:cs="Arial" w:eastAsia="Arial" w:hAnsi="Arial"/>
          <w:sz w:val="15"/>
          <w:szCs w:val="15"/>
          <w:color w:val="auto"/>
        </w:rPr>
      </w:pPr>
    </w:p>
    <w:p>
      <w:pPr>
        <w:ind w:left="1240" w:hanging="667"/>
        <w:spacing w:after="0"/>
        <w:tabs>
          <w:tab w:leader="none" w:pos="124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The Shares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w:t>
      </w:r>
    </w:p>
    <w:p>
      <w:pPr>
        <w:spacing w:after="0" w:line="199" w:lineRule="exact"/>
        <w:rPr>
          <w:rFonts w:ascii="Arial" w:cs="Arial" w:eastAsia="Arial" w:hAnsi="Arial"/>
          <w:sz w:val="16"/>
          <w:szCs w:val="16"/>
          <w:color w:val="auto"/>
        </w:rPr>
      </w:pPr>
    </w:p>
    <w:p>
      <w:pPr>
        <w:ind w:left="600" w:hanging="599"/>
        <w:spacing w:after="0"/>
        <w:tabs>
          <w:tab w:leader="none" w:pos="600" w:val="left"/>
        </w:tabs>
        <w:numPr>
          <w:ilvl w:val="0"/>
          <w:numId w:val="194"/>
        </w:numPr>
        <w:rPr>
          <w:rFonts w:ascii="Arial" w:cs="Arial" w:eastAsia="Arial" w:hAnsi="Arial"/>
          <w:sz w:val="16"/>
          <w:szCs w:val="16"/>
          <w:color w:val="auto"/>
        </w:rPr>
      </w:pP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NCREASE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UTHORIZED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APITAL</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62" w:lineRule="auto"/>
        <w:tabs>
          <w:tab w:leader="none" w:pos="126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Company may, from time to time, by a Shareholders' resolution, whether or not all the shares then authorized have been issued, and whether or not all the shares theretofore issued have been called up for payment, increase its authorized share capital by the creation of new shares. Any such increase shall be in such amount and shall be divided into shares of such nominal amounts, and such shares shall confer such rights and preferences, and shall be subject to such restrictions, as such resolution shall provide.</w:t>
      </w:r>
    </w:p>
    <w:p>
      <w:pPr>
        <w:spacing w:after="0" w:line="359" w:lineRule="exact"/>
        <w:rPr>
          <w:rFonts w:ascii="Arial" w:cs="Arial" w:eastAsia="Arial" w:hAnsi="Arial"/>
          <w:sz w:val="16"/>
          <w:szCs w:val="16"/>
          <w:color w:val="auto"/>
        </w:rPr>
      </w:pPr>
    </w:p>
    <w:p>
      <w:pPr>
        <w:ind w:left="5620" w:hanging="103"/>
        <w:spacing w:after="0"/>
        <w:tabs>
          <w:tab w:leader="none" w:pos="562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12" w:name="page213"/>
    <w:bookmarkEnd w:id="212"/>
    <w:p>
      <w:pPr>
        <w:jc w:val="both"/>
        <w:ind w:left="579" w:hanging="7"/>
        <w:spacing w:after="0" w:line="262" w:lineRule="auto"/>
        <w:tabs>
          <w:tab w:leader="none" w:pos="121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Except to the extent otherwise provided in such resolution, any new shares included in the authorized share capital increased as aforesaid shall be subject to all the provisions of these Articles which are applicable to shares of such class included in the existing share capital without regard to class (and, if such new shares are of the same class as a class of shares included in the existing share capital, to all of the provisions which are applicable to shares of such class included in the existing share capital).</w:t>
      </w:r>
    </w:p>
    <w:p>
      <w:pPr>
        <w:spacing w:after="0" w:line="161" w:lineRule="exact"/>
        <w:rPr>
          <w:rFonts w:ascii="Arial" w:cs="Arial" w:eastAsia="Arial" w:hAnsi="Arial"/>
          <w:sz w:val="16"/>
          <w:szCs w:val="16"/>
          <w:color w:val="auto"/>
        </w:rPr>
      </w:pPr>
    </w:p>
    <w:p>
      <w:pPr>
        <w:ind w:left="599" w:hanging="599"/>
        <w:spacing w:after="0"/>
        <w:tabs>
          <w:tab w:leader="none" w:pos="599" w:val="left"/>
        </w:tabs>
        <w:numPr>
          <w:ilvl w:val="0"/>
          <w:numId w:val="196"/>
        </w:numPr>
        <w:rPr>
          <w:rFonts w:ascii="Arial" w:cs="Arial" w:eastAsia="Arial" w:hAnsi="Arial"/>
          <w:sz w:val="16"/>
          <w:szCs w:val="16"/>
          <w:color w:val="auto"/>
        </w:rPr>
      </w:pP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PECIAL OR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LASS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IGHTS</w:t>
      </w:r>
      <w:r>
        <w:rPr>
          <w:rFonts w:ascii="Arial" w:cs="Arial" w:eastAsia="Arial" w:hAnsi="Arial"/>
          <w:sz w:val="16"/>
          <w:szCs w:val="16"/>
          <w:b w:val="1"/>
          <w:bCs w:val="1"/>
          <w:u w:val="single" w:color="auto"/>
          <w:color w:val="auto"/>
        </w:rPr>
        <w:t>; M</w:t>
      </w:r>
      <w:r>
        <w:rPr>
          <w:rFonts w:ascii="Arial" w:cs="Arial" w:eastAsia="Arial" w:hAnsi="Arial"/>
          <w:sz w:val="10"/>
          <w:szCs w:val="10"/>
          <w:b w:val="1"/>
          <w:bCs w:val="1"/>
          <w:u w:val="single" w:color="auto"/>
          <w:color w:val="auto"/>
        </w:rPr>
        <w:t>ODIFICATION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IGHTS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579" w:hanging="7"/>
        <w:spacing w:after="0" w:line="281" w:lineRule="auto"/>
        <w:tabs>
          <w:tab w:leader="none" w:pos="121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Company may, from time to time, by a Shareholders’ resolution, provide for shares with such preferred or deferred rights or other special rights and/or such restrictions, whether in regard to dividends, voting, repayment of share capital or otherwise, as may be stipulated in such resolution.</w:t>
      </w:r>
    </w:p>
    <w:p>
      <w:pPr>
        <w:spacing w:after="0" w:line="150" w:lineRule="exact"/>
        <w:rPr>
          <w:rFonts w:ascii="Arial" w:cs="Arial" w:eastAsia="Arial" w:hAnsi="Arial"/>
          <w:sz w:val="16"/>
          <w:szCs w:val="16"/>
          <w:color w:val="auto"/>
        </w:rPr>
      </w:pPr>
    </w:p>
    <w:p>
      <w:pPr>
        <w:jc w:val="both"/>
        <w:ind w:left="579" w:hanging="7"/>
        <w:spacing w:after="0" w:line="267" w:lineRule="auto"/>
        <w:tabs>
          <w:tab w:leader="none" w:pos="124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If at any time the share capital of the Company is divided into different classes of shares, the rights attached to any class, unless otherwise provided by the Companies Law or these Articles, may be modified or cancelled by the Company by a resolution of the General Meeting of the holders of all shares as one class, without any required separate resolution of any class of shares.</w:t>
      </w:r>
    </w:p>
    <w:p>
      <w:pPr>
        <w:spacing w:after="0" w:line="161" w:lineRule="exact"/>
        <w:rPr>
          <w:rFonts w:ascii="Arial" w:cs="Arial" w:eastAsia="Arial" w:hAnsi="Arial"/>
          <w:sz w:val="16"/>
          <w:szCs w:val="16"/>
          <w:color w:val="auto"/>
        </w:rPr>
      </w:pPr>
    </w:p>
    <w:p>
      <w:pPr>
        <w:jc w:val="both"/>
        <w:ind w:left="579" w:hanging="7"/>
        <w:spacing w:after="0" w:line="267" w:lineRule="auto"/>
        <w:tabs>
          <w:tab w:leader="none" w:pos="121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provisions of these Articles relating to General Meetings shall, mutatis mutandis, apply to any separate General Meeting of the holders of the shares of a particular class, it being clarified that the requisite quorum at any such separate General Meeting shall be two or more shareholders present in person or by proxy and holding not less than twenty-five percent (25%) of the issued shares of such class.</w:t>
      </w:r>
    </w:p>
    <w:p>
      <w:pPr>
        <w:spacing w:after="0" w:line="161" w:lineRule="exact"/>
        <w:rPr>
          <w:rFonts w:ascii="Arial" w:cs="Arial" w:eastAsia="Arial" w:hAnsi="Arial"/>
          <w:sz w:val="16"/>
          <w:szCs w:val="16"/>
          <w:color w:val="auto"/>
        </w:rPr>
      </w:pPr>
    </w:p>
    <w:p>
      <w:pPr>
        <w:jc w:val="both"/>
        <w:ind w:left="579" w:hanging="7"/>
        <w:spacing w:after="0" w:line="292" w:lineRule="auto"/>
        <w:tabs>
          <w:tab w:leader="none" w:pos="1242" w:val="left"/>
        </w:tabs>
        <w:numPr>
          <w:ilvl w:val="1"/>
          <w:numId w:val="196"/>
        </w:numPr>
        <w:rPr>
          <w:rFonts w:ascii="Arial" w:cs="Arial" w:eastAsia="Arial" w:hAnsi="Arial"/>
          <w:sz w:val="15"/>
          <w:szCs w:val="15"/>
          <w:color w:val="auto"/>
        </w:rPr>
      </w:pPr>
      <w:r>
        <w:rPr>
          <w:rFonts w:ascii="Arial" w:cs="Arial" w:eastAsia="Arial" w:hAnsi="Arial"/>
          <w:sz w:val="15"/>
          <w:szCs w:val="15"/>
          <w:color w:val="auto"/>
        </w:rPr>
        <w:t>Unless otherwise provided by these Articles, an increase in the authorized share capital, the creation of a new class of shares, an increase in the authorized share capital of a class of shares, or the issuance of additional shares thereof out of the authorized and unissued share capital, shall not be deemed, for purposes of this Article 7, to modify or derogate or cancel the rights attached to previously issued shares of such class or of any other class.</w:t>
      </w:r>
    </w:p>
    <w:p>
      <w:pPr>
        <w:spacing w:after="0" w:line="141" w:lineRule="exact"/>
        <w:rPr>
          <w:rFonts w:ascii="Arial" w:cs="Arial" w:eastAsia="Arial" w:hAnsi="Arial"/>
          <w:sz w:val="15"/>
          <w:szCs w:val="15"/>
          <w:color w:val="auto"/>
        </w:rPr>
      </w:pPr>
    </w:p>
    <w:p>
      <w:pPr>
        <w:ind w:left="599" w:hanging="599"/>
        <w:spacing w:after="0"/>
        <w:tabs>
          <w:tab w:leader="none" w:pos="599" w:val="left"/>
        </w:tabs>
        <w:numPr>
          <w:ilvl w:val="0"/>
          <w:numId w:val="196"/>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ONSOLIDATION</w:t>
      </w:r>
      <w:r>
        <w:rPr>
          <w:rFonts w:ascii="Arial" w:cs="Arial" w:eastAsia="Arial" w:hAnsi="Arial"/>
          <w:sz w:val="16"/>
          <w:szCs w:val="16"/>
          <w:b w:val="1"/>
          <w:bCs w:val="1"/>
          <w:u w:val="single" w:color="auto"/>
          <w:color w:val="auto"/>
        </w:rPr>
        <w:t>, D</w:t>
      </w:r>
      <w:r>
        <w:rPr>
          <w:rFonts w:ascii="Arial" w:cs="Arial" w:eastAsia="Arial" w:hAnsi="Arial"/>
          <w:sz w:val="10"/>
          <w:szCs w:val="10"/>
          <w:b w:val="1"/>
          <w:bCs w:val="1"/>
          <w:u w:val="single" w:color="auto"/>
          <w:color w:val="auto"/>
        </w:rPr>
        <w:t>IVISION</w:t>
      </w:r>
      <w:r>
        <w:rPr>
          <w:rFonts w:ascii="Arial" w:cs="Arial" w:eastAsia="Arial" w:hAnsi="Arial"/>
          <w:sz w:val="16"/>
          <w:szCs w:val="16"/>
          <w:b w:val="1"/>
          <w:bCs w:val="1"/>
          <w:u w:val="single" w:color="auto"/>
          <w:color w:val="auto"/>
        </w:rPr>
        <w:t>, C</w:t>
      </w:r>
      <w:r>
        <w:rPr>
          <w:rFonts w:ascii="Arial" w:cs="Arial" w:eastAsia="Arial" w:hAnsi="Arial"/>
          <w:sz w:val="10"/>
          <w:szCs w:val="10"/>
          <w:b w:val="1"/>
          <w:bCs w:val="1"/>
          <w:u w:val="single" w:color="auto"/>
          <w:color w:val="auto"/>
        </w:rPr>
        <w:t>ANCELLATION 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EDUCTION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APITAL</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1199" w:hanging="627"/>
        <w:spacing w:after="0"/>
        <w:tabs>
          <w:tab w:leader="none" w:pos="1199"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Company may, from time to time, by or pursuant to an authorization of a Shareholders’ resolution, and subject to applicable law:</w:t>
      </w:r>
    </w:p>
    <w:p>
      <w:pPr>
        <w:spacing w:after="0" w:line="203" w:lineRule="exact"/>
        <w:rPr>
          <w:rFonts w:ascii="Arial" w:cs="Arial" w:eastAsia="Arial" w:hAnsi="Arial"/>
          <w:sz w:val="16"/>
          <w:szCs w:val="16"/>
          <w:color w:val="auto"/>
        </w:rPr>
      </w:pPr>
    </w:p>
    <w:p>
      <w:pPr>
        <w:ind w:left="1159" w:firstLine="4"/>
        <w:spacing w:after="0" w:line="281" w:lineRule="auto"/>
        <w:tabs>
          <w:tab w:leader="none" w:pos="1816" w:val="left"/>
        </w:tabs>
        <w:numPr>
          <w:ilvl w:val="2"/>
          <w:numId w:val="196"/>
        </w:numPr>
        <w:rPr>
          <w:rFonts w:ascii="Arial" w:cs="Arial" w:eastAsia="Arial" w:hAnsi="Arial"/>
          <w:sz w:val="16"/>
          <w:szCs w:val="16"/>
          <w:color w:val="auto"/>
        </w:rPr>
      </w:pPr>
      <w:r>
        <w:rPr>
          <w:rFonts w:ascii="Arial" w:cs="Arial" w:eastAsia="Arial" w:hAnsi="Arial"/>
          <w:sz w:val="16"/>
          <w:szCs w:val="16"/>
          <w:color w:val="auto"/>
        </w:rPr>
        <w:t>consolidate all or any part of its issued or unissued authorized share capital into shares of a per share nominal value which is larger, equal to or smaller than the per share nominal value of its existing shares;</w:t>
      </w:r>
    </w:p>
    <w:p>
      <w:pPr>
        <w:spacing w:after="0" w:line="150" w:lineRule="exact"/>
        <w:rPr>
          <w:rFonts w:ascii="Arial" w:cs="Arial" w:eastAsia="Arial" w:hAnsi="Arial"/>
          <w:sz w:val="16"/>
          <w:szCs w:val="16"/>
          <w:color w:val="auto"/>
        </w:rPr>
      </w:pPr>
    </w:p>
    <w:p>
      <w:pPr>
        <w:jc w:val="both"/>
        <w:ind w:left="1159" w:firstLine="4"/>
        <w:spacing w:after="0" w:line="262" w:lineRule="auto"/>
        <w:tabs>
          <w:tab w:leader="none" w:pos="1851" w:val="left"/>
        </w:tabs>
        <w:numPr>
          <w:ilvl w:val="2"/>
          <w:numId w:val="196"/>
        </w:numPr>
        <w:rPr>
          <w:rFonts w:ascii="Arial" w:cs="Arial" w:eastAsia="Arial" w:hAnsi="Arial"/>
          <w:sz w:val="16"/>
          <w:szCs w:val="16"/>
          <w:color w:val="auto"/>
        </w:rPr>
      </w:pPr>
      <w:r>
        <w:rPr>
          <w:rFonts w:ascii="Arial" w:cs="Arial" w:eastAsia="Arial" w:hAnsi="Arial"/>
          <w:sz w:val="16"/>
          <w:szCs w:val="16"/>
          <w:color w:val="auto"/>
        </w:rPr>
        <w:t>divide or sub-divide its shares (issued or unissued) or any of them, into shares of smaller or the same nominal value (subject, however, to the provisions of the Companies Law), and the resolution whereby any share is divided may determine that, as among the holders of the shares resulting from such subdivision, one or more of the shares may, in contrast to others, have any such preferred or deferred rights or rights of redemption or other special rights, or be subject to any such restrictions, as the Company may attach to unissued or new shares;</w:t>
      </w:r>
    </w:p>
    <w:p>
      <w:pPr>
        <w:spacing w:after="0" w:line="165" w:lineRule="exact"/>
        <w:rPr>
          <w:rFonts w:ascii="Arial" w:cs="Arial" w:eastAsia="Arial" w:hAnsi="Arial"/>
          <w:sz w:val="16"/>
          <w:szCs w:val="16"/>
          <w:color w:val="auto"/>
        </w:rPr>
      </w:pPr>
    </w:p>
    <w:p>
      <w:pPr>
        <w:ind w:left="1159" w:firstLine="4"/>
        <w:spacing w:after="0" w:line="281" w:lineRule="auto"/>
        <w:tabs>
          <w:tab w:leader="none" w:pos="1796" w:val="left"/>
        </w:tabs>
        <w:numPr>
          <w:ilvl w:val="2"/>
          <w:numId w:val="196"/>
        </w:numPr>
        <w:rPr>
          <w:rFonts w:ascii="Arial" w:cs="Arial" w:eastAsia="Arial" w:hAnsi="Arial"/>
          <w:sz w:val="16"/>
          <w:szCs w:val="16"/>
          <w:color w:val="auto"/>
        </w:rPr>
      </w:pPr>
      <w:r>
        <w:rPr>
          <w:rFonts w:ascii="Arial" w:cs="Arial" w:eastAsia="Arial" w:hAnsi="Arial"/>
          <w:sz w:val="16"/>
          <w:szCs w:val="16"/>
          <w:color w:val="auto"/>
        </w:rPr>
        <w:t>cancel any shares which, at the date of the adoption of such resolution, have not been taken or agreed to be taken by any person, and reduce the amount of its share capital by the amount of the shares so canceled; or</w:t>
      </w:r>
    </w:p>
    <w:p>
      <w:pPr>
        <w:spacing w:after="0" w:line="150" w:lineRule="exact"/>
        <w:rPr>
          <w:rFonts w:ascii="Arial" w:cs="Arial" w:eastAsia="Arial" w:hAnsi="Arial"/>
          <w:sz w:val="16"/>
          <w:szCs w:val="16"/>
          <w:color w:val="auto"/>
        </w:rPr>
      </w:pPr>
    </w:p>
    <w:p>
      <w:pPr>
        <w:ind w:left="1719" w:hanging="556"/>
        <w:spacing w:after="0"/>
        <w:tabs>
          <w:tab w:leader="none" w:pos="1719" w:val="left"/>
        </w:tabs>
        <w:numPr>
          <w:ilvl w:val="2"/>
          <w:numId w:val="196"/>
        </w:numPr>
        <w:rPr>
          <w:rFonts w:ascii="Arial" w:cs="Arial" w:eastAsia="Arial" w:hAnsi="Arial"/>
          <w:sz w:val="16"/>
          <w:szCs w:val="16"/>
          <w:color w:val="auto"/>
        </w:rPr>
      </w:pPr>
      <w:r>
        <w:rPr>
          <w:rFonts w:ascii="Arial" w:cs="Arial" w:eastAsia="Arial" w:hAnsi="Arial"/>
          <w:sz w:val="16"/>
          <w:szCs w:val="16"/>
          <w:color w:val="auto"/>
        </w:rPr>
        <w:t>reduce its share capital in any manner.</w:t>
      </w:r>
    </w:p>
    <w:p>
      <w:pPr>
        <w:spacing w:after="0" w:line="203" w:lineRule="exact"/>
        <w:rPr>
          <w:rFonts w:ascii="Arial" w:cs="Arial" w:eastAsia="Arial" w:hAnsi="Arial"/>
          <w:sz w:val="16"/>
          <w:szCs w:val="16"/>
          <w:color w:val="auto"/>
        </w:rPr>
      </w:pPr>
    </w:p>
    <w:p>
      <w:pPr>
        <w:jc w:val="both"/>
        <w:ind w:left="579" w:hanging="7"/>
        <w:spacing w:after="0" w:line="267" w:lineRule="auto"/>
        <w:tabs>
          <w:tab w:leader="none" w:pos="127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With respect to any consolidation of issued shares and with respect to any other action which may result in fractional shares, the Board of Directors may settle any difficulty which may arise with regard thereto, as it deems fit, and, in connection with any such consolidation or other action which could result in fractional shares, may, without limiting its aforesaid power:</w:t>
      </w:r>
    </w:p>
    <w:p>
      <w:pPr>
        <w:spacing w:after="0" w:line="354" w:lineRule="exact"/>
        <w:rPr>
          <w:rFonts w:ascii="Arial" w:cs="Arial" w:eastAsia="Arial" w:hAnsi="Arial"/>
          <w:sz w:val="16"/>
          <w:szCs w:val="16"/>
          <w:color w:val="auto"/>
        </w:rPr>
      </w:pPr>
    </w:p>
    <w:p>
      <w:pPr>
        <w:ind w:left="5619" w:hanging="103"/>
        <w:spacing w:after="0"/>
        <w:tabs>
          <w:tab w:leader="none" w:pos="5619" w:val="left"/>
        </w:tabs>
        <w:numPr>
          <w:ilvl w:val="3"/>
          <w:numId w:val="196"/>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5" w:right="299" w:bottom="1440" w:gutter="0" w:footer="0" w:header="0"/>
        </w:sectPr>
      </w:pPr>
    </w:p>
    <w:bookmarkStart w:id="213" w:name="page214"/>
    <w:bookmarkEnd w:id="213"/>
    <w:p>
      <w:pPr>
        <w:ind w:left="1160" w:firstLine="4"/>
        <w:spacing w:after="0" w:line="281" w:lineRule="auto"/>
        <w:tabs>
          <w:tab w:leader="none" w:pos="1798" w:val="left"/>
        </w:tabs>
        <w:numPr>
          <w:ilvl w:val="2"/>
          <w:numId w:val="197"/>
        </w:numPr>
        <w:rPr>
          <w:rFonts w:ascii="Arial" w:cs="Arial" w:eastAsia="Arial" w:hAnsi="Arial"/>
          <w:sz w:val="16"/>
          <w:szCs w:val="16"/>
          <w:color w:val="auto"/>
        </w:rPr>
      </w:pPr>
      <w:r>
        <w:rPr>
          <w:rFonts w:ascii="Arial" w:cs="Arial" w:eastAsia="Arial" w:hAnsi="Arial"/>
          <w:sz w:val="16"/>
          <w:szCs w:val="16"/>
          <w:color w:val="auto"/>
        </w:rPr>
        <w:t>determine, as to the holder of shares so consolidated, which issued shares shall be consolidated into a share of a larger, equal or smaller nominal value per share;</w:t>
      </w:r>
    </w:p>
    <w:p>
      <w:pPr>
        <w:spacing w:after="0" w:line="150" w:lineRule="exact"/>
        <w:rPr>
          <w:rFonts w:ascii="Arial" w:cs="Arial" w:eastAsia="Arial" w:hAnsi="Arial"/>
          <w:sz w:val="16"/>
          <w:szCs w:val="16"/>
          <w:color w:val="auto"/>
        </w:rPr>
      </w:pPr>
    </w:p>
    <w:p>
      <w:pPr>
        <w:ind w:left="1720" w:hanging="556"/>
        <w:spacing w:after="0"/>
        <w:tabs>
          <w:tab w:leader="none" w:pos="1720" w:val="left"/>
        </w:tabs>
        <w:numPr>
          <w:ilvl w:val="2"/>
          <w:numId w:val="197"/>
        </w:numPr>
        <w:rPr>
          <w:rFonts w:ascii="Arial" w:cs="Arial" w:eastAsia="Arial" w:hAnsi="Arial"/>
          <w:sz w:val="15"/>
          <w:szCs w:val="15"/>
          <w:color w:val="auto"/>
        </w:rPr>
      </w:pPr>
      <w:r>
        <w:rPr>
          <w:rFonts w:ascii="Arial" w:cs="Arial" w:eastAsia="Arial" w:hAnsi="Arial"/>
          <w:sz w:val="15"/>
          <w:szCs w:val="15"/>
          <w:color w:val="auto"/>
        </w:rPr>
        <w:t>issue, in contemplation of or subsequent to such consolidation or other action, shares sufficient to preclude or remove fractional share holdings;</w:t>
      </w:r>
    </w:p>
    <w:p>
      <w:pPr>
        <w:spacing w:after="0" w:line="215" w:lineRule="exact"/>
        <w:rPr>
          <w:rFonts w:ascii="Arial" w:cs="Arial" w:eastAsia="Arial" w:hAnsi="Arial"/>
          <w:sz w:val="15"/>
          <w:szCs w:val="15"/>
          <w:color w:val="auto"/>
        </w:rPr>
      </w:pPr>
    </w:p>
    <w:p>
      <w:pPr>
        <w:ind w:left="1720" w:hanging="556"/>
        <w:spacing w:after="0"/>
        <w:tabs>
          <w:tab w:leader="none" w:pos="1720" w:val="left"/>
        </w:tabs>
        <w:numPr>
          <w:ilvl w:val="2"/>
          <w:numId w:val="197"/>
        </w:numPr>
        <w:rPr>
          <w:rFonts w:ascii="Arial" w:cs="Arial" w:eastAsia="Arial" w:hAnsi="Arial"/>
          <w:sz w:val="16"/>
          <w:szCs w:val="16"/>
          <w:color w:val="auto"/>
        </w:rPr>
      </w:pPr>
      <w:r>
        <w:rPr>
          <w:rFonts w:ascii="Arial" w:cs="Arial" w:eastAsia="Arial" w:hAnsi="Arial"/>
          <w:sz w:val="16"/>
          <w:szCs w:val="16"/>
          <w:color w:val="auto"/>
        </w:rPr>
        <w:t>redeem such shares or fractional shares sufficient to preclude or remove fractional share holdings;</w:t>
      </w:r>
    </w:p>
    <w:p>
      <w:pPr>
        <w:spacing w:after="0" w:line="203" w:lineRule="exact"/>
        <w:rPr>
          <w:rFonts w:ascii="Arial" w:cs="Arial" w:eastAsia="Arial" w:hAnsi="Arial"/>
          <w:sz w:val="16"/>
          <w:szCs w:val="16"/>
          <w:color w:val="auto"/>
        </w:rPr>
      </w:pPr>
    </w:p>
    <w:p>
      <w:pPr>
        <w:ind w:left="1160" w:firstLine="4"/>
        <w:spacing w:after="0" w:line="281" w:lineRule="auto"/>
        <w:tabs>
          <w:tab w:leader="none" w:pos="1747" w:val="left"/>
        </w:tabs>
        <w:numPr>
          <w:ilvl w:val="2"/>
          <w:numId w:val="197"/>
        </w:numPr>
        <w:rPr>
          <w:rFonts w:ascii="Arial" w:cs="Arial" w:eastAsia="Arial" w:hAnsi="Arial"/>
          <w:sz w:val="16"/>
          <w:szCs w:val="16"/>
          <w:color w:val="auto"/>
        </w:rPr>
      </w:pPr>
      <w:r>
        <w:rPr>
          <w:rFonts w:ascii="Arial" w:cs="Arial" w:eastAsia="Arial" w:hAnsi="Arial"/>
          <w:sz w:val="16"/>
          <w:szCs w:val="16"/>
          <w:color w:val="auto"/>
        </w:rPr>
        <w:t>round up, round down or round to the nearest whole number, any fractional shares resulting from the consolidation or from any other action which may result in fractional shares; or</w:t>
      </w:r>
    </w:p>
    <w:p>
      <w:pPr>
        <w:spacing w:after="0" w:line="150" w:lineRule="exact"/>
        <w:rPr>
          <w:rFonts w:ascii="Arial" w:cs="Arial" w:eastAsia="Arial" w:hAnsi="Arial"/>
          <w:sz w:val="16"/>
          <w:szCs w:val="16"/>
          <w:color w:val="auto"/>
        </w:rPr>
      </w:pPr>
    </w:p>
    <w:p>
      <w:pPr>
        <w:jc w:val="both"/>
        <w:ind w:left="1160" w:firstLine="4"/>
        <w:spacing w:after="0" w:line="285" w:lineRule="auto"/>
        <w:tabs>
          <w:tab w:leader="none" w:pos="1778" w:val="left"/>
        </w:tabs>
        <w:numPr>
          <w:ilvl w:val="2"/>
          <w:numId w:val="197"/>
        </w:numPr>
        <w:rPr>
          <w:rFonts w:ascii="Arial" w:cs="Arial" w:eastAsia="Arial" w:hAnsi="Arial"/>
          <w:sz w:val="15"/>
          <w:szCs w:val="15"/>
          <w:color w:val="auto"/>
        </w:rPr>
      </w:pPr>
      <w:r>
        <w:rPr>
          <w:rFonts w:ascii="Arial" w:cs="Arial" w:eastAsia="Arial" w:hAnsi="Arial"/>
          <w:sz w:val="15"/>
          <w:szCs w:val="15"/>
          <w:color w:val="auto"/>
        </w:rPr>
        <w:t>cause the transfer of fractional shares by certain shareholders of the Company to other shareholders thereof so as to most expediently preclude or remove any fractional shareholdings, and cause the transferees of such fractional shares to pay the transferors thereof the fair value thereof, and the Board of Directors is hereby authorized to act in connection with such transfer, as agent for the transferors and transferees of any such fractional shares, with full power of substitution, for the purposes of implementing the provisions of this sub-Article 8(b)(v).</w:t>
      </w:r>
    </w:p>
    <w:p>
      <w:pPr>
        <w:spacing w:after="0" w:line="145" w:lineRule="exact"/>
        <w:rPr>
          <w:rFonts w:ascii="Arial" w:cs="Arial" w:eastAsia="Arial" w:hAnsi="Arial"/>
          <w:sz w:val="15"/>
          <w:szCs w:val="15"/>
          <w:color w:val="auto"/>
        </w:rPr>
      </w:pPr>
    </w:p>
    <w:p>
      <w:pPr>
        <w:ind w:left="600" w:hanging="599"/>
        <w:spacing w:after="0"/>
        <w:tabs>
          <w:tab w:leader="none" w:pos="600" w:val="left"/>
        </w:tabs>
        <w:numPr>
          <w:ilvl w:val="0"/>
          <w:numId w:val="198"/>
        </w:numPr>
        <w:rPr>
          <w:rFonts w:ascii="Arial" w:cs="Arial" w:eastAsia="Arial" w:hAnsi="Arial"/>
          <w:sz w:val="16"/>
          <w:szCs w:val="16"/>
          <w:color w:val="auto"/>
        </w:rPr>
      </w:pP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SSUANCE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ERTIFICATES</w:t>
      </w:r>
      <w:r>
        <w:rPr>
          <w:rFonts w:ascii="Arial" w:cs="Arial" w:eastAsia="Arial" w:hAnsi="Arial"/>
          <w:sz w:val="16"/>
          <w:szCs w:val="16"/>
          <w:b w:val="1"/>
          <w:bCs w:val="1"/>
          <w:u w:val="single" w:color="auto"/>
          <w:color w:val="auto"/>
        </w:rPr>
        <w:t>, R</w:t>
      </w:r>
      <w:r>
        <w:rPr>
          <w:rFonts w:ascii="Arial" w:cs="Arial" w:eastAsia="Arial" w:hAnsi="Arial"/>
          <w:sz w:val="10"/>
          <w:szCs w:val="10"/>
          <w:b w:val="1"/>
          <w:bCs w:val="1"/>
          <w:u w:val="single" w:color="auto"/>
          <w:color w:val="auto"/>
        </w:rPr>
        <w:t>EPLACEMENT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w:t>
      </w:r>
      <w:r>
        <w:rPr>
          <w:rFonts w:ascii="Arial" w:cs="Arial" w:eastAsia="Arial" w:hAnsi="Arial"/>
          <w:sz w:val="10"/>
          <w:szCs w:val="10"/>
          <w:b w:val="1"/>
          <w:bCs w:val="1"/>
          <w:u w:val="single" w:color="auto"/>
          <w:color w:val="auto"/>
        </w:rPr>
        <w:t>OST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ERTIFICATES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305" w:lineRule="auto"/>
        <w:tabs>
          <w:tab w:leader="none" w:pos="1208" w:val="left"/>
        </w:tabs>
        <w:numPr>
          <w:ilvl w:val="1"/>
          <w:numId w:val="198"/>
        </w:numPr>
        <w:rPr>
          <w:rFonts w:ascii="Arial" w:cs="Arial" w:eastAsia="Arial" w:hAnsi="Arial"/>
          <w:sz w:val="14"/>
          <w:szCs w:val="14"/>
          <w:color w:val="auto"/>
        </w:rPr>
      </w:pPr>
      <w:r>
        <w:rPr>
          <w:rFonts w:ascii="Arial" w:cs="Arial" w:eastAsia="Arial" w:hAnsi="Arial"/>
          <w:sz w:val="14"/>
          <w:szCs w:val="14"/>
          <w:color w:val="auto"/>
        </w:rPr>
        <w:t>To the extent that the Board of Directors determines that all shares shall be certificated or, if the Board of Directors does not so determine, to the extent that any shareholder requests a share certificate, share certificates shall be issued under the corporate seal of the Company or its written, typed or stamped name and may bear the signature of one Director, the Company’s CEO or of any other person or persons authorized therefor by the Board of Directors. Signatures may be affixed in any mechanical or electronic form, as the Board of Directors may prescribe. For the avoidance of doubt, any transfer agent designated by the Company may issue share certificates on behalf of the Company even if the signatories on the share certificate no longer serve in the relevant capacities at the time of such issuance.</w:t>
      </w:r>
    </w:p>
    <w:p>
      <w:pPr>
        <w:spacing w:after="0" w:line="139" w:lineRule="exact"/>
        <w:rPr>
          <w:rFonts w:ascii="Arial" w:cs="Arial" w:eastAsia="Arial" w:hAnsi="Arial"/>
          <w:sz w:val="14"/>
          <w:szCs w:val="14"/>
          <w:color w:val="auto"/>
        </w:rPr>
      </w:pPr>
    </w:p>
    <w:p>
      <w:pPr>
        <w:jc w:val="both"/>
        <w:ind w:left="580" w:hanging="7"/>
        <w:spacing w:after="0" w:line="281" w:lineRule="auto"/>
        <w:tabs>
          <w:tab w:leader="none" w:pos="1377" w:val="left"/>
        </w:tabs>
        <w:numPr>
          <w:ilvl w:val="1"/>
          <w:numId w:val="198"/>
        </w:numPr>
        <w:rPr>
          <w:rFonts w:ascii="Arial" w:cs="Arial" w:eastAsia="Arial" w:hAnsi="Arial"/>
          <w:sz w:val="15"/>
          <w:szCs w:val="15"/>
          <w:color w:val="auto"/>
        </w:rPr>
      </w:pPr>
      <w:r>
        <w:rPr>
          <w:rFonts w:ascii="Arial" w:cs="Arial" w:eastAsia="Arial" w:hAnsi="Arial"/>
          <w:sz w:val="15"/>
          <w:szCs w:val="15"/>
          <w:color w:val="auto"/>
        </w:rPr>
        <w:t>Subject to the Article 9(a), each Shareholder shall be entitled to one numbered certificate for all the shares of any class registered in his name. Each certificate may also specify the amount paid up thereon. The Company (as determined by an officer of the Company to be designated by the Chief Executive Officer) shall not refuse a request by a Shareholder to obtain several certificates in place of one certificate, unless such request is, in the opinion of such officer, unreasonable. Where a Shareholder has sold or transferred some of such Shareholder’s shares, such Shareholder shall be entitled to receive a certificate in respect of such Shareholder’s remaining shares, provided that the previous certificate is delivered to the Company before the issuance of a new certificate.</w:t>
      </w:r>
    </w:p>
    <w:p>
      <w:pPr>
        <w:spacing w:after="0" w:line="153" w:lineRule="exact"/>
        <w:rPr>
          <w:rFonts w:ascii="Arial" w:cs="Arial" w:eastAsia="Arial" w:hAnsi="Arial"/>
          <w:sz w:val="15"/>
          <w:szCs w:val="15"/>
          <w:color w:val="auto"/>
        </w:rPr>
      </w:pPr>
    </w:p>
    <w:p>
      <w:pPr>
        <w:ind w:left="580" w:hanging="7"/>
        <w:spacing w:after="0" w:line="281" w:lineRule="auto"/>
        <w:tabs>
          <w:tab w:leader="none" w:pos="123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 share certificate registered in the names of two or more persons shall be delivered to the person first named in the Register of Shareholders in respect of such co-ownership.</w:t>
      </w:r>
    </w:p>
    <w:p>
      <w:pPr>
        <w:spacing w:after="0" w:line="150" w:lineRule="exact"/>
        <w:rPr>
          <w:rFonts w:ascii="Arial" w:cs="Arial" w:eastAsia="Arial" w:hAnsi="Arial"/>
          <w:sz w:val="16"/>
          <w:szCs w:val="16"/>
          <w:color w:val="auto"/>
        </w:rPr>
      </w:pPr>
    </w:p>
    <w:p>
      <w:pPr>
        <w:jc w:val="both"/>
        <w:ind w:left="580" w:hanging="7"/>
        <w:spacing w:after="0" w:line="267" w:lineRule="auto"/>
        <w:tabs>
          <w:tab w:leader="none" w:pos="1238"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of Directors in its discretion deems fit.</w:t>
      </w:r>
    </w:p>
    <w:p>
      <w:pPr>
        <w:spacing w:after="0" w:line="157" w:lineRule="exact"/>
        <w:rPr>
          <w:rFonts w:ascii="Arial" w:cs="Arial" w:eastAsia="Arial" w:hAnsi="Arial"/>
          <w:sz w:val="16"/>
          <w:szCs w:val="16"/>
          <w:color w:val="auto"/>
        </w:rPr>
      </w:pPr>
    </w:p>
    <w:p>
      <w:pPr>
        <w:ind w:left="600" w:hanging="599"/>
        <w:spacing w:after="0"/>
        <w:tabs>
          <w:tab w:leader="none" w:pos="600" w:val="left"/>
        </w:tabs>
        <w:numPr>
          <w:ilvl w:val="0"/>
          <w:numId w:val="198"/>
        </w:numPr>
        <w:rPr>
          <w:rFonts w:ascii="Arial" w:cs="Arial" w:eastAsia="Arial" w:hAnsi="Arial"/>
          <w:sz w:val="16"/>
          <w:szCs w:val="16"/>
          <w:color w:val="auto"/>
        </w:rPr>
      </w:pP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EGISTERED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w:t>
      </w:r>
      <w:r>
        <w:rPr>
          <w:rFonts w:ascii="Arial" w:cs="Arial" w:eastAsia="Arial" w:hAnsi="Arial"/>
          <w:sz w:val="10"/>
          <w:szCs w:val="10"/>
          <w:b w:val="1"/>
          <w:bCs w:val="1"/>
          <w:u w:val="single" w:color="auto"/>
          <w:color w:val="auto"/>
        </w:rPr>
        <w:t>OLDER</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Except as otherwise provided in these Articles or the Companies Law, the Company shall be entitled to treat the registered holder of each share as the absolute owner thereof, and accordingly, shall not, except as ordered by a court of competent jurisdiction, or as required by the Companies Law, be obligated to recognize any equitable or other claim to, or interest in, such share on the part of any other person.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14" w:name="page215"/>
    <w:bookmarkEnd w:id="214"/>
    <w:p>
      <w:pPr>
        <w:ind w:left="639" w:hanging="639"/>
        <w:spacing w:after="0"/>
        <w:tabs>
          <w:tab w:leader="none" w:pos="639" w:val="left"/>
        </w:tabs>
        <w:numPr>
          <w:ilvl w:val="0"/>
          <w:numId w:val="199"/>
        </w:numPr>
        <w:rPr>
          <w:rFonts w:ascii="Arial" w:cs="Arial" w:eastAsia="Arial" w:hAnsi="Arial"/>
          <w:sz w:val="16"/>
          <w:szCs w:val="16"/>
          <w:color w:val="auto"/>
        </w:rPr>
      </w:pP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SSUANCE 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EPURCHASE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79" w:hanging="7"/>
        <w:spacing w:after="0" w:line="277" w:lineRule="auto"/>
        <w:tabs>
          <w:tab w:leader="none" w:pos="1248"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The unissued shares from time to time shall be under the control of the Board of Directors (and to the full extent permitted by law any Committee thereof), which shall have the power to issue or otherwise dispose of shares and of securities convertible or exercisable into or other rights to acquire from the Company to such persons, on such terms and conditions (including inter alia terms relating to calls set forth in Article 13(f) hereof), and either at par or at a premium, or subject to the provisions of the Companies Law, at a discount and/or with payment of commission, and at such times, as the Board of Directors (or the Committee, as the case may be) deems fit, and the power to give to any person the option to acquire from the Company any shares or securities convertible or exercisable into or other rights to acquire from the Company, either at par or at a premium, or, subject as aforesaid, at a discount and/or with payment of commission, during such time and for such consideration as the Board of Directors (or the Committee, as the case may be) deems fit.</w:t>
      </w:r>
    </w:p>
    <w:p>
      <w:pPr>
        <w:spacing w:after="0" w:line="156" w:lineRule="exact"/>
        <w:rPr>
          <w:rFonts w:ascii="Arial" w:cs="Arial" w:eastAsia="Arial" w:hAnsi="Arial"/>
          <w:sz w:val="15"/>
          <w:szCs w:val="15"/>
          <w:color w:val="auto"/>
        </w:rPr>
      </w:pPr>
    </w:p>
    <w:p>
      <w:pPr>
        <w:jc w:val="both"/>
        <w:ind w:left="579" w:hanging="7"/>
        <w:spacing w:after="0" w:line="262" w:lineRule="auto"/>
        <w:tabs>
          <w:tab w:leader="none" w:pos="1229"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Company may at any time and from time to time, subject to the Companies Law, repurchase or finance the purchase of any shares or other securities issued by the Company, in such manner and under such terms as the Board of Directors shall determine, whether from any one or more shareholders. Such purchase shall not be deemed as payment of dividends and no shareholder will have the right to require the Company to purchase his shares or offer to purchase shares from any other shareholders.</w:t>
      </w:r>
    </w:p>
    <w:p>
      <w:pPr>
        <w:spacing w:after="0" w:line="161" w:lineRule="exact"/>
        <w:rPr>
          <w:rFonts w:ascii="Arial" w:cs="Arial" w:eastAsia="Arial" w:hAnsi="Arial"/>
          <w:sz w:val="16"/>
          <w:szCs w:val="16"/>
          <w:color w:val="auto"/>
        </w:rPr>
      </w:pPr>
    </w:p>
    <w:p>
      <w:pPr>
        <w:ind w:left="599" w:hanging="599"/>
        <w:spacing w:after="0"/>
        <w:tabs>
          <w:tab w:leader="none" w:pos="599" w:val="left"/>
        </w:tabs>
        <w:numPr>
          <w:ilvl w:val="0"/>
          <w:numId w:val="199"/>
        </w:numPr>
        <w:rPr>
          <w:rFonts w:ascii="Arial" w:cs="Arial" w:eastAsia="Arial" w:hAnsi="Arial"/>
          <w:sz w:val="16"/>
          <w:szCs w:val="16"/>
          <w:color w:val="auto"/>
        </w:rPr>
      </w:pP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AYMENT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NSTALLMENT</w:t>
      </w:r>
      <w:r>
        <w:rPr>
          <w:rFonts w:ascii="Arial" w:cs="Arial" w:eastAsia="Arial" w:hAnsi="Arial"/>
          <w:sz w:val="16"/>
          <w:szCs w:val="16"/>
          <w:color w:val="auto"/>
        </w:rPr>
        <w:t>.</w:t>
      </w:r>
    </w:p>
    <w:p>
      <w:pPr>
        <w:spacing w:after="0" w:line="208" w:lineRule="exact"/>
        <w:rPr>
          <w:sz w:val="20"/>
          <w:szCs w:val="20"/>
          <w:color w:val="auto"/>
        </w:rPr>
      </w:pPr>
    </w:p>
    <w:p>
      <w:pPr>
        <w:ind w:left="579"/>
        <w:spacing w:after="0" w:line="281" w:lineRule="auto"/>
        <w:rPr>
          <w:sz w:val="20"/>
          <w:szCs w:val="20"/>
          <w:color w:val="auto"/>
        </w:rPr>
      </w:pPr>
      <w:r>
        <w:rPr>
          <w:rFonts w:ascii="Arial" w:cs="Arial" w:eastAsia="Arial" w:hAnsi="Arial"/>
          <w:sz w:val="16"/>
          <w:szCs w:val="16"/>
          <w:color w:val="auto"/>
        </w:rPr>
        <w:t>If pursuant to the terms of issuance of any share, all or any portion of the price thereof shall be payable in installments, every such installment shall be paid to the Company on the due date thereof by the then registered holder(s) of the share or the person(s) then entitled thereto.</w:t>
      </w:r>
    </w:p>
    <w:p>
      <w:pPr>
        <w:spacing w:after="0" w:line="147" w:lineRule="exact"/>
        <w:rPr>
          <w:sz w:val="20"/>
          <w:szCs w:val="20"/>
          <w:color w:val="auto"/>
        </w:rPr>
      </w:pPr>
    </w:p>
    <w:p>
      <w:pPr>
        <w:ind w:left="599" w:hanging="599"/>
        <w:spacing w:after="0"/>
        <w:tabs>
          <w:tab w:leader="none" w:pos="599" w:val="left"/>
        </w:tabs>
        <w:numPr>
          <w:ilvl w:val="0"/>
          <w:numId w:val="200"/>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ALLS 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79" w:hanging="7"/>
        <w:spacing w:after="0" w:line="278" w:lineRule="auto"/>
        <w:tabs>
          <w:tab w:leader="none" w:pos="1233" w:val="left"/>
        </w:tabs>
        <w:numPr>
          <w:ilvl w:val="1"/>
          <w:numId w:val="200"/>
        </w:numPr>
        <w:rPr>
          <w:rFonts w:ascii="Arial" w:cs="Arial" w:eastAsia="Arial" w:hAnsi="Arial"/>
          <w:sz w:val="15"/>
          <w:szCs w:val="15"/>
          <w:color w:val="auto"/>
        </w:rPr>
      </w:pPr>
      <w:r>
        <w:rPr>
          <w:rFonts w:ascii="Arial" w:cs="Arial" w:eastAsia="Arial" w:hAnsi="Arial"/>
          <w:sz w:val="15"/>
          <w:szCs w:val="15"/>
          <w:color w:val="auto"/>
        </w:rPr>
        <w:t>The Board of Directors may, from time to time, as it, in its discretion, deems fit, make calls for payment upon shareholders in respect of any sum (including premium) which has not been paid up in respect of shares held by such shareholders and which is not, pursuant to the terms of issuance of such shares or otherwise, payable at a fixed time, and each shareholder shall pay the amount of every call so made upon him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the shares in respect of which such call was made.</w:t>
      </w:r>
    </w:p>
    <w:p>
      <w:pPr>
        <w:spacing w:after="0" w:line="157" w:lineRule="exact"/>
        <w:rPr>
          <w:rFonts w:ascii="Arial" w:cs="Arial" w:eastAsia="Arial" w:hAnsi="Arial"/>
          <w:sz w:val="15"/>
          <w:szCs w:val="15"/>
          <w:color w:val="auto"/>
        </w:rPr>
      </w:pPr>
    </w:p>
    <w:p>
      <w:pPr>
        <w:jc w:val="both"/>
        <w:ind w:left="579" w:hanging="7"/>
        <w:spacing w:after="0" w:line="259" w:lineRule="auto"/>
        <w:tabs>
          <w:tab w:leader="none" w:pos="128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Notice of any call for payment by a shareholder shall be given in writing to such shareholder not less than fourteen (14) days prior to the time of payment fixed in such notice, and shall specify the time and place of payment, and the person to whom such payment is to be made. Prior to the time for any such payment fixed in a notice of a call given to a shareholder, the Board of Directors may in its absolute discretion, by notice in writing to such shareholder, revoke such call in whole or in part, extend the time fixed for payment thereof, or designate a different place of payment or person to whom payment is to be made. In the event of a call payable in installments, only one notice thereof need be given.</w:t>
      </w:r>
    </w:p>
    <w:p>
      <w:pPr>
        <w:spacing w:after="0" w:line="170" w:lineRule="exact"/>
        <w:rPr>
          <w:rFonts w:ascii="Arial" w:cs="Arial" w:eastAsia="Arial" w:hAnsi="Arial"/>
          <w:sz w:val="16"/>
          <w:szCs w:val="16"/>
          <w:color w:val="auto"/>
        </w:rPr>
      </w:pPr>
    </w:p>
    <w:p>
      <w:pPr>
        <w:jc w:val="both"/>
        <w:ind w:left="579" w:hanging="7"/>
        <w:spacing w:after="0" w:line="262" w:lineRule="auto"/>
        <w:tabs>
          <w:tab w:leader="none" w:pos="127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If pursuant to the terms of issuance of a share or otherwise, an amount is made payable at a fixed time (whether on account of such nominal value of such share or by way of premium), such amount shall be payable at such time as if it were payable by virtue of a call made by the Board of Directors and for which notice was given in accordance with paragraphs (a) and (b) of this Article 13, and the provision of these Articles with regard to calls (and the non-payment thereof) shall be applicable to such amount or such installment (and the non-payment thereof).</w:t>
      </w:r>
    </w:p>
    <w:p>
      <w:pPr>
        <w:spacing w:after="0" w:line="359" w:lineRule="exact"/>
        <w:rPr>
          <w:rFonts w:ascii="Arial" w:cs="Arial" w:eastAsia="Arial" w:hAnsi="Arial"/>
          <w:sz w:val="16"/>
          <w:szCs w:val="16"/>
          <w:color w:val="auto"/>
        </w:rPr>
      </w:pPr>
    </w:p>
    <w:p>
      <w:pPr>
        <w:ind w:left="5619" w:hanging="103"/>
        <w:spacing w:after="0"/>
        <w:tabs>
          <w:tab w:leader="none" w:pos="5619" w:val="left"/>
        </w:tabs>
        <w:numPr>
          <w:ilvl w:val="2"/>
          <w:numId w:val="200"/>
        </w:numPr>
        <w:rPr>
          <w:rFonts w:ascii="Arial" w:cs="Arial" w:eastAsia="Arial" w:hAnsi="Arial"/>
          <w:sz w:val="16"/>
          <w:szCs w:val="16"/>
          <w:color w:val="auto"/>
        </w:rPr>
      </w:pP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1" w:right="299" w:bottom="1440" w:gutter="0" w:footer="0" w:header="0"/>
        </w:sectPr>
      </w:pPr>
    </w:p>
    <w:bookmarkStart w:id="215" w:name="page216"/>
    <w:bookmarkEnd w:id="215"/>
    <w:p>
      <w:pPr>
        <w:ind w:left="1239" w:hanging="667"/>
        <w:spacing w:after="0"/>
        <w:tabs>
          <w:tab w:leader="none" w:pos="1239" w:val="left"/>
        </w:tabs>
        <w:numPr>
          <w:ilvl w:val="1"/>
          <w:numId w:val="201"/>
        </w:numPr>
        <w:rPr>
          <w:rFonts w:ascii="Arial" w:cs="Arial" w:eastAsia="Arial" w:hAnsi="Arial"/>
          <w:sz w:val="15"/>
          <w:szCs w:val="15"/>
          <w:color w:val="auto"/>
        </w:rPr>
      </w:pPr>
      <w:r>
        <w:rPr>
          <w:rFonts w:ascii="Arial" w:cs="Arial" w:eastAsia="Arial" w:hAnsi="Arial"/>
          <w:sz w:val="15"/>
          <w:szCs w:val="15"/>
          <w:color w:val="auto"/>
        </w:rPr>
        <w:t>Joint holders of a share shall be jointly and severally liable to pay all calls for payment in respect of such share and all interest payable thereon.</w:t>
      </w:r>
    </w:p>
    <w:p>
      <w:pPr>
        <w:spacing w:after="0" w:line="215" w:lineRule="exact"/>
        <w:rPr>
          <w:rFonts w:ascii="Arial" w:cs="Arial" w:eastAsia="Arial" w:hAnsi="Arial"/>
          <w:sz w:val="15"/>
          <w:szCs w:val="15"/>
          <w:color w:val="auto"/>
        </w:rPr>
      </w:pPr>
    </w:p>
    <w:p>
      <w:pPr>
        <w:jc w:val="both"/>
        <w:ind w:left="579" w:hanging="7"/>
        <w:spacing w:after="0" w:line="355" w:lineRule="auto"/>
        <w:tabs>
          <w:tab w:leader="none" w:pos="1304" w:val="left"/>
        </w:tabs>
        <w:numPr>
          <w:ilvl w:val="1"/>
          <w:numId w:val="201"/>
        </w:numPr>
        <w:rPr>
          <w:rFonts w:ascii="Arial" w:cs="Arial" w:eastAsia="Arial" w:hAnsi="Arial"/>
          <w:sz w:val="14"/>
          <w:szCs w:val="14"/>
          <w:color w:val="auto"/>
        </w:rPr>
      </w:pPr>
      <w:r>
        <w:rPr>
          <w:rFonts w:ascii="Arial" w:cs="Arial" w:eastAsia="Arial" w:hAnsi="Arial"/>
          <w:sz w:val="14"/>
          <w:szCs w:val="14"/>
          <w:color w:val="auto"/>
        </w:rPr>
        <w:t>Any amount called for payment which is not paid when due shall bear interest from the date fixed for payment until actual payment thereof, at such rate (not exceeding the then prevailing debitory rate charged by leading commercial banks in Israel), and payable at such time(s) as the Board of Directors may prescribe.</w:t>
      </w:r>
    </w:p>
    <w:p>
      <w:pPr>
        <w:spacing w:after="0" w:line="105" w:lineRule="exact"/>
        <w:rPr>
          <w:rFonts w:ascii="Arial" w:cs="Arial" w:eastAsia="Arial" w:hAnsi="Arial"/>
          <w:sz w:val="14"/>
          <w:szCs w:val="14"/>
          <w:color w:val="auto"/>
        </w:rPr>
      </w:pPr>
    </w:p>
    <w:p>
      <w:pPr>
        <w:ind w:left="579" w:hanging="7"/>
        <w:spacing w:after="0" w:line="281" w:lineRule="auto"/>
        <w:tabs>
          <w:tab w:leader="none" w:pos="123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Upon the issuance of shares, the Board of Directors may provide for differences among the holders of such shares as to the amounts and times for payment of calls for payment in respect of such shares.</w:t>
      </w:r>
    </w:p>
    <w:p>
      <w:pPr>
        <w:spacing w:after="0" w:line="146" w:lineRule="exact"/>
        <w:rPr>
          <w:rFonts w:ascii="Arial" w:cs="Arial" w:eastAsia="Arial" w:hAnsi="Arial"/>
          <w:sz w:val="16"/>
          <w:szCs w:val="16"/>
          <w:color w:val="auto"/>
        </w:rPr>
      </w:pPr>
    </w:p>
    <w:p>
      <w:pPr>
        <w:ind w:left="599" w:hanging="599"/>
        <w:spacing w:after="0"/>
        <w:tabs>
          <w:tab w:leader="none" w:pos="599" w:val="left"/>
        </w:tabs>
        <w:numPr>
          <w:ilvl w:val="0"/>
          <w:numId w:val="202"/>
        </w:numPr>
        <w:rPr>
          <w:rFonts w:ascii="Arial" w:cs="Arial" w:eastAsia="Arial" w:hAnsi="Arial"/>
          <w:sz w:val="16"/>
          <w:szCs w:val="16"/>
          <w:color w:val="auto"/>
        </w:rPr>
      </w:pP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REPAYMENT</w:t>
      </w:r>
      <w:r>
        <w:rPr>
          <w:rFonts w:ascii="Arial" w:cs="Arial" w:eastAsia="Arial" w:hAnsi="Arial"/>
          <w:sz w:val="16"/>
          <w:szCs w:val="16"/>
          <w:color w:val="auto"/>
        </w:rPr>
        <w:t>.</w:t>
      </w:r>
    </w:p>
    <w:p>
      <w:pPr>
        <w:spacing w:after="0" w:line="208" w:lineRule="exact"/>
        <w:rPr>
          <w:sz w:val="20"/>
          <w:szCs w:val="20"/>
          <w:color w:val="auto"/>
        </w:rPr>
      </w:pPr>
    </w:p>
    <w:p>
      <w:pPr>
        <w:jc w:val="both"/>
        <w:ind w:left="579"/>
        <w:spacing w:after="0" w:line="259" w:lineRule="auto"/>
        <w:rPr>
          <w:sz w:val="20"/>
          <w:szCs w:val="20"/>
          <w:color w:val="auto"/>
        </w:rPr>
      </w:pPr>
      <w:r>
        <w:rPr>
          <w:rFonts w:ascii="Arial" w:cs="Arial" w:eastAsia="Arial" w:hAnsi="Arial"/>
          <w:sz w:val="16"/>
          <w:szCs w:val="16"/>
          <w:color w:val="auto"/>
        </w:rPr>
        <w:t>With the approval of the Board of Directors, any shareholder may pay to the Company any amount not yet payable in respect of such shareholder’s shares, and the Board of Directors may approve the payment by the Company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14 shall derogate from the right of the Board of Directors to make any call for payment before or after receipt by the Company of any such advance.</w:t>
      </w:r>
    </w:p>
    <w:p>
      <w:pPr>
        <w:spacing w:after="0" w:line="166" w:lineRule="exact"/>
        <w:rPr>
          <w:sz w:val="20"/>
          <w:szCs w:val="20"/>
          <w:color w:val="auto"/>
        </w:rPr>
      </w:pPr>
    </w:p>
    <w:p>
      <w:pPr>
        <w:ind w:left="599" w:hanging="599"/>
        <w:spacing w:after="0"/>
        <w:tabs>
          <w:tab w:leader="none" w:pos="599" w:val="left"/>
        </w:tabs>
        <w:numPr>
          <w:ilvl w:val="0"/>
          <w:numId w:val="203"/>
        </w:numPr>
        <w:rPr>
          <w:rFonts w:ascii="Arial" w:cs="Arial" w:eastAsia="Arial" w:hAnsi="Arial"/>
          <w:sz w:val="16"/>
          <w:szCs w:val="16"/>
          <w:color w:val="auto"/>
        </w:rPr>
      </w:pPr>
      <w:r>
        <w:rPr>
          <w:rFonts w:ascii="Arial" w:cs="Arial" w:eastAsia="Arial" w:hAnsi="Arial"/>
          <w:sz w:val="16"/>
          <w:szCs w:val="16"/>
          <w:b w:val="1"/>
          <w:bCs w:val="1"/>
          <w:u w:val="single" w:color="auto"/>
          <w:color w:val="auto"/>
        </w:rPr>
        <w:t>F</w:t>
      </w:r>
      <w:r>
        <w:rPr>
          <w:rFonts w:ascii="Arial" w:cs="Arial" w:eastAsia="Arial" w:hAnsi="Arial"/>
          <w:sz w:val="10"/>
          <w:szCs w:val="10"/>
          <w:b w:val="1"/>
          <w:bCs w:val="1"/>
          <w:u w:val="single" w:color="auto"/>
          <w:color w:val="auto"/>
        </w:rPr>
        <w:t>ORFEITURE 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URRENDER</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79" w:hanging="7"/>
        <w:spacing w:after="0" w:line="305" w:lineRule="auto"/>
        <w:tabs>
          <w:tab w:leader="none" w:pos="124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If any shareholder fails to pay an amount payable by virtue of a call, installment or interest thereon as provided for in accordance herewith, on or before the day fixed for payment of the same, the Board of Directors, may at any time after the day fixed for such payment, so long as such amount (or any portion thereof) or interest thereon (or any portion thereof) remains unpaid, forfeit all or any of the shares in respect of which such payment was called for. All expenses incurred by the Company in attempting to collect any such amount or interest thereon, including, without limitation, attorneys' fees and costs of legal proceedings, shall be added to, and shall, for all purposes (including the accrual of interest thereon) constitute a part of, the amount payable to the Company in respect of such call.</w:t>
      </w:r>
    </w:p>
    <w:p>
      <w:pPr>
        <w:spacing w:after="0" w:line="139" w:lineRule="exact"/>
        <w:rPr>
          <w:rFonts w:ascii="Arial" w:cs="Arial" w:eastAsia="Arial" w:hAnsi="Arial"/>
          <w:sz w:val="14"/>
          <w:szCs w:val="14"/>
          <w:color w:val="auto"/>
        </w:rPr>
      </w:pPr>
    </w:p>
    <w:p>
      <w:pPr>
        <w:jc w:val="both"/>
        <w:ind w:left="579" w:hanging="7"/>
        <w:spacing w:after="0" w:line="259" w:lineRule="auto"/>
        <w:tabs>
          <w:tab w:leader="none" w:pos="1403" w:val="left"/>
        </w:tabs>
        <w:numPr>
          <w:ilvl w:val="1"/>
          <w:numId w:val="203"/>
        </w:numPr>
        <w:rPr>
          <w:rFonts w:ascii="Arial" w:cs="Arial" w:eastAsia="Arial" w:hAnsi="Arial"/>
          <w:sz w:val="16"/>
          <w:szCs w:val="16"/>
          <w:color w:val="auto"/>
        </w:rPr>
      </w:pPr>
      <w:r>
        <w:rPr>
          <w:rFonts w:ascii="Arial" w:cs="Arial" w:eastAsia="Arial" w:hAnsi="Arial"/>
          <w:sz w:val="16"/>
          <w:szCs w:val="16"/>
          <w:color w:val="auto"/>
        </w:rPr>
        <w:t>Upon the adoption of a resolution as to the forfeiture of a shareholder's share, the Board of Directors shall cause notice thereof to be given to such shareholder, which notice shall state that, in the event of the failure to pay the entire amount so payable by a date specified in the notice (which date shall be not less than fourteen (14) days after the date such notice is given and which may be extended by the Board of Directors), such shares shall be ipso facto forfeited, provided, however, that, prior to such date, the Board of Directors may cancel such resolution of forfeiture, but no such cancellation shall stop the Board of Directors from adopting a further resolution of forfeiture in respect of the non-payment of the same amount.</w:t>
      </w:r>
    </w:p>
    <w:p>
      <w:pPr>
        <w:spacing w:after="0" w:line="170" w:lineRule="exact"/>
        <w:rPr>
          <w:rFonts w:ascii="Arial" w:cs="Arial" w:eastAsia="Arial" w:hAnsi="Arial"/>
          <w:sz w:val="16"/>
          <w:szCs w:val="16"/>
          <w:color w:val="auto"/>
        </w:rPr>
      </w:pPr>
    </w:p>
    <w:p>
      <w:pPr>
        <w:ind w:left="579" w:hanging="7"/>
        <w:spacing w:after="0" w:line="281" w:lineRule="auto"/>
        <w:tabs>
          <w:tab w:leader="none" w:pos="1258" w:val="left"/>
        </w:tabs>
        <w:numPr>
          <w:ilvl w:val="1"/>
          <w:numId w:val="203"/>
        </w:numPr>
        <w:rPr>
          <w:rFonts w:ascii="Arial" w:cs="Arial" w:eastAsia="Arial" w:hAnsi="Arial"/>
          <w:sz w:val="16"/>
          <w:szCs w:val="16"/>
          <w:color w:val="auto"/>
        </w:rPr>
      </w:pPr>
      <w:r>
        <w:rPr>
          <w:rFonts w:ascii="Arial" w:cs="Arial" w:eastAsia="Arial" w:hAnsi="Arial"/>
          <w:sz w:val="16"/>
          <w:szCs w:val="16"/>
          <w:color w:val="auto"/>
        </w:rPr>
        <w:t>Without derogating from Articles 52 and 56 hereof, whenever shares are forfeited as herein provided, all dividends, if any, theretofore declared in respect thereof and not actually paid shall be deemed to have been forfeited at the same time.</w:t>
      </w:r>
    </w:p>
    <w:p>
      <w:pPr>
        <w:spacing w:after="0" w:line="150" w:lineRule="exact"/>
        <w:rPr>
          <w:rFonts w:ascii="Arial" w:cs="Arial" w:eastAsia="Arial" w:hAnsi="Arial"/>
          <w:sz w:val="16"/>
          <w:szCs w:val="16"/>
          <w:color w:val="auto"/>
        </w:rPr>
      </w:pPr>
    </w:p>
    <w:p>
      <w:pPr>
        <w:ind w:left="1199" w:hanging="627"/>
        <w:spacing w:after="0"/>
        <w:tabs>
          <w:tab w:leader="none" w:pos="1199"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Company, by resolution of the Board of Directors, may accept the voluntary surrender of any share.</w:t>
      </w:r>
    </w:p>
    <w:p>
      <w:pPr>
        <w:spacing w:after="0" w:line="203" w:lineRule="exact"/>
        <w:rPr>
          <w:rFonts w:ascii="Arial" w:cs="Arial" w:eastAsia="Arial" w:hAnsi="Arial"/>
          <w:sz w:val="16"/>
          <w:szCs w:val="16"/>
          <w:color w:val="auto"/>
        </w:rPr>
      </w:pPr>
    </w:p>
    <w:p>
      <w:pPr>
        <w:ind w:left="579" w:hanging="7"/>
        <w:spacing w:after="0" w:line="281" w:lineRule="auto"/>
        <w:tabs>
          <w:tab w:leader="none" w:pos="140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Any share forfeited or surrendered as provided herein, shall become the property of the Company as a dormant share, and the same, subject to the provisions of these Articles, may be sold, re-issued or otherwise disposed of as the Board of Directors deems fit.</w:t>
      </w:r>
    </w:p>
    <w:p>
      <w:pPr>
        <w:spacing w:after="0" w:line="344" w:lineRule="exact"/>
        <w:rPr>
          <w:rFonts w:ascii="Arial" w:cs="Arial" w:eastAsia="Arial" w:hAnsi="Arial"/>
          <w:sz w:val="16"/>
          <w:szCs w:val="16"/>
          <w:color w:val="auto"/>
        </w:rPr>
      </w:pPr>
    </w:p>
    <w:p>
      <w:pPr>
        <w:ind w:left="5619" w:hanging="103"/>
        <w:spacing w:after="0"/>
        <w:tabs>
          <w:tab w:leader="none" w:pos="5619" w:val="left"/>
        </w:tabs>
        <w:numPr>
          <w:ilvl w:val="2"/>
          <w:numId w:val="203"/>
        </w:numPr>
        <w:rPr>
          <w:rFonts w:ascii="Arial" w:cs="Arial" w:eastAsia="Arial" w:hAnsi="Arial"/>
          <w:sz w:val="16"/>
          <w:szCs w:val="16"/>
          <w:color w:val="auto"/>
        </w:rPr>
      </w:pPr>
      <w:r>
        <w:rPr>
          <w:rFonts w:ascii="Arial" w:cs="Arial" w:eastAsia="Arial" w:hAnsi="Arial"/>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5" w:right="299" w:bottom="1440" w:gutter="0" w:footer="0" w:header="0"/>
        </w:sectPr>
      </w:pPr>
    </w:p>
    <w:bookmarkStart w:id="216" w:name="page217"/>
    <w:bookmarkEnd w:id="216"/>
    <w:p>
      <w:pPr>
        <w:jc w:val="both"/>
        <w:ind w:left="580" w:hanging="7"/>
        <w:spacing w:after="0" w:line="302" w:lineRule="auto"/>
        <w:tabs>
          <w:tab w:leader="none" w:pos="1311" w:val="left"/>
        </w:tabs>
        <w:numPr>
          <w:ilvl w:val="1"/>
          <w:numId w:val="204"/>
        </w:numPr>
        <w:rPr>
          <w:rFonts w:ascii="Arial" w:cs="Arial" w:eastAsia="Arial" w:hAnsi="Arial"/>
          <w:sz w:val="14"/>
          <w:szCs w:val="14"/>
          <w:color w:val="auto"/>
        </w:rPr>
      </w:pPr>
      <w:r>
        <w:rPr>
          <w:rFonts w:ascii="Arial" w:cs="Arial" w:eastAsia="Arial" w:hAnsi="Arial"/>
          <w:sz w:val="14"/>
          <w:szCs w:val="14"/>
          <w:color w:val="auto"/>
        </w:rPr>
        <w:t>Any person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13(e) above, and the Board of Directors, in its discretion, may, but shall not be obligated to, enforce or collect the payment of such amounts, or any part thereof, as it shall deem fit. In the event of such forfeiture or surrender, the Company, by resolution of the Board of Directors, may accelerate the date(s) of payment of any or all amounts then owing to the Company by the person in question (but not yet due) in respect of all shares owned by such shareholder, solely or jointly with another.</w:t>
      </w:r>
    </w:p>
    <w:p>
      <w:pPr>
        <w:spacing w:after="0" w:line="141" w:lineRule="exact"/>
        <w:rPr>
          <w:rFonts w:ascii="Arial" w:cs="Arial" w:eastAsia="Arial" w:hAnsi="Arial"/>
          <w:sz w:val="14"/>
          <w:szCs w:val="14"/>
          <w:color w:val="auto"/>
        </w:rPr>
      </w:pPr>
    </w:p>
    <w:p>
      <w:pPr>
        <w:jc w:val="both"/>
        <w:ind w:left="580" w:hanging="7"/>
        <w:spacing w:after="0" w:line="267" w:lineRule="auto"/>
        <w:tabs>
          <w:tab w:leader="none" w:pos="1239"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Board of Directors may at any time, before any share so forfeited or surrendered shall have been sold, re-issued or otherwise disposed of, nullify the forfeiture or surrender on such conditions as it deems fit, but no such nullification shall stop the Board of Directors from re-exercising its powers of forfeiture pursuant to this Article 15.</w:t>
      </w:r>
    </w:p>
    <w:p>
      <w:pPr>
        <w:spacing w:after="0" w:line="157" w:lineRule="exact"/>
        <w:rPr>
          <w:rFonts w:ascii="Arial" w:cs="Arial" w:eastAsia="Arial" w:hAnsi="Arial"/>
          <w:sz w:val="16"/>
          <w:szCs w:val="16"/>
          <w:color w:val="auto"/>
        </w:rPr>
      </w:pPr>
    </w:p>
    <w:p>
      <w:pPr>
        <w:ind w:left="600" w:hanging="599"/>
        <w:spacing w:after="0"/>
        <w:tabs>
          <w:tab w:leader="none" w:pos="600" w:val="left"/>
        </w:tabs>
        <w:numPr>
          <w:ilvl w:val="0"/>
          <w:numId w:val="205"/>
        </w:numPr>
        <w:rPr>
          <w:rFonts w:ascii="Arial" w:cs="Arial" w:eastAsia="Arial" w:hAnsi="Arial"/>
          <w:sz w:val="16"/>
          <w:szCs w:val="16"/>
          <w:color w:val="auto"/>
        </w:rPr>
      </w:pPr>
      <w:r>
        <w:rPr>
          <w:rFonts w:ascii="Arial" w:cs="Arial" w:eastAsia="Arial" w:hAnsi="Arial"/>
          <w:sz w:val="16"/>
          <w:szCs w:val="16"/>
          <w:b w:val="1"/>
          <w:bCs w:val="1"/>
          <w:u w:val="single" w:color="auto"/>
          <w:color w:val="auto"/>
        </w:rPr>
        <w:t>L</w:t>
      </w:r>
      <w:r>
        <w:rPr>
          <w:rFonts w:ascii="Arial" w:cs="Arial" w:eastAsia="Arial" w:hAnsi="Arial"/>
          <w:sz w:val="10"/>
          <w:szCs w:val="10"/>
          <w:b w:val="1"/>
          <w:bCs w:val="1"/>
          <w:u w:val="single" w:color="auto"/>
          <w:color w:val="auto"/>
        </w:rPr>
        <w:t>IEN</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58" w:lineRule="auto"/>
        <w:tabs>
          <w:tab w:leader="none" w:pos="1176" w:val="left"/>
        </w:tabs>
        <w:numPr>
          <w:ilvl w:val="1"/>
          <w:numId w:val="205"/>
        </w:numPr>
        <w:rPr>
          <w:rFonts w:ascii="Arial" w:cs="Arial" w:eastAsia="Arial" w:hAnsi="Arial"/>
          <w:sz w:val="16"/>
          <w:szCs w:val="16"/>
          <w:color w:val="auto"/>
        </w:rPr>
      </w:pPr>
      <w:r>
        <w:rPr>
          <w:rFonts w:ascii="Arial" w:cs="Arial" w:eastAsia="Arial" w:hAnsi="Arial"/>
          <w:sz w:val="16"/>
          <w:szCs w:val="16"/>
          <w:color w:val="auto"/>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debts, liabilities and engagements to the Company arising from any amount payable by such shareholder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169" w:lineRule="exact"/>
        <w:rPr>
          <w:rFonts w:ascii="Arial" w:cs="Arial" w:eastAsia="Arial" w:hAnsi="Arial"/>
          <w:sz w:val="16"/>
          <w:szCs w:val="16"/>
          <w:color w:val="auto"/>
        </w:rPr>
      </w:pPr>
    </w:p>
    <w:p>
      <w:pPr>
        <w:jc w:val="both"/>
        <w:ind w:left="580" w:hanging="7"/>
        <w:spacing w:after="0" w:line="292" w:lineRule="auto"/>
        <w:tabs>
          <w:tab w:leader="none" w:pos="1264" w:val="left"/>
        </w:tabs>
        <w:numPr>
          <w:ilvl w:val="1"/>
          <w:numId w:val="205"/>
        </w:numPr>
        <w:rPr>
          <w:rFonts w:ascii="Arial" w:cs="Arial" w:eastAsia="Arial" w:hAnsi="Arial"/>
          <w:sz w:val="15"/>
          <w:szCs w:val="15"/>
          <w:color w:val="auto"/>
        </w:rPr>
      </w:pPr>
      <w:r>
        <w:rPr>
          <w:rFonts w:ascii="Arial" w:cs="Arial" w:eastAsia="Arial" w:hAnsi="Arial"/>
          <w:sz w:val="15"/>
          <w:szCs w:val="15"/>
          <w:color w:val="auto"/>
        </w:rPr>
        <w:t>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shareholder, his executors or administrators.</w:t>
      </w:r>
    </w:p>
    <w:p>
      <w:pPr>
        <w:spacing w:after="0" w:line="145" w:lineRule="exact"/>
        <w:rPr>
          <w:rFonts w:ascii="Arial" w:cs="Arial" w:eastAsia="Arial" w:hAnsi="Arial"/>
          <w:sz w:val="15"/>
          <w:szCs w:val="15"/>
          <w:color w:val="auto"/>
        </w:rPr>
      </w:pPr>
    </w:p>
    <w:p>
      <w:pPr>
        <w:jc w:val="both"/>
        <w:ind w:left="580" w:hanging="7"/>
        <w:spacing w:after="0" w:line="267" w:lineRule="auto"/>
        <w:tabs>
          <w:tab w:leader="none" w:pos="1157"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net proceeds of any such sale, after payment of the costs and expenses thereof or ancillary thereto, shall be applied in or toward satisfaction of the debts, liabilities or engagements of such shareholder in respect of such share (whether or not the same have matured), and the residue (if any) shall be paid to the shareholder, his executors, administrators or assigns.</w:t>
      </w:r>
    </w:p>
    <w:p>
      <w:pPr>
        <w:spacing w:after="0" w:line="157" w:lineRule="exact"/>
        <w:rPr>
          <w:rFonts w:ascii="Arial" w:cs="Arial" w:eastAsia="Arial" w:hAnsi="Arial"/>
          <w:sz w:val="16"/>
          <w:szCs w:val="16"/>
          <w:color w:val="auto"/>
        </w:rPr>
      </w:pPr>
    </w:p>
    <w:p>
      <w:pPr>
        <w:ind w:left="600" w:hanging="599"/>
        <w:spacing w:after="0"/>
        <w:tabs>
          <w:tab w:leader="none" w:pos="600" w:val="left"/>
        </w:tabs>
        <w:numPr>
          <w:ilvl w:val="0"/>
          <w:numId w:val="205"/>
        </w:numPr>
        <w:rPr>
          <w:rFonts w:ascii="Arial" w:cs="Arial" w:eastAsia="Arial" w:hAnsi="Arial"/>
          <w:sz w:val="16"/>
          <w:szCs w:val="16"/>
          <w:color w:val="auto"/>
        </w:rPr>
      </w:pP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ALE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FTER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w:t>
      </w:r>
      <w:r>
        <w:rPr>
          <w:rFonts w:ascii="Arial" w:cs="Arial" w:eastAsia="Arial" w:hAnsi="Arial"/>
          <w:sz w:val="10"/>
          <w:szCs w:val="10"/>
          <w:b w:val="1"/>
          <w:bCs w:val="1"/>
          <w:u w:val="single" w:color="auto"/>
          <w:color w:val="auto"/>
        </w:rPr>
        <w:t>ORFEITURE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URRENDER OR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0"/>
          <w:szCs w:val="10"/>
          <w:b w:val="1"/>
          <w:bCs w:val="1"/>
          <w:u w:val="single" w:color="auto"/>
          <w:color w:val="auto"/>
        </w:rPr>
        <w:t>NFORCEMENT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w:t>
      </w:r>
      <w:r>
        <w:rPr>
          <w:rFonts w:ascii="Arial" w:cs="Arial" w:eastAsia="Arial" w:hAnsi="Arial"/>
          <w:sz w:val="10"/>
          <w:szCs w:val="10"/>
          <w:b w:val="1"/>
          <w:bCs w:val="1"/>
          <w:u w:val="single" w:color="auto"/>
          <w:color w:val="auto"/>
        </w:rPr>
        <w:t>IEN</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Upon any sale of a share after forfeiture or surrender or for enforcing a lien, the Board of Directors may appoint any person to execute an instrument of transfer of the share so sold and cause the purchaser's name to be entered in the Register of Shareholders in respect of such share. The purchaser shall be registered as the shareholder and shall not be bound to see to the regularity of the sale proceedings, or to the application of the proceeds of such sale, and after his name has been entered in the Register of Shareholders in respect of such share, the validity of the sale shall not be impeached by any person, and person, and the remedy of any person aggrieved by the sale shall be in damages only and against the Company exclusively.</w:t>
      </w:r>
    </w:p>
    <w:p>
      <w:pPr>
        <w:spacing w:after="0" w:line="166" w:lineRule="exact"/>
        <w:rPr>
          <w:sz w:val="20"/>
          <w:szCs w:val="20"/>
          <w:color w:val="auto"/>
        </w:rPr>
      </w:pPr>
    </w:p>
    <w:p>
      <w:pPr>
        <w:ind w:left="600" w:hanging="599"/>
        <w:spacing w:after="0"/>
        <w:tabs>
          <w:tab w:leader="none" w:pos="600" w:val="left"/>
        </w:tabs>
        <w:numPr>
          <w:ilvl w:val="0"/>
          <w:numId w:val="206"/>
        </w:numPr>
        <w:rPr>
          <w:rFonts w:ascii="Arial" w:cs="Arial" w:eastAsia="Arial" w:hAnsi="Arial"/>
          <w:sz w:val="16"/>
          <w:szCs w:val="16"/>
          <w:color w:val="auto"/>
        </w:rPr>
      </w:pP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EDEEMABLE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HARES</w:t>
      </w:r>
      <w:r>
        <w:rPr>
          <w:rFonts w:ascii="Arial" w:cs="Arial" w:eastAsia="Arial" w:hAnsi="Arial"/>
          <w:sz w:val="16"/>
          <w:szCs w:val="16"/>
          <w:color w:val="auto"/>
        </w:rPr>
        <w:t>.</w:t>
      </w:r>
    </w:p>
    <w:p>
      <w:pPr>
        <w:spacing w:after="0" w:line="208" w:lineRule="exact"/>
        <w:rPr>
          <w:sz w:val="20"/>
          <w:szCs w:val="20"/>
          <w:color w:val="auto"/>
        </w:rPr>
      </w:pPr>
    </w:p>
    <w:p>
      <w:pPr>
        <w:ind w:left="580"/>
        <w:spacing w:after="0" w:line="281" w:lineRule="auto"/>
        <w:rPr>
          <w:sz w:val="20"/>
          <w:szCs w:val="20"/>
          <w:color w:val="auto"/>
        </w:rPr>
      </w:pPr>
      <w:r>
        <w:rPr>
          <w:rFonts w:ascii="Arial" w:cs="Arial" w:eastAsia="Arial" w:hAnsi="Arial"/>
          <w:sz w:val="16"/>
          <w:szCs w:val="16"/>
          <w:color w:val="auto"/>
        </w:rPr>
        <w:t>The Company may, subject to applicable law, issue redeemable shares or other securities and redeem the same upon terms and conditions to be set forth in a written agreement between the Company and the holder of such shares or in their terms of issuance.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RANSFER OF</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HARES</w:t>
      </w:r>
    </w:p>
    <w:p>
      <w:pPr>
        <w:spacing w:after="0" w:line="204" w:lineRule="exact"/>
        <w:rPr>
          <w:sz w:val="20"/>
          <w:szCs w:val="20"/>
          <w:color w:val="auto"/>
        </w:rPr>
      </w:pPr>
    </w:p>
    <w:p>
      <w:pPr>
        <w:ind w:left="600" w:hanging="599"/>
        <w:spacing w:after="0"/>
        <w:tabs>
          <w:tab w:leader="none" w:pos="600" w:val="left"/>
        </w:tabs>
        <w:numPr>
          <w:ilvl w:val="0"/>
          <w:numId w:val="207"/>
        </w:numPr>
        <w:rPr>
          <w:rFonts w:ascii="Arial" w:cs="Arial" w:eastAsia="Arial" w:hAnsi="Arial"/>
          <w:sz w:val="16"/>
          <w:szCs w:val="16"/>
          <w:color w:val="auto"/>
        </w:rPr>
      </w:pP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EGISTRATION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w:t>
      </w:r>
      <w:r>
        <w:rPr>
          <w:rFonts w:ascii="Arial" w:cs="Arial" w:eastAsia="Arial" w:hAnsi="Arial"/>
          <w:sz w:val="10"/>
          <w:szCs w:val="10"/>
          <w:b w:val="1"/>
          <w:bCs w:val="1"/>
          <w:u w:val="single" w:color="auto"/>
          <w:color w:val="auto"/>
        </w:rPr>
        <w:t>RANSFER</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85" w:lineRule="auto"/>
        <w:rPr>
          <w:sz w:val="20"/>
          <w:szCs w:val="20"/>
          <w:color w:val="auto"/>
        </w:rPr>
      </w:pPr>
      <w:r>
        <w:rPr>
          <w:rFonts w:ascii="Arial" w:cs="Arial" w:eastAsia="Arial" w:hAnsi="Arial"/>
          <w:sz w:val="15"/>
          <w:szCs w:val="15"/>
          <w:color w:val="auto"/>
        </w:rPr>
        <w:t>No transfer of shares shall be registered unless a proper writing or instrument of transfer (in any customary form or any other form satisfactory to the Board of Directors) has been submitted to the Company (or its transfer agent), together with any share certificate(s) and such other evidence of title as the Board of Directors may reasonably require. Until the transferee has been registered in the Register of Shareholders in respect of the shares so transferred, the Company may continue to regard the transferor as the owner thereof. The Board of Directors, may, from time to time, prescribe a fee for the registration of a transfer.</w:t>
      </w:r>
    </w:p>
    <w:p>
      <w:pPr>
        <w:spacing w:after="0" w:line="146" w:lineRule="exact"/>
        <w:rPr>
          <w:sz w:val="20"/>
          <w:szCs w:val="20"/>
          <w:color w:val="auto"/>
        </w:rPr>
      </w:pPr>
    </w:p>
    <w:p>
      <w:pPr>
        <w:ind w:left="600" w:hanging="599"/>
        <w:spacing w:after="0"/>
        <w:tabs>
          <w:tab w:leader="none" w:pos="600" w:val="left"/>
        </w:tabs>
        <w:numPr>
          <w:ilvl w:val="0"/>
          <w:numId w:val="208"/>
        </w:numPr>
        <w:rPr>
          <w:rFonts w:ascii="Arial" w:cs="Arial" w:eastAsia="Arial" w:hAnsi="Arial"/>
          <w:sz w:val="16"/>
          <w:szCs w:val="16"/>
          <w:color w:val="auto"/>
        </w:rPr>
      </w:pP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USPENSION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EGISTRATION</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The Board of Directors may, in its discretion to the extent it deems necessary, close the Register of Shareholders of registration of transfers of shares for a period determined by the Board of Directors, and no registrations of transfers of shares shall be made by the Company during any such period during which the Register of Shareholders is so closed.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RANSMISSION OF</w:t>
      </w:r>
      <w:r>
        <w:rPr>
          <w:rFonts w:ascii="Arial" w:cs="Arial" w:eastAsia="Arial" w:hAnsi="Arial"/>
          <w:sz w:val="16"/>
          <w:szCs w:val="16"/>
          <w:b w:val="1"/>
          <w:bCs w:val="1"/>
          <w:color w:val="auto"/>
        </w:rPr>
        <w:t xml:space="preserve"> S</w:t>
      </w:r>
      <w:r>
        <w:rPr>
          <w:rFonts w:ascii="Arial" w:cs="Arial" w:eastAsia="Arial" w:hAnsi="Arial"/>
          <w:sz w:val="10"/>
          <w:szCs w:val="10"/>
          <w:b w:val="1"/>
          <w:bCs w:val="1"/>
          <w:color w:val="auto"/>
        </w:rPr>
        <w:t>HARES</w:t>
      </w:r>
    </w:p>
    <w:p>
      <w:pPr>
        <w:spacing w:after="0" w:line="204" w:lineRule="exact"/>
        <w:rPr>
          <w:sz w:val="20"/>
          <w:szCs w:val="20"/>
          <w:color w:val="auto"/>
        </w:rPr>
      </w:pPr>
    </w:p>
    <w:p>
      <w:pPr>
        <w:ind w:left="600" w:hanging="599"/>
        <w:spacing w:after="0"/>
        <w:tabs>
          <w:tab w:leader="none" w:pos="600" w:val="left"/>
        </w:tabs>
        <w:numPr>
          <w:ilvl w:val="0"/>
          <w:numId w:val="209"/>
        </w:numPr>
        <w:rPr>
          <w:rFonts w:ascii="Arial" w:cs="Arial" w:eastAsia="Arial" w:hAnsi="Arial"/>
          <w:sz w:val="16"/>
          <w:szCs w:val="16"/>
          <w:color w:val="auto"/>
        </w:rPr>
      </w:pP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ECEDENTS</w:t>
      </w:r>
      <w:r>
        <w:rPr>
          <w:rFonts w:ascii="Arial" w:cs="Arial" w:eastAsia="Arial" w:hAnsi="Arial"/>
          <w:sz w:val="16"/>
          <w:szCs w:val="16"/>
          <w:b w:val="1"/>
          <w:bCs w:val="1"/>
          <w:u w:val="single" w:color="auto"/>
          <w:color w:val="auto"/>
        </w:rPr>
        <w:t>’ S</w:t>
      </w:r>
      <w:r>
        <w:rPr>
          <w:rFonts w:ascii="Arial" w:cs="Arial" w:eastAsia="Arial" w:hAnsi="Arial"/>
          <w:sz w:val="10"/>
          <w:szCs w:val="10"/>
          <w:b w:val="1"/>
          <w:bCs w:val="1"/>
          <w:u w:val="single" w:color="auto"/>
          <w:color w:val="auto"/>
        </w:rPr>
        <w:t>HARES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580" w:hanging="7"/>
        <w:spacing w:after="0" w:line="281" w:lineRule="auto"/>
        <w:tabs>
          <w:tab w:leader="none" w:pos="1232" w:val="left"/>
        </w:tabs>
        <w:numPr>
          <w:ilvl w:val="1"/>
          <w:numId w:val="209"/>
        </w:numPr>
        <w:rPr>
          <w:rFonts w:ascii="Arial" w:cs="Arial" w:eastAsia="Arial" w:hAnsi="Arial"/>
          <w:sz w:val="16"/>
          <w:szCs w:val="16"/>
          <w:color w:val="auto"/>
        </w:rPr>
      </w:pPr>
      <w:r>
        <w:rPr>
          <w:rFonts w:ascii="Arial" w:cs="Arial" w:eastAsia="Arial" w:hAnsi="Arial"/>
          <w:sz w:val="16"/>
          <w:szCs w:val="16"/>
          <w:color w:val="auto"/>
        </w:rPr>
        <w:t>In case of a share registered in the names of two or more holders, the Company may recognize the survivor(s) as the sole owner(s) thereof unless and until the provisions of Article 21(b) have been effectively invoked.</w:t>
      </w:r>
    </w:p>
    <w:p>
      <w:pPr>
        <w:spacing w:after="0" w:line="150" w:lineRule="exact"/>
        <w:rPr>
          <w:rFonts w:ascii="Arial" w:cs="Arial" w:eastAsia="Arial" w:hAnsi="Arial"/>
          <w:sz w:val="16"/>
          <w:szCs w:val="16"/>
          <w:color w:val="auto"/>
        </w:rPr>
      </w:pPr>
    </w:p>
    <w:p>
      <w:pPr>
        <w:jc w:val="both"/>
        <w:ind w:left="580" w:hanging="7"/>
        <w:spacing w:after="0" w:line="262" w:lineRule="auto"/>
        <w:tabs>
          <w:tab w:leader="none" w:pos="1382"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of any person, upon producing evidence of the grant of probate or letters of administration or declaration of succession (or such other evidence as the Board of Directors may reasonably deem sufficient (or to an officer of the Company to be designated by the Chief Executive Officer)), shall be registered as a shareholder in respect of such share, or may, subject to the provisions as to transfer contained herein, transfer such share.</w:t>
      </w:r>
    </w:p>
    <w:p>
      <w:pPr>
        <w:spacing w:after="0" w:line="161" w:lineRule="exact"/>
        <w:rPr>
          <w:rFonts w:ascii="Arial" w:cs="Arial" w:eastAsia="Arial" w:hAnsi="Arial"/>
          <w:sz w:val="16"/>
          <w:szCs w:val="16"/>
          <w:color w:val="auto"/>
        </w:rPr>
      </w:pPr>
    </w:p>
    <w:p>
      <w:pPr>
        <w:ind w:left="600" w:hanging="599"/>
        <w:spacing w:after="0"/>
        <w:tabs>
          <w:tab w:leader="none" w:pos="600" w:val="left"/>
        </w:tabs>
        <w:numPr>
          <w:ilvl w:val="0"/>
          <w:numId w:val="209"/>
        </w:numPr>
        <w:rPr>
          <w:rFonts w:ascii="Arial" w:cs="Arial" w:eastAsia="Arial" w:hAnsi="Arial"/>
          <w:sz w:val="16"/>
          <w:szCs w:val="16"/>
          <w:color w:val="auto"/>
        </w:rPr>
      </w:pP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ECEIVERS 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L</w:t>
      </w:r>
      <w:r>
        <w:rPr>
          <w:rFonts w:ascii="Arial" w:cs="Arial" w:eastAsia="Arial" w:hAnsi="Arial"/>
          <w:sz w:val="10"/>
          <w:szCs w:val="10"/>
          <w:b w:val="1"/>
          <w:bCs w:val="1"/>
          <w:u w:val="single" w:color="auto"/>
          <w:color w:val="auto"/>
        </w:rPr>
        <w:t>IQUIDATORS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67" w:lineRule="auto"/>
        <w:tabs>
          <w:tab w:leader="none" w:pos="117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Company may recognize any receiver, liquidator or similar official appointed to wind-up, dissolve or otherwise liquidate a corporate shareholder, and a trustee, manager, receiver, liquidator or similar official appointed in bankruptcy or in connection with the reorganization of, or similar proceeding with respect to a shareholder or its properties, as being entitled to the shares registered in the name of such shareholder.</w:t>
      </w:r>
    </w:p>
    <w:p>
      <w:pPr>
        <w:spacing w:after="0" w:line="161" w:lineRule="exact"/>
        <w:rPr>
          <w:rFonts w:ascii="Arial" w:cs="Arial" w:eastAsia="Arial" w:hAnsi="Arial"/>
          <w:sz w:val="16"/>
          <w:szCs w:val="16"/>
          <w:color w:val="auto"/>
        </w:rPr>
      </w:pPr>
    </w:p>
    <w:p>
      <w:pPr>
        <w:jc w:val="both"/>
        <w:ind w:left="580" w:hanging="7"/>
        <w:spacing w:after="0" w:line="305" w:lineRule="auto"/>
        <w:tabs>
          <w:tab w:leader="none" w:pos="1162" w:val="left"/>
        </w:tabs>
        <w:numPr>
          <w:ilvl w:val="1"/>
          <w:numId w:val="209"/>
        </w:numPr>
        <w:rPr>
          <w:rFonts w:ascii="Arial" w:cs="Arial" w:eastAsia="Arial" w:hAnsi="Arial"/>
          <w:sz w:val="14"/>
          <w:szCs w:val="14"/>
          <w:color w:val="auto"/>
        </w:rPr>
      </w:pPr>
      <w:r>
        <w:rPr>
          <w:rFonts w:ascii="Arial" w:cs="Arial" w:eastAsia="Arial" w:hAnsi="Arial"/>
          <w:sz w:val="14"/>
          <w:szCs w:val="14"/>
          <w:color w:val="auto"/>
        </w:rPr>
        <w:t>Such receiver, liquidator or similar official appointed to wind-up, dissolve or otherwise liquidate a corporate shareholder and such trustee, manager, receiver, liquidator or similar official appointed in bankruptcy or in connection with the reorganization of, or similar proceedings with respect to a shareholder or its properties, upon producing such evidence as the Board of Directors (or an officer of the Company to be designated by the Chief Executive Officer) may deem sufficient as to his authority to act in such capacity or under this Article, shall with the consent of the Board of Directors (which the Board of Directors may grant or refuse in its absolute discretion), be registered as a shareholder in respect of such shares, or may, subject to the regulations as to transfer herein contained, transfer such shares.</w:t>
      </w:r>
    </w:p>
    <w:p>
      <w:pPr>
        <w:spacing w:after="0" w:line="136"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G</w:t>
      </w:r>
      <w:r>
        <w:rPr>
          <w:rFonts w:ascii="Arial" w:cs="Arial" w:eastAsia="Arial" w:hAnsi="Arial"/>
          <w:sz w:val="10"/>
          <w:szCs w:val="10"/>
          <w:b w:val="1"/>
          <w:bCs w:val="1"/>
          <w:color w:val="auto"/>
        </w:rPr>
        <w:t>ENERAL</w:t>
      </w:r>
      <w:r>
        <w:rPr>
          <w:rFonts w:ascii="Arial" w:cs="Arial" w:eastAsia="Arial" w:hAnsi="Arial"/>
          <w:sz w:val="16"/>
          <w:szCs w:val="16"/>
          <w:b w:val="1"/>
          <w:bCs w:val="1"/>
          <w:color w:val="auto"/>
        </w:rPr>
        <w:t xml:space="preserve"> M</w:t>
      </w:r>
      <w:r>
        <w:rPr>
          <w:rFonts w:ascii="Arial" w:cs="Arial" w:eastAsia="Arial" w:hAnsi="Arial"/>
          <w:sz w:val="10"/>
          <w:szCs w:val="10"/>
          <w:b w:val="1"/>
          <w:bCs w:val="1"/>
          <w:color w:val="auto"/>
        </w:rPr>
        <w:t>EETINGS</w:t>
      </w:r>
    </w:p>
    <w:p>
      <w:pPr>
        <w:spacing w:after="0" w:line="204" w:lineRule="exact"/>
        <w:rPr>
          <w:sz w:val="20"/>
          <w:szCs w:val="20"/>
          <w:color w:val="auto"/>
        </w:rPr>
      </w:pPr>
    </w:p>
    <w:p>
      <w:pPr>
        <w:ind w:left="600" w:hanging="599"/>
        <w:spacing w:after="0"/>
        <w:tabs>
          <w:tab w:leader="none" w:pos="600" w:val="left"/>
        </w:tabs>
        <w:numPr>
          <w:ilvl w:val="0"/>
          <w:numId w:val="210"/>
        </w:numPr>
        <w:rPr>
          <w:rFonts w:ascii="Arial" w:cs="Arial" w:eastAsia="Arial" w:hAnsi="Arial"/>
          <w:sz w:val="16"/>
          <w:szCs w:val="16"/>
          <w:color w:val="auto"/>
        </w:rPr>
      </w:pPr>
      <w:r>
        <w:rPr>
          <w:rFonts w:ascii="Arial" w:cs="Arial" w:eastAsia="Arial" w:hAnsi="Arial"/>
          <w:sz w:val="16"/>
          <w:szCs w:val="16"/>
          <w:b w:val="1"/>
          <w:bCs w:val="1"/>
          <w:u w:val="single" w:color="auto"/>
          <w:color w:val="auto"/>
        </w:rPr>
        <w:t>G</w:t>
      </w:r>
      <w:r>
        <w:rPr>
          <w:rFonts w:ascii="Arial" w:cs="Arial" w:eastAsia="Arial" w:hAnsi="Arial"/>
          <w:sz w:val="10"/>
          <w:szCs w:val="10"/>
          <w:b w:val="1"/>
          <w:bCs w:val="1"/>
          <w:u w:val="single" w:color="auto"/>
          <w:color w:val="auto"/>
        </w:rPr>
        <w:t>ENERAL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w:t>
      </w:r>
      <w:r>
        <w:rPr>
          <w:rFonts w:ascii="Arial" w:cs="Arial" w:eastAsia="Arial" w:hAnsi="Arial"/>
          <w:sz w:val="10"/>
          <w:szCs w:val="10"/>
          <w:b w:val="1"/>
          <w:bCs w:val="1"/>
          <w:u w:val="single" w:color="auto"/>
          <w:color w:val="auto"/>
        </w:rPr>
        <w:t>EETINGS</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left="580" w:hanging="7"/>
        <w:spacing w:after="0" w:line="286" w:lineRule="auto"/>
        <w:tabs>
          <w:tab w:leader="none" w:pos="1179"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An annual General Meeting (“</w:t>
      </w:r>
      <w:r>
        <w:rPr>
          <w:rFonts w:ascii="Arial" w:cs="Arial" w:eastAsia="Arial" w:hAnsi="Arial"/>
          <w:sz w:val="16"/>
          <w:szCs w:val="16"/>
          <w:b w:val="1"/>
          <w:bCs w:val="1"/>
          <w:color w:val="auto"/>
        </w:rPr>
        <w:t>Annual General Meeting</w:t>
      </w:r>
      <w:r>
        <w:rPr>
          <w:rFonts w:ascii="Arial" w:cs="Arial" w:eastAsia="Arial" w:hAnsi="Arial"/>
          <w:sz w:val="16"/>
          <w:szCs w:val="16"/>
          <w:color w:val="auto"/>
        </w:rPr>
        <w:t>”) shall be held at such time and at such place, either within or out of the State of Israel, as may be determined by the Board of Directors.</w:t>
      </w:r>
    </w:p>
    <w:p>
      <w:pPr>
        <w:spacing w:after="0" w:line="142" w:lineRule="exact"/>
        <w:rPr>
          <w:rFonts w:ascii="Arial" w:cs="Arial" w:eastAsia="Arial" w:hAnsi="Arial"/>
          <w:sz w:val="16"/>
          <w:szCs w:val="16"/>
          <w:color w:val="auto"/>
        </w:rPr>
      </w:pPr>
    </w:p>
    <w:p>
      <w:pPr>
        <w:ind w:left="1160" w:hanging="587"/>
        <w:spacing w:after="0"/>
        <w:tabs>
          <w:tab w:leader="none" w:pos="116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All General Meetings other than Annual General Meetings shall be called "</w:t>
      </w:r>
      <w:r>
        <w:rPr>
          <w:rFonts w:ascii="Arial" w:cs="Arial" w:eastAsia="Arial" w:hAnsi="Arial"/>
          <w:sz w:val="16"/>
          <w:szCs w:val="16"/>
          <w:b w:val="1"/>
          <w:bCs w:val="1"/>
          <w:color w:val="auto"/>
        </w:rPr>
        <w:t>Special General Meetings</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left="600" w:hanging="599"/>
        <w:spacing w:after="0"/>
        <w:tabs>
          <w:tab w:leader="none" w:pos="600" w:val="left"/>
        </w:tabs>
        <w:numPr>
          <w:ilvl w:val="0"/>
          <w:numId w:val="210"/>
        </w:numPr>
        <w:rPr>
          <w:rFonts w:ascii="Arial" w:cs="Arial" w:eastAsia="Arial" w:hAnsi="Arial"/>
          <w:sz w:val="16"/>
          <w:szCs w:val="16"/>
          <w:color w:val="auto"/>
        </w:rPr>
      </w:pP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ECORD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ATE FOR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w:t>
      </w:r>
      <w:r>
        <w:rPr>
          <w:rFonts w:ascii="Arial" w:cs="Arial" w:eastAsia="Arial" w:hAnsi="Arial"/>
          <w:sz w:val="10"/>
          <w:szCs w:val="10"/>
          <w:b w:val="1"/>
          <w:bCs w:val="1"/>
          <w:u w:val="single" w:color="auto"/>
          <w:color w:val="auto"/>
        </w:rPr>
        <w:t>ENERAL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w:t>
      </w:r>
      <w:r>
        <w:rPr>
          <w:rFonts w:ascii="Arial" w:cs="Arial" w:eastAsia="Arial" w:hAnsi="Arial"/>
          <w:sz w:val="10"/>
          <w:szCs w:val="10"/>
          <w:b w:val="1"/>
          <w:bCs w:val="1"/>
          <w:u w:val="single" w:color="auto"/>
          <w:color w:val="auto"/>
        </w:rPr>
        <w:t>EETING</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81" w:lineRule="auto"/>
        <w:rPr>
          <w:sz w:val="20"/>
          <w:szCs w:val="20"/>
          <w:color w:val="auto"/>
        </w:rPr>
      </w:pPr>
      <w:r>
        <w:rPr>
          <w:rFonts w:ascii="Arial" w:cs="Arial" w:eastAsia="Arial" w:hAnsi="Arial"/>
          <w:sz w:val="15"/>
          <w:szCs w:val="15"/>
          <w:color w:val="auto"/>
        </w:rPr>
        <w:t>Notwithstanding any provision of these Articles to the contrary, and to allow the Company to determine the shareholders entitled to notice of or to vote at any General Meeting or any adjournment thereof, or entitled to receive payment of any dividend or other distribution or grant of any rights, or entitled to exercise any rights in respect of or to take or be the subject of any other action, the Board of Directors may fix a record date, which shall not be more than the maximum period and not less than the minimum period permitted by law. A determination of shareholders of record entitled to notice of or to vote at a meeting shall apply to any adjournment of the meeting; provided, however, that the Board of Directors may fix a new record date for the adjourned meeting.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218" w:name="page219"/>
    <w:bookmarkEnd w:id="218"/>
    <w:p>
      <w:pPr>
        <w:ind w:left="599" w:hanging="599"/>
        <w:spacing w:after="0"/>
        <w:tabs>
          <w:tab w:leader="none" w:pos="599" w:val="left"/>
        </w:tabs>
        <w:numPr>
          <w:ilvl w:val="0"/>
          <w:numId w:val="211"/>
        </w:numPr>
        <w:rPr>
          <w:rFonts w:ascii="Arial" w:cs="Arial" w:eastAsia="Arial" w:hAnsi="Arial"/>
          <w:sz w:val="16"/>
          <w:szCs w:val="16"/>
          <w:color w:val="auto"/>
        </w:rPr>
      </w:pP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HAREHOLDER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ROPOSAL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EQUEST</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left="579" w:hanging="7"/>
        <w:spacing w:after="0" w:line="291" w:lineRule="auto"/>
        <w:tabs>
          <w:tab w:leader="none" w:pos="1174" w:val="left"/>
        </w:tabs>
        <w:numPr>
          <w:ilvl w:val="1"/>
          <w:numId w:val="211"/>
        </w:numPr>
        <w:rPr>
          <w:rFonts w:ascii="Arial" w:cs="Arial" w:eastAsia="Arial" w:hAnsi="Arial"/>
          <w:sz w:val="14"/>
          <w:szCs w:val="14"/>
          <w:color w:val="auto"/>
        </w:rPr>
      </w:pPr>
      <w:r>
        <w:rPr>
          <w:rFonts w:ascii="Arial" w:cs="Arial" w:eastAsia="Arial" w:hAnsi="Arial"/>
          <w:sz w:val="14"/>
          <w:szCs w:val="14"/>
          <w:color w:val="auto"/>
        </w:rPr>
        <w:t>Any Shareholder or Shareholders of the Company holding at least one percent (1%) of the voting rights of the Company (the “</w:t>
      </w:r>
      <w:r>
        <w:rPr>
          <w:rFonts w:ascii="Arial" w:cs="Arial" w:eastAsia="Arial" w:hAnsi="Arial"/>
          <w:sz w:val="14"/>
          <w:szCs w:val="14"/>
          <w:b w:val="1"/>
          <w:bCs w:val="1"/>
          <w:color w:val="auto"/>
        </w:rPr>
        <w:t>Proposing Shareholder(s)</w:t>
      </w:r>
      <w:r>
        <w:rPr>
          <w:rFonts w:ascii="Arial" w:cs="Arial" w:eastAsia="Arial" w:hAnsi="Arial"/>
          <w:sz w:val="14"/>
          <w:szCs w:val="14"/>
          <w:color w:val="auto"/>
        </w:rPr>
        <w:t>”) may request, subject to the Companies Law, that the Board of Directors include a matter on the agenda of a General Meeting to be held in the future, provided that the Board determines that the matter is appropriate to be considered in a General Meeting (a “</w:t>
      </w:r>
      <w:r>
        <w:rPr>
          <w:rFonts w:ascii="Arial" w:cs="Arial" w:eastAsia="Arial" w:hAnsi="Arial"/>
          <w:sz w:val="14"/>
          <w:szCs w:val="14"/>
          <w:b w:val="1"/>
          <w:bCs w:val="1"/>
          <w:color w:val="auto"/>
        </w:rPr>
        <w:t>Proposal Request</w:t>
      </w:r>
      <w:r>
        <w:rPr>
          <w:rFonts w:ascii="Arial" w:cs="Arial" w:eastAsia="Arial" w:hAnsi="Arial"/>
          <w:sz w:val="14"/>
          <w:szCs w:val="14"/>
          <w:color w:val="auto"/>
        </w:rPr>
        <w:t>”). In order for the Board of Directors to consider a Proposal Request and whether to include the matter stated therein in the agenda of a General Meeting, notice of the Proposal Request must be timely delivered in accordance with applicable laws, and the Proposal Request must comply with the requirement of these Articles (including this Article 25) and any applicable law and stock exchange rules and regulations. The Proposal Request must be in writing, signed by all of the Proposing Shareholder(s) making such request, delivered, either in person or by certified mail, postage prepaid, and received by the Secretary (or, in the absence thereof by the Chief Executive Officer of the Company). To be considered timely, a Proposal Request must be received within the time periods prescribed by applicable law. The announcement of an adjournment or postponement of a General Meeting shall not commence a new time period (or extend any time period) for the delivery of a Proposal Request as described above. In addition to any information required to be included in accordance with applicable law, the Proposal Request must include the following: (i) the name, address, telephone number, fax number and email address of the Proposing Shareholder (or each Proposing Shareholder, as the case may be) and, if an entity, the name(s) of the person(s) that controls or manages such entity; (ii) the number of Shares held by the Proposing Shareholder(s), directly or indirectly (and, if any of such Shares are held indirectly, an explanation of how they are held and by whom), which shall be in such number no less than as is required to qualify as a Proposing Shareholder, accompanied by evidence satisfactory to the Company of the record holding of such Shares by the Proposing Shareholder(s) as of the date of the Proposal Request, and a representation that the Proposing Shareholder(s) intends to appear in person or by proxy at the meeting;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and, if the Proposing Shareholder wishes to have a position statement in support of the Proposal Request, a copy of such position statement that complies with the requirement of any applicable law (if any), (iv) a description of all arrangements or 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 (vi) 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w:t>
      </w:r>
    </w:p>
    <w:p>
      <w:pPr>
        <w:spacing w:after="0" w:line="200" w:lineRule="exact"/>
        <w:rPr>
          <w:rFonts w:ascii="Arial" w:cs="Arial" w:eastAsia="Arial" w:hAnsi="Arial"/>
          <w:sz w:val="14"/>
          <w:szCs w:val="14"/>
          <w:color w:val="auto"/>
        </w:rPr>
      </w:pPr>
    </w:p>
    <w:p>
      <w:pPr>
        <w:spacing w:after="0" w:line="350" w:lineRule="exact"/>
        <w:rPr>
          <w:rFonts w:ascii="Arial" w:cs="Arial" w:eastAsia="Arial" w:hAnsi="Arial"/>
          <w:sz w:val="14"/>
          <w:szCs w:val="14"/>
          <w:color w:val="auto"/>
        </w:rPr>
      </w:pPr>
    </w:p>
    <w:p>
      <w:pPr>
        <w:ind w:left="5619" w:hanging="103"/>
        <w:spacing w:after="0"/>
        <w:tabs>
          <w:tab w:leader="none" w:pos="5619" w:val="left"/>
        </w:tabs>
        <w:numPr>
          <w:ilvl w:val="2"/>
          <w:numId w:val="211"/>
        </w:numPr>
        <w:rPr>
          <w:rFonts w:ascii="Arial" w:cs="Arial" w:eastAsia="Arial" w:hAnsi="Arial"/>
          <w:sz w:val="16"/>
          <w:szCs w:val="16"/>
          <w:color w:val="auto"/>
        </w:rPr>
      </w:pPr>
      <w:r>
        <w:rPr>
          <w:rFonts w:ascii="Arial" w:cs="Arial" w:eastAsia="Arial" w:hAnsi="Arial"/>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1" w:right="299" w:bottom="1440" w:gutter="0" w:footer="0" w:header="0"/>
        </w:sectPr>
      </w:pPr>
    </w:p>
    <w:bookmarkStart w:id="219" w:name="page220"/>
    <w:bookmarkEnd w:id="219"/>
    <w:p>
      <w:pPr>
        <w:jc w:val="both"/>
        <w:ind w:left="580"/>
        <w:spacing w:after="0" w:line="275" w:lineRule="auto"/>
        <w:rPr>
          <w:sz w:val="20"/>
          <w:szCs w:val="20"/>
          <w:color w:val="auto"/>
        </w:rPr>
      </w:pPr>
      <w:r>
        <w:rPr>
          <w:rFonts w:ascii="Arial" w:cs="Arial" w:eastAsia="Arial" w:hAnsi="Arial"/>
          <w:sz w:val="15"/>
          <w:szCs w:val="15"/>
          <w:color w:val="auto"/>
        </w:rPr>
        <w:t>A “</w:t>
      </w:r>
      <w:r>
        <w:rPr>
          <w:rFonts w:ascii="Arial" w:cs="Arial" w:eastAsia="Arial" w:hAnsi="Arial"/>
          <w:sz w:val="15"/>
          <w:szCs w:val="15"/>
          <w:b w:val="1"/>
          <w:bCs w:val="1"/>
          <w:color w:val="auto"/>
        </w:rPr>
        <w:t>Derivative Transaction</w:t>
      </w:r>
      <w:r>
        <w:rPr>
          <w:rFonts w:ascii="Arial" w:cs="Arial" w:eastAsia="Arial" w:hAnsi="Arial"/>
          <w:sz w:val="15"/>
          <w:szCs w:val="15"/>
          <w:color w:val="auto"/>
        </w:rPr>
        <w:t>” means any agreement, arrangement, interest or understanding entered into by, or on behalf or for the benefit of, any Proposing Shareholder or any of its affiliates or associates, whether of record or beneficial: (1) the value of which is derived in whole or in part from the value of any class or series of shares or other securities of the Company, (2) which otherwise provides any direct or indirect opportunity to gain or share in any gain derived from a change in the value of securities of the Company, (3) the effect or intent of which is to mitigate loss, manage risk or benefit of security value or price changes, or (4)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 any general or limited partnership, or any limited liability company, of which such Proposing Shareholder is, directly or indirectly, a general partner or managing member.</w:t>
      </w:r>
    </w:p>
    <w:p>
      <w:pPr>
        <w:spacing w:after="0" w:line="159" w:lineRule="exact"/>
        <w:rPr>
          <w:sz w:val="20"/>
          <w:szCs w:val="20"/>
          <w:color w:val="auto"/>
        </w:rPr>
      </w:pPr>
    </w:p>
    <w:p>
      <w:pPr>
        <w:ind w:left="580" w:hanging="7"/>
        <w:spacing w:after="0" w:line="281" w:lineRule="auto"/>
        <w:tabs>
          <w:tab w:leader="none" w:pos="1179"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information required pursuant to this Article shall be updated as of (i) the record date of the General Meeting, (ii) five business days before the General Meeting, and (iii) as of the General Meeting, and any adjournment or postponement thereof.</w:t>
      </w:r>
    </w:p>
    <w:p>
      <w:pPr>
        <w:spacing w:after="0" w:line="146" w:lineRule="exact"/>
        <w:rPr>
          <w:rFonts w:ascii="Arial" w:cs="Arial" w:eastAsia="Arial" w:hAnsi="Arial"/>
          <w:sz w:val="16"/>
          <w:szCs w:val="16"/>
          <w:color w:val="auto"/>
        </w:rPr>
      </w:pPr>
    </w:p>
    <w:p>
      <w:pPr>
        <w:ind w:left="600" w:hanging="599"/>
        <w:spacing w:after="0"/>
        <w:tabs>
          <w:tab w:leader="none" w:pos="600" w:val="left"/>
        </w:tabs>
        <w:numPr>
          <w:ilvl w:val="0"/>
          <w:numId w:val="213"/>
        </w:numPr>
        <w:rPr>
          <w:rFonts w:ascii="Arial" w:cs="Arial" w:eastAsia="Arial" w:hAnsi="Arial"/>
          <w:sz w:val="16"/>
          <w:szCs w:val="16"/>
          <w:color w:val="auto"/>
        </w:rPr>
      </w:pPr>
      <w:r>
        <w:rPr>
          <w:rFonts w:ascii="Arial" w:cs="Arial" w:eastAsia="Arial" w:hAnsi="Arial"/>
          <w:sz w:val="16"/>
          <w:szCs w:val="16"/>
          <w:b w:val="1"/>
          <w:bCs w:val="1"/>
          <w:u w:val="single" w:color="auto"/>
          <w:color w:val="auto"/>
        </w:rPr>
        <w:t>N</w:t>
      </w:r>
      <w:r>
        <w:rPr>
          <w:rFonts w:ascii="Arial" w:cs="Arial" w:eastAsia="Arial" w:hAnsi="Arial"/>
          <w:sz w:val="10"/>
          <w:szCs w:val="10"/>
          <w:b w:val="1"/>
          <w:bCs w:val="1"/>
          <w:u w:val="single" w:color="auto"/>
          <w:color w:val="auto"/>
        </w:rPr>
        <w:t>OTICE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w:t>
      </w:r>
      <w:r>
        <w:rPr>
          <w:rFonts w:ascii="Arial" w:cs="Arial" w:eastAsia="Arial" w:hAnsi="Arial"/>
          <w:sz w:val="10"/>
          <w:szCs w:val="10"/>
          <w:b w:val="1"/>
          <w:bCs w:val="1"/>
          <w:u w:val="single" w:color="auto"/>
          <w:color w:val="auto"/>
        </w:rPr>
        <w:t>ENERAL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w:t>
      </w:r>
      <w:r>
        <w:rPr>
          <w:rFonts w:ascii="Arial" w:cs="Arial" w:eastAsia="Arial" w:hAnsi="Arial"/>
          <w:sz w:val="10"/>
          <w:szCs w:val="10"/>
          <w:b w:val="1"/>
          <w:bCs w:val="1"/>
          <w:u w:val="single" w:color="auto"/>
          <w:color w:val="auto"/>
        </w:rPr>
        <w:t>EETINGS</w:t>
      </w:r>
      <w:r>
        <w:rPr>
          <w:rFonts w:ascii="Arial" w:cs="Arial" w:eastAsia="Arial" w:hAnsi="Arial"/>
          <w:sz w:val="16"/>
          <w:szCs w:val="16"/>
          <w:b w:val="1"/>
          <w:bCs w:val="1"/>
          <w:u w:val="single" w:color="auto"/>
          <w:color w:val="auto"/>
        </w:rPr>
        <w:t>; O</w:t>
      </w:r>
      <w:r>
        <w:rPr>
          <w:rFonts w:ascii="Arial" w:cs="Arial" w:eastAsia="Arial" w:hAnsi="Arial"/>
          <w:sz w:val="10"/>
          <w:szCs w:val="10"/>
          <w:b w:val="1"/>
          <w:bCs w:val="1"/>
          <w:u w:val="single" w:color="auto"/>
          <w:color w:val="auto"/>
        </w:rPr>
        <w:t>MISSION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w:t>
      </w:r>
      <w:r>
        <w:rPr>
          <w:rFonts w:ascii="Arial" w:cs="Arial" w:eastAsia="Arial" w:hAnsi="Arial"/>
          <w:sz w:val="10"/>
          <w:szCs w:val="10"/>
          <w:b w:val="1"/>
          <w:bCs w:val="1"/>
          <w:u w:val="single" w:color="auto"/>
          <w:color w:val="auto"/>
        </w:rPr>
        <w:t>IVE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w:t>
      </w:r>
      <w:r>
        <w:rPr>
          <w:rFonts w:ascii="Arial" w:cs="Arial" w:eastAsia="Arial" w:hAnsi="Arial"/>
          <w:sz w:val="10"/>
          <w:szCs w:val="10"/>
          <w:b w:val="1"/>
          <w:bCs w:val="1"/>
          <w:u w:val="single" w:color="auto"/>
          <w:color w:val="auto"/>
        </w:rPr>
        <w:t>OTICE</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67" w:lineRule="auto"/>
        <w:tabs>
          <w:tab w:leader="none" w:pos="1245"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The Company is not required to give notice of a General Meeting, subject to any mandatory provision of the Companies Law. Notwithstanding anything herein to the contrary, to the extent permitted under the Companies Law, with the consent of all Shareholders entitled to vote thereon, a resolution may be proposed and passed at such meeting although a lesser notice period than hereinabove prescribed has been given.</w:t>
      </w:r>
    </w:p>
    <w:p>
      <w:pPr>
        <w:spacing w:after="0" w:line="161" w:lineRule="exact"/>
        <w:rPr>
          <w:rFonts w:ascii="Arial" w:cs="Arial" w:eastAsia="Arial" w:hAnsi="Arial"/>
          <w:sz w:val="16"/>
          <w:szCs w:val="16"/>
          <w:color w:val="auto"/>
        </w:rPr>
      </w:pPr>
    </w:p>
    <w:p>
      <w:pPr>
        <w:ind w:left="580" w:hanging="7"/>
        <w:spacing w:after="0" w:line="281" w:lineRule="auto"/>
        <w:tabs>
          <w:tab w:leader="none" w:pos="1223"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The accidental omission to give notice of a General Meeting to any Shareholder, or the non-receipt of notice sent to such Shareholder, shall not invalidate the proceedings at such meeting or any resolution adopted thereat.</w:t>
      </w:r>
    </w:p>
    <w:p>
      <w:pPr>
        <w:spacing w:after="0" w:line="150" w:lineRule="exact"/>
        <w:rPr>
          <w:rFonts w:ascii="Arial" w:cs="Arial" w:eastAsia="Arial" w:hAnsi="Arial"/>
          <w:sz w:val="16"/>
          <w:szCs w:val="16"/>
          <w:color w:val="auto"/>
        </w:rPr>
      </w:pPr>
    </w:p>
    <w:p>
      <w:pPr>
        <w:jc w:val="both"/>
        <w:ind w:left="580" w:hanging="7"/>
        <w:spacing w:after="0" w:line="267" w:lineRule="auto"/>
        <w:tabs>
          <w:tab w:leader="none" w:pos="1367" w:val="left"/>
        </w:tabs>
        <w:numPr>
          <w:ilvl w:val="1"/>
          <w:numId w:val="213"/>
        </w:numPr>
        <w:rPr>
          <w:rFonts w:ascii="Arial" w:cs="Arial" w:eastAsia="Arial" w:hAnsi="Arial"/>
          <w:sz w:val="16"/>
          <w:szCs w:val="16"/>
          <w:color w:val="auto"/>
        </w:rPr>
      </w:pPr>
      <w:r>
        <w:rPr>
          <w:rFonts w:ascii="Arial" w:cs="Arial" w:eastAsia="Arial" w:hAnsi="Arial"/>
          <w:sz w:val="16"/>
          <w:szCs w:val="16"/>
          <w:color w:val="auto"/>
        </w:rPr>
        <w:t>No Shareholder present, in person or by proxy, at any time during a General Meeting shall be entitled to seek the cancellation or invalidation of any proceedings or resolutions adopted at such General Meeting on account of any defect in the notice of such meeting relating to the time or the place thereof, or any item acted upon at such meeting.</w:t>
      </w:r>
    </w:p>
    <w:p>
      <w:pPr>
        <w:spacing w:after="0" w:line="161" w:lineRule="exact"/>
        <w:rPr>
          <w:rFonts w:ascii="Arial" w:cs="Arial" w:eastAsia="Arial" w:hAnsi="Arial"/>
          <w:sz w:val="16"/>
          <w:szCs w:val="16"/>
          <w:color w:val="auto"/>
        </w:rPr>
      </w:pPr>
    </w:p>
    <w:p>
      <w:pPr>
        <w:ind w:left="580" w:hanging="7"/>
        <w:spacing w:after="0" w:line="281" w:lineRule="auto"/>
        <w:tabs>
          <w:tab w:leader="none" w:pos="1209"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The Company may add additional places for Shareholders to review the full text of the proposed resolutions to be adopted at a General Meeting, including an internet site.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ROCEEDINGS AT</w:t>
      </w:r>
      <w:r>
        <w:rPr>
          <w:rFonts w:ascii="Arial" w:cs="Arial" w:eastAsia="Arial" w:hAnsi="Arial"/>
          <w:sz w:val="16"/>
          <w:szCs w:val="16"/>
          <w:b w:val="1"/>
          <w:bCs w:val="1"/>
          <w:color w:val="auto"/>
        </w:rPr>
        <w:t xml:space="preserve"> G</w:t>
      </w:r>
      <w:r>
        <w:rPr>
          <w:rFonts w:ascii="Arial" w:cs="Arial" w:eastAsia="Arial" w:hAnsi="Arial"/>
          <w:sz w:val="10"/>
          <w:szCs w:val="10"/>
          <w:b w:val="1"/>
          <w:bCs w:val="1"/>
          <w:color w:val="auto"/>
        </w:rPr>
        <w:t>ENERAL</w:t>
      </w:r>
      <w:r>
        <w:rPr>
          <w:rFonts w:ascii="Arial" w:cs="Arial" w:eastAsia="Arial" w:hAnsi="Arial"/>
          <w:sz w:val="16"/>
          <w:szCs w:val="16"/>
          <w:b w:val="1"/>
          <w:bCs w:val="1"/>
          <w:color w:val="auto"/>
        </w:rPr>
        <w:t xml:space="preserve"> M</w:t>
      </w:r>
      <w:r>
        <w:rPr>
          <w:rFonts w:ascii="Arial" w:cs="Arial" w:eastAsia="Arial" w:hAnsi="Arial"/>
          <w:sz w:val="10"/>
          <w:szCs w:val="10"/>
          <w:b w:val="1"/>
          <w:bCs w:val="1"/>
          <w:color w:val="auto"/>
        </w:rPr>
        <w:t>EETINGS</w:t>
      </w:r>
    </w:p>
    <w:p>
      <w:pPr>
        <w:spacing w:after="0" w:line="204" w:lineRule="exact"/>
        <w:rPr>
          <w:sz w:val="20"/>
          <w:szCs w:val="20"/>
          <w:color w:val="auto"/>
        </w:rPr>
      </w:pPr>
    </w:p>
    <w:p>
      <w:pPr>
        <w:ind w:left="600" w:hanging="599"/>
        <w:spacing w:after="0"/>
        <w:tabs>
          <w:tab w:leader="none" w:pos="600" w:val="left"/>
        </w:tabs>
        <w:numPr>
          <w:ilvl w:val="0"/>
          <w:numId w:val="214"/>
        </w:numPr>
        <w:rPr>
          <w:rFonts w:ascii="Arial" w:cs="Arial" w:eastAsia="Arial" w:hAnsi="Arial"/>
          <w:sz w:val="16"/>
          <w:szCs w:val="16"/>
          <w:color w:val="auto"/>
        </w:rPr>
      </w:pPr>
      <w:r>
        <w:rPr>
          <w:rFonts w:ascii="Arial" w:cs="Arial" w:eastAsia="Arial" w:hAnsi="Arial"/>
          <w:sz w:val="16"/>
          <w:szCs w:val="16"/>
          <w:b w:val="1"/>
          <w:bCs w:val="1"/>
          <w:u w:val="single" w:color="auto"/>
          <w:color w:val="auto"/>
        </w:rPr>
        <w:t>Q</w:t>
      </w:r>
      <w:r>
        <w:rPr>
          <w:rFonts w:ascii="Arial" w:cs="Arial" w:eastAsia="Arial" w:hAnsi="Arial"/>
          <w:sz w:val="10"/>
          <w:szCs w:val="10"/>
          <w:b w:val="1"/>
          <w:bCs w:val="1"/>
          <w:u w:val="single" w:color="auto"/>
          <w:color w:val="auto"/>
        </w:rPr>
        <w:t>UORUM</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580" w:hanging="7"/>
        <w:spacing w:after="0" w:line="281" w:lineRule="auto"/>
        <w:tabs>
          <w:tab w:leader="none" w:pos="1323" w:val="left"/>
        </w:tabs>
        <w:numPr>
          <w:ilvl w:val="1"/>
          <w:numId w:val="214"/>
        </w:numPr>
        <w:rPr>
          <w:rFonts w:ascii="Arial" w:cs="Arial" w:eastAsia="Arial" w:hAnsi="Arial"/>
          <w:sz w:val="16"/>
          <w:szCs w:val="16"/>
          <w:color w:val="auto"/>
        </w:rPr>
      </w:pPr>
      <w:r>
        <w:rPr>
          <w:rFonts w:ascii="Arial" w:cs="Arial" w:eastAsia="Arial" w:hAnsi="Arial"/>
          <w:sz w:val="16"/>
          <w:szCs w:val="16"/>
          <w:color w:val="auto"/>
        </w:rPr>
        <w:t>No business shall be transacted at a General Meeting, or at any adjournment thereof, unless the quorum required under these Articles for such General Meeting or such adjourned meeting, as the case may be, is present when the meeting proceeds to business.</w:t>
      </w:r>
    </w:p>
    <w:p>
      <w:pPr>
        <w:spacing w:after="0" w:line="150" w:lineRule="exact"/>
        <w:rPr>
          <w:rFonts w:ascii="Arial" w:cs="Arial" w:eastAsia="Arial" w:hAnsi="Arial"/>
          <w:sz w:val="16"/>
          <w:szCs w:val="16"/>
          <w:color w:val="auto"/>
        </w:rPr>
      </w:pPr>
    </w:p>
    <w:p>
      <w:pPr>
        <w:jc w:val="both"/>
        <w:ind w:left="580" w:hanging="7"/>
        <w:spacing w:after="0" w:line="322" w:lineRule="auto"/>
        <w:tabs>
          <w:tab w:leader="none" w:pos="1289" w:val="left"/>
        </w:tabs>
        <w:numPr>
          <w:ilvl w:val="1"/>
          <w:numId w:val="214"/>
        </w:numPr>
        <w:rPr>
          <w:rFonts w:ascii="Arial" w:cs="Arial" w:eastAsia="Arial" w:hAnsi="Arial"/>
          <w:sz w:val="14"/>
          <w:szCs w:val="14"/>
          <w:color w:val="auto"/>
        </w:rPr>
      </w:pPr>
      <w:r>
        <w:rPr>
          <w:rFonts w:ascii="Arial" w:cs="Arial" w:eastAsia="Arial" w:hAnsi="Arial"/>
          <w:sz w:val="14"/>
          <w:szCs w:val="14"/>
          <w:color w:val="auto"/>
        </w:rPr>
        <w:t>In the absence of contrary provisions in these Articles, two or more shareholders (not in default in payment of any sum referred to in Article 13 hereof), present in person or by proxy and holding shares conferring in the aggregate at least twenty-five percent (25%) of the voting power of the Company, shall constitute a quorum of General Meetings. A proxy may be deemed to be two (2) or more Shareholders pursuant to the number of Shareholders represented by the proxy holder.</w:t>
      </w:r>
    </w:p>
    <w:p>
      <w:pPr>
        <w:spacing w:after="0" w:line="127" w:lineRule="exact"/>
        <w:rPr>
          <w:rFonts w:ascii="Arial" w:cs="Arial" w:eastAsia="Arial" w:hAnsi="Arial"/>
          <w:sz w:val="14"/>
          <w:szCs w:val="14"/>
          <w:color w:val="auto"/>
        </w:rPr>
      </w:pPr>
    </w:p>
    <w:p>
      <w:pPr>
        <w:ind w:left="1200" w:hanging="627"/>
        <w:spacing w:after="0"/>
        <w:tabs>
          <w:tab w:leader="none" w:pos="1200" w:val="left"/>
        </w:tabs>
        <w:numPr>
          <w:ilvl w:val="1"/>
          <w:numId w:val="214"/>
        </w:numPr>
        <w:rPr>
          <w:rFonts w:ascii="Arial" w:cs="Arial" w:eastAsia="Arial" w:hAnsi="Arial"/>
          <w:sz w:val="14"/>
          <w:szCs w:val="14"/>
          <w:color w:val="auto"/>
        </w:rPr>
      </w:pPr>
      <w:r>
        <w:rPr>
          <w:rFonts w:ascii="Arial" w:cs="Arial" w:eastAsia="Arial" w:hAnsi="Arial"/>
          <w:sz w:val="14"/>
          <w:szCs w:val="14"/>
          <w:color w:val="auto"/>
        </w:rPr>
        <w:t>If within half an hour from the time appointed for the meeting a quorum is not present, then without any further notice the meeting shall be adjourned either</w:t>
      </w:r>
    </w:p>
    <w:p>
      <w:pPr>
        <w:spacing w:after="0" w:line="44" w:lineRule="exact"/>
        <w:rPr>
          <w:rFonts w:ascii="Arial" w:cs="Arial" w:eastAsia="Arial" w:hAnsi="Arial"/>
          <w:sz w:val="14"/>
          <w:szCs w:val="14"/>
          <w:color w:val="auto"/>
        </w:rPr>
      </w:pPr>
    </w:p>
    <w:p>
      <w:pPr>
        <w:jc w:val="both"/>
        <w:ind w:left="580" w:firstLine="3"/>
        <w:spacing w:after="0" w:line="255" w:lineRule="auto"/>
        <w:tabs>
          <w:tab w:leader="none" w:pos="77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to the same day in the next week, at the same time and place, (ii) to such day and at such time and place as indicated in the notice to such meeting, or (iii) to such day and at such time and place as the Chairman of the General Meeting shall determine (which may be earlier or later than the date pursuant to clause (i) above). No business shall be transacted at any adjourned meeting except business which might lawfully have been transacted at the meeting as originally called. At such adjourned meeting, if the original meeting was convened upon requisition under Section 63 of the Companies Law, one or more shareholders, present in person or by proxy, and holding the number of shares required for making such requisition, shall constitute a quorum, but in any other case any shareholder (not in default as aforesaid) present in person or by proxy, shall constitute a quorum.</w:t>
      </w:r>
    </w:p>
    <w:p>
      <w:pPr>
        <w:spacing w:after="0" w:line="365" w:lineRule="exact"/>
        <w:rPr>
          <w:rFonts w:ascii="Arial" w:cs="Arial" w:eastAsia="Arial" w:hAnsi="Arial"/>
          <w:sz w:val="16"/>
          <w:szCs w:val="16"/>
          <w:color w:val="auto"/>
        </w:rPr>
      </w:pPr>
    </w:p>
    <w:p>
      <w:pPr>
        <w:ind w:left="5580" w:hanging="103"/>
        <w:spacing w:after="0"/>
        <w:tabs>
          <w:tab w:leader="none" w:pos="5580" w:val="left"/>
        </w:tabs>
        <w:numPr>
          <w:ilvl w:val="2"/>
          <w:numId w:val="215"/>
        </w:numPr>
        <w:rPr>
          <w:rFonts w:ascii="Arial" w:cs="Arial" w:eastAsia="Arial" w:hAnsi="Arial"/>
          <w:sz w:val="16"/>
          <w:szCs w:val="16"/>
          <w:color w:val="auto"/>
        </w:rPr>
      </w:pPr>
      <w:r>
        <w:rPr>
          <w:rFonts w:ascii="Arial" w:cs="Arial" w:eastAsia="Arial" w:hAnsi="Arial"/>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20" w:name="page221"/>
    <w:bookmarkEnd w:id="220"/>
    <w:p>
      <w:pPr>
        <w:ind w:left="599" w:hanging="599"/>
        <w:spacing w:after="0"/>
        <w:tabs>
          <w:tab w:leader="none" w:pos="599" w:val="left"/>
        </w:tabs>
        <w:numPr>
          <w:ilvl w:val="0"/>
          <w:numId w:val="216"/>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HAIRMAN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w:t>
      </w:r>
      <w:r>
        <w:rPr>
          <w:rFonts w:ascii="Arial" w:cs="Arial" w:eastAsia="Arial" w:hAnsi="Arial"/>
          <w:sz w:val="10"/>
          <w:szCs w:val="10"/>
          <w:b w:val="1"/>
          <w:bCs w:val="1"/>
          <w:u w:val="single" w:color="auto"/>
          <w:color w:val="auto"/>
        </w:rPr>
        <w:t>ENERAL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w:t>
      </w:r>
      <w:r>
        <w:rPr>
          <w:rFonts w:ascii="Arial" w:cs="Arial" w:eastAsia="Arial" w:hAnsi="Arial"/>
          <w:sz w:val="10"/>
          <w:szCs w:val="10"/>
          <w:b w:val="1"/>
          <w:bCs w:val="1"/>
          <w:u w:val="single" w:color="auto"/>
          <w:color w:val="auto"/>
        </w:rPr>
        <w:t>EETING</w:t>
      </w:r>
      <w:r>
        <w:rPr>
          <w:rFonts w:ascii="Arial" w:cs="Arial" w:eastAsia="Arial" w:hAnsi="Arial"/>
          <w:sz w:val="16"/>
          <w:szCs w:val="16"/>
          <w:color w:val="auto"/>
        </w:rPr>
        <w:t>.</w:t>
      </w:r>
    </w:p>
    <w:p>
      <w:pPr>
        <w:spacing w:after="0" w:line="208" w:lineRule="exact"/>
        <w:rPr>
          <w:sz w:val="20"/>
          <w:szCs w:val="20"/>
          <w:color w:val="auto"/>
        </w:rPr>
      </w:pPr>
    </w:p>
    <w:p>
      <w:pPr>
        <w:jc w:val="both"/>
        <w:ind w:left="579"/>
        <w:spacing w:after="0" w:line="257" w:lineRule="auto"/>
        <w:rPr>
          <w:sz w:val="20"/>
          <w:szCs w:val="20"/>
          <w:color w:val="auto"/>
        </w:rPr>
      </w:pPr>
      <w:r>
        <w:rPr>
          <w:rFonts w:ascii="Arial" w:cs="Arial" w:eastAsia="Arial" w:hAnsi="Arial"/>
          <w:sz w:val="16"/>
          <w:szCs w:val="16"/>
          <w:color w:val="auto"/>
        </w:rPr>
        <w:t>The Chairman of the Board of Directors, shall preside as Chairman of every General Meeting of the Company. If at any meeting the Chairman is not present within fifteen (15) minutes after the time fixed for holding the meeting or is unwilling to act as Chairman, any of the following may preside as Chairman of the meeting (and in the following order): Director, Chief Executive Officer, Chief Financial Officer, Secretary or any person designated by any of the foregoing. If at any such meeting none of the foregoing persons is present or all are unwilling to act as Chairman, the Shareholders present (in person or by proxy) shall choose a Shareholder or its proxy present at the meeting to be Chairman. The office of Chairman shall not, by itself, entitle the holder thereof to vote at any General Meeting nor shall it entitle such holder to a second or casting vote (without derogating, however, from the rights of such Chairman to vote as a shareholder or proxy of a shareholder if, in fact, he is also a shareholder or such proxy).</w:t>
      </w:r>
    </w:p>
    <w:p>
      <w:pPr>
        <w:spacing w:after="0" w:line="167" w:lineRule="exact"/>
        <w:rPr>
          <w:sz w:val="20"/>
          <w:szCs w:val="20"/>
          <w:color w:val="auto"/>
        </w:rPr>
      </w:pPr>
    </w:p>
    <w:p>
      <w:pPr>
        <w:ind w:left="599" w:hanging="599"/>
        <w:spacing w:after="0"/>
        <w:tabs>
          <w:tab w:leader="none" w:pos="599" w:val="left"/>
        </w:tabs>
        <w:numPr>
          <w:ilvl w:val="0"/>
          <w:numId w:val="217"/>
        </w:numPr>
        <w:rPr>
          <w:rFonts w:ascii="Arial" w:cs="Arial" w:eastAsia="Arial" w:hAnsi="Arial"/>
          <w:sz w:val="16"/>
          <w:szCs w:val="16"/>
          <w:color w:val="auto"/>
        </w:rPr>
      </w:pP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DOPTION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ESOLUTIONS AT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w:t>
      </w:r>
      <w:r>
        <w:rPr>
          <w:rFonts w:ascii="Arial" w:cs="Arial" w:eastAsia="Arial" w:hAnsi="Arial"/>
          <w:sz w:val="10"/>
          <w:szCs w:val="10"/>
          <w:b w:val="1"/>
          <w:bCs w:val="1"/>
          <w:u w:val="single" w:color="auto"/>
          <w:color w:val="auto"/>
        </w:rPr>
        <w:t>ENERAL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w:t>
      </w:r>
      <w:r>
        <w:rPr>
          <w:rFonts w:ascii="Arial" w:cs="Arial" w:eastAsia="Arial" w:hAnsi="Arial"/>
          <w:sz w:val="10"/>
          <w:szCs w:val="10"/>
          <w:b w:val="1"/>
          <w:bCs w:val="1"/>
          <w:u w:val="single" w:color="auto"/>
          <w:color w:val="auto"/>
        </w:rPr>
        <w:t>EETINGS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79" w:hanging="7"/>
        <w:spacing w:after="0" w:line="257" w:lineRule="auto"/>
        <w:tabs>
          <w:tab w:leader="none" w:pos="1152"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Except as required by the Companies Law or these Articles, including, without limitation, Article 39 below, a resolution of the Shareholders shall be adopted if approved by the holders of a simple majority of the voting power represented at the General Meeting in person or by proxy and voting thereon, as one class, and disregarding abstentions from the count of the voting power present and voting. Without limiting the generality of the foregoing, a resolution with respect to a matter or action for which the Companies Law prescribes a higher majority or pursuant to which a provision requiring a higher majority would have been deemed to have been incorporated into these Articles, but resolutions with respect to which the Companies Law allows the Company's Articles to provide otherwise, shall be adopted by a simple majority of the voting power represented at the General Meeting in person or by proxy and voting thereon, as one class, and disregarding abstentions from the count of the voting power present and voting.</w:t>
      </w:r>
    </w:p>
    <w:p>
      <w:pPr>
        <w:spacing w:after="0" w:line="171" w:lineRule="exact"/>
        <w:rPr>
          <w:rFonts w:ascii="Arial" w:cs="Arial" w:eastAsia="Arial" w:hAnsi="Arial"/>
          <w:sz w:val="16"/>
          <w:szCs w:val="16"/>
          <w:color w:val="auto"/>
        </w:rPr>
      </w:pPr>
    </w:p>
    <w:p>
      <w:pPr>
        <w:jc w:val="both"/>
        <w:ind w:left="579" w:hanging="7"/>
        <w:spacing w:after="0" w:line="262" w:lineRule="auto"/>
        <w:tabs>
          <w:tab w:leader="none" w:pos="1364"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Every question submitted to a General Meeting shall be decided by a show of hands, but the Chairman of the General Meeting may determine that a resolution shall be decided by a written ballot. A written ballot may be implemented before the proposed resolution is voted upon or immediately after the declaration by the Chairman of the results of the vote by a show of hands. If a vote by written ballot is taken after such declaration, the results of the vote by a show of hands shall be of no effect, and the proposed resolution shall be decided by such written ballot.</w:t>
      </w:r>
    </w:p>
    <w:p>
      <w:pPr>
        <w:spacing w:after="0" w:line="165" w:lineRule="exact"/>
        <w:rPr>
          <w:rFonts w:ascii="Arial" w:cs="Arial" w:eastAsia="Arial" w:hAnsi="Arial"/>
          <w:sz w:val="16"/>
          <w:szCs w:val="16"/>
          <w:color w:val="auto"/>
        </w:rPr>
      </w:pPr>
    </w:p>
    <w:p>
      <w:pPr>
        <w:jc w:val="both"/>
        <w:ind w:left="579" w:hanging="7"/>
        <w:spacing w:after="0" w:line="267" w:lineRule="auto"/>
        <w:tabs>
          <w:tab w:leader="none" w:pos="116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 declaration by the Chairman of the General Meeting that a resolution has been carried unanimously, or carried by a particular majority, or rejected, and an entry to that effect in the minute book of the Company, shall be prima facie evidence of the fact without proof of the number or proportion of the votes recorded in favor of or against such resolution.</w:t>
      </w:r>
    </w:p>
    <w:p>
      <w:pPr>
        <w:spacing w:after="0" w:line="157" w:lineRule="exact"/>
        <w:rPr>
          <w:rFonts w:ascii="Arial" w:cs="Arial" w:eastAsia="Arial" w:hAnsi="Arial"/>
          <w:sz w:val="16"/>
          <w:szCs w:val="16"/>
          <w:color w:val="auto"/>
        </w:rPr>
      </w:pPr>
    </w:p>
    <w:p>
      <w:pPr>
        <w:ind w:left="599" w:hanging="599"/>
        <w:spacing w:after="0"/>
        <w:tabs>
          <w:tab w:leader="none" w:pos="599" w:val="left"/>
        </w:tabs>
        <w:numPr>
          <w:ilvl w:val="0"/>
          <w:numId w:val="217"/>
        </w:numPr>
        <w:rPr>
          <w:rFonts w:ascii="Arial" w:cs="Arial" w:eastAsia="Arial" w:hAnsi="Arial"/>
          <w:sz w:val="16"/>
          <w:szCs w:val="16"/>
          <w:color w:val="auto"/>
        </w:rPr>
      </w:pP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OWER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DJOURN</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79" w:hanging="7"/>
        <w:spacing w:after="0" w:line="281" w:lineRule="auto"/>
        <w:tabs>
          <w:tab w:leader="none" w:pos="1143" w:val="left"/>
        </w:tabs>
        <w:numPr>
          <w:ilvl w:val="1"/>
          <w:numId w:val="217"/>
        </w:numPr>
        <w:rPr>
          <w:rFonts w:ascii="Arial" w:cs="Arial" w:eastAsia="Arial" w:hAnsi="Arial"/>
          <w:sz w:val="15"/>
          <w:szCs w:val="15"/>
          <w:color w:val="auto"/>
        </w:rPr>
      </w:pPr>
      <w:r>
        <w:rPr>
          <w:rFonts w:ascii="Arial" w:cs="Arial" w:eastAsia="Arial" w:hAnsi="Arial"/>
          <w:sz w:val="15"/>
          <w:szCs w:val="15"/>
          <w:color w:val="auto"/>
        </w:rPr>
        <w:t>A General Meeting, the consideration of any matter on its agenda or the resolution on any matter on its agenda, may be postponed or adjourned, from time to time and from place to place: (i) by the Chairman of a General Meeting at which a quorum is present (and he shall if so directed by the meeting, with the consent of the holders of a majority of the voting power represented in person or by proxy and voting on the question of adjournment), but no business shall be transacted at any such adjourned meeting except business which might lawfully have been transacted at the meeting as originally called, or a matter on its agenda with respect to which no resolution was adopted at the meeting originally called; or (ii) by the Board (whether prior to or at the General Meeting).</w:t>
      </w:r>
    </w:p>
    <w:p>
      <w:pPr>
        <w:spacing w:after="0" w:line="346" w:lineRule="exact"/>
        <w:rPr>
          <w:rFonts w:ascii="Arial" w:cs="Arial" w:eastAsia="Arial" w:hAnsi="Arial"/>
          <w:sz w:val="15"/>
          <w:szCs w:val="15"/>
          <w:color w:val="auto"/>
        </w:rPr>
      </w:pPr>
    </w:p>
    <w:p>
      <w:pPr>
        <w:ind w:left="5579" w:hanging="100"/>
        <w:spacing w:after="0"/>
        <w:tabs>
          <w:tab w:leader="none" w:pos="5579" w:val="left"/>
        </w:tabs>
        <w:numPr>
          <w:ilvl w:val="2"/>
          <w:numId w:val="217"/>
        </w:numPr>
        <w:rPr>
          <w:rFonts w:ascii="Arial" w:cs="Arial" w:eastAsia="Arial" w:hAnsi="Arial"/>
          <w:sz w:val="16"/>
          <w:szCs w:val="16"/>
          <w:color w:val="auto"/>
        </w:rPr>
      </w:pPr>
      <w:r>
        <w:rPr>
          <w:rFonts w:ascii="Arial" w:cs="Arial" w:eastAsia="Arial" w:hAnsi="Arial"/>
          <w:sz w:val="16"/>
          <w:szCs w:val="16"/>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1" w:right="299" w:bottom="1440" w:gutter="0" w:footer="0" w:header="0"/>
        </w:sectPr>
      </w:pPr>
    </w:p>
    <w:bookmarkStart w:id="221" w:name="page222"/>
    <w:bookmarkEnd w:id="221"/>
    <w:p>
      <w:pPr>
        <w:ind w:left="600" w:hanging="599"/>
        <w:spacing w:after="0"/>
        <w:tabs>
          <w:tab w:leader="none" w:pos="600" w:val="left"/>
        </w:tabs>
        <w:numPr>
          <w:ilvl w:val="0"/>
          <w:numId w:val="218"/>
        </w:numPr>
        <w:rPr>
          <w:rFonts w:ascii="Arial" w:cs="Arial" w:eastAsia="Arial" w:hAnsi="Arial"/>
          <w:sz w:val="16"/>
          <w:szCs w:val="16"/>
          <w:color w:val="auto"/>
        </w:rPr>
      </w:pPr>
      <w:r>
        <w:rPr>
          <w:rFonts w:ascii="Arial" w:cs="Arial" w:eastAsia="Arial" w:hAnsi="Arial"/>
          <w:sz w:val="16"/>
          <w:szCs w:val="16"/>
          <w:b w:val="1"/>
          <w:bCs w:val="1"/>
          <w:u w:val="single" w:color="auto"/>
          <w:color w:val="auto"/>
        </w:rPr>
        <w:t>V</w:t>
      </w:r>
      <w:r>
        <w:rPr>
          <w:rFonts w:ascii="Arial" w:cs="Arial" w:eastAsia="Arial" w:hAnsi="Arial"/>
          <w:sz w:val="10"/>
          <w:szCs w:val="10"/>
          <w:b w:val="1"/>
          <w:bCs w:val="1"/>
          <w:u w:val="single" w:color="auto"/>
          <w:color w:val="auto"/>
        </w:rPr>
        <w:t>OTING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OWER</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Subject to the provisions of Article 32(a) and to any provision hereof conferring special rights as to voting, or restricting the right to vote, every Shareholder shall have one vote for each share held by him of record, on every resolution, without regard to whether the vote thereon is conducted by a show of hands, by written ballot or by any other means.</w:t>
      </w:r>
    </w:p>
    <w:p>
      <w:pPr>
        <w:spacing w:after="0" w:line="157" w:lineRule="exact"/>
        <w:rPr>
          <w:sz w:val="20"/>
          <w:szCs w:val="20"/>
          <w:color w:val="auto"/>
        </w:rPr>
      </w:pPr>
    </w:p>
    <w:p>
      <w:pPr>
        <w:ind w:left="600" w:hanging="599"/>
        <w:spacing w:after="0"/>
        <w:tabs>
          <w:tab w:leader="none" w:pos="600" w:val="left"/>
        </w:tabs>
        <w:numPr>
          <w:ilvl w:val="0"/>
          <w:numId w:val="219"/>
        </w:numPr>
        <w:rPr>
          <w:rFonts w:ascii="Arial" w:cs="Arial" w:eastAsia="Arial" w:hAnsi="Arial"/>
          <w:sz w:val="16"/>
          <w:szCs w:val="16"/>
          <w:color w:val="auto"/>
        </w:rPr>
      </w:pPr>
      <w:r>
        <w:rPr>
          <w:rFonts w:ascii="Arial" w:cs="Arial" w:eastAsia="Arial" w:hAnsi="Arial"/>
          <w:sz w:val="16"/>
          <w:szCs w:val="16"/>
          <w:b w:val="1"/>
          <w:bCs w:val="1"/>
          <w:u w:val="single" w:color="auto"/>
          <w:color w:val="auto"/>
        </w:rPr>
        <w:t>V</w:t>
      </w:r>
      <w:r>
        <w:rPr>
          <w:rFonts w:ascii="Arial" w:cs="Arial" w:eastAsia="Arial" w:hAnsi="Arial"/>
          <w:sz w:val="10"/>
          <w:szCs w:val="10"/>
          <w:b w:val="1"/>
          <w:bCs w:val="1"/>
          <w:u w:val="single" w:color="auto"/>
          <w:color w:val="auto"/>
        </w:rPr>
        <w:t>OTING</w:t>
      </w:r>
      <w:r>
        <w:rPr>
          <w:rFonts w:ascii="Arial" w:cs="Arial" w:eastAsia="Arial" w:hAnsi="Arial"/>
          <w:sz w:val="16"/>
          <w:szCs w:val="16"/>
          <w:b w:val="1"/>
          <w:bCs w:val="1"/>
          <w:u w:val="single" w:color="auto"/>
          <w:color w:val="auto"/>
        </w:rPr>
        <w:t xml:space="preserve"> R</w:t>
      </w:r>
      <w:r>
        <w:rPr>
          <w:rFonts w:ascii="Arial" w:cs="Arial" w:eastAsia="Arial" w:hAnsi="Arial"/>
          <w:sz w:val="10"/>
          <w:szCs w:val="10"/>
          <w:b w:val="1"/>
          <w:bCs w:val="1"/>
          <w:u w:val="single" w:color="auto"/>
          <w:color w:val="auto"/>
        </w:rPr>
        <w:t>IGHTS</w:t>
      </w:r>
      <w:r>
        <w:rPr>
          <w:rFonts w:ascii="Arial" w:cs="Arial" w:eastAsia="Arial" w:hAnsi="Arial"/>
          <w:sz w:val="16"/>
          <w:szCs w:val="16"/>
          <w:b w:val="1"/>
          <w:bCs w:val="1"/>
          <w:u w:val="single" w:color="auto"/>
          <w:color w:val="auto"/>
        </w:rPr>
        <w:t>.</w:t>
      </w:r>
    </w:p>
    <w:p>
      <w:pPr>
        <w:spacing w:after="0" w:line="207" w:lineRule="exact"/>
        <w:rPr>
          <w:rFonts w:ascii="Arial" w:cs="Arial" w:eastAsia="Arial" w:hAnsi="Arial"/>
          <w:sz w:val="16"/>
          <w:szCs w:val="16"/>
          <w:color w:val="auto"/>
        </w:rPr>
      </w:pPr>
    </w:p>
    <w:p>
      <w:pPr>
        <w:ind w:left="580" w:hanging="7"/>
        <w:spacing w:after="0" w:line="281" w:lineRule="auto"/>
        <w:tabs>
          <w:tab w:leader="none" w:pos="127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No shareholder shall be entitled to vote at any General Meeting (or be counted as a part of the quorum thereat), unless all calls then payable by him in respect of his shares in the Company have been paid.</w:t>
      </w:r>
    </w:p>
    <w:p>
      <w:pPr>
        <w:spacing w:after="0" w:line="150" w:lineRule="exact"/>
        <w:rPr>
          <w:rFonts w:ascii="Arial" w:cs="Arial" w:eastAsia="Arial" w:hAnsi="Arial"/>
          <w:sz w:val="16"/>
          <w:szCs w:val="16"/>
          <w:color w:val="auto"/>
        </w:rPr>
      </w:pPr>
    </w:p>
    <w:p>
      <w:pPr>
        <w:jc w:val="both"/>
        <w:ind w:left="580" w:hanging="7"/>
        <w:spacing w:after="0" w:line="262" w:lineRule="auto"/>
        <w:tabs>
          <w:tab w:leader="none" w:pos="1295"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 company or other corporate body being a Shareholder of the Company may duly authorize any person to be its representative at any meeting of the Company or to execute or deliver a proxy on its behalf. Any person so authorized shall be entitled to exercise on behalf of such Shareholder all the power which the Shareholder could have exercised if it were an individual. Upon the request of the Chairman of the General Meeting, written evidence of such authorization (in form acceptable to the Chairman) shall be delivered to him.</w:t>
      </w:r>
    </w:p>
    <w:p>
      <w:pPr>
        <w:spacing w:after="0" w:line="165" w:lineRule="exact"/>
        <w:rPr>
          <w:rFonts w:ascii="Arial" w:cs="Arial" w:eastAsia="Arial" w:hAnsi="Arial"/>
          <w:sz w:val="16"/>
          <w:szCs w:val="16"/>
          <w:color w:val="auto"/>
        </w:rPr>
      </w:pPr>
    </w:p>
    <w:p>
      <w:pPr>
        <w:ind w:left="580" w:hanging="7"/>
        <w:spacing w:after="0" w:line="281" w:lineRule="auto"/>
        <w:tabs>
          <w:tab w:leader="none" w:pos="117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Any Shareholder entitled to vote may vote either in person or by proxy (who need not be Shareholder of the Company), or, if the Shareholder is a company or other corporate body, by representative authorized pursuant to Article (b) above.</w:t>
      </w:r>
    </w:p>
    <w:p>
      <w:pPr>
        <w:spacing w:after="0" w:line="150" w:lineRule="exact"/>
        <w:rPr>
          <w:rFonts w:ascii="Arial" w:cs="Arial" w:eastAsia="Arial" w:hAnsi="Arial"/>
          <w:sz w:val="16"/>
          <w:szCs w:val="16"/>
          <w:color w:val="auto"/>
        </w:rPr>
      </w:pPr>
    </w:p>
    <w:p>
      <w:pPr>
        <w:jc w:val="both"/>
        <w:ind w:left="580" w:hanging="7"/>
        <w:spacing w:after="0" w:line="267" w:lineRule="auto"/>
        <w:tabs>
          <w:tab w:leader="none" w:pos="1198"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If two or more persons are registered as joint holders of any share, the vote of the senior who tenders a vote, in person or by proxy, shall be accepted to the exclusion of the vote(s) of the other joint holder(s). For the purpose of this Article 32(d), seniority shall be determined by the order of registration of the joint holders in the Register of Shareholder.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ROXIES</w:t>
      </w:r>
    </w:p>
    <w:p>
      <w:pPr>
        <w:spacing w:after="0" w:line="204" w:lineRule="exact"/>
        <w:rPr>
          <w:sz w:val="20"/>
          <w:szCs w:val="20"/>
          <w:color w:val="auto"/>
        </w:rPr>
      </w:pPr>
    </w:p>
    <w:p>
      <w:pPr>
        <w:ind w:left="600" w:hanging="599"/>
        <w:spacing w:after="0"/>
        <w:tabs>
          <w:tab w:leader="none" w:pos="600" w:val="left"/>
        </w:tabs>
        <w:numPr>
          <w:ilvl w:val="0"/>
          <w:numId w:val="220"/>
        </w:numPr>
        <w:rPr>
          <w:rFonts w:ascii="Arial" w:cs="Arial" w:eastAsia="Arial" w:hAnsi="Arial"/>
          <w:sz w:val="16"/>
          <w:szCs w:val="16"/>
          <w:color w:val="auto"/>
        </w:rPr>
      </w:pP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NSTRUMENT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PPOINTMENT</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1140" w:hanging="567"/>
        <w:spacing w:after="0"/>
        <w:tabs>
          <w:tab w:leader="none" w:pos="11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An instrument appointing a proxy shall be in writing and shall be substantially in the following form:</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5400" w:type="dxa"/>
            <w:vAlign w:val="bottom"/>
            <w:gridSpan w:val="2"/>
          </w:tcPr>
          <w:p>
            <w:pPr>
              <w:spacing w:after="0"/>
              <w:rPr>
                <w:sz w:val="20"/>
                <w:szCs w:val="20"/>
                <w:color w:val="auto"/>
              </w:rPr>
            </w:pPr>
            <w:r>
              <w:rPr>
                <w:rFonts w:ascii="Arial" w:cs="Arial" w:eastAsia="Arial" w:hAnsi="Arial"/>
                <w:sz w:val="16"/>
                <w:szCs w:val="16"/>
                <w:color w:val="auto"/>
              </w:rPr>
              <w:t>“I</w:t>
            </w:r>
          </w:p>
        </w:tc>
        <w:tc>
          <w:tcPr>
            <w:tcW w:w="5040" w:type="dxa"/>
            <w:vAlign w:val="bottom"/>
            <w:gridSpan w:val="2"/>
          </w:tcPr>
          <w:p>
            <w:pPr>
              <w:ind w:left="80"/>
              <w:spacing w:after="0"/>
              <w:rPr>
                <w:sz w:val="20"/>
                <w:szCs w:val="20"/>
                <w:color w:val="auto"/>
              </w:rPr>
            </w:pPr>
            <w:r>
              <w:rPr>
                <w:rFonts w:ascii="Arial" w:cs="Arial" w:eastAsia="Arial" w:hAnsi="Arial"/>
                <w:sz w:val="16"/>
                <w:szCs w:val="16"/>
                <w:color w:val="auto"/>
              </w:rPr>
              <w:t>of</w:t>
            </w: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390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i w:val="1"/>
                <w:iCs w:val="1"/>
                <w:color w:val="auto"/>
                <w:w w:val="90"/>
              </w:rPr>
              <w:t>(Name of Shareholder)</w:t>
            </w:r>
          </w:p>
        </w:tc>
        <w:tc>
          <w:tcPr>
            <w:tcW w:w="520" w:type="dxa"/>
            <w:vAlign w:val="bottom"/>
          </w:tcPr>
          <w:p>
            <w:pPr>
              <w:spacing w:after="0"/>
              <w:rPr>
                <w:sz w:val="15"/>
                <w:szCs w:val="15"/>
                <w:color w:val="auto"/>
              </w:rPr>
            </w:pPr>
          </w:p>
        </w:tc>
        <w:tc>
          <w:tcPr>
            <w:tcW w:w="452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i w:val="1"/>
                <w:iCs w:val="1"/>
                <w:color w:val="auto"/>
                <w:w w:val="90"/>
              </w:rPr>
              <w:t>(Address of Shareholder)</w:t>
            </w:r>
          </w:p>
        </w:tc>
        <w:tc>
          <w:tcPr>
            <w:tcW w:w="0" w:type="dxa"/>
            <w:vAlign w:val="bottom"/>
          </w:tcPr>
          <w:p>
            <w:pPr>
              <w:spacing w:after="0"/>
              <w:rPr>
                <w:sz w:val="1"/>
                <w:szCs w:val="1"/>
                <w:color w:val="auto"/>
              </w:rPr>
            </w:pPr>
          </w:p>
        </w:tc>
      </w:tr>
      <w:tr>
        <w:trPr>
          <w:trHeight w:val="206"/>
        </w:trPr>
        <w:tc>
          <w:tcPr>
            <w:tcW w:w="5400" w:type="dxa"/>
            <w:vAlign w:val="bottom"/>
            <w:gridSpan w:val="2"/>
          </w:tcPr>
          <w:p>
            <w:pPr>
              <w:spacing w:after="0"/>
              <w:rPr>
                <w:sz w:val="20"/>
                <w:szCs w:val="20"/>
                <w:color w:val="auto"/>
              </w:rPr>
            </w:pPr>
            <w:r>
              <w:rPr>
                <w:rFonts w:ascii="Arial" w:cs="Arial" w:eastAsia="Arial" w:hAnsi="Arial"/>
                <w:sz w:val="16"/>
                <w:szCs w:val="16"/>
                <w:color w:val="auto"/>
              </w:rPr>
              <w:t>Being a shareholder of KORNIT DIGITAL LTD. hereby appoints</w:t>
            </w:r>
          </w:p>
        </w:tc>
        <w:tc>
          <w:tcPr>
            <w:tcW w:w="5040" w:type="dxa"/>
            <w:vAlign w:val="bottom"/>
            <w:gridSpan w:val="2"/>
            <w:vMerge w:val="restart"/>
          </w:tcPr>
          <w:p>
            <w:pPr>
              <w:ind w:left="80"/>
              <w:spacing w:after="0"/>
              <w:rPr>
                <w:sz w:val="20"/>
                <w:szCs w:val="20"/>
                <w:color w:val="auto"/>
              </w:rPr>
            </w:pPr>
            <w:r>
              <w:rPr>
                <w:rFonts w:ascii="Arial" w:cs="Arial" w:eastAsia="Arial" w:hAnsi="Arial"/>
                <w:sz w:val="16"/>
                <w:szCs w:val="16"/>
                <w:color w:val="auto"/>
              </w:rPr>
              <w:t>of</w:t>
            </w:r>
          </w:p>
        </w:tc>
        <w:tc>
          <w:tcPr>
            <w:tcW w:w="0" w:type="dxa"/>
            <w:vAlign w:val="bottom"/>
          </w:tcPr>
          <w:p>
            <w:pPr>
              <w:spacing w:after="0"/>
              <w:rPr>
                <w:sz w:val="1"/>
                <w:szCs w:val="1"/>
                <w:color w:val="auto"/>
              </w:rPr>
            </w:pPr>
          </w:p>
        </w:tc>
      </w:tr>
      <w:tr>
        <w:trPr>
          <w:trHeight w:val="194"/>
        </w:trPr>
        <w:tc>
          <w:tcPr>
            <w:tcW w:w="15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0"/>
              </w:rPr>
              <w:t>(Name of Proxy)</w:t>
            </w:r>
          </w:p>
        </w:tc>
        <w:tc>
          <w:tcPr>
            <w:tcW w:w="520" w:type="dxa"/>
            <w:vAlign w:val="bottom"/>
          </w:tcPr>
          <w:p>
            <w:pPr>
              <w:spacing w:after="0"/>
              <w:rPr>
                <w:sz w:val="16"/>
                <w:szCs w:val="16"/>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0"/>
              </w:rPr>
              <w:t>(Address of Proxy)</w:t>
            </w: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6"/>
          <w:szCs w:val="16"/>
          <w:color w:val="auto"/>
        </w:rPr>
        <w:t>as my proxy to vote for me and on my behalf at the General Meeting of the Company to be held on the ___ day of _______, _______ and at any</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adjournment(s) thereof.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Signed this ____ day of ___________, ______.</w:t>
      </w:r>
    </w:p>
    <w:p>
      <w:pPr>
        <w:spacing w:after="0" w:line="204"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(Signature of Appointor)”</w:t>
      </w:r>
    </w:p>
    <w:p>
      <w:pPr>
        <w:spacing w:after="0" w:line="3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 in any such form as may be approved by the Board of Directors.</w:t>
      </w:r>
    </w:p>
    <w:p>
      <w:pPr>
        <w:spacing w:after="0" w:line="204" w:lineRule="exact"/>
        <w:rPr>
          <w:sz w:val="20"/>
          <w:szCs w:val="20"/>
          <w:color w:val="auto"/>
        </w:rPr>
      </w:pPr>
    </w:p>
    <w:p>
      <w:pPr>
        <w:jc w:val="both"/>
        <w:ind w:left="580" w:hanging="7"/>
        <w:spacing w:after="0" w:line="258" w:lineRule="auto"/>
        <w:tabs>
          <w:tab w:leader="none" w:pos="12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Subject to the Companies Law, the original instrument appointing a proxy or a copy thereof (and the power of attorney or other authority, if any, under which such instrument has been signed) shall be delivered to the Company (at its Office, at its principal place of business, or at the offices of its registrar or transfer agent, or at such place as notice of the meeting may specify) not less than forty eight (48) hours (or such shorter period as the notice shall specify) before the time fixed for such meeting. Notwithstanding the above, the Chairman shall have the right to waive the time requirement provided above with respect to all instruments of proxies and to accept any and all instruments of proxy until the beginning of a General Meeting. A document appointing a proxy shall be valid for every adjourned meeting of the General Meeting to which the document relates.</w:t>
      </w:r>
    </w:p>
    <w:p>
      <w:pPr>
        <w:spacing w:after="0" w:line="363" w:lineRule="exact"/>
        <w:rPr>
          <w:rFonts w:ascii="Arial" w:cs="Arial" w:eastAsia="Arial" w:hAnsi="Arial"/>
          <w:sz w:val="16"/>
          <w:szCs w:val="16"/>
          <w:color w:val="auto"/>
        </w:rPr>
      </w:pPr>
    </w:p>
    <w:p>
      <w:pPr>
        <w:ind w:left="5580" w:hanging="103"/>
        <w:spacing w:after="0"/>
        <w:tabs>
          <w:tab w:leader="none" w:pos="55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222" w:name="page223"/>
    <w:bookmarkEnd w:id="222"/>
    <w:p>
      <w:pPr>
        <w:ind w:left="600" w:hanging="599"/>
        <w:spacing w:after="0"/>
        <w:tabs>
          <w:tab w:leader="none" w:pos="600" w:val="left"/>
        </w:tabs>
        <w:numPr>
          <w:ilvl w:val="0"/>
          <w:numId w:val="222"/>
        </w:numPr>
        <w:rPr>
          <w:rFonts w:ascii="Arial" w:cs="Arial" w:eastAsia="Arial" w:hAnsi="Arial"/>
          <w:sz w:val="16"/>
          <w:szCs w:val="16"/>
          <w:color w:val="auto"/>
        </w:rPr>
      </w:pPr>
      <w:r>
        <w:rPr>
          <w:rFonts w:ascii="Arial" w:cs="Arial" w:eastAsia="Arial" w:hAnsi="Arial"/>
          <w:sz w:val="16"/>
          <w:szCs w:val="16"/>
          <w:b w:val="1"/>
          <w:bCs w:val="1"/>
          <w:u w:val="single" w:color="auto"/>
          <w:color w:val="auto"/>
        </w:rPr>
        <w:t>E</w:t>
      </w:r>
      <w:r>
        <w:rPr>
          <w:rFonts w:ascii="Arial" w:cs="Arial" w:eastAsia="Arial" w:hAnsi="Arial"/>
          <w:sz w:val="10"/>
          <w:szCs w:val="10"/>
          <w:b w:val="1"/>
          <w:bCs w:val="1"/>
          <w:u w:val="single" w:color="auto"/>
          <w:color w:val="auto"/>
        </w:rPr>
        <w:t>FFECT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EATH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PPOINTOR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w:t>
      </w:r>
      <w:r>
        <w:rPr>
          <w:rFonts w:ascii="Arial" w:cs="Arial" w:eastAsia="Arial" w:hAnsi="Arial"/>
          <w:sz w:val="10"/>
          <w:szCs w:val="10"/>
          <w:b w:val="1"/>
          <w:bCs w:val="1"/>
          <w:u w:val="single" w:color="auto"/>
          <w:color w:val="auto"/>
        </w:rPr>
        <w:t>RANSFER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HARE AND OR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EVOCATION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PPOINTMENT</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67" w:lineRule="auto"/>
        <w:tabs>
          <w:tab w:leader="none" w:pos="1188"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 vote cast in accordance with an instrument appointing a proxy shall be valid notwithstanding the prior death or bankruptcy of the appointing shareholder (or of his attorney-in-fact, if any, who signed such instrument), or the transfer of the share in respect of which the vote is cast, unless written notice of such matters shall have been received by the Company or by the Chairman of such meeting prior to such vote being cast.</w:t>
      </w:r>
    </w:p>
    <w:p>
      <w:pPr>
        <w:spacing w:after="0" w:line="161" w:lineRule="exact"/>
        <w:rPr>
          <w:rFonts w:ascii="Arial" w:cs="Arial" w:eastAsia="Arial" w:hAnsi="Arial"/>
          <w:sz w:val="16"/>
          <w:szCs w:val="16"/>
          <w:color w:val="auto"/>
        </w:rPr>
      </w:pPr>
    </w:p>
    <w:p>
      <w:pPr>
        <w:jc w:val="both"/>
        <w:ind w:left="580" w:hanging="7"/>
        <w:spacing w:after="0" w:line="274" w:lineRule="auto"/>
        <w:tabs>
          <w:tab w:leader="none" w:pos="1194" w:val="left"/>
        </w:tabs>
        <w:numPr>
          <w:ilvl w:val="1"/>
          <w:numId w:val="222"/>
        </w:numPr>
        <w:rPr>
          <w:rFonts w:ascii="Arial" w:cs="Arial" w:eastAsia="Arial" w:hAnsi="Arial"/>
          <w:sz w:val="15"/>
          <w:szCs w:val="15"/>
          <w:color w:val="auto"/>
        </w:rPr>
      </w:pPr>
      <w:r>
        <w:rPr>
          <w:rFonts w:ascii="Arial" w:cs="Arial" w:eastAsia="Arial" w:hAnsi="Arial"/>
          <w:sz w:val="15"/>
          <w:szCs w:val="15"/>
          <w:color w:val="auto"/>
        </w:rPr>
        <w:t>Subject to the Companies Law, an instrument appointing a proxy shall be deemed revoked (i) upon receipt by the Company or the Chairman,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(and such other documents, if any, required under Article 33(b) for such new appointment), provided such notice of cancellation or instrument appointing a different proxy were so received at the place and within the time for delivery of the instrument revoked thereby as referred to in Article 33(b) hereof, or (ii) if the appointing shareholder is present in person at the meeting for which such instrument of proxy was delivered, upon receipt by the Chairman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34(b) at or prior to the time such vote was cast.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OARD OF</w:t>
      </w:r>
      <w:r>
        <w:rPr>
          <w:rFonts w:ascii="Arial" w:cs="Arial" w:eastAsia="Arial" w:hAnsi="Arial"/>
          <w:sz w:val="16"/>
          <w:szCs w:val="16"/>
          <w:b w:val="1"/>
          <w:bCs w:val="1"/>
          <w:color w:val="auto"/>
        </w:rPr>
        <w:t xml:space="preserve"> D</w:t>
      </w:r>
      <w:r>
        <w:rPr>
          <w:rFonts w:ascii="Arial" w:cs="Arial" w:eastAsia="Arial" w:hAnsi="Arial"/>
          <w:sz w:val="10"/>
          <w:szCs w:val="10"/>
          <w:b w:val="1"/>
          <w:bCs w:val="1"/>
          <w:color w:val="auto"/>
        </w:rPr>
        <w:t>IRECTORS</w:t>
      </w:r>
    </w:p>
    <w:p>
      <w:pPr>
        <w:spacing w:after="0" w:line="204" w:lineRule="exact"/>
        <w:rPr>
          <w:sz w:val="20"/>
          <w:szCs w:val="20"/>
          <w:color w:val="auto"/>
        </w:rPr>
      </w:pPr>
    </w:p>
    <w:p>
      <w:pPr>
        <w:ind w:left="600" w:hanging="599"/>
        <w:spacing w:after="0"/>
        <w:tabs>
          <w:tab w:leader="none" w:pos="600" w:val="left"/>
        </w:tabs>
        <w:numPr>
          <w:ilvl w:val="0"/>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OWERS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0"/>
          <w:szCs w:val="10"/>
          <w:b w:val="1"/>
          <w:bCs w:val="1"/>
          <w:u w:val="single" w:color="auto"/>
          <w:color w:val="auto"/>
        </w:rPr>
        <w:t>OARD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IRECTORS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81" w:lineRule="auto"/>
        <w:tabs>
          <w:tab w:leader="none" w:pos="1225" w:val="left"/>
        </w:tabs>
        <w:numPr>
          <w:ilvl w:val="1"/>
          <w:numId w:val="223"/>
        </w:numPr>
        <w:rPr>
          <w:rFonts w:ascii="Arial" w:cs="Arial" w:eastAsia="Arial" w:hAnsi="Arial"/>
          <w:sz w:val="15"/>
          <w:szCs w:val="15"/>
          <w:color w:val="auto"/>
        </w:rPr>
      </w:pPr>
      <w:r>
        <w:rPr>
          <w:rFonts w:ascii="Arial" w:cs="Arial" w:eastAsia="Arial" w:hAnsi="Arial"/>
          <w:sz w:val="15"/>
          <w:szCs w:val="15"/>
          <w:color w:val="auto"/>
        </w:rPr>
        <w:t>The Board of Directors may exercise all such powers and do all such acts and things as the Board of Directors is authorized by law or as the Company is authorized to exercise and do and are not hereby or by law required to be exercised or done by the General Meeting. The authority conferred on the Board of Directors by this Article 35 shall be subject to the provisions of the Companies Law, these Articles and any regulation or resolution consistent with these Articles adopted from time to time at a General Meeting, provided, however, that no such regulation or resolution shall invalidate any prior act done by or pursuant to a decision of the Board of Directors which would have been valid if such regulation or resolution had not been adopted.</w:t>
      </w:r>
    </w:p>
    <w:p>
      <w:pPr>
        <w:spacing w:after="0" w:line="153" w:lineRule="exact"/>
        <w:rPr>
          <w:rFonts w:ascii="Arial" w:cs="Arial" w:eastAsia="Arial" w:hAnsi="Arial"/>
          <w:sz w:val="15"/>
          <w:szCs w:val="15"/>
          <w:color w:val="auto"/>
        </w:rPr>
      </w:pPr>
    </w:p>
    <w:p>
      <w:pPr>
        <w:jc w:val="both"/>
        <w:ind w:left="580" w:hanging="7"/>
        <w:spacing w:after="0" w:line="258" w:lineRule="auto"/>
        <w:tabs>
          <w:tab w:leader="none" w:pos="1169"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the Board of Directors may, from time to time, set aside any amount(s) out of the profits of the Company as a reserve or reserves for any purpose(s) which the Board of Directors,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p>
      <w:pPr>
        <w:spacing w:after="0" w:line="363" w:lineRule="exact"/>
        <w:rPr>
          <w:rFonts w:ascii="Arial" w:cs="Arial" w:eastAsia="Arial" w:hAnsi="Arial"/>
          <w:sz w:val="16"/>
          <w:szCs w:val="16"/>
          <w:color w:val="auto"/>
        </w:rPr>
      </w:pPr>
    </w:p>
    <w:p>
      <w:pPr>
        <w:ind w:left="5580" w:hanging="103"/>
        <w:spacing w:after="0"/>
        <w:tabs>
          <w:tab w:leader="none" w:pos="558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223" w:name="page224"/>
    <w:bookmarkEnd w:id="223"/>
    <w:p>
      <w:pPr>
        <w:ind w:left="599" w:hanging="599"/>
        <w:spacing w:after="0"/>
        <w:tabs>
          <w:tab w:leader="none" w:pos="599" w:val="left"/>
        </w:tabs>
        <w:numPr>
          <w:ilvl w:val="0"/>
          <w:numId w:val="224"/>
        </w:numPr>
        <w:rPr>
          <w:rFonts w:ascii="Arial" w:cs="Arial" w:eastAsia="Arial" w:hAnsi="Arial"/>
          <w:sz w:val="16"/>
          <w:szCs w:val="16"/>
          <w:color w:val="auto"/>
        </w:rPr>
      </w:pPr>
      <w:r>
        <w:rPr>
          <w:rFonts w:ascii="Arial" w:cs="Arial" w:eastAsia="Arial" w:hAnsi="Arial"/>
          <w:sz w:val="16"/>
          <w:szCs w:val="16"/>
          <w:b w:val="1"/>
          <w:bCs w:val="1"/>
          <w:u w:val="single" w:color="auto"/>
          <w:color w:val="auto"/>
        </w:rPr>
        <w:t>E</w:t>
      </w:r>
      <w:r>
        <w:rPr>
          <w:rFonts w:ascii="Arial" w:cs="Arial" w:eastAsia="Arial" w:hAnsi="Arial"/>
          <w:sz w:val="10"/>
          <w:szCs w:val="10"/>
          <w:b w:val="1"/>
          <w:bCs w:val="1"/>
          <w:u w:val="single" w:color="auto"/>
          <w:color w:val="auto"/>
        </w:rPr>
        <w:t>XERCISE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OWERS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0"/>
          <w:szCs w:val="10"/>
          <w:b w:val="1"/>
          <w:bCs w:val="1"/>
          <w:u w:val="single" w:color="auto"/>
          <w:color w:val="auto"/>
        </w:rPr>
        <w:t>OARD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IRECTORS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579" w:right="20" w:hanging="7"/>
        <w:spacing w:after="0" w:line="281" w:lineRule="auto"/>
        <w:tabs>
          <w:tab w:leader="none" w:pos="127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 meeting of the Board of Directors at which a quorum is present shall be competent to exercise all the authorities, powers and discretion vested in or exercisable by the Board of Directors.</w:t>
      </w:r>
    </w:p>
    <w:p>
      <w:pPr>
        <w:spacing w:after="0" w:line="150" w:lineRule="exact"/>
        <w:rPr>
          <w:rFonts w:ascii="Arial" w:cs="Arial" w:eastAsia="Arial" w:hAnsi="Arial"/>
          <w:sz w:val="16"/>
          <w:szCs w:val="16"/>
          <w:color w:val="auto"/>
        </w:rPr>
      </w:pPr>
    </w:p>
    <w:p>
      <w:pPr>
        <w:ind w:left="579" w:hanging="7"/>
        <w:spacing w:after="0" w:line="281" w:lineRule="auto"/>
        <w:tabs>
          <w:tab w:leader="none" w:pos="118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 resolution proposed at any meeting of the Board of Directors shall be deemed adopted if approved by a majority of the Directors present, entitled to vote and voting thereon when such resolution is put to a vote.</w:t>
      </w:r>
    </w:p>
    <w:p>
      <w:pPr>
        <w:spacing w:after="0" w:line="150" w:lineRule="exact"/>
        <w:rPr>
          <w:rFonts w:ascii="Arial" w:cs="Arial" w:eastAsia="Arial" w:hAnsi="Arial"/>
          <w:sz w:val="16"/>
          <w:szCs w:val="16"/>
          <w:color w:val="auto"/>
        </w:rPr>
      </w:pPr>
    </w:p>
    <w:p>
      <w:pPr>
        <w:ind w:left="579" w:hanging="7"/>
        <w:spacing w:after="0" w:line="281" w:lineRule="auto"/>
        <w:tabs>
          <w:tab w:leader="none" w:pos="121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Board of Directors may adopt resolutions, without convening a meeting of the Board of Directors, in writing or in any other manner permitted by the Companies Law.</w:t>
      </w:r>
    </w:p>
    <w:p>
      <w:pPr>
        <w:spacing w:after="0" w:line="146" w:lineRule="exact"/>
        <w:rPr>
          <w:rFonts w:ascii="Arial" w:cs="Arial" w:eastAsia="Arial" w:hAnsi="Arial"/>
          <w:sz w:val="16"/>
          <w:szCs w:val="16"/>
          <w:color w:val="auto"/>
        </w:rPr>
      </w:pPr>
    </w:p>
    <w:p>
      <w:pPr>
        <w:ind w:left="599" w:hanging="599"/>
        <w:spacing w:after="0"/>
        <w:tabs>
          <w:tab w:leader="none" w:pos="599" w:val="left"/>
        </w:tabs>
        <w:numPr>
          <w:ilvl w:val="0"/>
          <w:numId w:val="224"/>
        </w:numPr>
        <w:rPr>
          <w:rFonts w:ascii="Arial" w:cs="Arial" w:eastAsia="Arial" w:hAnsi="Arial"/>
          <w:sz w:val="16"/>
          <w:szCs w:val="16"/>
          <w:color w:val="auto"/>
        </w:rPr>
      </w:pP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ELEGATION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OWERS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79" w:hanging="7"/>
        <w:spacing w:after="0" w:line="256" w:lineRule="auto"/>
        <w:tabs>
          <w:tab w:leader="none" w:pos="116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Board of Directors may, subject to the provisions of the Companies Law, delegate any or all of its powers to committees (in these Articles referred to as a “</w:t>
      </w:r>
      <w:r>
        <w:rPr>
          <w:rFonts w:ascii="Arial" w:cs="Arial" w:eastAsia="Arial" w:hAnsi="Arial"/>
          <w:sz w:val="16"/>
          <w:szCs w:val="16"/>
          <w:b w:val="1"/>
          <w:bCs w:val="1"/>
          <w:color w:val="auto"/>
        </w:rPr>
        <w:t>Committee of the Board of Directors</w:t>
      </w:r>
      <w:r>
        <w:rPr>
          <w:rFonts w:ascii="Arial" w:cs="Arial" w:eastAsia="Arial" w:hAnsi="Arial"/>
          <w:sz w:val="16"/>
          <w:szCs w:val="16"/>
          <w:color w:val="auto"/>
        </w:rPr>
        <w:t>”, or “</w:t>
      </w:r>
      <w:r>
        <w:rPr>
          <w:rFonts w:ascii="Arial" w:cs="Arial" w:eastAsia="Arial" w:hAnsi="Arial"/>
          <w:sz w:val="16"/>
          <w:szCs w:val="16"/>
          <w:b w:val="1"/>
          <w:bCs w:val="1"/>
          <w:color w:val="auto"/>
        </w:rPr>
        <w:t>Committee</w:t>
      </w:r>
      <w:r>
        <w:rPr>
          <w:rFonts w:ascii="Arial" w:cs="Arial" w:eastAsia="Arial" w:hAnsi="Arial"/>
          <w:sz w:val="16"/>
          <w:szCs w:val="16"/>
          <w:color w:val="auto"/>
        </w:rPr>
        <w:t>”), each consisting of one or more persons (who may or may not be Directors), and it may from time to time revoke such delegation or alter the composition of any such Committee. No regulation imposed by the Board of Directors on any Committee and no resolution of the Board of Directors shall invalidate any prior act done pursuant to a resolution by the Committee which would have been valid if such regulation or resolution of the Board had not been adopted. The meeting and proceedings of any such Committee of the Board of Directors shall, mutatis mutandis, be governed by the provisions herein contained for regulating the meetings of the Board of Directors, so far as not superseded by any regulations adopted by the Board of Directors or by the Companies Law. Unless otherwise expressly prohibited by the Board of Directors in delegating powers to a Committee of the Board of Directors, such Committee shall be empowered to further delegate such powers.</w:t>
      </w:r>
    </w:p>
    <w:p>
      <w:pPr>
        <w:spacing w:after="0" w:line="174" w:lineRule="exact"/>
        <w:rPr>
          <w:rFonts w:ascii="Arial" w:cs="Arial" w:eastAsia="Arial" w:hAnsi="Arial"/>
          <w:sz w:val="16"/>
          <w:szCs w:val="16"/>
          <w:color w:val="auto"/>
        </w:rPr>
      </w:pPr>
    </w:p>
    <w:p>
      <w:pPr>
        <w:jc w:val="both"/>
        <w:ind w:left="579" w:hanging="7"/>
        <w:spacing w:after="0" w:line="292" w:lineRule="auto"/>
        <w:tabs>
          <w:tab w:leader="none" w:pos="1178" w:val="left"/>
        </w:tabs>
        <w:numPr>
          <w:ilvl w:val="1"/>
          <w:numId w:val="224"/>
        </w:numPr>
        <w:rPr>
          <w:rFonts w:ascii="Arial" w:cs="Arial" w:eastAsia="Arial" w:hAnsi="Arial"/>
          <w:sz w:val="15"/>
          <w:szCs w:val="15"/>
          <w:color w:val="auto"/>
        </w:rPr>
      </w:pPr>
      <w:r>
        <w:rPr>
          <w:rFonts w:ascii="Arial" w:cs="Arial" w:eastAsia="Arial" w:hAnsi="Arial"/>
          <w:sz w:val="15"/>
          <w:szCs w:val="15"/>
          <w:color w:val="auto"/>
        </w:rPr>
        <w:t>Without derogating from the provisions of Article 49, the Board of Directors may from time to time appoint a Secretary to the Company, as well as officers, agents, employees and independent contractors, as the Board of Directors deems fit, and may terminate the service of any such person. The Board of Directors may, subject to the provisions of the Companies Law, determine the powers and duties, as well as the salaries and compensation, of all such persons.</w:t>
      </w:r>
    </w:p>
    <w:p>
      <w:pPr>
        <w:spacing w:after="0" w:line="145" w:lineRule="exact"/>
        <w:rPr>
          <w:rFonts w:ascii="Arial" w:cs="Arial" w:eastAsia="Arial" w:hAnsi="Arial"/>
          <w:sz w:val="15"/>
          <w:szCs w:val="15"/>
          <w:color w:val="auto"/>
        </w:rPr>
      </w:pPr>
    </w:p>
    <w:p>
      <w:pPr>
        <w:jc w:val="both"/>
        <w:ind w:left="579" w:hanging="7"/>
        <w:spacing w:after="0" w:line="259" w:lineRule="auto"/>
        <w:tabs>
          <w:tab w:leader="none" w:pos="118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Board of Directors may from time to time, by power of attorney or otherwise, appoint any person, company, firm or body of persons to be the attorney or attorneys of the Company at law or in fact for such purposes(s)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deems fit, and may also authorize any such attorney to delegate all or any of the powers, authorities and discretions vested in him.</w:t>
      </w:r>
    </w:p>
    <w:p>
      <w:pPr>
        <w:spacing w:after="0" w:line="170" w:lineRule="exact"/>
        <w:rPr>
          <w:rFonts w:ascii="Arial" w:cs="Arial" w:eastAsia="Arial" w:hAnsi="Arial"/>
          <w:sz w:val="16"/>
          <w:szCs w:val="16"/>
          <w:color w:val="auto"/>
        </w:rPr>
      </w:pPr>
    </w:p>
    <w:p>
      <w:pPr>
        <w:ind w:left="599" w:hanging="599"/>
        <w:spacing w:after="0"/>
        <w:tabs>
          <w:tab w:leader="none" w:pos="599"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N</w:t>
      </w:r>
      <w:r>
        <w:rPr>
          <w:rFonts w:ascii="Arial" w:cs="Arial" w:eastAsia="Arial" w:hAnsi="Arial"/>
          <w:sz w:val="10"/>
          <w:szCs w:val="10"/>
          <w:u w:val="single" w:color="auto"/>
          <w:color w:val="auto"/>
        </w:rPr>
        <w:t>UMBER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0"/>
          <w:szCs w:val="10"/>
          <w:u w:val="single" w:color="auto"/>
          <w:color w:val="auto"/>
        </w:rPr>
        <w:t>IRECTORS</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left="579" w:hanging="7"/>
        <w:spacing w:after="0" w:line="281" w:lineRule="auto"/>
        <w:tabs>
          <w:tab w:leader="none" w:pos="118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Board of Directors shall consist of such number of Directors (not less than five (5) nor more than nine (9), including the External Directors) as may be fixed from time to time by the Board of Directors.</w:t>
      </w:r>
    </w:p>
    <w:p>
      <w:pPr>
        <w:spacing w:after="0" w:line="150" w:lineRule="exact"/>
        <w:rPr>
          <w:rFonts w:ascii="Arial" w:cs="Arial" w:eastAsia="Arial" w:hAnsi="Arial"/>
          <w:sz w:val="16"/>
          <w:szCs w:val="16"/>
          <w:color w:val="auto"/>
        </w:rPr>
      </w:pPr>
    </w:p>
    <w:p>
      <w:pPr>
        <w:jc w:val="both"/>
        <w:ind w:left="579" w:hanging="7"/>
        <w:spacing w:after="0" w:line="267" w:lineRule="auto"/>
        <w:tabs>
          <w:tab w:leader="none" w:pos="131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this Article 38 may only be amended or replaced by a resolution adopted at a General Meeting by a majority of 65% of the voting power represented at the General Meeting in person or by proxy and voting thereon, disregarding abstentions from the count of the voting power present and voting.</w:t>
      </w:r>
    </w:p>
    <w:p>
      <w:pPr>
        <w:spacing w:after="0" w:line="354" w:lineRule="exact"/>
        <w:rPr>
          <w:rFonts w:ascii="Arial" w:cs="Arial" w:eastAsia="Arial" w:hAnsi="Arial"/>
          <w:sz w:val="16"/>
          <w:szCs w:val="16"/>
          <w:color w:val="auto"/>
        </w:rPr>
      </w:pPr>
    </w:p>
    <w:p>
      <w:pPr>
        <w:ind w:left="5579" w:hanging="103"/>
        <w:spacing w:after="0"/>
        <w:tabs>
          <w:tab w:leader="none" w:pos="5579" w:val="left"/>
        </w:tabs>
        <w:numPr>
          <w:ilvl w:val="2"/>
          <w:numId w:val="224"/>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1" w:right="299" w:bottom="1440" w:gutter="0" w:footer="0" w:header="0"/>
        </w:sectPr>
      </w:pPr>
    </w:p>
    <w:bookmarkStart w:id="224" w:name="page225"/>
    <w:bookmarkEnd w:id="224"/>
    <w:p>
      <w:pPr>
        <w:ind w:left="599" w:hanging="599"/>
        <w:spacing w:after="0"/>
        <w:tabs>
          <w:tab w:leader="none" w:pos="599" w:val="left"/>
        </w:tabs>
        <w:numPr>
          <w:ilvl w:val="0"/>
          <w:numId w:val="225"/>
        </w:numPr>
        <w:rPr>
          <w:rFonts w:ascii="Arial" w:cs="Arial" w:eastAsia="Arial" w:hAnsi="Arial"/>
          <w:sz w:val="16"/>
          <w:szCs w:val="16"/>
          <w:color w:val="auto"/>
        </w:rPr>
      </w:pPr>
      <w:r>
        <w:rPr>
          <w:rFonts w:ascii="Arial" w:cs="Arial" w:eastAsia="Arial" w:hAnsi="Arial"/>
          <w:sz w:val="16"/>
          <w:szCs w:val="16"/>
          <w:b w:val="1"/>
          <w:bCs w:val="1"/>
          <w:u w:val="single" w:color="auto"/>
          <w:color w:val="auto"/>
        </w:rPr>
        <w:t>E</w:t>
      </w:r>
      <w:r>
        <w:rPr>
          <w:rFonts w:ascii="Arial" w:cs="Arial" w:eastAsia="Arial" w:hAnsi="Arial"/>
          <w:sz w:val="10"/>
          <w:szCs w:val="10"/>
          <w:b w:val="1"/>
          <w:bCs w:val="1"/>
          <w:u w:val="single" w:color="auto"/>
          <w:color w:val="auto"/>
        </w:rPr>
        <w:t>LECTION 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EMOVAL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IRECTORS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79" w:hanging="7"/>
        <w:spacing w:after="0" w:line="267" w:lineRule="auto"/>
        <w:tabs>
          <w:tab w:leader="none" w:pos="1195"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Directors, excluding the External Directors, shall be classified, with respect to the term for which they each severally hold office, into three classes, as nearly equal in number as practicable, hereby designated as Class I, Class II and Class III. The Board of Directors may assign members of the Board of Directors already in office to such classes at the time such classification becomes effective.</w:t>
      </w:r>
    </w:p>
    <w:p>
      <w:pPr>
        <w:spacing w:after="0" w:line="161" w:lineRule="exact"/>
        <w:rPr>
          <w:rFonts w:ascii="Arial" w:cs="Arial" w:eastAsia="Arial" w:hAnsi="Arial"/>
          <w:sz w:val="16"/>
          <w:szCs w:val="16"/>
          <w:color w:val="auto"/>
        </w:rPr>
      </w:pPr>
    </w:p>
    <w:p>
      <w:pPr>
        <w:ind w:left="1159" w:firstLine="3"/>
        <w:spacing w:after="0" w:line="281" w:lineRule="auto"/>
        <w:tabs>
          <w:tab w:leader="none" w:pos="1763" w:val="left"/>
        </w:tabs>
        <w:numPr>
          <w:ilvl w:val="2"/>
          <w:numId w:val="225"/>
        </w:numPr>
        <w:rPr>
          <w:rFonts w:ascii="Arial" w:cs="Arial" w:eastAsia="Arial" w:hAnsi="Arial"/>
          <w:sz w:val="16"/>
          <w:szCs w:val="16"/>
          <w:color w:val="auto"/>
        </w:rPr>
      </w:pPr>
      <w:r>
        <w:rPr>
          <w:rFonts w:ascii="Arial" w:cs="Arial" w:eastAsia="Arial" w:hAnsi="Arial"/>
          <w:sz w:val="16"/>
          <w:szCs w:val="16"/>
          <w:color w:val="auto"/>
        </w:rPr>
        <w:t>The term of office of the initial Class I directors shall expire at the first Annual General Meeting to be held in 2016 and when their successors are elected and qualified,</w:t>
      </w:r>
    </w:p>
    <w:p>
      <w:pPr>
        <w:spacing w:after="0" w:line="150" w:lineRule="exact"/>
        <w:rPr>
          <w:rFonts w:ascii="Arial" w:cs="Arial" w:eastAsia="Arial" w:hAnsi="Arial"/>
          <w:sz w:val="16"/>
          <w:szCs w:val="16"/>
          <w:color w:val="auto"/>
        </w:rPr>
      </w:pPr>
    </w:p>
    <w:p>
      <w:pPr>
        <w:ind w:left="1159" w:firstLine="3"/>
        <w:spacing w:after="0" w:line="281" w:lineRule="auto"/>
        <w:tabs>
          <w:tab w:leader="none" w:pos="1725" w:val="left"/>
        </w:tabs>
        <w:numPr>
          <w:ilvl w:val="2"/>
          <w:numId w:val="225"/>
        </w:numPr>
        <w:rPr>
          <w:rFonts w:ascii="Arial" w:cs="Arial" w:eastAsia="Arial" w:hAnsi="Arial"/>
          <w:sz w:val="16"/>
          <w:szCs w:val="16"/>
          <w:color w:val="auto"/>
        </w:rPr>
      </w:pPr>
      <w:r>
        <w:rPr>
          <w:rFonts w:ascii="Arial" w:cs="Arial" w:eastAsia="Arial" w:hAnsi="Arial"/>
          <w:sz w:val="16"/>
          <w:szCs w:val="16"/>
          <w:color w:val="auto"/>
        </w:rPr>
        <w:t>The term of office of the initial Class II directors shall expire at the first Annual General Meeting following the Annual General Meeting referred to in clause (i) above and when their successors are elected and qualified, and</w:t>
      </w:r>
    </w:p>
    <w:p>
      <w:pPr>
        <w:spacing w:after="0" w:line="150" w:lineRule="exact"/>
        <w:rPr>
          <w:rFonts w:ascii="Arial" w:cs="Arial" w:eastAsia="Arial" w:hAnsi="Arial"/>
          <w:sz w:val="16"/>
          <w:szCs w:val="16"/>
          <w:color w:val="auto"/>
        </w:rPr>
      </w:pPr>
    </w:p>
    <w:p>
      <w:pPr>
        <w:ind w:left="1159" w:firstLine="3"/>
        <w:spacing w:after="0" w:line="281" w:lineRule="auto"/>
        <w:tabs>
          <w:tab w:leader="none" w:pos="1757" w:val="left"/>
        </w:tabs>
        <w:numPr>
          <w:ilvl w:val="2"/>
          <w:numId w:val="225"/>
        </w:numPr>
        <w:rPr>
          <w:rFonts w:ascii="Arial" w:cs="Arial" w:eastAsia="Arial" w:hAnsi="Arial"/>
          <w:sz w:val="16"/>
          <w:szCs w:val="16"/>
          <w:color w:val="auto"/>
        </w:rPr>
      </w:pPr>
      <w:r>
        <w:rPr>
          <w:rFonts w:ascii="Arial" w:cs="Arial" w:eastAsia="Arial" w:hAnsi="Arial"/>
          <w:sz w:val="16"/>
          <w:szCs w:val="16"/>
          <w:color w:val="auto"/>
        </w:rPr>
        <w:t>The term of office of the initial Class III directors shall expire at the first Annual General Meeting following the Annual General Meeting referred to in clause (ii) above and when their successors are elected and qualified.</w:t>
      </w:r>
    </w:p>
    <w:p>
      <w:pPr>
        <w:spacing w:after="0" w:line="150" w:lineRule="exact"/>
        <w:rPr>
          <w:rFonts w:ascii="Arial" w:cs="Arial" w:eastAsia="Arial" w:hAnsi="Arial"/>
          <w:sz w:val="16"/>
          <w:szCs w:val="16"/>
          <w:color w:val="auto"/>
        </w:rPr>
      </w:pPr>
    </w:p>
    <w:p>
      <w:pPr>
        <w:jc w:val="both"/>
        <w:ind w:left="579" w:hanging="7"/>
        <w:spacing w:after="0" w:line="262" w:lineRule="auto"/>
        <w:tabs>
          <w:tab w:leader="none" w:pos="1184"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At each Annual General Meeting, commencing with the Annual General Meeting to be held in 2016,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p>
      <w:pPr>
        <w:spacing w:after="0" w:line="165" w:lineRule="exact"/>
        <w:rPr>
          <w:rFonts w:ascii="Arial" w:cs="Arial" w:eastAsia="Arial" w:hAnsi="Arial"/>
          <w:sz w:val="16"/>
          <w:szCs w:val="16"/>
          <w:color w:val="auto"/>
        </w:rPr>
      </w:pPr>
    </w:p>
    <w:p>
      <w:pPr>
        <w:jc w:val="both"/>
        <w:ind w:left="579" w:hanging="7"/>
        <w:spacing w:after="0" w:line="262" w:lineRule="auto"/>
        <w:tabs>
          <w:tab w:leader="none" w:pos="128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If the number of Directors (excluding External Directors) that constitutes the Board of Directors is hereafter changed, the then-serving Directors shall be redesignated to other Classes and/or any newly created directorships or decrease in directorships shall be apportioned by the Board of Directors among the classes so as to make all classes as nearly equal in number as is practicable, provided that no decrease in the number of Directors constituting the Board of Directors shall shorten the term of any incumbent Director.</w:t>
      </w:r>
    </w:p>
    <w:p>
      <w:pPr>
        <w:spacing w:after="0" w:line="165" w:lineRule="exact"/>
        <w:rPr>
          <w:rFonts w:ascii="Arial" w:cs="Arial" w:eastAsia="Arial" w:hAnsi="Arial"/>
          <w:sz w:val="16"/>
          <w:szCs w:val="16"/>
          <w:color w:val="auto"/>
        </w:rPr>
      </w:pPr>
    </w:p>
    <w:p>
      <w:pPr>
        <w:jc w:val="both"/>
        <w:ind w:left="579" w:hanging="7"/>
        <w:spacing w:after="0" w:line="267" w:lineRule="auto"/>
        <w:tabs>
          <w:tab w:leader="none" w:pos="1201" w:val="left"/>
        </w:tabs>
        <w:numPr>
          <w:ilvl w:val="1"/>
          <w:numId w:val="225"/>
        </w:numPr>
        <w:rPr>
          <w:rFonts w:ascii="Arial" w:cs="Arial" w:eastAsia="Arial" w:hAnsi="Arial"/>
          <w:sz w:val="16"/>
          <w:szCs w:val="16"/>
          <w:color w:val="auto"/>
        </w:rPr>
      </w:pPr>
      <w:r>
        <w:rPr>
          <w:rFonts w:ascii="Arial" w:cs="Arial" w:eastAsia="Arial" w:hAnsi="Arial"/>
          <w:sz w:val="16"/>
          <w:szCs w:val="16"/>
          <w:color w:val="auto"/>
        </w:rPr>
        <w:t>Prior to every General Meeting of the Company at which Directors are to be elected, and subject to clauses (a) and (h) of this Article, the Board of Directors (or a Committee thereof) shall select, by a resolution adopted by a majority of the Board of Directors (or such Committee), a number of Persons to be proposed to the Shareholders for election as Directors at such General Meeting (the “</w:t>
      </w:r>
      <w:r>
        <w:rPr>
          <w:rFonts w:ascii="Arial" w:cs="Arial" w:eastAsia="Arial" w:hAnsi="Arial"/>
          <w:sz w:val="16"/>
          <w:szCs w:val="16"/>
          <w:b w:val="1"/>
          <w:bCs w:val="1"/>
          <w:color w:val="auto"/>
        </w:rPr>
        <w:t>Nominees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579" w:hanging="7"/>
        <w:spacing w:after="0" w:line="292" w:lineRule="auto"/>
        <w:tabs>
          <w:tab w:leader="none" w:pos="1313" w:val="left"/>
        </w:tabs>
        <w:numPr>
          <w:ilvl w:val="1"/>
          <w:numId w:val="225"/>
        </w:numPr>
        <w:rPr>
          <w:rFonts w:ascii="Arial" w:cs="Arial" w:eastAsia="Arial" w:hAnsi="Arial"/>
          <w:sz w:val="14"/>
          <w:szCs w:val="14"/>
          <w:color w:val="auto"/>
        </w:rPr>
      </w:pPr>
      <w:r>
        <w:rPr>
          <w:rFonts w:ascii="Arial" w:cs="Arial" w:eastAsia="Arial" w:hAnsi="Arial"/>
          <w:sz w:val="14"/>
          <w:szCs w:val="14"/>
          <w:color w:val="auto"/>
        </w:rPr>
        <w:t>Any Proposing Shareholder requesting to include on the agenda of a General Meeting a nomination of a Person to be proposed to the Shareholders for election as Director (such person, an “</w:t>
      </w:r>
      <w:r>
        <w:rPr>
          <w:rFonts w:ascii="Arial" w:cs="Arial" w:eastAsia="Arial" w:hAnsi="Arial"/>
          <w:sz w:val="14"/>
          <w:szCs w:val="14"/>
          <w:b w:val="1"/>
          <w:bCs w:val="1"/>
          <w:color w:val="auto"/>
        </w:rPr>
        <w:t>Alternate Nominee</w:t>
      </w:r>
      <w:r>
        <w:rPr>
          <w:rFonts w:ascii="Arial" w:cs="Arial" w:eastAsia="Arial" w:hAnsi="Arial"/>
          <w:sz w:val="14"/>
          <w:szCs w:val="14"/>
          <w:color w:val="auto"/>
        </w:rPr>
        <w:t>”), may so request provided that it complies with this Article 39(e) and Article 25 and applicable law. Unless otherwise determined by the Board, a Proposal Request relating to Alternate Nominee is deemed to be a matter that is appropriate to be considered only in an Annual General Meeting. In addition to any information required to be included in accordance with applicable law, such a Proposal Request shall include information required pursuant to Article 25, and shall also set forth: (i) the name, address, telephone number, fax number and email address of the Alternate Nominee and all citizenships and residencies of the Alternate Nominee; (ii) a description of all arrangements, relations or understandings between the Proposing Shareholder(s) or any of its affiliates and each Alternate Nominee; (iii) a declaration signed by the Alternate Nominee that he consents to be named in the Company’s notices and proxy materials relating to the General Meeting, if provided or published, and, if elected, to serve on the Board of Directors and to be named in the Company’s disclosures and filings, (iv) a declaration signed by each Alternate Nominee as required under the Companies Law and any other applicable law and stock exchange rules and regulations for the appointment of such an Alternate Nominee and an undertaking that all of the information that is required under law and stock exchange rules and regulations to be provided to the Company in connection with such an appointment has been provided (including, information in respect of the Alternate Nominee as would be provided in response to the applicable disclosure requirements under Form 20-F or any other applicable form prescribed by the U.S. Securities and Exchange Commission); (v) a declaration made by the Alternate Nominee of whether he or she meets the criteria for an independent director and/or External Director of the Company under the Companies Law and/or under any applicable law, regulation or stock exchange rules, and if not, then an explanation of why not; and (vi) any other information required at the time of submission of the Proposal Request by applicable law, regulations or stock exchange rules. In addition, the Proposing Shareholder shall promptly provide any other information reasonably requested by the Company. The Board of Directors may refuse to acknowledge the nomination of any person not made in compliance with the foregoing. The Company shall be entitled to publish any information provided by a Proposing Shareholder pursuant to this Article 39(e) and Article 25, and the Proposing Shareholder shall be responsible for the accuracy and completeness thereof.</w:t>
      </w:r>
    </w:p>
    <w:p>
      <w:pPr>
        <w:spacing w:after="0" w:line="350" w:lineRule="exact"/>
        <w:rPr>
          <w:rFonts w:ascii="Arial" w:cs="Arial" w:eastAsia="Arial" w:hAnsi="Arial"/>
          <w:sz w:val="14"/>
          <w:szCs w:val="14"/>
          <w:color w:val="auto"/>
        </w:rPr>
      </w:pPr>
    </w:p>
    <w:p>
      <w:pPr>
        <w:ind w:left="5579" w:hanging="103"/>
        <w:spacing w:after="0"/>
        <w:tabs>
          <w:tab w:leader="none" w:pos="5579" w:val="left"/>
        </w:tabs>
        <w:numPr>
          <w:ilvl w:val="3"/>
          <w:numId w:val="225"/>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2" w:right="299" w:bottom="1440" w:gutter="0" w:footer="0" w:header="0"/>
        </w:sectPr>
      </w:pPr>
    </w:p>
    <w:bookmarkStart w:id="225" w:name="page226"/>
    <w:bookmarkEnd w:id="225"/>
    <w:p>
      <w:pPr>
        <w:ind w:left="1139" w:hanging="567"/>
        <w:spacing w:after="0"/>
        <w:tabs>
          <w:tab w:leader="none" w:pos="1139"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Nominees or Alternate Nominees shall be elected by a resolution adopted at the General Meeting at which they are subject to election.</w:t>
      </w:r>
    </w:p>
    <w:p>
      <w:pPr>
        <w:spacing w:after="0" w:line="203" w:lineRule="exact"/>
        <w:rPr>
          <w:rFonts w:ascii="Arial" w:cs="Arial" w:eastAsia="Arial" w:hAnsi="Arial"/>
          <w:sz w:val="16"/>
          <w:szCs w:val="16"/>
          <w:color w:val="auto"/>
        </w:rPr>
      </w:pPr>
    </w:p>
    <w:p>
      <w:pPr>
        <w:jc w:val="both"/>
        <w:ind w:left="579" w:hanging="7"/>
        <w:spacing w:after="0" w:line="267" w:lineRule="auto"/>
        <w:tabs>
          <w:tab w:leader="none" w:pos="1186" w:val="left"/>
        </w:tabs>
        <w:numPr>
          <w:ilvl w:val="1"/>
          <w:numId w:val="226"/>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this Article 39 and Article 42(e) may only be amended, replaced or suspended by a resolution adopted at a General Meeting by a majority of 65% of the voting power represented at the General Meeting in person or by proxy and voting thereon, disregarding abstentions from the count of the voting power present and voting.</w:t>
      </w:r>
    </w:p>
    <w:p>
      <w:pPr>
        <w:spacing w:after="0" w:line="161" w:lineRule="exact"/>
        <w:rPr>
          <w:rFonts w:ascii="Arial" w:cs="Arial" w:eastAsia="Arial" w:hAnsi="Arial"/>
          <w:sz w:val="16"/>
          <w:szCs w:val="16"/>
          <w:color w:val="auto"/>
        </w:rPr>
      </w:pPr>
    </w:p>
    <w:p>
      <w:pPr>
        <w:ind w:left="579" w:hanging="7"/>
        <w:spacing w:after="0" w:line="281" w:lineRule="auto"/>
        <w:tabs>
          <w:tab w:leader="none" w:pos="1173" w:val="left"/>
        </w:tabs>
        <w:numPr>
          <w:ilvl w:val="1"/>
          <w:numId w:val="226"/>
        </w:numPr>
        <w:rPr>
          <w:rFonts w:ascii="Arial" w:cs="Arial" w:eastAsia="Arial" w:hAnsi="Arial"/>
          <w:sz w:val="16"/>
          <w:szCs w:val="16"/>
          <w:color w:val="auto"/>
        </w:rPr>
      </w:pPr>
      <w:r>
        <w:rPr>
          <w:rFonts w:ascii="Arial" w:cs="Arial" w:eastAsia="Arial" w:hAnsi="Arial"/>
          <w:sz w:val="16"/>
          <w:szCs w:val="16"/>
          <w:color w:val="auto"/>
        </w:rPr>
        <w:t>Notwithstanding anything to the contrary in these Articles, the election, qualification, removal or dismissal of External Directors shall be only in accordance with the applicable provisions set forth in the Companies Law.</w:t>
      </w:r>
    </w:p>
    <w:p>
      <w:pPr>
        <w:spacing w:after="0" w:line="146" w:lineRule="exact"/>
        <w:rPr>
          <w:rFonts w:ascii="Arial" w:cs="Arial" w:eastAsia="Arial" w:hAnsi="Arial"/>
          <w:sz w:val="16"/>
          <w:szCs w:val="16"/>
          <w:color w:val="auto"/>
        </w:rPr>
      </w:pPr>
    </w:p>
    <w:p>
      <w:pPr>
        <w:ind w:left="599" w:hanging="599"/>
        <w:spacing w:after="0"/>
        <w:tabs>
          <w:tab w:leader="none" w:pos="599" w:val="left"/>
        </w:tabs>
        <w:numPr>
          <w:ilvl w:val="0"/>
          <w:numId w:val="227"/>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OMMENCEMENT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IRECTORSHIP</w:t>
      </w:r>
      <w:r>
        <w:rPr>
          <w:rFonts w:ascii="Arial" w:cs="Arial" w:eastAsia="Arial" w:hAnsi="Arial"/>
          <w:sz w:val="16"/>
          <w:szCs w:val="16"/>
          <w:color w:val="auto"/>
        </w:rPr>
        <w:t>.</w:t>
      </w:r>
    </w:p>
    <w:p>
      <w:pPr>
        <w:spacing w:after="0" w:line="208" w:lineRule="exact"/>
        <w:rPr>
          <w:sz w:val="20"/>
          <w:szCs w:val="20"/>
          <w:color w:val="auto"/>
        </w:rPr>
      </w:pPr>
    </w:p>
    <w:p>
      <w:pPr>
        <w:ind w:left="579"/>
        <w:spacing w:after="0" w:line="281" w:lineRule="auto"/>
        <w:rPr>
          <w:sz w:val="20"/>
          <w:szCs w:val="20"/>
          <w:color w:val="auto"/>
        </w:rPr>
      </w:pPr>
      <w:r>
        <w:rPr>
          <w:rFonts w:ascii="Arial" w:cs="Arial" w:eastAsia="Arial" w:hAnsi="Arial"/>
          <w:sz w:val="16"/>
          <w:szCs w:val="16"/>
          <w:color w:val="auto"/>
        </w:rPr>
        <w:t>Without derogating from Article 39, the term of office of a Director shall commence as of the date of his appointment or election, or on a later date if so specified in his appointment or election.</w:t>
      </w:r>
    </w:p>
    <w:p>
      <w:pPr>
        <w:spacing w:after="0" w:line="147" w:lineRule="exact"/>
        <w:rPr>
          <w:sz w:val="20"/>
          <w:szCs w:val="20"/>
          <w:color w:val="auto"/>
        </w:rPr>
      </w:pPr>
    </w:p>
    <w:p>
      <w:pPr>
        <w:ind w:left="599" w:hanging="599"/>
        <w:spacing w:after="0"/>
        <w:tabs>
          <w:tab w:leader="none" w:pos="599" w:val="left"/>
        </w:tabs>
        <w:numPr>
          <w:ilvl w:val="0"/>
          <w:numId w:val="228"/>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ONTINUING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IRECTORS IN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0"/>
          <w:szCs w:val="10"/>
          <w:b w:val="1"/>
          <w:bCs w:val="1"/>
          <w:u w:val="single" w:color="auto"/>
          <w:color w:val="auto"/>
        </w:rPr>
        <w:t>VENT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V</w:t>
      </w:r>
      <w:r>
        <w:rPr>
          <w:rFonts w:ascii="Arial" w:cs="Arial" w:eastAsia="Arial" w:hAnsi="Arial"/>
          <w:sz w:val="10"/>
          <w:szCs w:val="10"/>
          <w:b w:val="1"/>
          <w:bCs w:val="1"/>
          <w:u w:val="single" w:color="auto"/>
          <w:color w:val="auto"/>
        </w:rPr>
        <w:t>ACANCIES</w:t>
      </w:r>
      <w:r>
        <w:rPr>
          <w:rFonts w:ascii="Arial" w:cs="Arial" w:eastAsia="Arial" w:hAnsi="Arial"/>
          <w:sz w:val="16"/>
          <w:szCs w:val="16"/>
          <w:color w:val="auto"/>
        </w:rPr>
        <w:t>.</w:t>
      </w:r>
    </w:p>
    <w:p>
      <w:pPr>
        <w:spacing w:after="0" w:line="208" w:lineRule="exact"/>
        <w:rPr>
          <w:sz w:val="20"/>
          <w:szCs w:val="20"/>
          <w:color w:val="auto"/>
        </w:rPr>
      </w:pPr>
    </w:p>
    <w:p>
      <w:pPr>
        <w:jc w:val="both"/>
        <w:ind w:left="579"/>
        <w:spacing w:after="0" w:line="298" w:lineRule="auto"/>
        <w:rPr>
          <w:sz w:val="20"/>
          <w:szCs w:val="20"/>
          <w:color w:val="auto"/>
        </w:rPr>
      </w:pPr>
      <w:r>
        <w:rPr>
          <w:rFonts w:ascii="Arial" w:cs="Arial" w:eastAsia="Arial" w:hAnsi="Arial"/>
          <w:sz w:val="14"/>
          <w:szCs w:val="14"/>
          <w:color w:val="auto"/>
        </w:rPr>
        <w:t>The Board may at any time and from time to time appoint any person as a Director to fill a vacancy (whether such vacancy is due to a Director no longer serving or due to the number of Directors serving being less than the maximum number stated in Article 38 hereof). In the event of one or more such vacancies in the Board of Directors, the continuing Directors may continue to act in every matter, provided, however, that if they number less than the minimum number provided for pursuant to Article 38 hereof, they may only act in an emergency or to fill the office of director which has become vacant up to a number equal to the minimum number provided for pursuant to Article 38 hereof, or in order to call a General Meeting of the Company for the purpose of electing Directors to fill any or all vacancies.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stated in Article 38 hereof, the Board shall determine at the time of appointment the class pursuant to Article 39 to which the additional Director shall be assigned.</w:t>
      </w:r>
    </w:p>
    <w:p>
      <w:pPr>
        <w:spacing w:after="0" w:line="141" w:lineRule="exact"/>
        <w:rPr>
          <w:sz w:val="20"/>
          <w:szCs w:val="20"/>
          <w:color w:val="auto"/>
        </w:rPr>
      </w:pPr>
    </w:p>
    <w:p>
      <w:pPr>
        <w:ind w:left="599" w:hanging="599"/>
        <w:spacing w:after="0"/>
        <w:tabs>
          <w:tab w:leader="none" w:pos="599" w:val="left"/>
        </w:tabs>
        <w:numPr>
          <w:ilvl w:val="0"/>
          <w:numId w:val="229"/>
        </w:numPr>
        <w:rPr>
          <w:rFonts w:ascii="Arial" w:cs="Arial" w:eastAsia="Arial" w:hAnsi="Arial"/>
          <w:sz w:val="16"/>
          <w:szCs w:val="16"/>
          <w:color w:val="auto"/>
        </w:rPr>
      </w:pPr>
      <w:r>
        <w:rPr>
          <w:rFonts w:ascii="Arial" w:cs="Arial" w:eastAsia="Arial" w:hAnsi="Arial"/>
          <w:sz w:val="16"/>
          <w:szCs w:val="16"/>
          <w:b w:val="1"/>
          <w:bCs w:val="1"/>
          <w:u w:val="single" w:color="auto"/>
          <w:color w:val="auto"/>
        </w:rPr>
        <w:t>V</w:t>
      </w:r>
      <w:r>
        <w:rPr>
          <w:rFonts w:ascii="Arial" w:cs="Arial" w:eastAsia="Arial" w:hAnsi="Arial"/>
          <w:sz w:val="10"/>
          <w:szCs w:val="10"/>
          <w:b w:val="1"/>
          <w:bCs w:val="1"/>
          <w:u w:val="single" w:color="auto"/>
          <w:color w:val="auto"/>
        </w:rPr>
        <w:t>ACATION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w:t>
      </w:r>
      <w:r>
        <w:rPr>
          <w:rFonts w:ascii="Arial" w:cs="Arial" w:eastAsia="Arial" w:hAnsi="Arial"/>
          <w:sz w:val="10"/>
          <w:szCs w:val="10"/>
          <w:b w:val="1"/>
          <w:bCs w:val="1"/>
          <w:u w:val="single" w:color="auto"/>
          <w:color w:val="auto"/>
        </w:rPr>
        <w:t>FFICE</w:t>
      </w:r>
      <w:r>
        <w:rPr>
          <w:rFonts w:ascii="Arial" w:cs="Arial" w:eastAsia="Arial" w:hAnsi="Arial"/>
          <w:sz w:val="16"/>
          <w:szCs w:val="16"/>
          <w:color w:val="auto"/>
        </w:rPr>
        <w:t>.</w:t>
      </w:r>
    </w:p>
    <w:p>
      <w:pPr>
        <w:spacing w:after="0" w:line="208" w:lineRule="exact"/>
        <w:rPr>
          <w:sz w:val="20"/>
          <w:szCs w:val="20"/>
          <w:color w:val="auto"/>
        </w:rPr>
      </w:pPr>
    </w:p>
    <w:p>
      <w:pPr>
        <w:ind w:left="579"/>
        <w:spacing w:after="0"/>
        <w:rPr>
          <w:sz w:val="20"/>
          <w:szCs w:val="20"/>
          <w:color w:val="auto"/>
        </w:rPr>
      </w:pPr>
      <w:r>
        <w:rPr>
          <w:rFonts w:ascii="Arial" w:cs="Arial" w:eastAsia="Arial" w:hAnsi="Arial"/>
          <w:sz w:val="16"/>
          <w:szCs w:val="16"/>
          <w:color w:val="auto"/>
        </w:rPr>
        <w:t>The office of a Director shall be vacated and he or she shall be dismissed or removed:</w:t>
      </w:r>
    </w:p>
    <w:p>
      <w:pPr>
        <w:spacing w:after="0" w:line="204" w:lineRule="exact"/>
        <w:rPr>
          <w:sz w:val="20"/>
          <w:szCs w:val="20"/>
          <w:color w:val="auto"/>
        </w:rPr>
      </w:pPr>
    </w:p>
    <w:p>
      <w:pPr>
        <w:ind w:left="1159" w:hanging="587"/>
        <w:spacing w:after="0"/>
        <w:tabs>
          <w:tab w:leader="none" w:pos="115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ipso facto, upon his or her death;</w:t>
      </w:r>
    </w:p>
    <w:p>
      <w:pPr>
        <w:spacing w:after="0" w:line="203" w:lineRule="exact"/>
        <w:rPr>
          <w:rFonts w:ascii="Arial" w:cs="Arial" w:eastAsia="Arial" w:hAnsi="Arial"/>
          <w:sz w:val="16"/>
          <w:szCs w:val="16"/>
          <w:color w:val="auto"/>
        </w:rPr>
      </w:pPr>
    </w:p>
    <w:p>
      <w:pPr>
        <w:ind w:left="1159" w:hanging="587"/>
        <w:spacing w:after="0"/>
        <w:tabs>
          <w:tab w:leader="none" w:pos="115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if he or she is prevented by applicable law from serving as a Director;</w:t>
      </w:r>
    </w:p>
    <w:p>
      <w:pPr>
        <w:spacing w:after="0" w:line="203" w:lineRule="exact"/>
        <w:rPr>
          <w:rFonts w:ascii="Arial" w:cs="Arial" w:eastAsia="Arial" w:hAnsi="Arial"/>
          <w:sz w:val="16"/>
          <w:szCs w:val="16"/>
          <w:color w:val="auto"/>
        </w:rPr>
      </w:pPr>
    </w:p>
    <w:p>
      <w:pPr>
        <w:ind w:left="1159" w:hanging="587"/>
        <w:spacing w:after="0"/>
        <w:tabs>
          <w:tab w:leader="none" w:pos="115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if the Board determines that due to his or her mental or physical state he or she is unable to serve as a director;</w:t>
      </w:r>
    </w:p>
    <w:p>
      <w:pPr>
        <w:spacing w:after="0" w:line="203" w:lineRule="exact"/>
        <w:rPr>
          <w:rFonts w:ascii="Arial" w:cs="Arial" w:eastAsia="Arial" w:hAnsi="Arial"/>
          <w:sz w:val="16"/>
          <w:szCs w:val="16"/>
          <w:color w:val="auto"/>
        </w:rPr>
      </w:pPr>
    </w:p>
    <w:p>
      <w:pPr>
        <w:ind w:left="1159" w:hanging="587"/>
        <w:spacing w:after="0"/>
        <w:tabs>
          <w:tab w:leader="none" w:pos="115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if his or her directorship expires pursuant to these Articles and/or applicable law;</w:t>
      </w:r>
    </w:p>
    <w:p>
      <w:pPr>
        <w:spacing w:after="0" w:line="203" w:lineRule="exact"/>
        <w:rPr>
          <w:rFonts w:ascii="Arial" w:cs="Arial" w:eastAsia="Arial" w:hAnsi="Arial"/>
          <w:sz w:val="16"/>
          <w:szCs w:val="16"/>
          <w:color w:val="auto"/>
        </w:rPr>
      </w:pPr>
    </w:p>
    <w:p>
      <w:pPr>
        <w:ind w:left="579" w:hanging="7"/>
        <w:spacing w:after="0" w:line="355" w:lineRule="auto"/>
        <w:tabs>
          <w:tab w:leader="none" w:pos="1164" w:val="left"/>
        </w:tabs>
        <w:numPr>
          <w:ilvl w:val="0"/>
          <w:numId w:val="230"/>
        </w:numPr>
        <w:rPr>
          <w:rFonts w:ascii="Arial" w:cs="Arial" w:eastAsia="Arial" w:hAnsi="Arial"/>
          <w:sz w:val="14"/>
          <w:szCs w:val="14"/>
          <w:color w:val="auto"/>
        </w:rPr>
      </w:pPr>
      <w:r>
        <w:rPr>
          <w:rFonts w:ascii="Arial" w:cs="Arial" w:eastAsia="Arial" w:hAnsi="Arial"/>
          <w:sz w:val="14"/>
          <w:szCs w:val="14"/>
          <w:color w:val="auto"/>
        </w:rPr>
        <w:t>by a resolution adopted at a General Meeting by a majority of 65% of the voting power represented at the General Meeting in person or by proxy and voting thereon, disregarding abstentions from the count of the voting power present and voting. Such removal shall become effective on the date fixed in such resolution;</w:t>
      </w:r>
    </w:p>
    <w:p>
      <w:pPr>
        <w:spacing w:after="0" w:line="298" w:lineRule="exact"/>
        <w:rPr>
          <w:rFonts w:ascii="Arial" w:cs="Arial" w:eastAsia="Arial" w:hAnsi="Arial"/>
          <w:sz w:val="14"/>
          <w:szCs w:val="14"/>
          <w:color w:val="auto"/>
        </w:rPr>
      </w:pPr>
    </w:p>
    <w:p>
      <w:pPr>
        <w:ind w:left="5579" w:hanging="103"/>
        <w:spacing w:after="0"/>
        <w:tabs>
          <w:tab w:leader="none" w:pos="557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5" w:right="299" w:bottom="1440" w:gutter="0" w:footer="0" w:header="0"/>
        </w:sectPr>
      </w:pPr>
    </w:p>
    <w:bookmarkStart w:id="226" w:name="page227"/>
    <w:bookmarkEnd w:id="226"/>
    <w:p>
      <w:pPr>
        <w:ind w:left="1200" w:hanging="627"/>
        <w:spacing w:after="0"/>
        <w:tabs>
          <w:tab w:leader="none" w:pos="120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by his or her written resignation, such resignation becoming effective on the date fixed therein, or upon the delivery thereof to the Company, whichever is</w:t>
      </w:r>
    </w:p>
    <w:p>
      <w:pPr>
        <w:spacing w:after="0" w:line="44"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later; or</w:t>
      </w:r>
    </w:p>
    <w:p>
      <w:pPr>
        <w:spacing w:after="0" w:line="191" w:lineRule="exact"/>
        <w:rPr>
          <w:rFonts w:ascii="Arial" w:cs="Arial" w:eastAsia="Arial" w:hAnsi="Arial"/>
          <w:sz w:val="14"/>
          <w:szCs w:val="14"/>
          <w:color w:val="auto"/>
        </w:rPr>
      </w:pPr>
    </w:p>
    <w:p>
      <w:pPr>
        <w:ind w:left="1160" w:hanging="587"/>
        <w:spacing w:after="0"/>
        <w:tabs>
          <w:tab w:leader="none" w:pos="11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with respect to an External Director, and notwithstanding anything to the contrary herein, only pursuant to applicable law.</w:t>
      </w:r>
    </w:p>
    <w:p>
      <w:pPr>
        <w:spacing w:after="0" w:line="199" w:lineRule="exact"/>
        <w:rPr>
          <w:rFonts w:ascii="Arial" w:cs="Arial" w:eastAsia="Arial" w:hAnsi="Arial"/>
          <w:sz w:val="16"/>
          <w:szCs w:val="16"/>
          <w:color w:val="auto"/>
        </w:rPr>
      </w:pPr>
    </w:p>
    <w:p>
      <w:pPr>
        <w:ind w:left="600" w:hanging="599"/>
        <w:spacing w:after="0"/>
        <w:tabs>
          <w:tab w:leader="none" w:pos="600" w:val="left"/>
        </w:tabs>
        <w:numPr>
          <w:ilvl w:val="0"/>
          <w:numId w:val="232"/>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ONFLICT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NTERESTS</w:t>
      </w:r>
      <w:r>
        <w:rPr>
          <w:rFonts w:ascii="Arial" w:cs="Arial" w:eastAsia="Arial" w:hAnsi="Arial"/>
          <w:sz w:val="16"/>
          <w:szCs w:val="16"/>
          <w:b w:val="1"/>
          <w:bCs w:val="1"/>
          <w:u w:val="single" w:color="auto"/>
          <w:color w:val="auto"/>
        </w:rPr>
        <w:t>; A</w:t>
      </w:r>
      <w:r>
        <w:rPr>
          <w:rFonts w:ascii="Arial" w:cs="Arial" w:eastAsia="Arial" w:hAnsi="Arial"/>
          <w:sz w:val="10"/>
          <w:szCs w:val="10"/>
          <w:b w:val="1"/>
          <w:bCs w:val="1"/>
          <w:u w:val="single" w:color="auto"/>
          <w:color w:val="auto"/>
        </w:rPr>
        <w:t>PPROVAL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ELATED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ARTY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T</w:t>
      </w:r>
      <w:r>
        <w:rPr>
          <w:rFonts w:ascii="Arial" w:cs="Arial" w:eastAsia="Arial" w:hAnsi="Arial"/>
          <w:sz w:val="10"/>
          <w:szCs w:val="10"/>
          <w:b w:val="1"/>
          <w:bCs w:val="1"/>
          <w:u w:val="single" w:color="auto"/>
          <w:color w:val="auto"/>
        </w:rPr>
        <w:t>RANSACTIONS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56" w:lineRule="auto"/>
        <w:rPr>
          <w:sz w:val="20"/>
          <w:szCs w:val="20"/>
          <w:color w:val="auto"/>
        </w:rPr>
      </w:pPr>
      <w:r>
        <w:rPr>
          <w:rFonts w:ascii="Arial" w:cs="Arial" w:eastAsia="Arial" w:hAnsi="Arial"/>
          <w:sz w:val="16"/>
          <w:szCs w:val="16"/>
          <w:color w:val="auto"/>
        </w:rPr>
        <w:t>Subject to the provisions of the Companies Law and these Articles, no Director shall be disqualified by virtue of his office from holding any office or place of profit in the Company or in any company in which the Company shall be a shareholder or otherwise interested, or from contracting with the Company as vendor, purchaser or otherwise, nor shall any such contract, or any contract or arrangement entered into by or on behalf of the Company in which any Director shall be in any way interested, be avoided, nor, other than as required under the Companies Law, shall any Director be liable to account to the Company for any profit arising from any such office or place of profit or realized by any such contract or arrangement by reason only of such Director's holding that office or of the fiduciary relations thereby established, but the nature of his interest, as well as any material fact or document, must be disclosed by him at the meeting of the Board of Directors at which the contract or arrangement is first considered, if his interest then exists, or, in any other case, at no later than the first meeting of the Board of Directors after the acquisition of his interest.</w:t>
      </w:r>
    </w:p>
    <w:p>
      <w:pPr>
        <w:spacing w:after="0" w:line="170" w:lineRule="exact"/>
        <w:rPr>
          <w:sz w:val="20"/>
          <w:szCs w:val="20"/>
          <w:color w:val="auto"/>
        </w:rPr>
      </w:pPr>
    </w:p>
    <w:p>
      <w:pPr>
        <w:ind w:left="600" w:hanging="599"/>
        <w:spacing w:after="0"/>
        <w:tabs>
          <w:tab w:leader="none" w:pos="600" w:val="left"/>
        </w:tabs>
        <w:numPr>
          <w:ilvl w:val="0"/>
          <w:numId w:val="233"/>
        </w:numPr>
        <w:rPr>
          <w:rFonts w:ascii="Arial" w:cs="Arial" w:eastAsia="Arial" w:hAnsi="Arial"/>
          <w:sz w:val="16"/>
          <w:szCs w:val="16"/>
          <w:color w:val="auto"/>
        </w:rPr>
      </w:pP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LTERNATE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IRECTORS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59" w:lineRule="auto"/>
        <w:tabs>
          <w:tab w:leader="none" w:pos="116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Subject to the provisions of the Companies Law, a Director may, by written notice to the Company, appoint, remove or replace any person as an alternate for himself; provided that the appointment of such person shall have effect only upon and subject to its being approved by the Board (in these Articles, an "</w:t>
      </w:r>
      <w:r>
        <w:rPr>
          <w:rFonts w:ascii="Arial" w:cs="Arial" w:eastAsia="Arial" w:hAnsi="Arial"/>
          <w:sz w:val="16"/>
          <w:szCs w:val="16"/>
          <w:b w:val="1"/>
          <w:bCs w:val="1"/>
          <w:color w:val="auto"/>
        </w:rPr>
        <w:t>Alternate</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w:t>
      </w:r>
      <w:r>
        <w:rPr>
          <w:rFonts w:ascii="Arial" w:cs="Arial" w:eastAsia="Arial" w:hAnsi="Arial"/>
          <w:sz w:val="16"/>
          <w:szCs w:val="16"/>
          <w:color w:val="auto"/>
        </w:rPr>
        <w:t>"). Unless the appointing Director, by the instrument appointing an Alternate Director or by written notice to the Company, limits such appointment to a</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period of time or restricts it to a specified meeting or action of the Board of Directors, or otherwise restricts its scope, the appointment shall be for all purposes, and for a period of time concurrent with the term of the appointing Director.</w:t>
      </w:r>
    </w:p>
    <w:p>
      <w:pPr>
        <w:spacing w:after="0" w:line="170" w:lineRule="exact"/>
        <w:rPr>
          <w:rFonts w:ascii="Arial" w:cs="Arial" w:eastAsia="Arial" w:hAnsi="Arial"/>
          <w:sz w:val="16"/>
          <w:szCs w:val="16"/>
          <w:color w:val="auto"/>
        </w:rPr>
      </w:pPr>
    </w:p>
    <w:p>
      <w:pPr>
        <w:jc w:val="both"/>
        <w:ind w:left="580" w:hanging="7"/>
        <w:spacing w:after="0" w:line="262" w:lineRule="auto"/>
        <w:tabs>
          <w:tab w:leader="none" w:pos="125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Any notice to the Company pursuant to Article 44(a) shall be given in person to, or by sending the same by mail to the attention of the Chairman of the Board of Directors at the principal office of the Company or to such other person or place as the Board of Directors shall have determined for such purpose, and shall become effective on the date fixed therein, upon the receipt thereof by the Company (at the place as aforesaid) or upon the approval of the appointment by the Board, whichever is later.</w:t>
      </w:r>
    </w:p>
    <w:p>
      <w:pPr>
        <w:spacing w:after="0" w:line="165" w:lineRule="exact"/>
        <w:rPr>
          <w:rFonts w:ascii="Arial" w:cs="Arial" w:eastAsia="Arial" w:hAnsi="Arial"/>
          <w:sz w:val="16"/>
          <w:szCs w:val="16"/>
          <w:color w:val="auto"/>
        </w:rPr>
      </w:pPr>
    </w:p>
    <w:p>
      <w:pPr>
        <w:jc w:val="both"/>
        <w:ind w:left="580" w:hanging="7"/>
        <w:spacing w:after="0" w:line="267" w:lineRule="auto"/>
        <w:tabs>
          <w:tab w:leader="none" w:pos="1198"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An Alternate Director shall have all the rights and obligations of the Director who appointed him, provided however, that (i) he may not in turn appoint an alternate for himself (unless the instrument appointing him otherwise expressly provides), and (ii) an Alternate Director shall have no standing at any meeting of the Board of Directors or any Committee thereof while the Director who appointed him is present.</w:t>
      </w:r>
    </w:p>
    <w:p>
      <w:pPr>
        <w:spacing w:after="0" w:line="161" w:lineRule="exact"/>
        <w:rPr>
          <w:rFonts w:ascii="Arial" w:cs="Arial" w:eastAsia="Arial" w:hAnsi="Arial"/>
          <w:sz w:val="16"/>
          <w:szCs w:val="16"/>
          <w:color w:val="auto"/>
        </w:rPr>
      </w:pPr>
    </w:p>
    <w:p>
      <w:pPr>
        <w:ind w:left="580" w:hanging="7"/>
        <w:spacing w:after="0" w:line="281" w:lineRule="auto"/>
        <w:tabs>
          <w:tab w:leader="none" w:pos="1186"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Any individual, who qualifies to be a member of the Board of Directors, may act as an Alternate Director. One person may not act as Alternate Director for several directors.</w:t>
      </w:r>
    </w:p>
    <w:p>
      <w:pPr>
        <w:spacing w:after="0" w:line="150" w:lineRule="exact"/>
        <w:rPr>
          <w:rFonts w:ascii="Arial" w:cs="Arial" w:eastAsia="Arial" w:hAnsi="Arial"/>
          <w:sz w:val="16"/>
          <w:szCs w:val="16"/>
          <w:color w:val="auto"/>
        </w:rPr>
      </w:pPr>
    </w:p>
    <w:p>
      <w:pPr>
        <w:ind w:left="580" w:hanging="7"/>
        <w:spacing w:after="0" w:line="281" w:lineRule="auto"/>
        <w:tabs>
          <w:tab w:leader="none" w:pos="1233"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office of an Alternate Director shall be vacated under the circumstances, mutatis mutandis, set forth in Article 42, and such office shall ipso facto be vacated if the office of the Director who appointed such Alternate Director is vacated, for any reason.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ROCEEDINGS OF THE</w:t>
      </w:r>
      <w:r>
        <w:rPr>
          <w:rFonts w:ascii="Arial" w:cs="Arial" w:eastAsia="Arial" w:hAnsi="Arial"/>
          <w:sz w:val="16"/>
          <w:szCs w:val="16"/>
          <w:b w:val="1"/>
          <w:bCs w:val="1"/>
          <w:color w:val="auto"/>
        </w:rPr>
        <w:t xml:space="preserve"> B</w:t>
      </w:r>
      <w:r>
        <w:rPr>
          <w:rFonts w:ascii="Arial" w:cs="Arial" w:eastAsia="Arial" w:hAnsi="Arial"/>
          <w:sz w:val="10"/>
          <w:szCs w:val="10"/>
          <w:b w:val="1"/>
          <w:bCs w:val="1"/>
          <w:color w:val="auto"/>
        </w:rPr>
        <w:t>OARD OF</w:t>
      </w:r>
      <w:r>
        <w:rPr>
          <w:rFonts w:ascii="Arial" w:cs="Arial" w:eastAsia="Arial" w:hAnsi="Arial"/>
          <w:sz w:val="16"/>
          <w:szCs w:val="16"/>
          <w:b w:val="1"/>
          <w:bCs w:val="1"/>
          <w:color w:val="auto"/>
        </w:rPr>
        <w:t xml:space="preserve"> D</w:t>
      </w:r>
      <w:r>
        <w:rPr>
          <w:rFonts w:ascii="Arial" w:cs="Arial" w:eastAsia="Arial" w:hAnsi="Arial"/>
          <w:sz w:val="10"/>
          <w:szCs w:val="10"/>
          <w:b w:val="1"/>
          <w:bCs w:val="1"/>
          <w:color w:val="auto"/>
        </w:rPr>
        <w:t>IRECTORS</w:t>
      </w:r>
    </w:p>
    <w:p>
      <w:pPr>
        <w:spacing w:after="0" w:line="204" w:lineRule="exact"/>
        <w:rPr>
          <w:sz w:val="20"/>
          <w:szCs w:val="20"/>
          <w:color w:val="auto"/>
        </w:rPr>
      </w:pPr>
    </w:p>
    <w:p>
      <w:pPr>
        <w:ind w:left="600" w:hanging="599"/>
        <w:spacing w:after="0"/>
        <w:tabs>
          <w:tab w:leader="none" w:pos="600" w:val="left"/>
        </w:tabs>
        <w:numPr>
          <w:ilvl w:val="0"/>
          <w:numId w:val="234"/>
        </w:numPr>
        <w:rPr>
          <w:rFonts w:ascii="Arial" w:cs="Arial" w:eastAsia="Arial" w:hAnsi="Arial"/>
          <w:sz w:val="16"/>
          <w:szCs w:val="16"/>
          <w:color w:val="auto"/>
        </w:rPr>
      </w:pPr>
      <w:r>
        <w:rPr>
          <w:rFonts w:ascii="Arial" w:cs="Arial" w:eastAsia="Arial" w:hAnsi="Arial"/>
          <w:sz w:val="16"/>
          <w:szCs w:val="16"/>
          <w:b w:val="1"/>
          <w:bCs w:val="1"/>
          <w:u w:val="single" w:color="auto"/>
          <w:color w:val="auto"/>
        </w:rPr>
        <w:t>M</w:t>
      </w:r>
      <w:r>
        <w:rPr>
          <w:rFonts w:ascii="Arial" w:cs="Arial" w:eastAsia="Arial" w:hAnsi="Arial"/>
          <w:sz w:val="10"/>
          <w:szCs w:val="10"/>
          <w:b w:val="1"/>
          <w:bCs w:val="1"/>
          <w:u w:val="single" w:color="auto"/>
          <w:color w:val="auto"/>
        </w:rPr>
        <w:t>EETINGS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1160" w:hanging="587"/>
        <w:spacing w:after="0"/>
        <w:tabs>
          <w:tab w:leader="none" w:pos="116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Board of Directors may meet and adjourn its meetings and otherwise regulate such meetings and proceedings as the Directors think fit.</w:t>
      </w:r>
    </w:p>
    <w:p>
      <w:pPr>
        <w:spacing w:after="0" w:line="397" w:lineRule="exact"/>
        <w:rPr>
          <w:rFonts w:ascii="Arial" w:cs="Arial" w:eastAsia="Arial" w:hAnsi="Arial"/>
          <w:sz w:val="16"/>
          <w:szCs w:val="16"/>
          <w:color w:val="auto"/>
        </w:rPr>
      </w:pPr>
    </w:p>
    <w:p>
      <w:pPr>
        <w:ind w:left="5580" w:hanging="103"/>
        <w:spacing w:after="0"/>
        <w:tabs>
          <w:tab w:leader="none" w:pos="5580" w:val="left"/>
        </w:tabs>
        <w:numPr>
          <w:ilvl w:val="2"/>
          <w:numId w:val="234"/>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27" w:name="page228"/>
    <w:bookmarkEnd w:id="227"/>
    <w:p>
      <w:pPr>
        <w:jc w:val="both"/>
        <w:ind w:left="580" w:hanging="7"/>
        <w:spacing w:after="0" w:line="292" w:lineRule="auto"/>
        <w:tabs>
          <w:tab w:leader="none" w:pos="1238" w:val="left"/>
        </w:tabs>
        <w:numPr>
          <w:ilvl w:val="1"/>
          <w:numId w:val="235"/>
        </w:numPr>
        <w:rPr>
          <w:rFonts w:ascii="Arial" w:cs="Arial" w:eastAsia="Arial" w:hAnsi="Arial"/>
          <w:sz w:val="15"/>
          <w:szCs w:val="15"/>
          <w:color w:val="auto"/>
        </w:rPr>
      </w:pPr>
      <w:r>
        <w:rPr>
          <w:rFonts w:ascii="Arial" w:cs="Arial" w:eastAsia="Arial" w:hAnsi="Arial"/>
          <w:sz w:val="15"/>
          <w:szCs w:val="15"/>
          <w:color w:val="auto"/>
        </w:rPr>
        <w:t>Any Director may at any time, and the Secretary, upon the request of such Director, shall, convene a meeting of the Board of Directors, but not less than forty-eight (48) hours' notice shall be given of any meeting so convened, unless such notice is waived by all of the Directors as to a particular meeting or unless the matters to be discussed at such meeting are of such urgency and importance that notice ought reasonably to be waived under the circumstances.</w:t>
      </w:r>
    </w:p>
    <w:p>
      <w:pPr>
        <w:spacing w:after="0" w:line="145" w:lineRule="exact"/>
        <w:rPr>
          <w:rFonts w:ascii="Arial" w:cs="Arial" w:eastAsia="Arial" w:hAnsi="Arial"/>
          <w:sz w:val="15"/>
          <w:szCs w:val="15"/>
          <w:color w:val="auto"/>
        </w:rPr>
      </w:pPr>
    </w:p>
    <w:p>
      <w:pPr>
        <w:ind w:left="1160" w:hanging="587"/>
        <w:spacing w:after="0"/>
        <w:tabs>
          <w:tab w:leader="none" w:pos="116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Notice of any such meeting shall be given in writing.</w:t>
      </w:r>
    </w:p>
    <w:p>
      <w:pPr>
        <w:spacing w:after="0" w:line="203" w:lineRule="exact"/>
        <w:rPr>
          <w:rFonts w:ascii="Arial" w:cs="Arial" w:eastAsia="Arial" w:hAnsi="Arial"/>
          <w:sz w:val="16"/>
          <w:szCs w:val="16"/>
          <w:color w:val="auto"/>
        </w:rPr>
      </w:pPr>
    </w:p>
    <w:p>
      <w:pPr>
        <w:jc w:val="both"/>
        <w:ind w:left="580" w:hanging="7"/>
        <w:spacing w:after="0" w:line="258" w:lineRule="auto"/>
        <w:tabs>
          <w:tab w:leader="none" w:pos="1183" w:val="left"/>
        </w:tabs>
        <w:numPr>
          <w:ilvl w:val="1"/>
          <w:numId w:val="235"/>
        </w:numPr>
        <w:rPr>
          <w:rFonts w:ascii="Arial" w:cs="Arial" w:eastAsia="Arial" w:hAnsi="Arial"/>
          <w:sz w:val="16"/>
          <w:szCs w:val="16"/>
          <w:color w:val="auto"/>
        </w:rPr>
      </w:pPr>
      <w:r>
        <w:rPr>
          <w:rFonts w:ascii="Arial" w:cs="Arial" w:eastAsia="Arial" w:hAnsi="Arial"/>
          <w:sz w:val="16"/>
          <w:szCs w:val="16"/>
          <w:color w:val="auto"/>
        </w:rPr>
        <w:t>Notwithstanding anything to the contrary herein, failure to deliver notice to a director of any such meeting in the manner required hereby may be waived by such Director, and a meeting shall be deemed to have been duly convened notwithstanding such defective notice if such failure or defect is waived prior to action being taken at such meeting, by all Directors entitled to participate at such meeting to whom notice was not duly given as aforesaid. Without derogating from the foregoing, no Director present at any time during a meeting of the Board of Directors shall be entitled to seek the cancellation or invalidation of any proceedings or resolutions adopted at such meeting on account of any defect in the notice of such meeting relating to the date, time or the place thereof or the convening of the meeting.</w:t>
      </w:r>
    </w:p>
    <w:p>
      <w:pPr>
        <w:spacing w:after="0" w:line="165" w:lineRule="exact"/>
        <w:rPr>
          <w:rFonts w:ascii="Arial" w:cs="Arial" w:eastAsia="Arial" w:hAnsi="Arial"/>
          <w:sz w:val="16"/>
          <w:szCs w:val="16"/>
          <w:color w:val="auto"/>
        </w:rPr>
      </w:pPr>
    </w:p>
    <w:p>
      <w:pPr>
        <w:ind w:left="600" w:hanging="599"/>
        <w:spacing w:after="0"/>
        <w:tabs>
          <w:tab w:leader="none" w:pos="600" w:val="left"/>
        </w:tabs>
        <w:numPr>
          <w:ilvl w:val="0"/>
          <w:numId w:val="236"/>
        </w:numPr>
        <w:rPr>
          <w:rFonts w:ascii="Arial" w:cs="Arial" w:eastAsia="Arial" w:hAnsi="Arial"/>
          <w:sz w:val="16"/>
          <w:szCs w:val="16"/>
          <w:color w:val="auto"/>
        </w:rPr>
      </w:pPr>
      <w:r>
        <w:rPr>
          <w:rFonts w:ascii="Arial" w:cs="Arial" w:eastAsia="Arial" w:hAnsi="Arial"/>
          <w:sz w:val="16"/>
          <w:szCs w:val="16"/>
          <w:b w:val="1"/>
          <w:bCs w:val="1"/>
          <w:u w:val="single" w:color="auto"/>
          <w:color w:val="auto"/>
        </w:rPr>
        <w:t>Q</w:t>
      </w:r>
      <w:r>
        <w:rPr>
          <w:rFonts w:ascii="Arial" w:cs="Arial" w:eastAsia="Arial" w:hAnsi="Arial"/>
          <w:sz w:val="10"/>
          <w:szCs w:val="10"/>
          <w:b w:val="1"/>
          <w:bCs w:val="1"/>
          <w:u w:val="single" w:color="auto"/>
          <w:color w:val="auto"/>
        </w:rPr>
        <w:t>UORUM</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2" w:lineRule="auto"/>
        <w:rPr>
          <w:sz w:val="20"/>
          <w:szCs w:val="20"/>
          <w:color w:val="auto"/>
        </w:rPr>
      </w:pPr>
      <w:r>
        <w:rPr>
          <w:rFonts w:ascii="Arial" w:cs="Arial" w:eastAsia="Arial" w:hAnsi="Arial"/>
          <w:sz w:val="16"/>
          <w:szCs w:val="16"/>
          <w:color w:val="auto"/>
        </w:rPr>
        <w:t>Until otherwise unanimously decided by the Board of Directors, a quorum at a meeting of the Board of Directors shall be constituted by the presence in person or by any means of communication of a majority of the Directors then in office who are lawfully entitled to participate and vote in the meeting. No business shall be transacted at a meeting of the Board of Directors unless the requisite quorum is present (in person or by any means of communication) when the meeting proceeds to business.</w:t>
      </w:r>
    </w:p>
    <w:p>
      <w:pPr>
        <w:spacing w:after="0" w:line="162" w:lineRule="exact"/>
        <w:rPr>
          <w:sz w:val="20"/>
          <w:szCs w:val="20"/>
          <w:color w:val="auto"/>
        </w:rPr>
      </w:pPr>
    </w:p>
    <w:p>
      <w:pPr>
        <w:ind w:left="600" w:hanging="599"/>
        <w:spacing w:after="0"/>
        <w:tabs>
          <w:tab w:leader="none" w:pos="600" w:val="left"/>
        </w:tabs>
        <w:numPr>
          <w:ilvl w:val="0"/>
          <w:numId w:val="237"/>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HAIRMAN OF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0"/>
          <w:szCs w:val="10"/>
          <w:b w:val="1"/>
          <w:bCs w:val="1"/>
          <w:u w:val="single" w:color="auto"/>
          <w:color w:val="auto"/>
        </w:rPr>
        <w:t>OARD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IRECTORS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The Board of Directors shall, from time to time, elect one of its members to be the Chairman of the Board of Directors, remove such Chairman from office and appoint in his place. The Chairman of the Board of Directors shall preside at every meeting of the Board of Directors, but if there is no such Chairman, or if at any meeting he is not present within fifteen (15) minutes of the time fixed for the meeting or if he is unwilling to take the chair, the Directors present shall choose one of the Directors present at the meeting to be the Chairman of such meeting. The office of Chairman of the Board of Directors shall not, by itself, entitle the holder to a second or casting vote.</w:t>
      </w:r>
    </w:p>
    <w:p>
      <w:pPr>
        <w:spacing w:after="0" w:line="166" w:lineRule="exact"/>
        <w:rPr>
          <w:sz w:val="20"/>
          <w:szCs w:val="20"/>
          <w:color w:val="auto"/>
        </w:rPr>
      </w:pPr>
    </w:p>
    <w:p>
      <w:pPr>
        <w:ind w:left="600" w:hanging="599"/>
        <w:spacing w:after="0"/>
        <w:tabs>
          <w:tab w:leader="none" w:pos="600" w:val="left"/>
        </w:tabs>
        <w:numPr>
          <w:ilvl w:val="0"/>
          <w:numId w:val="238"/>
        </w:numPr>
        <w:rPr>
          <w:rFonts w:ascii="Arial" w:cs="Arial" w:eastAsia="Arial" w:hAnsi="Arial"/>
          <w:sz w:val="16"/>
          <w:szCs w:val="16"/>
          <w:color w:val="auto"/>
        </w:rPr>
      </w:pPr>
      <w:r>
        <w:rPr>
          <w:rFonts w:ascii="Arial" w:cs="Arial" w:eastAsia="Arial" w:hAnsi="Arial"/>
          <w:sz w:val="16"/>
          <w:szCs w:val="16"/>
          <w:b w:val="1"/>
          <w:bCs w:val="1"/>
          <w:u w:val="single" w:color="auto"/>
          <w:color w:val="auto"/>
        </w:rPr>
        <w:t>V</w:t>
      </w:r>
      <w:r>
        <w:rPr>
          <w:rFonts w:ascii="Arial" w:cs="Arial" w:eastAsia="Arial" w:hAnsi="Arial"/>
          <w:sz w:val="10"/>
          <w:szCs w:val="10"/>
          <w:b w:val="1"/>
          <w:bCs w:val="1"/>
          <w:u w:val="single" w:color="auto"/>
          <w:color w:val="auto"/>
        </w:rPr>
        <w:t>ALIDITY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CTS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ESPITE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EFECTS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92" w:lineRule="auto"/>
        <w:rPr>
          <w:sz w:val="20"/>
          <w:szCs w:val="20"/>
          <w:color w:val="auto"/>
        </w:rPr>
      </w:pPr>
      <w:r>
        <w:rPr>
          <w:rFonts w:ascii="Arial" w:cs="Arial" w:eastAsia="Arial" w:hAnsi="Arial"/>
          <w:sz w:val="15"/>
          <w:szCs w:val="15"/>
          <w:color w:val="auto"/>
        </w:rPr>
        <w:t>All acts done or transacted at any meeting of the Board of Directors, or of a Committee of the Board of Directors, or by any person(s) acting as Director(s), shall, notwithstanding that it may afterwards be discovered that there was some defect in the appointment of the participants in such meeting or any of them or any person(s) acting as aforesaid, or that they or any of them were disqualified, be as valid as if there were no such defect or disqualification.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HIEF</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XECUTIVE</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FFICER</w:t>
      </w:r>
    </w:p>
    <w:p>
      <w:pPr>
        <w:spacing w:after="0" w:line="204" w:lineRule="exact"/>
        <w:rPr>
          <w:sz w:val="20"/>
          <w:szCs w:val="20"/>
          <w:color w:val="auto"/>
        </w:rPr>
      </w:pPr>
    </w:p>
    <w:p>
      <w:pPr>
        <w:ind w:left="600" w:hanging="599"/>
        <w:spacing w:after="0"/>
        <w:tabs>
          <w:tab w:leader="none" w:pos="600" w:val="left"/>
        </w:tabs>
        <w:numPr>
          <w:ilvl w:val="0"/>
          <w:numId w:val="239"/>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HIEF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0"/>
          <w:szCs w:val="10"/>
          <w:b w:val="1"/>
          <w:bCs w:val="1"/>
          <w:u w:val="single" w:color="auto"/>
          <w:color w:val="auto"/>
        </w:rPr>
        <w:t>XECUTIVE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w:t>
      </w:r>
      <w:r>
        <w:rPr>
          <w:rFonts w:ascii="Arial" w:cs="Arial" w:eastAsia="Arial" w:hAnsi="Arial"/>
          <w:sz w:val="10"/>
          <w:szCs w:val="10"/>
          <w:b w:val="1"/>
          <w:bCs w:val="1"/>
          <w:u w:val="single" w:color="auto"/>
          <w:color w:val="auto"/>
        </w:rPr>
        <w:t>FFICER</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58" w:lineRule="auto"/>
        <w:tabs>
          <w:tab w:leader="none" w:pos="1181"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Board of Directors shall from time to time appoint one or more persons, whether or not Directors, as Chief Executive Officer of the Company and may confer upon such person(s), and from time to time modify or revoke, such titles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any additional approvals required under, and the provisions of, the Companies Law and of any contract between any such person and the Company) fix their salaries and compensation, remove or dismiss them from office and appoint another or others in his or their place or places.</w:t>
      </w:r>
    </w:p>
    <w:p>
      <w:pPr>
        <w:spacing w:after="0" w:line="363" w:lineRule="exact"/>
        <w:rPr>
          <w:rFonts w:ascii="Arial" w:cs="Arial" w:eastAsia="Arial" w:hAnsi="Arial"/>
          <w:sz w:val="16"/>
          <w:szCs w:val="16"/>
          <w:color w:val="auto"/>
        </w:rPr>
      </w:pPr>
    </w:p>
    <w:p>
      <w:pPr>
        <w:ind w:left="5580" w:hanging="103"/>
        <w:spacing w:after="0"/>
        <w:tabs>
          <w:tab w:leader="none" w:pos="5580" w:val="left"/>
        </w:tabs>
        <w:numPr>
          <w:ilvl w:val="2"/>
          <w:numId w:val="239"/>
        </w:numPr>
        <w:rPr>
          <w:rFonts w:ascii="Arial" w:cs="Arial" w:eastAsia="Arial" w:hAnsi="Arial"/>
          <w:sz w:val="16"/>
          <w:szCs w:val="16"/>
          <w:color w:val="auto"/>
        </w:rPr>
      </w:pPr>
      <w:r>
        <w:rPr>
          <w:rFonts w:ascii="Arial" w:cs="Arial" w:eastAsia="Arial" w:hAnsi="Arial"/>
          <w:sz w:val="16"/>
          <w:szCs w:val="16"/>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28" w:name="page229"/>
    <w:bookmarkEnd w:id="228"/>
    <w:p>
      <w:pPr>
        <w:jc w:val="both"/>
        <w:ind w:left="580" w:hanging="7"/>
        <w:spacing w:after="0" w:line="259" w:lineRule="auto"/>
        <w:tabs>
          <w:tab w:leader="none" w:pos="121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Unless otherwise determined by the Board of Directors, the Chief Executive Officer shall have authority with respect to the management and operations of the Company in the ordinary course of business. The management and the operation of the Company's affairs and business in accordance with the policies determined by the Board of Directors shall be vested in the Chief Executive Officer, in addition to all powers and authorities of the general manager as specified in the Companies Law. The Board of Directors may assume the authority granted to the Chief Executive Officer, either with respect to a certain issue or for a certain period of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w:t>
      </w:r>
      <w:r>
        <w:rPr>
          <w:rFonts w:ascii="Arial" w:cs="Arial" w:eastAsia="Arial" w:hAnsi="Arial"/>
          <w:sz w:val="10"/>
          <w:szCs w:val="10"/>
          <w:b w:val="1"/>
          <w:bCs w:val="1"/>
          <w:color w:val="auto"/>
        </w:rPr>
        <w:t>INUTES</w:t>
      </w:r>
    </w:p>
    <w:p>
      <w:pPr>
        <w:spacing w:after="0" w:line="204" w:lineRule="exact"/>
        <w:rPr>
          <w:sz w:val="20"/>
          <w:szCs w:val="20"/>
          <w:color w:val="auto"/>
        </w:rPr>
      </w:pPr>
    </w:p>
    <w:p>
      <w:pPr>
        <w:ind w:left="600" w:hanging="599"/>
        <w:spacing w:after="0"/>
        <w:tabs>
          <w:tab w:leader="none" w:pos="600" w:val="left"/>
        </w:tabs>
        <w:numPr>
          <w:ilvl w:val="0"/>
          <w:numId w:val="241"/>
        </w:numPr>
        <w:rPr>
          <w:rFonts w:ascii="Arial" w:cs="Arial" w:eastAsia="Arial" w:hAnsi="Arial"/>
          <w:sz w:val="16"/>
          <w:szCs w:val="16"/>
          <w:color w:val="auto"/>
        </w:rPr>
      </w:pPr>
      <w:r>
        <w:rPr>
          <w:rFonts w:ascii="Arial" w:cs="Arial" w:eastAsia="Arial" w:hAnsi="Arial"/>
          <w:sz w:val="16"/>
          <w:szCs w:val="16"/>
          <w:b w:val="1"/>
          <w:bCs w:val="1"/>
          <w:u w:val="single" w:color="auto"/>
          <w:color w:val="auto"/>
        </w:rPr>
        <w:t>M</w:t>
      </w:r>
      <w:r>
        <w:rPr>
          <w:rFonts w:ascii="Arial" w:cs="Arial" w:eastAsia="Arial" w:hAnsi="Arial"/>
          <w:sz w:val="10"/>
          <w:szCs w:val="10"/>
          <w:b w:val="1"/>
          <w:bCs w:val="1"/>
          <w:u w:val="single" w:color="auto"/>
          <w:color w:val="auto"/>
        </w:rPr>
        <w:t>INUTES</w:t>
      </w:r>
      <w:r>
        <w:rPr>
          <w:rFonts w:ascii="Arial" w:cs="Arial" w:eastAsia="Arial" w:hAnsi="Arial"/>
          <w:sz w:val="16"/>
          <w:szCs w:val="16"/>
          <w:u w:val="single" w:color="auto"/>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Any minutes of the General Meeting or the Board of Directors or any committee thereof, if purporting to be signed by the Chairman of the General Meeting, the Board or a committee thereof, as the case may be, or by the Chairman of the next succeeding General Meeting, meeting of the Board or meeting of a committee thereof, as the case may be, shall constitute prima facie evidence of the matters recorded therein.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w:t>
      </w:r>
      <w:r>
        <w:rPr>
          <w:rFonts w:ascii="Arial" w:cs="Arial" w:eastAsia="Arial" w:hAnsi="Arial"/>
          <w:sz w:val="10"/>
          <w:szCs w:val="10"/>
          <w:b w:val="1"/>
          <w:bCs w:val="1"/>
          <w:color w:val="auto"/>
        </w:rPr>
        <w:t>IVIDENDS</w:t>
      </w:r>
    </w:p>
    <w:p>
      <w:pPr>
        <w:spacing w:after="0" w:line="204" w:lineRule="exact"/>
        <w:rPr>
          <w:sz w:val="20"/>
          <w:szCs w:val="20"/>
          <w:color w:val="auto"/>
        </w:rPr>
      </w:pPr>
    </w:p>
    <w:p>
      <w:pPr>
        <w:ind w:left="600" w:hanging="599"/>
        <w:spacing w:after="0"/>
        <w:tabs>
          <w:tab w:leader="none" w:pos="600" w:val="left"/>
        </w:tabs>
        <w:numPr>
          <w:ilvl w:val="0"/>
          <w:numId w:val="242"/>
        </w:numPr>
        <w:rPr>
          <w:rFonts w:ascii="Arial" w:cs="Arial" w:eastAsia="Arial" w:hAnsi="Arial"/>
          <w:sz w:val="16"/>
          <w:szCs w:val="16"/>
          <w:color w:val="auto"/>
        </w:rPr>
      </w:pP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ECLARATION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IVIDENDS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The Board of Directors may from time declare, and cause the Company to pay, such dividend as may appear to the Board of Directors to be justified by the profits of the Company and as permitted by the Companies Law. The Board of Directors shall determine the time for payment of such dividends and the record date for determining the shareholders entitled thereto.</w:t>
      </w:r>
    </w:p>
    <w:p>
      <w:pPr>
        <w:spacing w:after="0" w:line="157" w:lineRule="exact"/>
        <w:rPr>
          <w:sz w:val="20"/>
          <w:szCs w:val="20"/>
          <w:color w:val="auto"/>
        </w:rPr>
      </w:pPr>
    </w:p>
    <w:p>
      <w:pPr>
        <w:ind w:left="600" w:hanging="599"/>
        <w:spacing w:after="0"/>
        <w:tabs>
          <w:tab w:leader="none" w:pos="600" w:val="left"/>
        </w:tabs>
        <w:numPr>
          <w:ilvl w:val="0"/>
          <w:numId w:val="243"/>
        </w:numPr>
        <w:rPr>
          <w:rFonts w:ascii="Arial" w:cs="Arial" w:eastAsia="Arial" w:hAnsi="Arial"/>
          <w:sz w:val="16"/>
          <w:szCs w:val="16"/>
          <w:color w:val="auto"/>
        </w:rPr>
      </w:pP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MOUNT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AYABLE BY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W</w:t>
      </w:r>
      <w:r>
        <w:rPr>
          <w:rFonts w:ascii="Arial" w:cs="Arial" w:eastAsia="Arial" w:hAnsi="Arial"/>
          <w:sz w:val="10"/>
          <w:szCs w:val="10"/>
          <w:b w:val="1"/>
          <w:bCs w:val="1"/>
          <w:u w:val="single" w:color="auto"/>
          <w:color w:val="auto"/>
        </w:rPr>
        <w:t>AY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IVIDENDS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62" w:lineRule="auto"/>
        <w:tabs>
          <w:tab w:leader="none" w:pos="122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Subject to the provisions of these Articles and subject to the rights or conditions attached at that time to any share in the capital of the Company granting preferential, special or deferred rights or not granting any rights with respect to dividends, any dividend paid by the Company shall be allocated among the shareholders (not in default in payment of any sum referred to in Article 13 hereof) entitled thereto in proportion to their respective holdings of the shares in respect of which such dividends are being paid.</w:t>
      </w:r>
    </w:p>
    <w:p>
      <w:pPr>
        <w:spacing w:after="0" w:line="165" w:lineRule="exact"/>
        <w:rPr>
          <w:rFonts w:ascii="Arial" w:cs="Arial" w:eastAsia="Arial" w:hAnsi="Arial"/>
          <w:sz w:val="16"/>
          <w:szCs w:val="16"/>
          <w:color w:val="auto"/>
        </w:rPr>
      </w:pPr>
    </w:p>
    <w:p>
      <w:pPr>
        <w:jc w:val="both"/>
        <w:ind w:left="580" w:hanging="7"/>
        <w:spacing w:after="0" w:line="292" w:lineRule="auto"/>
        <w:tabs>
          <w:tab w:leader="none" w:pos="1182" w:val="left"/>
        </w:tabs>
        <w:numPr>
          <w:ilvl w:val="1"/>
          <w:numId w:val="243"/>
        </w:numPr>
        <w:rPr>
          <w:rFonts w:ascii="Arial" w:cs="Arial" w:eastAsia="Arial" w:hAnsi="Arial"/>
          <w:sz w:val="15"/>
          <w:szCs w:val="15"/>
          <w:color w:val="auto"/>
        </w:rPr>
      </w:pPr>
      <w:r>
        <w:rPr>
          <w:rFonts w:ascii="Arial" w:cs="Arial" w:eastAsia="Arial" w:hAnsi="Arial"/>
          <w:sz w:val="15"/>
          <w:szCs w:val="15"/>
          <w:color w:val="auto"/>
        </w:rPr>
        <w:t>Whenever the rights attached to any shares or the terms of issue of the shares do not provide otherwise, shares which are fully paid up or which are credited as fully or partly paid within any period which in respect thereof dividends are paid shall entitle the holders thereof to a dividend in proportion to the amount paid up or credited as paid up in respect of the nominal value of such shares and to the date of payment thereof (pro rata temporis).</w:t>
      </w:r>
    </w:p>
    <w:p>
      <w:pPr>
        <w:spacing w:after="0" w:line="141" w:lineRule="exact"/>
        <w:rPr>
          <w:rFonts w:ascii="Arial" w:cs="Arial" w:eastAsia="Arial" w:hAnsi="Arial"/>
          <w:sz w:val="15"/>
          <w:szCs w:val="15"/>
          <w:color w:val="auto"/>
        </w:rPr>
      </w:pPr>
    </w:p>
    <w:p>
      <w:pPr>
        <w:ind w:left="600" w:hanging="599"/>
        <w:spacing w:after="0"/>
        <w:tabs>
          <w:tab w:leader="none" w:pos="600" w:val="left"/>
        </w:tabs>
        <w:numPr>
          <w:ilvl w:val="0"/>
          <w:numId w:val="243"/>
        </w:numPr>
        <w:rPr>
          <w:rFonts w:ascii="Arial" w:cs="Arial" w:eastAsia="Arial" w:hAnsi="Arial"/>
          <w:sz w:val="16"/>
          <w:szCs w:val="16"/>
          <w:color w:val="auto"/>
        </w:rPr>
      </w:pP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NTEREST</w:t>
      </w:r>
      <w:r>
        <w:rPr>
          <w:rFonts w:ascii="Arial" w:cs="Arial" w:eastAsia="Arial" w:hAnsi="Arial"/>
          <w:sz w:val="16"/>
          <w:szCs w:val="16"/>
          <w:color w:val="auto"/>
        </w:rPr>
        <w:t>.</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dividend shall carry interest as against the Company.</w:t>
      </w:r>
    </w:p>
    <w:p>
      <w:pPr>
        <w:spacing w:after="0" w:line="200" w:lineRule="exact"/>
        <w:rPr>
          <w:sz w:val="20"/>
          <w:szCs w:val="20"/>
          <w:color w:val="auto"/>
        </w:rPr>
      </w:pPr>
    </w:p>
    <w:p>
      <w:pPr>
        <w:ind w:left="640" w:hanging="639"/>
        <w:spacing w:after="0"/>
        <w:tabs>
          <w:tab w:leader="none" w:pos="640" w:val="left"/>
        </w:tabs>
        <w:numPr>
          <w:ilvl w:val="0"/>
          <w:numId w:val="244"/>
        </w:numPr>
        <w:rPr>
          <w:rFonts w:ascii="Arial" w:cs="Arial" w:eastAsia="Arial" w:hAnsi="Arial"/>
          <w:sz w:val="16"/>
          <w:szCs w:val="16"/>
          <w:color w:val="auto"/>
        </w:rPr>
      </w:pPr>
      <w:r>
        <w:rPr>
          <w:rFonts w:ascii="Arial" w:cs="Arial" w:eastAsia="Arial" w:hAnsi="Arial"/>
          <w:sz w:val="16"/>
          <w:szCs w:val="16"/>
          <w:b w:val="1"/>
          <w:bCs w:val="1"/>
          <w:u w:val="single" w:color="auto"/>
          <w:color w:val="auto"/>
        </w:rPr>
        <w:t>C</w:t>
      </w:r>
      <w:r>
        <w:rPr>
          <w:rFonts w:ascii="Arial" w:cs="Arial" w:eastAsia="Arial" w:hAnsi="Arial"/>
          <w:sz w:val="10"/>
          <w:szCs w:val="10"/>
          <w:b w:val="1"/>
          <w:bCs w:val="1"/>
          <w:u w:val="single" w:color="auto"/>
          <w:color w:val="auto"/>
        </w:rPr>
        <w:t>APITALIZATION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ROFITS</w:t>
      </w:r>
      <w:r>
        <w:rPr>
          <w:rFonts w:ascii="Arial" w:cs="Arial" w:eastAsia="Arial" w:hAnsi="Arial"/>
          <w:sz w:val="16"/>
          <w:szCs w:val="16"/>
          <w:b w:val="1"/>
          <w:bCs w:val="1"/>
          <w:u w:val="single" w:color="auto"/>
          <w:color w:val="auto"/>
        </w:rPr>
        <w:t>, R</w:t>
      </w:r>
      <w:r>
        <w:rPr>
          <w:rFonts w:ascii="Arial" w:cs="Arial" w:eastAsia="Arial" w:hAnsi="Arial"/>
          <w:sz w:val="10"/>
          <w:szCs w:val="10"/>
          <w:b w:val="1"/>
          <w:bCs w:val="1"/>
          <w:u w:val="single" w:color="auto"/>
          <w:color w:val="auto"/>
        </w:rPr>
        <w:t>ESERVES</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0"/>
          <w:szCs w:val="10"/>
          <w:b w:val="1"/>
          <w:bCs w:val="1"/>
          <w:u w:val="single" w:color="auto"/>
          <w:color w:val="auto"/>
        </w:rPr>
        <w:t>ETC</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76" w:lineRule="auto"/>
        <w:rPr>
          <w:sz w:val="20"/>
          <w:szCs w:val="20"/>
          <w:color w:val="auto"/>
        </w:rPr>
      </w:pPr>
      <w:r>
        <w:rPr>
          <w:rFonts w:ascii="Arial" w:cs="Arial" w:eastAsia="Arial" w:hAnsi="Arial"/>
          <w:sz w:val="15"/>
          <w:szCs w:val="15"/>
          <w:color w:val="auto"/>
        </w:rPr>
        <w:t>The Board of Directors may determine that the Company (i) may cause any moneys, investments, or other assets forming part of the undivided profits of the Company, standing to the credit of a reserve fund, or to the credit of a reserve fund for the redemption of capital, or in the hands of the Company and available for dividends, or representing premiums received on the issuance of shares and standing to the credit of the share premium account, to be capitalized and distributed among such of the shareholders as would be entitled to receive the same if distributed by way of dividend and in the same proportion, on the footing that they become entitled thereto as capital, or may cause any part of such capitalized fund to be applied on behalf of such shareholders in paying up in full, either at par or at such premium as the resolution may provide, any unissued shares or debentures or debenture stock of the Company which shall be distributed accordingly, in payment, in full or in part, of the uncalled liability on any issued shares or debentures or debenture stock; and (ii) may cause such distribution or payment to be accepted by such shareholders in full satisfaction of their interest in the said capitalized sum.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29" w:name="page230"/>
    <w:bookmarkEnd w:id="229"/>
    <w:p>
      <w:pPr>
        <w:ind w:left="600" w:hanging="599"/>
        <w:spacing w:after="0"/>
        <w:tabs>
          <w:tab w:leader="none" w:pos="600" w:val="left"/>
        </w:tabs>
        <w:numPr>
          <w:ilvl w:val="0"/>
          <w:numId w:val="245"/>
        </w:numPr>
        <w:rPr>
          <w:rFonts w:ascii="Arial" w:cs="Arial" w:eastAsia="Arial" w:hAnsi="Arial"/>
          <w:sz w:val="16"/>
          <w:szCs w:val="16"/>
          <w:color w:val="auto"/>
        </w:rPr>
      </w:pP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MPLEMENTATION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OWERS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57" w:lineRule="auto"/>
        <w:rPr>
          <w:sz w:val="20"/>
          <w:szCs w:val="20"/>
          <w:color w:val="auto"/>
        </w:rPr>
      </w:pPr>
      <w:r>
        <w:rPr>
          <w:rFonts w:ascii="Arial" w:cs="Arial" w:eastAsia="Arial" w:hAnsi="Arial"/>
          <w:sz w:val="16"/>
          <w:szCs w:val="16"/>
          <w:color w:val="auto"/>
        </w:rPr>
        <w:t>For the purpose of giving full effect to any resolution under Article 54, and without derogating from the provisions of Article 56 hereof, the Board of Directors may settle any difficulty which may arise in regard to the distribution as it thinks expedient, and, in particular, may fix the value for distribution of any specific assets and may determine that cash payments shall be made to any shareholders upon the footing of the value so fixed, or that fractions of less value than a certain determined value may be disregarded in order to adjust the rights of all parties, and may vest any such cash, shares, debentures, debenture stock or specific assets in trustees upon such trusts for the persons entitled to the dividend or capitalized fund as may seem expedient to the Board of Directors. Where requisite, a proper contract shall be filed in accordance with Section 291 of the Companies Law, and the Board of Directors may appoint any person to sign such contract on behalf of the persons entitled to the dividend or capitalized fund.</w:t>
      </w:r>
    </w:p>
    <w:p>
      <w:pPr>
        <w:spacing w:after="0" w:line="167" w:lineRule="exact"/>
        <w:rPr>
          <w:sz w:val="20"/>
          <w:szCs w:val="20"/>
          <w:color w:val="auto"/>
        </w:rPr>
      </w:pPr>
    </w:p>
    <w:p>
      <w:pPr>
        <w:ind w:left="600" w:hanging="599"/>
        <w:spacing w:after="0"/>
        <w:tabs>
          <w:tab w:leader="none" w:pos="600" w:val="left"/>
        </w:tabs>
        <w:numPr>
          <w:ilvl w:val="0"/>
          <w:numId w:val="246"/>
        </w:numPr>
        <w:rPr>
          <w:rFonts w:ascii="Arial" w:cs="Arial" w:eastAsia="Arial" w:hAnsi="Arial"/>
          <w:sz w:val="16"/>
          <w:szCs w:val="16"/>
          <w:color w:val="auto"/>
        </w:rPr>
      </w:pP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EDUCTIONS FROM</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IVIDENDS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The Board of Directors may deduct from any dividend or other moneys payable to any Shareholder in respect of a share any and all sums of money then payable by such Shareholder to the Company on account of calls or otherwise in respect of shares of the Company and/or on account of any other matter of transaction whatsoever.</w:t>
      </w:r>
    </w:p>
    <w:p>
      <w:pPr>
        <w:spacing w:after="0" w:line="157" w:lineRule="exact"/>
        <w:rPr>
          <w:sz w:val="20"/>
          <w:szCs w:val="20"/>
          <w:color w:val="auto"/>
        </w:rPr>
      </w:pPr>
    </w:p>
    <w:p>
      <w:pPr>
        <w:ind w:left="600" w:hanging="599"/>
        <w:spacing w:after="0"/>
        <w:tabs>
          <w:tab w:leader="none" w:pos="600" w:val="left"/>
        </w:tabs>
        <w:numPr>
          <w:ilvl w:val="0"/>
          <w:numId w:val="247"/>
        </w:numPr>
        <w:rPr>
          <w:rFonts w:ascii="Arial" w:cs="Arial" w:eastAsia="Arial" w:hAnsi="Arial"/>
          <w:sz w:val="16"/>
          <w:szCs w:val="16"/>
          <w:color w:val="auto"/>
        </w:rPr>
      </w:pP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ETENTION OF</w:t>
      </w:r>
      <w:r>
        <w:rPr>
          <w:rFonts w:ascii="Arial" w:cs="Arial" w:eastAsia="Arial" w:hAnsi="Arial"/>
          <w:sz w:val="16"/>
          <w:szCs w:val="16"/>
          <w:b w:val="1"/>
          <w:bCs w:val="1"/>
          <w:u w:val="single" w:color="auto"/>
          <w:color w:val="auto"/>
        </w:rPr>
        <w:t xml:space="preserve"> D</w:t>
      </w:r>
      <w:r>
        <w:rPr>
          <w:rFonts w:ascii="Arial" w:cs="Arial" w:eastAsia="Arial" w:hAnsi="Arial"/>
          <w:sz w:val="10"/>
          <w:szCs w:val="10"/>
          <w:b w:val="1"/>
          <w:bCs w:val="1"/>
          <w:u w:val="single" w:color="auto"/>
          <w:color w:val="auto"/>
        </w:rPr>
        <w:t>IVIDENDS</w:t>
      </w:r>
      <w:r>
        <w:rPr>
          <w:rFonts w:ascii="Arial" w:cs="Arial" w:eastAsia="Arial" w:hAnsi="Arial"/>
          <w:sz w:val="16"/>
          <w:szCs w:val="16"/>
          <w:u w:val="single" w:color="auto"/>
          <w:color w:val="auto"/>
        </w:rPr>
        <w:t>.</w:t>
      </w:r>
    </w:p>
    <w:p>
      <w:pPr>
        <w:spacing w:after="0" w:line="207" w:lineRule="exact"/>
        <w:rPr>
          <w:rFonts w:ascii="Arial" w:cs="Arial" w:eastAsia="Arial" w:hAnsi="Arial"/>
          <w:sz w:val="16"/>
          <w:szCs w:val="16"/>
          <w:color w:val="auto"/>
        </w:rPr>
      </w:pPr>
    </w:p>
    <w:p>
      <w:pPr>
        <w:ind w:left="580" w:hanging="7"/>
        <w:spacing w:after="0" w:line="281" w:lineRule="auto"/>
        <w:tabs>
          <w:tab w:leader="none" w:pos="1214"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150" w:lineRule="exact"/>
        <w:rPr>
          <w:rFonts w:ascii="Arial" w:cs="Arial" w:eastAsia="Arial" w:hAnsi="Arial"/>
          <w:sz w:val="16"/>
          <w:szCs w:val="16"/>
          <w:color w:val="auto"/>
        </w:rPr>
      </w:pPr>
    </w:p>
    <w:p>
      <w:pPr>
        <w:jc w:val="both"/>
        <w:ind w:left="580" w:hanging="7"/>
        <w:spacing w:after="0" w:line="267" w:lineRule="auto"/>
        <w:tabs>
          <w:tab w:leader="none" w:pos="123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Board of Directors may retain any dividend or other moneys payable or property distributable in respect of a share in respect of which any person is, under Articles 21 or 22, entitled to become a Shareholder, or which any person is, under said Articles, entitled to transfer, until such person shall become a Shareholder in respect of such share or shall transfer the same.</w:t>
      </w:r>
    </w:p>
    <w:p>
      <w:pPr>
        <w:spacing w:after="0" w:line="157" w:lineRule="exact"/>
        <w:rPr>
          <w:rFonts w:ascii="Arial" w:cs="Arial" w:eastAsia="Arial" w:hAnsi="Arial"/>
          <w:sz w:val="16"/>
          <w:szCs w:val="16"/>
          <w:color w:val="auto"/>
        </w:rPr>
      </w:pPr>
    </w:p>
    <w:p>
      <w:pPr>
        <w:ind w:left="600" w:hanging="599"/>
        <w:spacing w:after="0"/>
        <w:tabs>
          <w:tab w:leader="none" w:pos="600" w:val="left"/>
        </w:tabs>
        <w:numPr>
          <w:ilvl w:val="0"/>
          <w:numId w:val="247"/>
        </w:numPr>
        <w:rPr>
          <w:rFonts w:ascii="Arial" w:cs="Arial" w:eastAsia="Arial" w:hAnsi="Arial"/>
          <w:sz w:val="16"/>
          <w:szCs w:val="16"/>
          <w:color w:val="auto"/>
        </w:rPr>
      </w:pPr>
      <w:r>
        <w:rPr>
          <w:rFonts w:ascii="Arial" w:cs="Arial" w:eastAsia="Arial" w:hAnsi="Arial"/>
          <w:sz w:val="16"/>
          <w:szCs w:val="16"/>
          <w:b w:val="1"/>
          <w:bCs w:val="1"/>
          <w:u w:val="single" w:color="auto"/>
          <w:color w:val="auto"/>
        </w:rPr>
        <w:t>U</w:t>
      </w:r>
      <w:r>
        <w:rPr>
          <w:rFonts w:ascii="Arial" w:cs="Arial" w:eastAsia="Arial" w:hAnsi="Arial"/>
          <w:sz w:val="10"/>
          <w:szCs w:val="10"/>
          <w:b w:val="1"/>
          <w:bCs w:val="1"/>
          <w:u w:val="single" w:color="auto"/>
          <w:color w:val="auto"/>
        </w:rPr>
        <w:t>NCLAIMED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0"/>
          <w:szCs w:val="10"/>
          <w:b w:val="1"/>
          <w:bCs w:val="1"/>
          <w:u w:val="single" w:color="auto"/>
          <w:color w:val="auto"/>
        </w:rPr>
        <w:t>IVIDENDS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57" w:lineRule="auto"/>
        <w:rPr>
          <w:sz w:val="20"/>
          <w:szCs w:val="20"/>
          <w:color w:val="auto"/>
        </w:rPr>
      </w:pPr>
      <w:r>
        <w:rPr>
          <w:rFonts w:ascii="Arial" w:cs="Arial" w:eastAsia="Arial" w:hAnsi="Arial"/>
          <w:sz w:val="16"/>
          <w:szCs w:val="16"/>
          <w:color w:val="auto"/>
        </w:rPr>
        <w:t>All unclaimed dividends or other moneys payable in respect of a share may be invested or otherwise made use of by the Board of Directors for the benefit of the Company until claimed. The payment by the Directors of any unclaimed dividend or such other moneys into a separate account shall not constitute the Company a trustee in respect thereof, and any dividend unclaimed after a period of seven (7) years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 The principal (and only the principal) of any unclaimed dividend of such other moneys shall be, if claimed, paid to a person entitled thereto.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30" w:name="page231"/>
    <w:bookmarkEnd w:id="230"/>
    <w:p>
      <w:pPr>
        <w:ind w:left="600" w:hanging="599"/>
        <w:spacing w:after="0"/>
        <w:tabs>
          <w:tab w:leader="none" w:pos="600" w:val="left"/>
        </w:tabs>
        <w:numPr>
          <w:ilvl w:val="0"/>
          <w:numId w:val="248"/>
        </w:numPr>
        <w:rPr>
          <w:rFonts w:ascii="Arial" w:cs="Arial" w:eastAsia="Arial" w:hAnsi="Arial"/>
          <w:sz w:val="16"/>
          <w:szCs w:val="16"/>
          <w:color w:val="auto"/>
        </w:rPr>
      </w:pPr>
      <w:r>
        <w:rPr>
          <w:rFonts w:ascii="Arial" w:cs="Arial" w:eastAsia="Arial" w:hAnsi="Arial"/>
          <w:sz w:val="16"/>
          <w:szCs w:val="16"/>
          <w:b w:val="1"/>
          <w:bCs w:val="1"/>
          <w:u w:val="single" w:color="auto"/>
          <w:color w:val="auto"/>
        </w:rPr>
        <w:t>M</w:t>
      </w:r>
      <w:r>
        <w:rPr>
          <w:rFonts w:ascii="Arial" w:cs="Arial" w:eastAsia="Arial" w:hAnsi="Arial"/>
          <w:sz w:val="10"/>
          <w:szCs w:val="10"/>
          <w:b w:val="1"/>
          <w:bCs w:val="1"/>
          <w:u w:val="single" w:color="auto"/>
          <w:color w:val="auto"/>
        </w:rPr>
        <w:t>ECHANICS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w:t>
      </w:r>
      <w:r>
        <w:rPr>
          <w:rFonts w:ascii="Arial" w:cs="Arial" w:eastAsia="Arial" w:hAnsi="Arial"/>
          <w:sz w:val="10"/>
          <w:szCs w:val="10"/>
          <w:b w:val="1"/>
          <w:bCs w:val="1"/>
          <w:u w:val="single" w:color="auto"/>
          <w:color w:val="auto"/>
        </w:rPr>
        <w:t>AYMENT</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300" w:lineRule="auto"/>
        <w:rPr>
          <w:sz w:val="20"/>
          <w:szCs w:val="20"/>
          <w:color w:val="auto"/>
        </w:rPr>
      </w:pPr>
      <w:r>
        <w:rPr>
          <w:rFonts w:ascii="Arial" w:cs="Arial" w:eastAsia="Arial" w:hAnsi="Arial"/>
          <w:sz w:val="14"/>
          <w:szCs w:val="14"/>
          <w:color w:val="auto"/>
        </w:rPr>
        <w:t>Any dividend or other moneys payable in cash in respect of a share may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the joint holder whose name is registered first in the Register of Shareholders or his bank account or the person who the Company may then recognize as the owner thereof or entitled thereto under Article 21 or 22 hereof, as applicable, or such person's bank account), or to such person and at such other address as the person entitled thereto may by writing direct, or in any other manner the Board deems appropriate. Every such check or warrant or other method of payment shall be made payable to the order of the person to whom it is sent, or to such person as the person entitled thereto as aforesaid may direct, and payment of the check or warrant by the banker upon whom it is drawn shall be a good discharge to the Company.</w:t>
      </w:r>
    </w:p>
    <w:p>
      <w:pPr>
        <w:spacing w:after="0" w:line="138" w:lineRule="exact"/>
        <w:rPr>
          <w:sz w:val="20"/>
          <w:szCs w:val="20"/>
          <w:color w:val="auto"/>
        </w:rPr>
      </w:pPr>
    </w:p>
    <w:p>
      <w:pPr>
        <w:ind w:left="600" w:hanging="599"/>
        <w:spacing w:after="0"/>
        <w:tabs>
          <w:tab w:leader="none" w:pos="600" w:val="left"/>
        </w:tabs>
        <w:numPr>
          <w:ilvl w:val="0"/>
          <w:numId w:val="249"/>
        </w:numPr>
        <w:rPr>
          <w:rFonts w:ascii="Arial" w:cs="Arial" w:eastAsia="Arial" w:hAnsi="Arial"/>
          <w:sz w:val="16"/>
          <w:szCs w:val="16"/>
          <w:color w:val="auto"/>
        </w:rPr>
      </w:pP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ECEIPT FROM A</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J</w:t>
      </w:r>
      <w:r>
        <w:rPr>
          <w:rFonts w:ascii="Arial" w:cs="Arial" w:eastAsia="Arial" w:hAnsi="Arial"/>
          <w:sz w:val="10"/>
          <w:szCs w:val="10"/>
          <w:b w:val="1"/>
          <w:bCs w:val="1"/>
          <w:u w:val="single" w:color="auto"/>
          <w:color w:val="auto"/>
        </w:rPr>
        <w:t>OINT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w:t>
      </w:r>
      <w:r>
        <w:rPr>
          <w:rFonts w:ascii="Arial" w:cs="Arial" w:eastAsia="Arial" w:hAnsi="Arial"/>
          <w:sz w:val="10"/>
          <w:szCs w:val="10"/>
          <w:b w:val="1"/>
          <w:bCs w:val="1"/>
          <w:u w:val="single" w:color="auto"/>
          <w:color w:val="auto"/>
        </w:rPr>
        <w:t>OLDER</w:t>
      </w:r>
      <w:r>
        <w:rPr>
          <w:rFonts w:ascii="Arial" w:cs="Arial" w:eastAsia="Arial" w:hAnsi="Arial"/>
          <w:sz w:val="16"/>
          <w:szCs w:val="16"/>
          <w:color w:val="auto"/>
        </w:rPr>
        <w:t>.</w:t>
      </w:r>
    </w:p>
    <w:p>
      <w:pPr>
        <w:spacing w:after="0" w:line="208" w:lineRule="exact"/>
        <w:rPr>
          <w:sz w:val="20"/>
          <w:szCs w:val="20"/>
          <w:color w:val="auto"/>
        </w:rPr>
      </w:pPr>
    </w:p>
    <w:p>
      <w:pPr>
        <w:ind w:left="580"/>
        <w:spacing w:after="0" w:line="316" w:lineRule="auto"/>
        <w:rPr>
          <w:sz w:val="20"/>
          <w:szCs w:val="20"/>
          <w:color w:val="auto"/>
        </w:rPr>
      </w:pPr>
      <w:r>
        <w:rPr>
          <w:rFonts w:ascii="Arial" w:cs="Arial" w:eastAsia="Arial" w:hAnsi="Arial"/>
          <w:sz w:val="15"/>
          <w:szCs w:val="15"/>
          <w:color w:val="auto"/>
        </w:rPr>
        <w:t>If two or more persons are registered as joint holders of any share, or are entitled jointly thereto in consequence of the death or bankruptcy of the holder or otherwise, any one of them may give effectual receipts for any dividend or other moneys payable or property distributable in respect of such share.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CCOUNTS</w:t>
      </w:r>
    </w:p>
    <w:p>
      <w:pPr>
        <w:spacing w:after="0" w:line="204" w:lineRule="exact"/>
        <w:rPr>
          <w:sz w:val="20"/>
          <w:szCs w:val="20"/>
          <w:color w:val="auto"/>
        </w:rPr>
      </w:pPr>
    </w:p>
    <w:p>
      <w:pPr>
        <w:ind w:left="600" w:hanging="599"/>
        <w:spacing w:after="0"/>
        <w:tabs>
          <w:tab w:leader="none" w:pos="600" w:val="left"/>
        </w:tabs>
        <w:numPr>
          <w:ilvl w:val="0"/>
          <w:numId w:val="250"/>
        </w:numPr>
        <w:rPr>
          <w:rFonts w:ascii="Arial" w:cs="Arial" w:eastAsia="Arial" w:hAnsi="Arial"/>
          <w:sz w:val="16"/>
          <w:szCs w:val="16"/>
          <w:color w:val="auto"/>
        </w:rPr>
      </w:pPr>
      <w:r>
        <w:rPr>
          <w:rFonts w:ascii="Arial" w:cs="Arial" w:eastAsia="Arial" w:hAnsi="Arial"/>
          <w:sz w:val="16"/>
          <w:szCs w:val="16"/>
          <w:b w:val="1"/>
          <w:bCs w:val="1"/>
          <w:u w:val="single" w:color="auto"/>
          <w:color w:val="auto"/>
        </w:rPr>
        <w:t>B</w:t>
      </w:r>
      <w:r>
        <w:rPr>
          <w:rFonts w:ascii="Arial" w:cs="Arial" w:eastAsia="Arial" w:hAnsi="Arial"/>
          <w:sz w:val="10"/>
          <w:szCs w:val="10"/>
          <w:b w:val="1"/>
          <w:bCs w:val="1"/>
          <w:u w:val="single" w:color="auto"/>
          <w:color w:val="auto"/>
        </w:rPr>
        <w:t>OOKS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CCOUNT</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The Company's books of account shall be kept at the Office of the Company, or at such other place or places as the Board of Directors may think fit, and they shall always be open to inspection by all Directors. No shareholder, not being a Director, shall have any right to inspect any account or book or other similar document of the Company, except as conferred by law or authorized by the Board of Directors. The Company shall make copies of its annual financial statements available for inspection by the Shareholders at the principal offices of the Company. The Company shall not be required to send copies of its annual financial statements to the Shareholders.</w:t>
      </w:r>
    </w:p>
    <w:p>
      <w:pPr>
        <w:spacing w:after="0" w:line="166" w:lineRule="exact"/>
        <w:rPr>
          <w:sz w:val="20"/>
          <w:szCs w:val="20"/>
          <w:color w:val="auto"/>
        </w:rPr>
      </w:pPr>
    </w:p>
    <w:p>
      <w:pPr>
        <w:ind w:left="600" w:hanging="599"/>
        <w:spacing w:after="0"/>
        <w:tabs>
          <w:tab w:leader="none" w:pos="600" w:val="left"/>
        </w:tabs>
        <w:numPr>
          <w:ilvl w:val="0"/>
          <w:numId w:val="251"/>
        </w:numPr>
        <w:rPr>
          <w:rFonts w:ascii="Arial" w:cs="Arial" w:eastAsia="Arial" w:hAnsi="Arial"/>
          <w:sz w:val="16"/>
          <w:szCs w:val="16"/>
          <w:color w:val="auto"/>
        </w:rPr>
      </w:pPr>
      <w:r>
        <w:rPr>
          <w:rFonts w:ascii="Arial" w:cs="Arial" w:eastAsia="Arial" w:hAnsi="Arial"/>
          <w:sz w:val="16"/>
          <w:szCs w:val="16"/>
          <w:b w:val="1"/>
          <w:bCs w:val="1"/>
          <w:u w:val="single" w:color="auto"/>
          <w:color w:val="auto"/>
        </w:rPr>
        <w:t>A</w:t>
      </w:r>
      <w:r>
        <w:rPr>
          <w:rFonts w:ascii="Arial" w:cs="Arial" w:eastAsia="Arial" w:hAnsi="Arial"/>
          <w:sz w:val="10"/>
          <w:szCs w:val="10"/>
          <w:b w:val="1"/>
          <w:bCs w:val="1"/>
          <w:u w:val="single" w:color="auto"/>
          <w:color w:val="auto"/>
        </w:rPr>
        <w:t>UDITORS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The appointment, authorities, rights and duties of the auditor(s) of the Company, shall be regulated by applicable law, provided, however, that in exercising its authority to fix the remuneration of the auditor(s), the shareholders in General Meeting may act (and in the absence of any action in connection therewith shall be deemed to have so acted) to authorize the Board of Directors (with right of delegation to management) to fix such remuneration subject to such criteria or standards, and if no such criteria or standards are so provided, such remuneration shall be fixed in an amount commensurate with the volume and nature of the services rendered by such auditor(s).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UPPLEMENTARY</w:t>
      </w:r>
      <w:r>
        <w:rPr>
          <w:rFonts w:ascii="Arial" w:cs="Arial" w:eastAsia="Arial" w:hAnsi="Arial"/>
          <w:sz w:val="16"/>
          <w:szCs w:val="16"/>
          <w:b w:val="1"/>
          <w:bCs w:val="1"/>
          <w:color w:val="auto"/>
        </w:rPr>
        <w:t xml:space="preserve"> R</w:t>
      </w:r>
      <w:r>
        <w:rPr>
          <w:rFonts w:ascii="Arial" w:cs="Arial" w:eastAsia="Arial" w:hAnsi="Arial"/>
          <w:sz w:val="10"/>
          <w:szCs w:val="10"/>
          <w:b w:val="1"/>
          <w:bCs w:val="1"/>
          <w:color w:val="auto"/>
        </w:rPr>
        <w:t>EGISTERS</w:t>
      </w:r>
    </w:p>
    <w:p>
      <w:pPr>
        <w:spacing w:after="0" w:line="204" w:lineRule="exact"/>
        <w:rPr>
          <w:sz w:val="20"/>
          <w:szCs w:val="20"/>
          <w:color w:val="auto"/>
        </w:rPr>
      </w:pPr>
    </w:p>
    <w:p>
      <w:pPr>
        <w:ind w:left="600" w:hanging="599"/>
        <w:spacing w:after="0"/>
        <w:tabs>
          <w:tab w:leader="none" w:pos="600" w:val="left"/>
        </w:tabs>
        <w:numPr>
          <w:ilvl w:val="0"/>
          <w:numId w:val="252"/>
        </w:numPr>
        <w:rPr>
          <w:rFonts w:ascii="Arial" w:cs="Arial" w:eastAsia="Arial" w:hAnsi="Arial"/>
          <w:sz w:val="16"/>
          <w:szCs w:val="16"/>
          <w:color w:val="auto"/>
        </w:rPr>
      </w:pPr>
      <w:r>
        <w:rPr>
          <w:rFonts w:ascii="Arial" w:cs="Arial" w:eastAsia="Arial" w:hAnsi="Arial"/>
          <w:sz w:val="16"/>
          <w:szCs w:val="16"/>
          <w:b w:val="1"/>
          <w:bCs w:val="1"/>
          <w:u w:val="single" w:color="auto"/>
          <w:color w:val="auto"/>
        </w:rPr>
        <w:t>S</w:t>
      </w:r>
      <w:r>
        <w:rPr>
          <w:rFonts w:ascii="Arial" w:cs="Arial" w:eastAsia="Arial" w:hAnsi="Arial"/>
          <w:sz w:val="10"/>
          <w:szCs w:val="10"/>
          <w:b w:val="1"/>
          <w:bCs w:val="1"/>
          <w:u w:val="single" w:color="auto"/>
          <w:color w:val="auto"/>
        </w:rPr>
        <w:t>UPPLEMENTARY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w:t>
      </w:r>
      <w:r>
        <w:rPr>
          <w:rFonts w:ascii="Arial" w:cs="Arial" w:eastAsia="Arial" w:hAnsi="Arial"/>
          <w:sz w:val="10"/>
          <w:szCs w:val="10"/>
          <w:b w:val="1"/>
          <w:bCs w:val="1"/>
          <w:u w:val="single" w:color="auto"/>
          <w:color w:val="auto"/>
        </w:rPr>
        <w:t>EGISTERS</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Subject to and in accordance with the provisions of Sections 138 and 139 of the Companies Law, the Company may cause supplementary registers to be kept in any place outside Israel as the Board of Directors may think fit, and, subject to all applicable requirements of law, the Board of Directors may from time to time adopt such rules and procedures as it may think fit in connection with the keeping of such branch registers.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XEMPTION</w:t>
      </w:r>
      <w:r>
        <w:rPr>
          <w:rFonts w:ascii="Arial" w:cs="Arial" w:eastAsia="Arial" w:hAnsi="Arial"/>
          <w:sz w:val="16"/>
          <w:szCs w:val="16"/>
          <w:b w:val="1"/>
          <w:bCs w:val="1"/>
          <w:color w:val="auto"/>
        </w:rPr>
        <w:t>, I</w:t>
      </w:r>
      <w:r>
        <w:rPr>
          <w:rFonts w:ascii="Arial" w:cs="Arial" w:eastAsia="Arial" w:hAnsi="Arial"/>
          <w:sz w:val="10"/>
          <w:szCs w:val="10"/>
          <w:b w:val="1"/>
          <w:bCs w:val="1"/>
          <w:color w:val="auto"/>
        </w:rPr>
        <w:t>NDEMNITY AND</w:t>
      </w:r>
      <w:r>
        <w:rPr>
          <w:rFonts w:ascii="Arial" w:cs="Arial" w:eastAsia="Arial" w:hAnsi="Arial"/>
          <w:sz w:val="16"/>
          <w:szCs w:val="16"/>
          <w:b w:val="1"/>
          <w:bCs w:val="1"/>
          <w:color w:val="auto"/>
        </w:rPr>
        <w:t xml:space="preserve"> I</w:t>
      </w:r>
      <w:r>
        <w:rPr>
          <w:rFonts w:ascii="Arial" w:cs="Arial" w:eastAsia="Arial" w:hAnsi="Arial"/>
          <w:sz w:val="10"/>
          <w:szCs w:val="10"/>
          <w:b w:val="1"/>
          <w:bCs w:val="1"/>
          <w:color w:val="auto"/>
        </w:rPr>
        <w:t>NSURANCE</w:t>
      </w:r>
    </w:p>
    <w:p>
      <w:pPr>
        <w:spacing w:after="0" w:line="204" w:lineRule="exact"/>
        <w:rPr>
          <w:sz w:val="20"/>
          <w:szCs w:val="20"/>
          <w:color w:val="auto"/>
        </w:rPr>
      </w:pPr>
    </w:p>
    <w:p>
      <w:pPr>
        <w:ind w:left="600" w:hanging="599"/>
        <w:spacing w:after="0"/>
        <w:tabs>
          <w:tab w:leader="none" w:pos="600" w:val="left"/>
        </w:tabs>
        <w:numPr>
          <w:ilvl w:val="0"/>
          <w:numId w:val="253"/>
        </w:numPr>
        <w:rPr>
          <w:rFonts w:ascii="Arial" w:cs="Arial" w:eastAsia="Arial" w:hAnsi="Arial"/>
          <w:sz w:val="16"/>
          <w:szCs w:val="16"/>
          <w:color w:val="auto"/>
        </w:rPr>
      </w:pP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NSURANCE</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Subject to the provisions of the Companies Law with regard to such matters, the Company may enter into a contract for the insurance of the liability, in whole or in part, of any of its Office Holders imposed on such Office Holder due to an act performed by or an omission of the Office Holder in the Office Holder’s capacity as an Office Holder of the Company arising from any matter permitted by law, including the following:</w:t>
      </w:r>
    </w:p>
    <w:p>
      <w:pPr>
        <w:spacing w:after="0" w:line="161" w:lineRule="exact"/>
        <w:rPr>
          <w:sz w:val="20"/>
          <w:szCs w:val="20"/>
          <w:color w:val="auto"/>
        </w:rPr>
      </w:pPr>
    </w:p>
    <w:p>
      <w:pPr>
        <w:ind w:left="1160" w:hanging="587"/>
        <w:spacing w:after="0"/>
        <w:tabs>
          <w:tab w:leader="none" w:pos="11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 breach of duty of care to the Company or to any other person;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231" w:name="page232"/>
    <w:bookmarkEnd w:id="231"/>
    <w:p>
      <w:pPr>
        <w:ind w:left="579" w:hanging="7"/>
        <w:spacing w:after="0" w:line="281" w:lineRule="auto"/>
        <w:tabs>
          <w:tab w:leader="none" w:pos="1301"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 breach of his fiduciary duty to the Company, provided that the Office Holder acted in good faith and had reasonable grounds to assume that the act that resulted in such breach would not prejudice the interests of the Company;</w:t>
      </w:r>
    </w:p>
    <w:p>
      <w:pPr>
        <w:spacing w:after="0" w:line="150" w:lineRule="exact"/>
        <w:rPr>
          <w:rFonts w:ascii="Arial" w:cs="Arial" w:eastAsia="Arial" w:hAnsi="Arial"/>
          <w:sz w:val="16"/>
          <w:szCs w:val="16"/>
          <w:color w:val="auto"/>
        </w:rPr>
      </w:pPr>
    </w:p>
    <w:p>
      <w:pPr>
        <w:ind w:left="1239" w:hanging="667"/>
        <w:spacing w:after="0"/>
        <w:tabs>
          <w:tab w:leader="none" w:pos="1239"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 financial liability imposed on such Office Holder in favor of any other person; and</w:t>
      </w:r>
    </w:p>
    <w:p>
      <w:pPr>
        <w:spacing w:after="0" w:line="203" w:lineRule="exact"/>
        <w:rPr>
          <w:rFonts w:ascii="Arial" w:cs="Arial" w:eastAsia="Arial" w:hAnsi="Arial"/>
          <w:sz w:val="16"/>
          <w:szCs w:val="16"/>
          <w:color w:val="auto"/>
        </w:rPr>
      </w:pPr>
    </w:p>
    <w:p>
      <w:pPr>
        <w:jc w:val="both"/>
        <w:ind w:left="579" w:hanging="7"/>
        <w:spacing w:after="0" w:line="262" w:lineRule="auto"/>
        <w:tabs>
          <w:tab w:leader="none" w:pos="1249"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any other event, occurrence, matter or circumstance under any law with respect to which the Company may, or will be able to, insure an Office Holder, and to the extent such law requires the inclusion of a provision permitting such insurance in these Articles, then such provision is deemed to be included and incorporated herein by reference (including, without limitation, in accordance with Section 56h(b)(1) of the Securities Law, if and to the extent applicable, and Section 50P of the RTP Law).</w:t>
      </w:r>
    </w:p>
    <w:p>
      <w:pPr>
        <w:spacing w:after="0" w:line="161" w:lineRule="exact"/>
        <w:rPr>
          <w:rFonts w:ascii="Arial" w:cs="Arial" w:eastAsia="Arial" w:hAnsi="Arial"/>
          <w:sz w:val="16"/>
          <w:szCs w:val="16"/>
          <w:color w:val="auto"/>
        </w:rPr>
      </w:pPr>
    </w:p>
    <w:p>
      <w:pPr>
        <w:ind w:left="599" w:hanging="599"/>
        <w:spacing w:after="0"/>
        <w:tabs>
          <w:tab w:leader="none" w:pos="599" w:val="left"/>
        </w:tabs>
        <w:numPr>
          <w:ilvl w:val="0"/>
          <w:numId w:val="256"/>
        </w:numPr>
        <w:rPr>
          <w:rFonts w:ascii="Arial" w:cs="Arial" w:eastAsia="Arial" w:hAnsi="Arial"/>
          <w:sz w:val="16"/>
          <w:szCs w:val="16"/>
          <w:color w:val="auto"/>
        </w:rPr>
      </w:pPr>
      <w:r>
        <w:rPr>
          <w:rFonts w:ascii="Arial" w:cs="Arial" w:eastAsia="Arial" w:hAnsi="Arial"/>
          <w:sz w:val="16"/>
          <w:szCs w:val="16"/>
          <w:b w:val="1"/>
          <w:bCs w:val="1"/>
          <w:u w:val="single" w:color="auto"/>
          <w:color w:val="auto"/>
        </w:rPr>
        <w:t>I</w:t>
      </w:r>
      <w:r>
        <w:rPr>
          <w:rFonts w:ascii="Arial" w:cs="Arial" w:eastAsia="Arial" w:hAnsi="Arial"/>
          <w:sz w:val="10"/>
          <w:szCs w:val="10"/>
          <w:b w:val="1"/>
          <w:bCs w:val="1"/>
          <w:u w:val="single" w:color="auto"/>
          <w:color w:val="auto"/>
        </w:rPr>
        <w:t>NDEMNITY</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79" w:hanging="7"/>
        <w:spacing w:after="0" w:line="267" w:lineRule="auto"/>
        <w:tabs>
          <w:tab w:leader="none" w:pos="1188" w:val="left"/>
        </w:tabs>
        <w:numPr>
          <w:ilvl w:val="1"/>
          <w:numId w:val="256"/>
        </w:numPr>
        <w:rPr>
          <w:rFonts w:ascii="Arial" w:cs="Arial" w:eastAsia="Arial" w:hAnsi="Arial"/>
          <w:sz w:val="16"/>
          <w:szCs w:val="16"/>
          <w:color w:val="auto"/>
        </w:rPr>
      </w:pPr>
      <w:r>
        <w:rPr>
          <w:rFonts w:ascii="Arial" w:cs="Arial" w:eastAsia="Arial" w:hAnsi="Arial"/>
          <w:sz w:val="16"/>
          <w:szCs w:val="16"/>
          <w:color w:val="auto"/>
        </w:rPr>
        <w:t>Subject to the provisions of the Companies Law, the Company may retroactively indemnify an Office Holder of the Company with respect to the following liabilities and expenses, provided that such liabilities or expenses were imposed on such Office Holder or incurred by such Office Holder due to an act performed by or an omission of the Office Holder in such Office Holder's capacity as an Office Holder of the Company:</w:t>
      </w:r>
    </w:p>
    <w:p>
      <w:pPr>
        <w:spacing w:after="0" w:line="161" w:lineRule="exact"/>
        <w:rPr>
          <w:rFonts w:ascii="Arial" w:cs="Arial" w:eastAsia="Arial" w:hAnsi="Arial"/>
          <w:sz w:val="16"/>
          <w:szCs w:val="16"/>
          <w:color w:val="auto"/>
        </w:rPr>
      </w:pPr>
    </w:p>
    <w:p>
      <w:pPr>
        <w:ind w:left="1159" w:firstLine="4"/>
        <w:spacing w:after="0" w:line="281" w:lineRule="auto"/>
        <w:tabs>
          <w:tab w:leader="none" w:pos="1829" w:val="left"/>
        </w:tabs>
        <w:numPr>
          <w:ilvl w:val="2"/>
          <w:numId w:val="256"/>
        </w:numPr>
        <w:rPr>
          <w:rFonts w:ascii="Arial" w:cs="Arial" w:eastAsia="Arial" w:hAnsi="Arial"/>
          <w:sz w:val="16"/>
          <w:szCs w:val="16"/>
          <w:color w:val="auto"/>
        </w:rPr>
      </w:pPr>
      <w:r>
        <w:rPr>
          <w:rFonts w:ascii="Arial" w:cs="Arial" w:eastAsia="Arial" w:hAnsi="Arial"/>
          <w:sz w:val="16"/>
          <w:szCs w:val="16"/>
          <w:color w:val="auto"/>
        </w:rPr>
        <w:t>a financial liability imposed on an Office Holder in favor of another person by any court judgment, including a judgment given as a result of a settlement or an arbitrator’s award which has been confirmed by a court in respect of an act performed by the Office Holder;</w:t>
      </w:r>
    </w:p>
    <w:p>
      <w:pPr>
        <w:spacing w:after="0" w:line="150" w:lineRule="exact"/>
        <w:rPr>
          <w:rFonts w:ascii="Arial" w:cs="Arial" w:eastAsia="Arial" w:hAnsi="Arial"/>
          <w:sz w:val="16"/>
          <w:szCs w:val="16"/>
          <w:color w:val="auto"/>
        </w:rPr>
      </w:pPr>
    </w:p>
    <w:p>
      <w:pPr>
        <w:jc w:val="both"/>
        <w:ind w:left="1159" w:firstLine="4"/>
        <w:spacing w:after="0" w:line="281" w:lineRule="auto"/>
        <w:tabs>
          <w:tab w:leader="none" w:pos="1844" w:val="left"/>
        </w:tabs>
        <w:numPr>
          <w:ilvl w:val="2"/>
          <w:numId w:val="256"/>
        </w:numPr>
        <w:rPr>
          <w:rFonts w:ascii="Arial" w:cs="Arial" w:eastAsia="Arial" w:hAnsi="Arial"/>
          <w:sz w:val="15"/>
          <w:szCs w:val="15"/>
          <w:color w:val="auto"/>
        </w:rPr>
      </w:pPr>
      <w:r>
        <w:rPr>
          <w:rFonts w:ascii="Arial" w:cs="Arial" w:eastAsia="Arial" w:hAnsi="Arial"/>
          <w:sz w:val="15"/>
          <w:szCs w:val="15"/>
          <w:color w:val="auto"/>
        </w:rPr>
        <w:t>reasonable litigation expenses, including attorneys’ fees, expended by the Office Holder as a result of an investigation or proceeding instituted against him or her by an authority authorized to conduct such investigation or proceeding, or in connection with a financial sanction, provided that (1) no indictment (as defined in the Companies Law) was filed against such office holder as a result of such investigation or proceeding; and (2) no financial liability in lieu of a criminal proceeding (as defined in the Companies Law) was imposed upon him or her as a result of such investigation or proceeding or if such financial liability was imposed, it was imposed with respect to an offence that does not require proof of criminal intent;</w:t>
      </w:r>
    </w:p>
    <w:p>
      <w:pPr>
        <w:spacing w:after="0" w:line="153" w:lineRule="exact"/>
        <w:rPr>
          <w:rFonts w:ascii="Arial" w:cs="Arial" w:eastAsia="Arial" w:hAnsi="Arial"/>
          <w:sz w:val="15"/>
          <w:szCs w:val="15"/>
          <w:color w:val="auto"/>
        </w:rPr>
      </w:pPr>
    </w:p>
    <w:p>
      <w:pPr>
        <w:jc w:val="both"/>
        <w:ind w:left="1159" w:firstLine="4"/>
        <w:spacing w:after="0" w:line="262" w:lineRule="auto"/>
        <w:tabs>
          <w:tab w:leader="none" w:pos="1846" w:val="left"/>
        </w:tabs>
        <w:numPr>
          <w:ilvl w:val="2"/>
          <w:numId w:val="256"/>
        </w:numPr>
        <w:rPr>
          <w:rFonts w:ascii="Arial" w:cs="Arial" w:eastAsia="Arial" w:hAnsi="Arial"/>
          <w:sz w:val="16"/>
          <w:szCs w:val="16"/>
          <w:color w:val="auto"/>
        </w:rPr>
      </w:pPr>
      <w:r>
        <w:rPr>
          <w:rFonts w:ascii="Arial" w:cs="Arial" w:eastAsia="Arial" w:hAnsi="Arial"/>
          <w:sz w:val="16"/>
          <w:szCs w:val="16"/>
          <w:color w:val="auto"/>
        </w:rPr>
        <w:t>reasonable litigation costs, including attorney’s fees, expended by an Office Holder or which were imposed on an Office Holder by a court in proceedings filed against the Office Holder by the Company or in its name or by any other person or in a criminal charge in respect of which the Office Holder was acquitted or in a criminal charge in respect of which the Office Holder was convicted for an offence which did not require proof of criminal intent; and</w:t>
      </w:r>
    </w:p>
    <w:p>
      <w:pPr>
        <w:spacing w:after="0" w:line="165" w:lineRule="exact"/>
        <w:rPr>
          <w:rFonts w:ascii="Arial" w:cs="Arial" w:eastAsia="Arial" w:hAnsi="Arial"/>
          <w:sz w:val="16"/>
          <w:szCs w:val="16"/>
          <w:color w:val="auto"/>
        </w:rPr>
      </w:pPr>
    </w:p>
    <w:p>
      <w:pPr>
        <w:jc w:val="both"/>
        <w:ind w:left="1159" w:firstLine="4"/>
        <w:spacing w:after="0" w:line="262" w:lineRule="auto"/>
        <w:tabs>
          <w:tab w:leader="none" w:pos="1736" w:val="left"/>
        </w:tabs>
        <w:numPr>
          <w:ilvl w:val="2"/>
          <w:numId w:val="256"/>
        </w:numPr>
        <w:rPr>
          <w:rFonts w:ascii="Arial" w:cs="Arial" w:eastAsia="Arial" w:hAnsi="Arial"/>
          <w:sz w:val="16"/>
          <w:szCs w:val="16"/>
          <w:color w:val="auto"/>
        </w:rPr>
      </w:pPr>
      <w:r>
        <w:rPr>
          <w:rFonts w:ascii="Arial" w:cs="Arial" w:eastAsia="Arial" w:hAnsi="Arial"/>
          <w:sz w:val="16"/>
          <w:szCs w:val="16"/>
          <w:color w:val="auto"/>
        </w:rPr>
        <w:t>any other event, occurrence, matter or circumstance under any law with respect to which the Company may, or will be able to, indemnify an Office Holder, and to the extent such law requires the inclusion of a provision permitting such indemnity in these Articles, then such provision is deemed to be included and incorporated herein by reference (including, without limitation, in accordance with Section 56h(b)(1) of the Securities Law, if and to the extent applicable, and Section 50P(b)(2) of the RTP Law).</w:t>
      </w:r>
    </w:p>
    <w:p>
      <w:pPr>
        <w:spacing w:after="0" w:line="165" w:lineRule="exact"/>
        <w:rPr>
          <w:rFonts w:ascii="Arial" w:cs="Arial" w:eastAsia="Arial" w:hAnsi="Arial"/>
          <w:sz w:val="16"/>
          <w:szCs w:val="16"/>
          <w:color w:val="auto"/>
        </w:rPr>
      </w:pPr>
    </w:p>
    <w:p>
      <w:pPr>
        <w:ind w:left="579" w:hanging="7"/>
        <w:spacing w:after="0" w:line="281" w:lineRule="auto"/>
        <w:tabs>
          <w:tab w:leader="none" w:pos="1276" w:val="left"/>
        </w:tabs>
        <w:numPr>
          <w:ilvl w:val="1"/>
          <w:numId w:val="256"/>
        </w:numPr>
        <w:rPr>
          <w:rFonts w:ascii="Arial" w:cs="Arial" w:eastAsia="Arial" w:hAnsi="Arial"/>
          <w:sz w:val="16"/>
          <w:szCs w:val="16"/>
          <w:color w:val="auto"/>
        </w:rPr>
      </w:pPr>
      <w:r>
        <w:rPr>
          <w:rFonts w:ascii="Arial" w:cs="Arial" w:eastAsia="Arial" w:hAnsi="Arial"/>
          <w:sz w:val="16"/>
          <w:szCs w:val="16"/>
          <w:color w:val="auto"/>
        </w:rPr>
        <w:t>Subject to the provisions of the Companies Law, the Company may undertake to indemnify an Office Holder, in advance, with respect to those liabilities and expenses described in the following Articles:</w:t>
      </w:r>
    </w:p>
    <w:p>
      <w:pPr>
        <w:spacing w:after="0" w:line="150" w:lineRule="exact"/>
        <w:rPr>
          <w:rFonts w:ascii="Arial" w:cs="Arial" w:eastAsia="Arial" w:hAnsi="Arial"/>
          <w:sz w:val="16"/>
          <w:szCs w:val="16"/>
          <w:color w:val="auto"/>
        </w:rPr>
      </w:pPr>
    </w:p>
    <w:p>
      <w:pPr>
        <w:ind w:left="1719" w:hanging="556"/>
        <w:spacing w:after="0"/>
        <w:tabs>
          <w:tab w:leader="none" w:pos="1719" w:val="left"/>
        </w:tabs>
        <w:numPr>
          <w:ilvl w:val="2"/>
          <w:numId w:val="256"/>
        </w:numPr>
        <w:rPr>
          <w:rFonts w:ascii="Arial" w:cs="Arial" w:eastAsia="Arial" w:hAnsi="Arial"/>
          <w:sz w:val="16"/>
          <w:szCs w:val="16"/>
          <w:color w:val="auto"/>
        </w:rPr>
      </w:pPr>
      <w:r>
        <w:rPr>
          <w:rFonts w:ascii="Arial" w:cs="Arial" w:eastAsia="Arial" w:hAnsi="Arial"/>
          <w:sz w:val="16"/>
          <w:szCs w:val="16"/>
          <w:color w:val="auto"/>
        </w:rPr>
        <w:t>Sub-Article 65(a)(ii) to 65(a)(iv); and</w:t>
      </w:r>
    </w:p>
    <w:p>
      <w:pPr>
        <w:spacing w:after="0" w:line="203" w:lineRule="exact"/>
        <w:rPr>
          <w:rFonts w:ascii="Arial" w:cs="Arial" w:eastAsia="Arial" w:hAnsi="Arial"/>
          <w:sz w:val="16"/>
          <w:szCs w:val="16"/>
          <w:color w:val="auto"/>
        </w:rPr>
      </w:pPr>
    </w:p>
    <w:p>
      <w:pPr>
        <w:ind w:left="1719" w:hanging="556"/>
        <w:spacing w:after="0"/>
        <w:tabs>
          <w:tab w:leader="none" w:pos="1719" w:val="left"/>
        </w:tabs>
        <w:numPr>
          <w:ilvl w:val="2"/>
          <w:numId w:val="256"/>
        </w:numPr>
        <w:rPr>
          <w:rFonts w:ascii="Arial" w:cs="Arial" w:eastAsia="Arial" w:hAnsi="Arial"/>
          <w:sz w:val="16"/>
          <w:szCs w:val="16"/>
          <w:color w:val="auto"/>
        </w:rPr>
      </w:pPr>
      <w:r>
        <w:rPr>
          <w:rFonts w:ascii="Arial" w:cs="Arial" w:eastAsia="Arial" w:hAnsi="Arial"/>
          <w:sz w:val="16"/>
          <w:szCs w:val="16"/>
          <w:color w:val="auto"/>
        </w:rPr>
        <w:t>Sub-Article 65(a)(i), provided that:</w:t>
      </w:r>
    </w:p>
    <w:p>
      <w:pPr>
        <w:spacing w:after="0" w:line="397" w:lineRule="exact"/>
        <w:rPr>
          <w:rFonts w:ascii="Arial" w:cs="Arial" w:eastAsia="Arial" w:hAnsi="Arial"/>
          <w:sz w:val="16"/>
          <w:szCs w:val="16"/>
          <w:color w:val="auto"/>
        </w:rPr>
      </w:pPr>
    </w:p>
    <w:p>
      <w:pPr>
        <w:ind w:left="5579" w:hanging="103"/>
        <w:spacing w:after="0"/>
        <w:tabs>
          <w:tab w:leader="none" w:pos="5579" w:val="left"/>
        </w:tabs>
        <w:numPr>
          <w:ilvl w:val="3"/>
          <w:numId w:val="256"/>
        </w:numPr>
        <w:rPr>
          <w:rFonts w:ascii="Arial" w:cs="Arial" w:eastAsia="Arial" w:hAnsi="Arial"/>
          <w:sz w:val="16"/>
          <w:szCs w:val="16"/>
          <w:color w:val="auto"/>
        </w:rPr>
      </w:pPr>
      <w:r>
        <w:rPr>
          <w:rFonts w:ascii="Arial" w:cs="Arial" w:eastAsia="Arial" w:hAnsi="Arial"/>
          <w:sz w:val="16"/>
          <w:szCs w:val="16"/>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8375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99"/>
          </w:cols>
          <w:pgMar w:left="301" w:top="805" w:right="299" w:bottom="1440" w:gutter="0" w:footer="0" w:header="0"/>
        </w:sectPr>
      </w:pPr>
    </w:p>
    <w:bookmarkStart w:id="232" w:name="page233"/>
    <w:bookmarkEnd w:id="232"/>
    <w:p>
      <w:pPr>
        <w:jc w:val="both"/>
        <w:ind w:left="1720" w:hanging="1"/>
        <w:spacing w:after="0" w:line="267" w:lineRule="auto"/>
        <w:tabs>
          <w:tab w:leader="none" w:pos="244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undertaking to indemnify is limited to such events which the Board of Directors shall deem to be likely to occur in light of the operations of the Company at the time that the undertaking to indemnify is made and for such amounts or criterion which the Directors may, at the time of the giving of such undertaking to indemnify, deem to be reasonable under the circumstances; and</w:t>
      </w:r>
    </w:p>
    <w:p>
      <w:pPr>
        <w:spacing w:after="0" w:line="161" w:lineRule="exact"/>
        <w:rPr>
          <w:rFonts w:ascii="Arial" w:cs="Arial" w:eastAsia="Arial" w:hAnsi="Arial"/>
          <w:sz w:val="16"/>
          <w:szCs w:val="16"/>
          <w:color w:val="auto"/>
        </w:rPr>
      </w:pPr>
    </w:p>
    <w:p>
      <w:pPr>
        <w:jc w:val="both"/>
        <w:ind w:left="1720" w:hanging="1"/>
        <w:spacing w:after="0" w:line="267" w:lineRule="auto"/>
        <w:tabs>
          <w:tab w:leader="none" w:pos="227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undertaking to indemnify shall set forth such events which the Directors shall deem to be likely to occur in light of the operations of the Company at the time that the undertaking to indemnify is made, and the amounts and/or criterion which the Directors may, at the time of the giving of such undertaking to indemnify, deem to be reasonable under the circumstances.</w:t>
      </w:r>
    </w:p>
    <w:p>
      <w:pPr>
        <w:spacing w:after="0" w:line="157" w:lineRule="exact"/>
        <w:rPr>
          <w:sz w:val="20"/>
          <w:szCs w:val="20"/>
          <w:color w:val="auto"/>
        </w:rPr>
      </w:pPr>
    </w:p>
    <w:p>
      <w:pPr>
        <w:ind w:left="600" w:hanging="599"/>
        <w:spacing w:after="0"/>
        <w:tabs>
          <w:tab w:leader="none" w:pos="600" w:val="left"/>
        </w:tabs>
        <w:numPr>
          <w:ilvl w:val="0"/>
          <w:numId w:val="258"/>
        </w:numPr>
        <w:rPr>
          <w:rFonts w:ascii="Arial" w:cs="Arial" w:eastAsia="Arial" w:hAnsi="Arial"/>
          <w:sz w:val="16"/>
          <w:szCs w:val="16"/>
          <w:color w:val="auto"/>
        </w:rPr>
      </w:pPr>
      <w:r>
        <w:rPr>
          <w:rFonts w:ascii="Arial" w:cs="Arial" w:eastAsia="Arial" w:hAnsi="Arial"/>
          <w:sz w:val="16"/>
          <w:szCs w:val="16"/>
          <w:b w:val="1"/>
          <w:bCs w:val="1"/>
          <w:u w:val="single" w:color="auto"/>
          <w:color w:val="auto"/>
        </w:rPr>
        <w:t>E</w:t>
      </w:r>
      <w:r>
        <w:rPr>
          <w:rFonts w:ascii="Arial" w:cs="Arial" w:eastAsia="Arial" w:hAnsi="Arial"/>
          <w:sz w:val="10"/>
          <w:szCs w:val="10"/>
          <w:b w:val="1"/>
          <w:bCs w:val="1"/>
          <w:u w:val="single" w:color="auto"/>
          <w:color w:val="auto"/>
        </w:rPr>
        <w:t>XEMPTION</w:t>
      </w:r>
      <w:r>
        <w:rPr>
          <w:rFonts w:ascii="Arial" w:cs="Arial" w:eastAsia="Arial" w:hAnsi="Arial"/>
          <w:sz w:val="16"/>
          <w:szCs w:val="16"/>
          <w:color w:val="auto"/>
        </w:rPr>
        <w:t>.</w:t>
      </w:r>
    </w:p>
    <w:p>
      <w:pPr>
        <w:spacing w:after="0" w:line="208" w:lineRule="exact"/>
        <w:rPr>
          <w:sz w:val="20"/>
          <w:szCs w:val="20"/>
          <w:color w:val="auto"/>
        </w:rPr>
      </w:pPr>
    </w:p>
    <w:p>
      <w:pPr>
        <w:ind w:left="580"/>
        <w:spacing w:after="0" w:line="281" w:lineRule="auto"/>
        <w:rPr>
          <w:sz w:val="20"/>
          <w:szCs w:val="20"/>
          <w:color w:val="auto"/>
        </w:rPr>
      </w:pPr>
      <w:r>
        <w:rPr>
          <w:rFonts w:ascii="Arial" w:cs="Arial" w:eastAsia="Arial" w:hAnsi="Arial"/>
          <w:sz w:val="16"/>
          <w:szCs w:val="16"/>
          <w:color w:val="auto"/>
        </w:rPr>
        <w:t>Subject to the provisions of the Companies Law, the Company may exempt and release, in advance, any Office Holder from any liability for damages arising out of a breach of a duty of care towards the Company.</w:t>
      </w:r>
    </w:p>
    <w:p>
      <w:pPr>
        <w:spacing w:after="0" w:line="147" w:lineRule="exact"/>
        <w:rPr>
          <w:sz w:val="20"/>
          <w:szCs w:val="20"/>
          <w:color w:val="auto"/>
        </w:rPr>
      </w:pPr>
    </w:p>
    <w:p>
      <w:pPr>
        <w:ind w:left="600" w:hanging="599"/>
        <w:spacing w:after="0"/>
        <w:tabs>
          <w:tab w:leader="none" w:pos="600" w:val="left"/>
        </w:tabs>
        <w:numPr>
          <w:ilvl w:val="0"/>
          <w:numId w:val="259"/>
        </w:numPr>
        <w:rPr>
          <w:rFonts w:ascii="Arial" w:cs="Arial" w:eastAsia="Arial" w:hAnsi="Arial"/>
          <w:sz w:val="16"/>
          <w:szCs w:val="16"/>
          <w:color w:val="auto"/>
        </w:rPr>
      </w:pPr>
      <w:r>
        <w:rPr>
          <w:rFonts w:ascii="Arial" w:cs="Arial" w:eastAsia="Arial" w:hAnsi="Arial"/>
          <w:sz w:val="16"/>
          <w:szCs w:val="16"/>
          <w:b w:val="1"/>
          <w:bCs w:val="1"/>
          <w:u w:val="single" w:color="auto"/>
          <w:color w:val="auto"/>
        </w:rPr>
        <w:t>G</w:t>
      </w:r>
      <w:r>
        <w:rPr>
          <w:rFonts w:ascii="Arial" w:cs="Arial" w:eastAsia="Arial" w:hAnsi="Arial"/>
          <w:sz w:val="10"/>
          <w:szCs w:val="10"/>
          <w:b w:val="1"/>
          <w:bCs w:val="1"/>
          <w:u w:val="single" w:color="auto"/>
          <w:color w:val="auto"/>
        </w:rPr>
        <w:t>ENERAL</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67" w:lineRule="auto"/>
        <w:tabs>
          <w:tab w:leader="none" w:pos="1304" w:val="left"/>
        </w:tabs>
        <w:numPr>
          <w:ilvl w:val="1"/>
          <w:numId w:val="259"/>
        </w:numPr>
        <w:rPr>
          <w:rFonts w:ascii="Arial" w:cs="Arial" w:eastAsia="Arial" w:hAnsi="Arial"/>
          <w:sz w:val="16"/>
          <w:szCs w:val="16"/>
          <w:color w:val="auto"/>
        </w:rPr>
      </w:pPr>
      <w:r>
        <w:rPr>
          <w:rFonts w:ascii="Arial" w:cs="Arial" w:eastAsia="Arial" w:hAnsi="Arial"/>
          <w:sz w:val="16"/>
          <w:szCs w:val="16"/>
          <w:color w:val="auto"/>
        </w:rPr>
        <w:t>Any amendment to the Companies Law adversely affecting the right of any Office Holder to be indemnified or insured pursuant to Articles 64 to 66 and any amendments to Articles 64 to 66 shall be prospective in effect, and shall not affect the Company’s obligation or ability to indemnify or insure an Office Holder for any act or omission occurring prior to such amendment, unless otherwise provided by applicable law.</w:t>
      </w:r>
    </w:p>
    <w:p>
      <w:pPr>
        <w:spacing w:after="0" w:line="161" w:lineRule="exact"/>
        <w:rPr>
          <w:rFonts w:ascii="Arial" w:cs="Arial" w:eastAsia="Arial" w:hAnsi="Arial"/>
          <w:sz w:val="16"/>
          <w:szCs w:val="16"/>
          <w:color w:val="auto"/>
        </w:rPr>
      </w:pPr>
    </w:p>
    <w:p>
      <w:pPr>
        <w:jc w:val="both"/>
        <w:ind w:left="580" w:hanging="7"/>
        <w:spacing w:after="0" w:line="259" w:lineRule="auto"/>
        <w:tabs>
          <w:tab w:leader="none" w:pos="1244" w:val="left"/>
        </w:tabs>
        <w:numPr>
          <w:ilvl w:val="1"/>
          <w:numId w:val="259"/>
        </w:numPr>
        <w:rPr>
          <w:rFonts w:ascii="Arial" w:cs="Arial" w:eastAsia="Arial" w:hAnsi="Arial"/>
          <w:sz w:val="16"/>
          <w:szCs w:val="16"/>
          <w:color w:val="auto"/>
        </w:rPr>
      </w:pPr>
      <w:r>
        <w:rPr>
          <w:rFonts w:ascii="Arial" w:cs="Arial" w:eastAsia="Arial" w:hAnsi="Arial"/>
          <w:sz w:val="16"/>
          <w:szCs w:val="16"/>
          <w:color w:val="auto"/>
        </w:rPr>
        <w:t>The provisions of Articles 64 to 66 (i) shall apply to the maximum extent permitted by law (including, the Companies Law, the Securities Law and the RTP Law); and (ii) are not intended, and shall not be interpreted so as to restrict the Company, in any manner, in respect of the procurement of insurance and/or in respect of indemnification (whether in advance or retroactively) and/or exemption, in favor of any person who is not an Office Holder, including, without limitation, any employee, agent, consultant or contractor of the Company who is not an Office Holder; and/or any Office Holder to the extent that such insurance and/or indemnification is not specifically prohibited under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INDING</w:t>
      </w:r>
      <w:r>
        <w:rPr>
          <w:rFonts w:ascii="Arial" w:cs="Arial" w:eastAsia="Arial" w:hAnsi="Arial"/>
          <w:sz w:val="16"/>
          <w:szCs w:val="16"/>
          <w:b w:val="1"/>
          <w:bCs w:val="1"/>
          <w:color w:val="auto"/>
        </w:rPr>
        <w:t xml:space="preserve"> U</w:t>
      </w:r>
      <w:r>
        <w:rPr>
          <w:rFonts w:ascii="Arial" w:cs="Arial" w:eastAsia="Arial" w:hAnsi="Arial"/>
          <w:sz w:val="10"/>
          <w:szCs w:val="10"/>
          <w:b w:val="1"/>
          <w:bCs w:val="1"/>
          <w:color w:val="auto"/>
        </w:rPr>
        <w:t>P</w:t>
      </w:r>
    </w:p>
    <w:p>
      <w:pPr>
        <w:spacing w:after="0" w:line="204" w:lineRule="exact"/>
        <w:rPr>
          <w:sz w:val="20"/>
          <w:szCs w:val="20"/>
          <w:color w:val="auto"/>
        </w:rPr>
      </w:pPr>
    </w:p>
    <w:p>
      <w:pPr>
        <w:ind w:left="600" w:hanging="599"/>
        <w:spacing w:after="0"/>
        <w:tabs>
          <w:tab w:leader="none" w:pos="600" w:val="left"/>
        </w:tabs>
        <w:numPr>
          <w:ilvl w:val="0"/>
          <w:numId w:val="260"/>
        </w:numPr>
        <w:rPr>
          <w:rFonts w:ascii="Arial" w:cs="Arial" w:eastAsia="Arial" w:hAnsi="Arial"/>
          <w:sz w:val="16"/>
          <w:szCs w:val="16"/>
          <w:color w:val="auto"/>
        </w:rPr>
      </w:pPr>
      <w:r>
        <w:rPr>
          <w:rFonts w:ascii="Arial" w:cs="Arial" w:eastAsia="Arial" w:hAnsi="Arial"/>
          <w:sz w:val="16"/>
          <w:szCs w:val="16"/>
          <w:b w:val="1"/>
          <w:bCs w:val="1"/>
          <w:u w:val="single" w:color="auto"/>
          <w:color w:val="auto"/>
        </w:rPr>
        <w:t>W</w:t>
      </w:r>
      <w:r>
        <w:rPr>
          <w:rFonts w:ascii="Arial" w:cs="Arial" w:eastAsia="Arial" w:hAnsi="Arial"/>
          <w:sz w:val="10"/>
          <w:szCs w:val="10"/>
          <w:b w:val="1"/>
          <w:bCs w:val="1"/>
          <w:u w:val="single" w:color="auto"/>
          <w:color w:val="auto"/>
        </w:rPr>
        <w:t>INDING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U</w:t>
      </w:r>
      <w:r>
        <w:rPr>
          <w:rFonts w:ascii="Arial" w:cs="Arial" w:eastAsia="Arial" w:hAnsi="Arial"/>
          <w:sz w:val="10"/>
          <w:szCs w:val="10"/>
          <w:b w:val="1"/>
          <w:bCs w:val="1"/>
          <w:u w:val="single" w:color="auto"/>
          <w:color w:val="auto"/>
        </w:rPr>
        <w:t>P</w:t>
      </w:r>
      <w:r>
        <w:rPr>
          <w:rFonts w:ascii="Arial" w:cs="Arial" w:eastAsia="Arial" w:hAnsi="Arial"/>
          <w:sz w:val="16"/>
          <w:szCs w:val="16"/>
          <w:color w:val="auto"/>
        </w:rPr>
        <w:t>.</w:t>
      </w:r>
    </w:p>
    <w:p>
      <w:pPr>
        <w:spacing w:after="0" w:line="208" w:lineRule="exact"/>
        <w:rPr>
          <w:sz w:val="20"/>
          <w:szCs w:val="20"/>
          <w:color w:val="auto"/>
        </w:rPr>
      </w:pPr>
    </w:p>
    <w:p>
      <w:pPr>
        <w:jc w:val="both"/>
        <w:ind w:left="580"/>
        <w:spacing w:after="0" w:line="267" w:lineRule="auto"/>
        <w:rPr>
          <w:sz w:val="20"/>
          <w:szCs w:val="20"/>
          <w:color w:val="auto"/>
        </w:rPr>
      </w:pPr>
      <w:r>
        <w:rPr>
          <w:rFonts w:ascii="Arial" w:cs="Arial" w:eastAsia="Arial" w:hAnsi="Arial"/>
          <w:sz w:val="16"/>
          <w:szCs w:val="16"/>
          <w:color w:val="auto"/>
        </w:rPr>
        <w:t>If the Company is wound up, then, subject to applicable law and to the rights of the holders of shares with special rights upon winding up, the assets of the Company available for distribution among the shareholders shall be distributed to them in proportion to the nominal value of their respective holdings of the shares in respect of which such distribution is being made.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OTICES</w:t>
      </w:r>
    </w:p>
    <w:p>
      <w:pPr>
        <w:spacing w:after="0" w:line="204" w:lineRule="exact"/>
        <w:rPr>
          <w:sz w:val="20"/>
          <w:szCs w:val="20"/>
          <w:color w:val="auto"/>
        </w:rPr>
      </w:pPr>
    </w:p>
    <w:p>
      <w:pPr>
        <w:ind w:left="640" w:hanging="639"/>
        <w:spacing w:after="0"/>
        <w:tabs>
          <w:tab w:leader="none" w:pos="640" w:val="left"/>
        </w:tabs>
        <w:numPr>
          <w:ilvl w:val="0"/>
          <w:numId w:val="261"/>
        </w:numPr>
        <w:rPr>
          <w:rFonts w:ascii="Arial" w:cs="Arial" w:eastAsia="Arial" w:hAnsi="Arial"/>
          <w:sz w:val="16"/>
          <w:szCs w:val="16"/>
          <w:color w:val="auto"/>
        </w:rPr>
      </w:pPr>
      <w:r>
        <w:rPr>
          <w:rFonts w:ascii="Arial" w:cs="Arial" w:eastAsia="Arial" w:hAnsi="Arial"/>
          <w:sz w:val="16"/>
          <w:szCs w:val="16"/>
          <w:b w:val="1"/>
          <w:bCs w:val="1"/>
          <w:u w:val="single" w:color="auto"/>
          <w:color w:val="auto"/>
        </w:rPr>
        <w:t>N</w:t>
      </w:r>
      <w:r>
        <w:rPr>
          <w:rFonts w:ascii="Arial" w:cs="Arial" w:eastAsia="Arial" w:hAnsi="Arial"/>
          <w:sz w:val="10"/>
          <w:szCs w:val="10"/>
          <w:b w:val="1"/>
          <w:bCs w:val="1"/>
          <w:u w:val="single" w:color="auto"/>
          <w:color w:val="auto"/>
        </w:rPr>
        <w:t>OTICES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left="580" w:hanging="7"/>
        <w:spacing w:after="0" w:line="267" w:lineRule="auto"/>
        <w:tabs>
          <w:tab w:leader="none" w:pos="1396"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Any written notice or other document may be served by the Company upon any shareholder either personally, by facsimile, email or other electronic transmission, or by sending it by prepaid mail (airmail if sent internationally) addressed to such shareholder at his address as described in the Register of Shareholders or such other address as he may have designated in writing for the receipt of notices and other documents.</w:t>
      </w:r>
    </w:p>
    <w:p>
      <w:pPr>
        <w:spacing w:after="0" w:line="161" w:lineRule="exact"/>
        <w:rPr>
          <w:rFonts w:ascii="Arial" w:cs="Arial" w:eastAsia="Arial" w:hAnsi="Arial"/>
          <w:sz w:val="16"/>
          <w:szCs w:val="16"/>
          <w:color w:val="auto"/>
        </w:rPr>
      </w:pPr>
    </w:p>
    <w:p>
      <w:pPr>
        <w:jc w:val="both"/>
        <w:ind w:left="580" w:hanging="7"/>
        <w:spacing w:after="0" w:line="267" w:lineRule="auto"/>
        <w:tabs>
          <w:tab w:leader="none" w:pos="1284"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Any written notice or other document may be served by any shareholder upon the Company by tendering the same in person to the Secretary or the Chief Executive Officer of the Company at the principal office of the Company, by facsimile transmission, or by sending it by prepaid registered mail (airmail if posted outside Israel) to the Company at its Office.</w:t>
      </w:r>
    </w:p>
    <w:p>
      <w:pPr>
        <w:spacing w:after="0" w:line="161" w:lineRule="exact"/>
        <w:rPr>
          <w:rFonts w:ascii="Arial" w:cs="Arial" w:eastAsia="Arial" w:hAnsi="Arial"/>
          <w:sz w:val="16"/>
          <w:szCs w:val="16"/>
          <w:color w:val="auto"/>
        </w:rPr>
      </w:pPr>
    </w:p>
    <w:p>
      <w:pPr>
        <w:ind w:left="1220" w:hanging="647"/>
        <w:spacing w:after="0"/>
        <w:tabs>
          <w:tab w:leader="none" w:pos="122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Any such notice or other document shall be deemed to have been served:</w:t>
      </w:r>
    </w:p>
    <w:p>
      <w:pPr>
        <w:spacing w:after="0" w:line="397" w:lineRule="exact"/>
        <w:rPr>
          <w:rFonts w:ascii="Arial" w:cs="Arial" w:eastAsia="Arial" w:hAnsi="Arial"/>
          <w:sz w:val="16"/>
          <w:szCs w:val="16"/>
          <w:color w:val="auto"/>
        </w:rPr>
      </w:pPr>
    </w:p>
    <w:p>
      <w:pPr>
        <w:ind w:left="5580" w:hanging="103"/>
        <w:spacing w:after="0"/>
        <w:tabs>
          <w:tab w:leader="none" w:pos="5580" w:val="left"/>
        </w:tabs>
        <w:numPr>
          <w:ilvl w:val="2"/>
          <w:numId w:val="261"/>
        </w:numPr>
        <w:rPr>
          <w:rFonts w:ascii="Arial" w:cs="Arial" w:eastAsia="Arial" w:hAnsi="Arial"/>
          <w:sz w:val="16"/>
          <w:szCs w:val="16"/>
          <w:color w:val="auto"/>
        </w:rPr>
      </w:pPr>
      <w:r>
        <w:rPr>
          <w:rFonts w:ascii="Arial" w:cs="Arial" w:eastAsia="Arial" w:hAnsi="Arial"/>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33" w:name="page234"/>
    <w:bookmarkEnd w:id="233"/>
    <w:p>
      <w:pPr>
        <w:ind w:left="587" w:firstLine="4"/>
        <w:spacing w:after="0" w:line="281" w:lineRule="auto"/>
        <w:tabs>
          <w:tab w:leader="none" w:pos="1225"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in the case of mailing, forty-eight (48) hours after it has been posted, or when actually received by the addressee if sooner than forty-eight hours after it has been posted;</w:t>
      </w:r>
    </w:p>
    <w:p>
      <w:pPr>
        <w:spacing w:after="0" w:line="150" w:lineRule="exact"/>
        <w:rPr>
          <w:rFonts w:ascii="Arial" w:cs="Arial" w:eastAsia="Arial" w:hAnsi="Arial"/>
          <w:sz w:val="16"/>
          <w:szCs w:val="16"/>
          <w:color w:val="auto"/>
        </w:rPr>
      </w:pPr>
    </w:p>
    <w:p>
      <w:pPr>
        <w:ind w:left="587" w:firstLine="4"/>
        <w:spacing w:after="0" w:line="281" w:lineRule="auto"/>
        <w:tabs>
          <w:tab w:leader="none" w:pos="1147"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in the case of overnight air courier, on the next business day following the day sent, with receipt confirmed by the courier, or when actually received by the addressee if sooner than three business days after it has been sent;</w:t>
      </w:r>
    </w:p>
    <w:p>
      <w:pPr>
        <w:spacing w:after="0" w:line="150" w:lineRule="exact"/>
        <w:rPr>
          <w:rFonts w:ascii="Arial" w:cs="Arial" w:eastAsia="Arial" w:hAnsi="Arial"/>
          <w:sz w:val="16"/>
          <w:szCs w:val="16"/>
          <w:color w:val="auto"/>
        </w:rPr>
      </w:pPr>
    </w:p>
    <w:p>
      <w:pPr>
        <w:ind w:left="1147" w:hanging="556"/>
        <w:spacing w:after="0"/>
        <w:tabs>
          <w:tab w:leader="none" w:pos="1147"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in the case of personal delivery, when actually tendered in person, to such addressee; or</w:t>
      </w:r>
    </w:p>
    <w:p>
      <w:pPr>
        <w:spacing w:after="0" w:line="203" w:lineRule="exact"/>
        <w:rPr>
          <w:rFonts w:ascii="Arial" w:cs="Arial" w:eastAsia="Arial" w:hAnsi="Arial"/>
          <w:sz w:val="16"/>
          <w:szCs w:val="16"/>
          <w:color w:val="auto"/>
        </w:rPr>
      </w:pPr>
    </w:p>
    <w:p>
      <w:pPr>
        <w:jc w:val="both"/>
        <w:ind w:left="587" w:firstLine="4"/>
        <w:spacing w:after="0" w:line="267" w:lineRule="auto"/>
        <w:tabs>
          <w:tab w:leader="none" w:pos="121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in the case of facsimile, email or other electronic transmission, on the first business day (during normal business hours in place of addressee) on which the sender receives automatic electronic confirmation by the addressee’s facsimile machine that such notice was received by the addressee or delivery confirmation from the addressee’s email or other communication server.</w:t>
      </w:r>
    </w:p>
    <w:p>
      <w:pPr>
        <w:spacing w:after="0" w:line="161" w:lineRule="exact"/>
        <w:rPr>
          <w:rFonts w:ascii="Arial" w:cs="Arial" w:eastAsia="Arial" w:hAnsi="Arial"/>
          <w:sz w:val="16"/>
          <w:szCs w:val="16"/>
          <w:color w:val="auto"/>
        </w:rPr>
      </w:pPr>
    </w:p>
    <w:p>
      <w:pPr>
        <w:ind w:left="7" w:hanging="7"/>
        <w:spacing w:after="0" w:line="281" w:lineRule="auto"/>
        <w:tabs>
          <w:tab w:leader="none" w:pos="803"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a notice is, in fact, received by the addressee, it shall be deemed to have been duly served, when received, notwithstanding that it was defectively addressed or failed, in some other respect, to comply with the provisions of this Article 69.</w:t>
      </w:r>
    </w:p>
    <w:p>
      <w:pPr>
        <w:spacing w:after="0" w:line="150" w:lineRule="exact"/>
        <w:rPr>
          <w:rFonts w:ascii="Arial" w:cs="Arial" w:eastAsia="Arial" w:hAnsi="Arial"/>
          <w:sz w:val="16"/>
          <w:szCs w:val="16"/>
          <w:color w:val="auto"/>
        </w:rPr>
      </w:pPr>
    </w:p>
    <w:p>
      <w:pPr>
        <w:ind w:left="7" w:hanging="7"/>
        <w:spacing w:after="0" w:line="281" w:lineRule="auto"/>
        <w:tabs>
          <w:tab w:leader="none" w:pos="69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150" w:lineRule="exact"/>
        <w:rPr>
          <w:rFonts w:ascii="Arial" w:cs="Arial" w:eastAsia="Arial" w:hAnsi="Arial"/>
          <w:sz w:val="16"/>
          <w:szCs w:val="16"/>
          <w:color w:val="auto"/>
        </w:rPr>
      </w:pPr>
    </w:p>
    <w:p>
      <w:pPr>
        <w:ind w:left="7" w:hanging="7"/>
        <w:spacing w:after="0" w:line="281" w:lineRule="auto"/>
        <w:tabs>
          <w:tab w:leader="none" w:pos="64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Any shareholder whose address is not described in the Register of Shareholders, and who shall not have designated in writing an address for the receipt of notices, shall not be entitled to receive any notice from the Company.</w:t>
      </w:r>
    </w:p>
    <w:p>
      <w:pPr>
        <w:spacing w:after="0" w:line="150" w:lineRule="exact"/>
        <w:rPr>
          <w:rFonts w:ascii="Arial" w:cs="Arial" w:eastAsia="Arial" w:hAnsi="Arial"/>
          <w:sz w:val="16"/>
          <w:szCs w:val="16"/>
          <w:color w:val="auto"/>
        </w:rPr>
      </w:pPr>
    </w:p>
    <w:p>
      <w:pPr>
        <w:ind w:left="7" w:hanging="7"/>
        <w:spacing w:after="0" w:line="281" w:lineRule="auto"/>
        <w:tabs>
          <w:tab w:leader="none" w:pos="64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notice by the Company of a General Meeting, containing the information required by applicable law and these Articles to be set forth therein, which is published, within the time otherwise required for giving notice of such meeting, in:</w:t>
      </w:r>
    </w:p>
    <w:p>
      <w:pPr>
        <w:spacing w:after="0" w:line="150" w:lineRule="exact"/>
        <w:rPr>
          <w:rFonts w:ascii="Arial" w:cs="Arial" w:eastAsia="Arial" w:hAnsi="Arial"/>
          <w:sz w:val="16"/>
          <w:szCs w:val="16"/>
          <w:color w:val="auto"/>
        </w:rPr>
      </w:pPr>
    </w:p>
    <w:p>
      <w:pPr>
        <w:jc w:val="both"/>
        <w:ind w:left="587" w:firstLine="4"/>
        <w:spacing w:after="0" w:line="267" w:lineRule="auto"/>
        <w:tabs>
          <w:tab w:leader="none" w:pos="1212" w:val="left"/>
        </w:tabs>
        <w:numPr>
          <w:ilvl w:val="1"/>
          <w:numId w:val="263"/>
        </w:numPr>
        <w:rPr>
          <w:rFonts w:ascii="Arial" w:cs="Arial" w:eastAsia="Arial" w:hAnsi="Arial"/>
          <w:sz w:val="16"/>
          <w:szCs w:val="16"/>
          <w:color w:val="auto"/>
        </w:rPr>
      </w:pPr>
      <w:r>
        <w:rPr>
          <w:rFonts w:ascii="Arial" w:cs="Arial" w:eastAsia="Arial" w:hAnsi="Arial"/>
          <w:sz w:val="16"/>
          <w:szCs w:val="16"/>
          <w:color w:val="auto"/>
        </w:rPr>
        <w:t>at least two daily newspapers in the State of Israel shall be deemed to be notice of such meeting duly given, for the purposes of these Articles, to any shareholder whose address as registered in the Register of Shareholders (or as designated in writing for the receipt of notices and other documents) is located in the State of Israel; and</w:t>
      </w:r>
    </w:p>
    <w:p>
      <w:pPr>
        <w:spacing w:after="0" w:line="161" w:lineRule="exact"/>
        <w:rPr>
          <w:rFonts w:ascii="Arial" w:cs="Arial" w:eastAsia="Arial" w:hAnsi="Arial"/>
          <w:sz w:val="16"/>
          <w:szCs w:val="16"/>
          <w:color w:val="auto"/>
        </w:rPr>
      </w:pPr>
    </w:p>
    <w:p>
      <w:pPr>
        <w:jc w:val="both"/>
        <w:ind w:left="587" w:firstLine="4"/>
        <w:spacing w:after="0" w:line="267" w:lineRule="auto"/>
        <w:tabs>
          <w:tab w:leader="none" w:pos="1168" w:val="left"/>
        </w:tabs>
        <w:numPr>
          <w:ilvl w:val="1"/>
          <w:numId w:val="263"/>
        </w:numPr>
        <w:rPr>
          <w:rFonts w:ascii="Arial" w:cs="Arial" w:eastAsia="Arial" w:hAnsi="Arial"/>
          <w:sz w:val="16"/>
          <w:szCs w:val="16"/>
          <w:color w:val="auto"/>
        </w:rPr>
      </w:pPr>
      <w:r>
        <w:rPr>
          <w:rFonts w:ascii="Arial" w:cs="Arial" w:eastAsia="Arial" w:hAnsi="Arial"/>
          <w:sz w:val="16"/>
          <w:szCs w:val="16"/>
          <w:color w:val="auto"/>
        </w:rPr>
        <w:t>one daily newspaper in the City of New York and in one international wire service shall be deemed to be notice of such meeting duly given, for the purposes of these Articles, to any shareholder whose address as registered in the Register of Shareholders (or as designated in writing for the receipt of notices and other documents) is located outside the State of Israel.</w:t>
      </w:r>
    </w:p>
    <w:p>
      <w:pPr>
        <w:spacing w:after="0" w:line="161" w:lineRule="exact"/>
        <w:rPr>
          <w:rFonts w:ascii="Arial" w:cs="Arial" w:eastAsia="Arial" w:hAnsi="Arial"/>
          <w:sz w:val="16"/>
          <w:szCs w:val="16"/>
          <w:color w:val="auto"/>
        </w:rPr>
      </w:pPr>
    </w:p>
    <w:p>
      <w:pPr>
        <w:ind w:left="627" w:hanging="627"/>
        <w:spacing w:after="0"/>
        <w:tabs>
          <w:tab w:leader="none" w:pos="62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mailing or publication date and the date of the meeting shall be counted as part of the days comprising any notice period.</w:t>
      </w:r>
    </w:p>
    <w:p>
      <w:pPr>
        <w:spacing w:after="0" w:line="204" w:lineRule="exact"/>
        <w:rPr>
          <w:sz w:val="20"/>
          <w:szCs w:val="20"/>
          <w:color w:val="auto"/>
        </w:rPr>
      </w:pPr>
    </w:p>
    <w:p>
      <w:pPr>
        <w:ind w:left="4647"/>
        <w:spacing w:after="0"/>
        <w:tabs>
          <w:tab w:leader="none" w:pos="5026" w:val="left"/>
          <w:tab w:leader="none" w:pos="542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4" w:lineRule="exact"/>
        <w:rPr>
          <w:sz w:val="20"/>
          <w:szCs w:val="20"/>
          <w:color w:val="auto"/>
        </w:rPr>
      </w:pPr>
    </w:p>
    <w:p>
      <w:pPr>
        <w:ind w:left="4907"/>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13970</wp:posOffset>
            </wp:positionV>
            <wp:extent cx="718375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727"/>
          </w:cols>
          <w:pgMar w:left="873" w:top="805" w:right="299" w:bottom="1440" w:gutter="0" w:footer="0" w:header="0"/>
        </w:sectPr>
      </w:pPr>
    </w:p>
    <w:bookmarkStart w:id="234" w:name="page235"/>
    <w:bookmarkEnd w:id="234"/>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279005" cy="12458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9005" cy="1245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18, 2015</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Kornit Digital Ltd.</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12 Ha`Amal Street, Afek Park,</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Rosh-Ha`Ayin 4809246, Israel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b w:val="1"/>
          <w:bCs w:val="1"/>
          <w:u w:val="single" w:color="auto"/>
          <w:color w:val="auto"/>
        </w:rPr>
        <w:t>Registration Statement on Form F-1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0" w:lineRule="exact"/>
        <w:rPr>
          <w:sz w:val="20"/>
          <w:szCs w:val="20"/>
          <w:color w:val="auto"/>
        </w:rPr>
      </w:pPr>
    </w:p>
    <w:p>
      <w:pPr>
        <w:ind w:right="60" w:firstLine="581"/>
        <w:spacing w:after="0" w:line="280" w:lineRule="auto"/>
        <w:rPr>
          <w:sz w:val="20"/>
          <w:szCs w:val="20"/>
          <w:color w:val="auto"/>
        </w:rPr>
      </w:pPr>
      <w:r>
        <w:rPr>
          <w:rFonts w:ascii="Arial" w:cs="Arial" w:eastAsia="Arial" w:hAnsi="Arial"/>
          <w:sz w:val="15"/>
          <w:szCs w:val="15"/>
          <w:color w:val="auto"/>
        </w:rPr>
        <w:t>We have acted as Israeli counsel for Kornit Digital Ltd., an Israeli company (the “</w:t>
      </w:r>
      <w:r>
        <w:rPr>
          <w:rFonts w:ascii="Arial" w:cs="Arial" w:eastAsia="Arial" w:hAnsi="Arial"/>
          <w:sz w:val="15"/>
          <w:szCs w:val="15"/>
          <w:b w:val="1"/>
          <w:bCs w:val="1"/>
          <w:color w:val="auto"/>
        </w:rPr>
        <w:t>Company</w:t>
      </w:r>
      <w:r>
        <w:rPr>
          <w:rFonts w:ascii="Arial" w:cs="Arial" w:eastAsia="Arial" w:hAnsi="Arial"/>
          <w:sz w:val="15"/>
          <w:szCs w:val="15"/>
          <w:color w:val="auto"/>
        </w:rPr>
        <w:t>”), in connection with the underwritten initial public offering by the Company, contemplating (i) the issuance and sale by the Company of an aggregate of 7,100,000 ordinary shares, par value NIS 0.01 per share (“</w:t>
      </w:r>
      <w:r>
        <w:rPr>
          <w:rFonts w:ascii="Arial" w:cs="Arial" w:eastAsia="Arial" w:hAnsi="Arial"/>
          <w:sz w:val="15"/>
          <w:szCs w:val="15"/>
          <w:b w:val="1"/>
          <w:bCs w:val="1"/>
          <w:color w:val="auto"/>
        </w:rPr>
        <w:t>Ordinary Shares</w:t>
      </w:r>
      <w:r>
        <w:rPr>
          <w:rFonts w:ascii="Arial" w:cs="Arial" w:eastAsia="Arial" w:hAnsi="Arial"/>
          <w:sz w:val="15"/>
          <w:szCs w:val="15"/>
          <w:color w:val="auto"/>
        </w:rPr>
        <w:t>”) of the Company (the “</w:t>
      </w:r>
      <w:r>
        <w:rPr>
          <w:rFonts w:ascii="Arial" w:cs="Arial" w:eastAsia="Arial" w:hAnsi="Arial"/>
          <w:sz w:val="15"/>
          <w:szCs w:val="15"/>
          <w:b w:val="1"/>
          <w:bCs w:val="1"/>
          <w:color w:val="auto"/>
        </w:rPr>
        <w:t>Offering Shares</w:t>
      </w:r>
      <w:r>
        <w:rPr>
          <w:rFonts w:ascii="Arial" w:cs="Arial" w:eastAsia="Arial" w:hAnsi="Arial"/>
          <w:sz w:val="15"/>
          <w:szCs w:val="15"/>
          <w:color w:val="auto"/>
        </w:rPr>
        <w:t>”) and (ii) the potential issuance and sale by the Company of up to an additional 1,065,000 Ordinary Shares (the “</w:t>
      </w:r>
      <w:r>
        <w:rPr>
          <w:rFonts w:ascii="Arial" w:cs="Arial" w:eastAsia="Arial" w:hAnsi="Arial"/>
          <w:sz w:val="15"/>
          <w:szCs w:val="15"/>
          <w:b w:val="1"/>
          <w:bCs w:val="1"/>
          <w:color w:val="auto"/>
        </w:rPr>
        <w:t>Additional Shares</w:t>
      </w:r>
      <w:r>
        <w:rPr>
          <w:rFonts w:ascii="Arial" w:cs="Arial" w:eastAsia="Arial" w:hAnsi="Arial"/>
          <w:sz w:val="15"/>
          <w:szCs w:val="15"/>
          <w:color w:val="auto"/>
        </w:rPr>
        <w:t>” and, collectively with the Offering Shares, the “</w:t>
      </w:r>
      <w:r>
        <w:rPr>
          <w:rFonts w:ascii="Arial" w:cs="Arial" w:eastAsia="Arial" w:hAnsi="Arial"/>
          <w:sz w:val="15"/>
          <w:szCs w:val="15"/>
          <w:b w:val="1"/>
          <w:bCs w:val="1"/>
          <w:color w:val="auto"/>
        </w:rPr>
        <w:t>Shares</w:t>
      </w:r>
      <w:r>
        <w:rPr>
          <w:rFonts w:ascii="Arial" w:cs="Arial" w:eastAsia="Arial" w:hAnsi="Arial"/>
          <w:sz w:val="15"/>
          <w:szCs w:val="15"/>
          <w:color w:val="auto"/>
        </w:rPr>
        <w:t>”), that are subject to an over-allotment option granted by the Company to the underwriters of the offering (the “</w:t>
      </w:r>
      <w:r>
        <w:rPr>
          <w:rFonts w:ascii="Arial" w:cs="Arial" w:eastAsia="Arial" w:hAnsi="Arial"/>
          <w:sz w:val="15"/>
          <w:szCs w:val="15"/>
          <w:b w:val="1"/>
          <w:bCs w:val="1"/>
          <w:color w:val="auto"/>
        </w:rPr>
        <w:t>Offering</w:t>
      </w:r>
      <w:r>
        <w:rPr>
          <w:rFonts w:ascii="Arial" w:cs="Arial" w:eastAsia="Arial" w:hAnsi="Arial"/>
          <w:sz w:val="15"/>
          <w:szCs w:val="15"/>
          <w:color w:val="auto"/>
        </w:rPr>
        <w:t>”). This opinion letter is rendered pursuant to Item 8(a) of Form F-1 promulgated by the United States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and Items 601(b)(5) and (b)(23) of the SEC’s Regulation S-K promulgated under the United States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w:t>
      </w:r>
    </w:p>
    <w:p>
      <w:pPr>
        <w:spacing w:after="0" w:line="153" w:lineRule="exact"/>
        <w:rPr>
          <w:sz w:val="20"/>
          <w:szCs w:val="20"/>
          <w:color w:val="auto"/>
        </w:rPr>
      </w:pPr>
    </w:p>
    <w:p>
      <w:pPr>
        <w:ind w:firstLine="581"/>
        <w:spacing w:after="0" w:line="276" w:lineRule="auto"/>
        <w:rPr>
          <w:sz w:val="20"/>
          <w:szCs w:val="20"/>
          <w:color w:val="auto"/>
        </w:rPr>
      </w:pPr>
      <w:r>
        <w:rPr>
          <w:rFonts w:ascii="Arial" w:cs="Arial" w:eastAsia="Arial" w:hAnsi="Arial"/>
          <w:sz w:val="15"/>
          <w:szCs w:val="15"/>
          <w:color w:val="auto"/>
        </w:rPr>
        <w:t>In connection herewith, we have examined the originals, or photocopies or copies, certified or otherwise identified to our satisfaction, of: (i) the form of the registration statement on Form F-1 (File No. 333-202291) filed by the Company with the SEC (as amended through the date hereof,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and to which this opinion is attached as an exhibit; (ii) a copy of the articles of association of the Company, as currently in effect; (iii) a draft of the amended articles of association of the Company, to be in effect as of prior to the effectiveness of the Registration Statement (the “</w:t>
      </w:r>
      <w:r>
        <w:rPr>
          <w:rFonts w:ascii="Arial" w:cs="Arial" w:eastAsia="Arial" w:hAnsi="Arial"/>
          <w:sz w:val="15"/>
          <w:szCs w:val="15"/>
          <w:b w:val="1"/>
          <w:bCs w:val="1"/>
          <w:color w:val="auto"/>
        </w:rPr>
        <w:t>Amended Articles</w:t>
      </w:r>
      <w:r>
        <w:rPr>
          <w:rFonts w:ascii="Arial" w:cs="Arial" w:eastAsia="Arial" w:hAnsi="Arial"/>
          <w:sz w:val="15"/>
          <w:szCs w:val="15"/>
          <w:color w:val="auto"/>
        </w:rPr>
        <w:t>”); (iv) resolutions of the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of the Company which have heretofore been approved and, in each case, which relate to the Registration Statement and other actions to be taken in connection with the Offering (the “</w:t>
      </w:r>
      <w:r>
        <w:rPr>
          <w:rFonts w:ascii="Arial" w:cs="Arial" w:eastAsia="Arial" w:hAnsi="Arial"/>
          <w:sz w:val="15"/>
          <w:szCs w:val="15"/>
          <w:b w:val="1"/>
          <w:bCs w:val="1"/>
          <w:color w:val="auto"/>
        </w:rPr>
        <w:t>Resolutions</w:t>
      </w:r>
      <w:r>
        <w:rPr>
          <w:rFonts w:ascii="Arial" w:cs="Arial" w:eastAsia="Arial" w:hAnsi="Arial"/>
          <w:sz w:val="15"/>
          <w:szCs w:val="15"/>
          <w:color w:val="auto"/>
        </w:rPr>
        <w:t>”); and (v)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inquires of such officers and representatives as we have deemed relevant and necessary as a basis for the opinions hereafter set forth.</w:t>
      </w:r>
    </w:p>
    <w:p>
      <w:pPr>
        <w:spacing w:after="0" w:line="157" w:lineRule="exact"/>
        <w:rPr>
          <w:sz w:val="20"/>
          <w:szCs w:val="20"/>
          <w:color w:val="auto"/>
        </w:rPr>
      </w:pPr>
    </w:p>
    <w:p>
      <w:pPr>
        <w:ind w:right="20" w:firstLine="581"/>
        <w:spacing w:after="0" w:line="262" w:lineRule="auto"/>
        <w:rPr>
          <w:sz w:val="20"/>
          <w:szCs w:val="20"/>
          <w:color w:val="auto"/>
        </w:rPr>
      </w:pPr>
      <w:r>
        <w:rPr>
          <w:rFonts w:ascii="Arial" w:cs="Arial" w:eastAsia="Arial" w:hAnsi="Arial"/>
          <w:sz w:val="16"/>
          <w:szCs w:val="16"/>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718375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235" w:name="page236"/>
    <w:bookmarkEnd w:id="235"/>
    <w:p>
      <w:pPr>
        <w:ind w:firstLine="581"/>
        <w:spacing w:after="0" w:line="267" w:lineRule="auto"/>
        <w:rPr>
          <w:sz w:val="20"/>
          <w:szCs w:val="20"/>
          <w:color w:val="auto"/>
        </w:rPr>
      </w:pPr>
      <w:r>
        <w:rPr>
          <w:rFonts w:ascii="Arial" w:cs="Arial" w:eastAsia="Arial" w:hAnsi="Arial"/>
          <w:sz w:val="16"/>
          <w:szCs w:val="16"/>
          <w:color w:val="auto"/>
        </w:rPr>
        <w:t>Based upon and subject to the foregoing, we are of the opinion that upon effectiveness of the Amended Articles and payment to the Company of the consideration per Share in such amount and form as shall be determined by the Board or an authorized committee thereof, the Shares, when issued and sold in the Offering as described in the Registration Statement, will be duly authorized, validly issued, fully paid and non-assessable.</w:t>
      </w:r>
    </w:p>
    <w:p>
      <w:pPr>
        <w:spacing w:after="0" w:line="161" w:lineRule="exact"/>
        <w:rPr>
          <w:sz w:val="20"/>
          <w:szCs w:val="20"/>
          <w:color w:val="auto"/>
        </w:rPr>
      </w:pPr>
    </w:p>
    <w:p>
      <w:pPr>
        <w:ind w:right="120" w:firstLine="581"/>
        <w:spacing w:after="0" w:line="281" w:lineRule="auto"/>
        <w:rPr>
          <w:sz w:val="20"/>
          <w:szCs w:val="20"/>
          <w:color w:val="auto"/>
        </w:rPr>
      </w:pPr>
      <w:r>
        <w:rPr>
          <w:rFonts w:ascii="Arial" w:cs="Arial" w:eastAsia="Arial" w:hAnsi="Arial"/>
          <w:sz w:val="16"/>
          <w:szCs w:val="16"/>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51" w:lineRule="exact"/>
        <w:rPr>
          <w:sz w:val="20"/>
          <w:szCs w:val="20"/>
          <w:color w:val="auto"/>
        </w:rPr>
      </w:pPr>
    </w:p>
    <w:p>
      <w:pPr>
        <w:ind w:right="160" w:firstLine="581"/>
        <w:spacing w:after="0" w:line="262" w:lineRule="auto"/>
        <w:rPr>
          <w:sz w:val="20"/>
          <w:szCs w:val="20"/>
          <w:color w:val="auto"/>
        </w:rPr>
      </w:pPr>
      <w:r>
        <w:rPr>
          <w:rFonts w:ascii="Arial" w:cs="Arial" w:eastAsia="Arial" w:hAnsi="Arial"/>
          <w:sz w:val="16"/>
          <w:szCs w:val="16"/>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promulgated under the Securities Act.</w:t>
      </w:r>
    </w:p>
    <w:p>
      <w:pPr>
        <w:spacing w:after="0" w:line="166" w:lineRule="exact"/>
        <w:rPr>
          <w:sz w:val="20"/>
          <w:szCs w:val="20"/>
          <w:color w:val="auto"/>
        </w:rPr>
      </w:pPr>
    </w:p>
    <w:p>
      <w:pPr>
        <w:ind w:firstLine="581"/>
        <w:spacing w:after="0" w:line="281"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Very truly yours,</w:t>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Meitar Liquornick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660400</wp:posOffset>
            </wp:positionV>
            <wp:extent cx="719899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8995" cy="7620"/>
                    </a:xfrm>
                    <a:prstGeom prst="rect">
                      <a:avLst/>
                    </a:prstGeom>
                    <a:noFill/>
                  </pic:spPr>
                </pic:pic>
              </a:graphicData>
            </a:graphic>
          </wp:anchor>
        </w:drawing>
      </w:r>
    </w:p>
    <w:p>
      <w:pPr>
        <w:sectPr>
          <w:pgSz w:w="11900" w:h="16838" w:orient="portrait"/>
          <w:cols w:equalWidth="0" w:num="1">
            <w:col w:w="11300"/>
          </w:cols>
          <w:pgMar w:left="300" w:top="636" w:right="299" w:bottom="1440" w:gutter="0" w:footer="0" w:header="0"/>
        </w:sectPr>
      </w:pPr>
    </w:p>
    <w:bookmarkStart w:id="236" w:name="page237"/>
    <w:bookmarkEnd w:id="236"/>
    <w:p>
      <w:pPr>
        <w:jc w:val="right"/>
        <w:spacing w:after="0"/>
        <w:rPr>
          <w:sz w:val="20"/>
          <w:szCs w:val="20"/>
          <w:color w:val="auto"/>
        </w:rPr>
      </w:pPr>
      <w:r>
        <w:rPr>
          <w:rFonts w:ascii="Arial" w:cs="Arial" w:eastAsia="Arial" w:hAnsi="Arial"/>
          <w:sz w:val="16"/>
          <w:szCs w:val="16"/>
          <w:b w:val="1"/>
          <w:bCs w:val="1"/>
          <w:color w:val="auto"/>
        </w:rPr>
        <w:t>Exhibit 10.16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AMENDED AND RESTATED INVESTORS’ RIGHTS AGREEMENT</w:t>
      </w:r>
    </w:p>
    <w:p>
      <w:pPr>
        <w:spacing w:after="0" w:line="204" w:lineRule="exact"/>
        <w:rPr>
          <w:sz w:val="20"/>
          <w:szCs w:val="20"/>
          <w:color w:val="auto"/>
        </w:rPr>
      </w:pPr>
    </w:p>
    <w:p>
      <w:pPr>
        <w:jc w:val="both"/>
        <w:ind w:firstLine="581"/>
        <w:spacing w:after="0" w:line="269" w:lineRule="auto"/>
        <w:rPr>
          <w:sz w:val="20"/>
          <w:szCs w:val="20"/>
          <w:color w:val="auto"/>
        </w:rPr>
      </w:pPr>
      <w:r>
        <w:rPr>
          <w:rFonts w:ascii="Arial" w:cs="Arial" w:eastAsia="Arial" w:hAnsi="Arial"/>
          <w:sz w:val="16"/>
          <w:szCs w:val="16"/>
          <w:color w:val="auto"/>
        </w:rPr>
        <w:t>THIS AMENDED AND RESTATED INVESTORS’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the 18th day of March 2015, by and among Kornit Digital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Fortissimo Capital Fund II (Israel) L.P. (the “</w:t>
      </w:r>
      <w:r>
        <w:rPr>
          <w:rFonts w:ascii="Arial" w:cs="Arial" w:eastAsia="Arial" w:hAnsi="Arial"/>
          <w:sz w:val="16"/>
          <w:szCs w:val="16"/>
          <w:b w:val="1"/>
          <w:bCs w:val="1"/>
          <w:color w:val="auto"/>
        </w:rPr>
        <w:t>Investor</w:t>
      </w:r>
      <w:r>
        <w:rPr>
          <w:rFonts w:ascii="Arial" w:cs="Arial" w:eastAsia="Arial" w:hAnsi="Arial"/>
          <w:sz w:val="16"/>
          <w:szCs w:val="16"/>
          <w:color w:val="auto"/>
        </w:rPr>
        <w:t>”) and certain shareholders of the Company listed on the signature pages hereto (each a “</w:t>
      </w:r>
      <w:r>
        <w:rPr>
          <w:rFonts w:ascii="Arial" w:cs="Arial" w:eastAsia="Arial" w:hAnsi="Arial"/>
          <w:sz w:val="16"/>
          <w:szCs w:val="16"/>
          <w:b w:val="1"/>
          <w:bCs w:val="1"/>
          <w:color w:val="auto"/>
        </w:rPr>
        <w:t>Major Shareholder</w:t>
      </w:r>
      <w:r>
        <w:rPr>
          <w:rFonts w:ascii="Arial" w:cs="Arial" w:eastAsia="Arial" w:hAnsi="Arial"/>
          <w:sz w:val="16"/>
          <w:szCs w:val="16"/>
          <w:color w:val="auto"/>
        </w:rPr>
        <w:t>” and together with the Investor, the “</w:t>
      </w:r>
      <w:r>
        <w:rPr>
          <w:rFonts w:ascii="Arial" w:cs="Arial" w:eastAsia="Arial" w:hAnsi="Arial"/>
          <w:sz w:val="16"/>
          <w:szCs w:val="16"/>
          <w:b w:val="1"/>
          <w:bCs w:val="1"/>
          <w:color w:val="auto"/>
        </w:rPr>
        <w:t>Shareholders</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WITNESSETH:</w:t>
      </w:r>
    </w:p>
    <w:p>
      <w:pPr>
        <w:spacing w:after="0" w:line="200" w:lineRule="exact"/>
        <w:rPr>
          <w:sz w:val="20"/>
          <w:szCs w:val="20"/>
          <w:color w:val="auto"/>
        </w:rPr>
      </w:pPr>
    </w:p>
    <w:p>
      <w:pPr>
        <w:jc w:val="both"/>
        <w:ind w:firstLine="581"/>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Investor is the holder of all of the Company’s issued and outstanding Preferred Shares (as defined below) and the Investor and the Major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are holders of Ordinary Shares (as defined below);</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and the Shareholders are party to that certain Investors’ Rights Agreement dated July 18, 2011 (the “</w:t>
      </w:r>
      <w:r>
        <w:rPr>
          <w:rFonts w:ascii="Arial" w:cs="Arial" w:eastAsia="Arial" w:hAnsi="Arial"/>
          <w:sz w:val="15"/>
          <w:szCs w:val="15"/>
          <w:b w:val="1"/>
          <w:bCs w:val="1"/>
          <w:color w:val="auto"/>
        </w:rPr>
        <w:t>Prior Agreement</w:t>
      </w:r>
      <w:r>
        <w:rPr>
          <w:rFonts w:ascii="Arial" w:cs="Arial" w:eastAsia="Arial" w:hAnsi="Arial"/>
          <w:sz w:val="15"/>
          <w:szCs w:val="15"/>
          <w:color w:val="auto"/>
        </w:rPr>
        <w:t>”); and</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the Investor and the requisite majority of the Major Shareholders have agreed to amend and restate the Prior Agreement as set forth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herein.</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set forth herein, the parties hereby agree as follows:</w:t>
      </w:r>
    </w:p>
    <w:p>
      <w:pPr>
        <w:spacing w:after="0" w:line="208" w:lineRule="exact"/>
        <w:rPr>
          <w:sz w:val="20"/>
          <w:szCs w:val="20"/>
          <w:color w:val="auto"/>
        </w:rPr>
      </w:pPr>
    </w:p>
    <w:p>
      <w:pPr>
        <w:ind w:left="440" w:hanging="439"/>
        <w:spacing w:after="0"/>
        <w:tabs>
          <w:tab w:leader="none" w:pos="44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Affirmative Covenants</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left="1020" w:hanging="569"/>
        <w:spacing w:after="0" w:line="298" w:lineRule="auto"/>
        <w:rPr>
          <w:rFonts w:ascii="Arial" w:cs="Arial" w:eastAsia="Arial" w:hAnsi="Arial"/>
          <w:sz w:val="16"/>
          <w:szCs w:val="16"/>
          <w:color w:val="auto"/>
        </w:rPr>
      </w:pPr>
      <w:r>
        <w:rPr>
          <w:rFonts w:ascii="Arial" w:cs="Arial" w:eastAsia="Arial" w:hAnsi="Arial"/>
          <w:sz w:val="16"/>
          <w:szCs w:val="16"/>
          <w:color w:val="auto"/>
        </w:rPr>
        <w:t>1.1.</w:t>
      </w:r>
      <w:r>
        <w:rPr>
          <w:rFonts w:ascii="Arial" w:cs="Arial" w:eastAsia="Arial" w:hAnsi="Arial"/>
          <w:sz w:val="14"/>
          <w:szCs w:val="14"/>
          <w:u w:val="single" w:color="auto"/>
          <w:color w:val="auto"/>
        </w:rPr>
        <w:t>Delivery of Financial Statements</w:t>
      </w:r>
      <w:r>
        <w:rPr>
          <w:rFonts w:ascii="Arial" w:cs="Arial" w:eastAsia="Arial" w:hAnsi="Arial"/>
          <w:sz w:val="14"/>
          <w:szCs w:val="14"/>
          <w:color w:val="auto"/>
        </w:rPr>
        <w:t>. As soon as practicable, but in any event within ninety (90) days after the end of each fiscal year of the Company, the</w:t>
      </w:r>
      <w:r>
        <w:rPr>
          <w:rFonts w:ascii="Arial" w:cs="Arial" w:eastAsia="Arial" w:hAnsi="Arial"/>
          <w:sz w:val="14"/>
          <w:szCs w:val="14"/>
          <w:u w:val="single" w:color="auto"/>
          <w:color w:val="auto"/>
        </w:rPr>
        <w:t xml:space="preserve"> </w:t>
      </w:r>
      <w:r>
        <w:rPr>
          <w:rFonts w:ascii="Arial" w:cs="Arial" w:eastAsia="Arial" w:hAnsi="Arial"/>
          <w:sz w:val="14"/>
          <w:szCs w:val="14"/>
          <w:color w:val="auto"/>
        </w:rPr>
        <w:t>Company shall deliver to each Shareholder, for as long as it holds 3% or more of the Company’s issued and outstanding share capital, a consolidated balance sheet of the Company and its subsidiaries as of the end of such year, and statements of income and statements of cash flow of the Company and its subsidiaries for such year, setting forth in each case in comparative form the figures for the previous fiscal year, all in reasonable detail, United States dollar-denominated, prepared in accordance with U.S. Generally Accepted Accounting Principles (“</w:t>
      </w:r>
      <w:r>
        <w:rPr>
          <w:rFonts w:ascii="Arial" w:cs="Arial" w:eastAsia="Arial" w:hAnsi="Arial"/>
          <w:sz w:val="14"/>
          <w:szCs w:val="14"/>
          <w:b w:val="1"/>
          <w:bCs w:val="1"/>
          <w:color w:val="auto"/>
        </w:rPr>
        <w:t>U.S. GAAP</w:t>
      </w:r>
      <w:r>
        <w:rPr>
          <w:rFonts w:ascii="Arial" w:cs="Arial" w:eastAsia="Arial" w:hAnsi="Arial"/>
          <w:sz w:val="14"/>
          <w:szCs w:val="14"/>
          <w:color w:val="auto"/>
        </w:rPr>
        <w:t>”), audited by a firm of Independent Certified Public Accountants in the State of Israel who are members of the Israeli Institute of Certified Public Accountants, and accompanied by an opinion of such firm which opinion shall state, among other, that such balance sheet and statements of income and cash flow have been prepared in accordance with U.S. GAAP applied on a basis consistent with that of the preceding fiscal year, and present fairly and accurately the financial condition of the Company as of their date.</w:t>
      </w:r>
    </w:p>
    <w:p>
      <w:pPr>
        <w:spacing w:after="0" w:line="144" w:lineRule="exact"/>
        <w:rPr>
          <w:rFonts w:ascii="Arial" w:cs="Arial" w:eastAsia="Arial" w:hAnsi="Arial"/>
          <w:sz w:val="16"/>
          <w:szCs w:val="16"/>
          <w:color w:val="auto"/>
        </w:rPr>
      </w:pPr>
    </w:p>
    <w:p>
      <w:pPr>
        <w:ind w:left="1020" w:hanging="569"/>
        <w:spacing w:after="0" w:line="281" w:lineRule="auto"/>
        <w:rPr>
          <w:rFonts w:ascii="Arial" w:cs="Arial" w:eastAsia="Arial" w:hAnsi="Arial"/>
          <w:sz w:val="16"/>
          <w:szCs w:val="16"/>
          <w:color w:val="auto"/>
        </w:rPr>
      </w:pPr>
      <w:r>
        <w:rPr>
          <w:rFonts w:ascii="Arial" w:cs="Arial" w:eastAsia="Arial" w:hAnsi="Arial"/>
          <w:sz w:val="16"/>
          <w:szCs w:val="16"/>
          <w:color w:val="auto"/>
        </w:rPr>
        <w:t>1.2.</w:t>
      </w:r>
      <w:r>
        <w:rPr>
          <w:rFonts w:ascii="Arial" w:cs="Arial" w:eastAsia="Arial" w:hAnsi="Arial"/>
          <w:sz w:val="16"/>
          <w:szCs w:val="16"/>
          <w:u w:val="single" w:color="auto"/>
          <w:color w:val="auto"/>
        </w:rPr>
        <w:t>Accounting</w:t>
      </w:r>
      <w:r>
        <w:rPr>
          <w:rFonts w:ascii="Arial" w:cs="Arial" w:eastAsia="Arial" w:hAnsi="Arial"/>
          <w:sz w:val="16"/>
          <w:szCs w:val="16"/>
          <w:color w:val="auto"/>
        </w:rPr>
        <w:t>. The Company will maintain a system of accounting established and administered in accordance with U.S. GAAP consistently applied, and will</w:t>
      </w:r>
      <w:r>
        <w:rPr>
          <w:rFonts w:ascii="Arial" w:cs="Arial" w:eastAsia="Arial" w:hAnsi="Arial"/>
          <w:sz w:val="16"/>
          <w:szCs w:val="16"/>
          <w:u w:val="single" w:color="auto"/>
          <w:color w:val="auto"/>
        </w:rPr>
        <w:t xml:space="preserve"> </w:t>
      </w:r>
      <w:r>
        <w:rPr>
          <w:rFonts w:ascii="Arial" w:cs="Arial" w:eastAsia="Arial" w:hAnsi="Arial"/>
          <w:sz w:val="16"/>
          <w:szCs w:val="16"/>
          <w:color w:val="auto"/>
        </w:rPr>
        <w:t>set aside on its books all such proper reserves as shall be required by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349885</wp:posOffset>
            </wp:positionV>
            <wp:extent cx="718375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237" w:name="page238"/>
    <w:bookmarkEnd w:id="237"/>
    <w:p>
      <w:pPr>
        <w:spacing w:after="0"/>
        <w:tabs>
          <w:tab w:leader="none" w:pos="5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u w:val="single" w:color="auto"/>
          <w:color w:val="auto"/>
        </w:rPr>
        <w:t>Insurance and Indemnity</w:t>
      </w:r>
      <w:r>
        <w:rPr>
          <w:rFonts w:ascii="Arial" w:cs="Arial" w:eastAsia="Arial" w:hAnsi="Arial"/>
          <w:sz w:val="14"/>
          <w:szCs w:val="14"/>
          <w:color w:val="auto"/>
        </w:rPr>
        <w:t>.</w:t>
      </w:r>
    </w:p>
    <w:p>
      <w:pPr>
        <w:spacing w:after="0" w:line="204" w:lineRule="exact"/>
        <w:rPr>
          <w:sz w:val="20"/>
          <w:szCs w:val="20"/>
          <w:color w:val="auto"/>
        </w:rPr>
      </w:pPr>
    </w:p>
    <w:p>
      <w:pPr>
        <w:jc w:val="both"/>
        <w:ind w:left="1260" w:hanging="677"/>
        <w:spacing w:after="0" w:line="267" w:lineRule="auto"/>
        <w:tabs>
          <w:tab w:leader="none" w:pos="124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Within 30 days following the date of this Agreement, the Company shall have obtained from financially sound and reputable insurers (and shall have paid all premiums and maintained in full force and effect), and shall hereafter, at all times, maintain in full force and effect, standard directors’ and officers’ liability insurance in a form and coverage satisfactory to the Investor.</w:t>
      </w:r>
    </w:p>
    <w:p>
      <w:pPr>
        <w:spacing w:after="0" w:line="161" w:lineRule="exact"/>
        <w:rPr>
          <w:sz w:val="20"/>
          <w:szCs w:val="20"/>
          <w:color w:val="auto"/>
        </w:rPr>
      </w:pPr>
    </w:p>
    <w:p>
      <w:pPr>
        <w:jc w:val="both"/>
        <w:ind w:left="1260" w:hanging="677"/>
        <w:spacing w:after="0" w:line="281" w:lineRule="auto"/>
        <w:tabs>
          <w:tab w:leader="none" w:pos="124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The Company shall maintain in full force and effect all necessary provisions under its Articles of Association, which are required in order to maintain the full force and effect of the Company’s indemnification agreements with its directors.</w:t>
      </w:r>
    </w:p>
    <w:p>
      <w:pPr>
        <w:spacing w:after="0" w:line="151" w:lineRule="exact"/>
        <w:rPr>
          <w:sz w:val="20"/>
          <w:szCs w:val="20"/>
          <w:color w:val="auto"/>
        </w:rPr>
      </w:pPr>
    </w:p>
    <w:p>
      <w:pPr>
        <w:jc w:val="both"/>
        <w:ind w:left="1260" w:hanging="677"/>
        <w:spacing w:after="0" w:line="259" w:lineRule="auto"/>
        <w:tabs>
          <w:tab w:leader="none" w:pos="124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If the Company or any of its successors or assignees consolidates with or merges into any other Person (as defined below)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Articles of Association, indemnification agreement, or elsewhere, as the case may be.</w:t>
      </w:r>
    </w:p>
    <w:p>
      <w:pPr>
        <w:spacing w:after="0" w:line="170" w:lineRule="exact"/>
        <w:rPr>
          <w:sz w:val="20"/>
          <w:szCs w:val="20"/>
          <w:color w:val="auto"/>
        </w:rPr>
      </w:pPr>
    </w:p>
    <w:p>
      <w:pPr>
        <w:jc w:val="both"/>
        <w:ind w:left="580" w:hanging="568"/>
        <w:spacing w:after="0" w:line="302" w:lineRule="auto"/>
        <w:tabs>
          <w:tab w:leader="none" w:pos="5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u w:val="single" w:color="auto"/>
          <w:color w:val="auto"/>
        </w:rPr>
        <w:t>Proprietary Information and Non-Competition Agreements</w:t>
      </w:r>
      <w:r>
        <w:rPr>
          <w:rFonts w:ascii="Arial" w:cs="Arial" w:eastAsia="Arial" w:hAnsi="Arial"/>
          <w:sz w:val="14"/>
          <w:szCs w:val="14"/>
          <w:color w:val="auto"/>
        </w:rPr>
        <w:t>. The Company will not employ, or continue to employ, any Person (as defined below), whether as</w:t>
      </w:r>
      <w:r>
        <w:rPr>
          <w:rFonts w:ascii="Arial" w:cs="Arial" w:eastAsia="Arial" w:hAnsi="Arial"/>
          <w:sz w:val="14"/>
          <w:szCs w:val="14"/>
          <w:u w:val="single" w:color="auto"/>
          <w:color w:val="auto"/>
        </w:rPr>
        <w:t xml:space="preserve"> </w:t>
      </w:r>
      <w:r>
        <w:rPr>
          <w:rFonts w:ascii="Arial" w:cs="Arial" w:eastAsia="Arial" w:hAnsi="Arial"/>
          <w:sz w:val="14"/>
          <w:szCs w:val="14"/>
          <w:color w:val="auto"/>
        </w:rPr>
        <w:t>an employee, consultant, contractor or otherwise, who may have access to confidential information of the Company, or confidential information with respect to the Company, its operations, assets, financial condition or affairs or confidential information of third parties provided in confidence to the Company, unless such Person has executed and delivered a Proprietary Information, Invention Assignment and Non-Competition Agreement to the satisfaction (as to substance and form) of the Board, pursuant to which such Person undertakes to maintain the confidentiality of all such information and agrees to assign to the Company its full title and interest in all the work product of such Person relating to or that arise in the course of its employment or engagement by the Company.</w:t>
      </w:r>
    </w:p>
    <w:p>
      <w:pPr>
        <w:spacing w:after="0" w:line="141" w:lineRule="exact"/>
        <w:rPr>
          <w:sz w:val="20"/>
          <w:szCs w:val="20"/>
          <w:color w:val="auto"/>
        </w:rPr>
      </w:pPr>
    </w:p>
    <w:p>
      <w:pPr>
        <w:jc w:val="both"/>
        <w:ind w:left="580" w:hanging="568"/>
        <w:spacing w:after="0" w:line="290" w:lineRule="auto"/>
        <w:tabs>
          <w:tab w:leader="none" w:pos="56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u w:val="single" w:color="auto"/>
          <w:color w:val="auto"/>
        </w:rPr>
        <w:t>Confidentiality</w:t>
      </w:r>
      <w:r>
        <w:rPr>
          <w:rFonts w:ascii="Arial" w:cs="Arial" w:eastAsia="Arial" w:hAnsi="Arial"/>
          <w:sz w:val="14"/>
          <w:szCs w:val="14"/>
          <w:color w:val="auto"/>
        </w:rPr>
        <w:t>. Each Shareholder agrees to keep confidential and not to disclose any information obtained from the Company pursuant to</w:t>
      </w:r>
      <w:r>
        <w:rPr>
          <w:rFonts w:ascii="Arial" w:cs="Arial" w:eastAsia="Arial" w:hAnsi="Arial"/>
          <w:sz w:val="14"/>
          <w:szCs w:val="14"/>
          <w:u w:val="single" w:color="auto"/>
          <w:color w:val="auto"/>
        </w:rPr>
        <w:t xml:space="preserve"> Section 1.1 </w:t>
      </w:r>
      <w:r>
        <w:rPr>
          <w:rFonts w:ascii="Arial" w:cs="Arial" w:eastAsia="Arial" w:hAnsi="Arial"/>
          <w:sz w:val="14"/>
          <w:szCs w:val="14"/>
          <w:color w:val="auto"/>
        </w:rPr>
        <w:t>herein</w:t>
      </w:r>
      <w:r>
        <w:rPr>
          <w:rFonts w:ascii="Arial" w:cs="Arial" w:eastAsia="Arial" w:hAnsi="Arial"/>
          <w:sz w:val="14"/>
          <w:szCs w:val="14"/>
          <w:u w:val="single" w:color="auto"/>
          <w:color w:val="auto"/>
        </w:rPr>
        <w:t xml:space="preserve"> </w:t>
      </w:r>
      <w:r>
        <w:rPr>
          <w:rFonts w:ascii="Arial" w:cs="Arial" w:eastAsia="Arial" w:hAnsi="Arial"/>
          <w:sz w:val="14"/>
          <w:szCs w:val="14"/>
          <w:color w:val="auto"/>
        </w:rPr>
        <w:t xml:space="preserve">without the prior written consent of the Company, unless such confidential information (i) is known or becomes known to the public in general (other than as result of a breach of this </w:t>
      </w:r>
      <w:r>
        <w:rPr>
          <w:rFonts w:ascii="Arial" w:cs="Arial" w:eastAsia="Arial" w:hAnsi="Arial"/>
          <w:sz w:val="14"/>
          <w:szCs w:val="14"/>
          <w:u w:val="single" w:color="auto"/>
          <w:color w:val="auto"/>
        </w:rPr>
        <w:t>Section 1.5</w:t>
      </w:r>
      <w:r>
        <w:rPr>
          <w:rFonts w:ascii="Arial" w:cs="Arial" w:eastAsia="Arial" w:hAnsi="Arial"/>
          <w:sz w:val="14"/>
          <w:szCs w:val="14"/>
          <w:color w:val="auto"/>
        </w:rPr>
        <w:t xml:space="preserve"> by any Shareholder), (ii) is or has been independently developed or conceived by any Shareholder without use of the Company’s confidential information, or (iii) is or has been made known or disclosed to any Shareholder by a third party without a breach of any obligation of confidentiality such third party may have to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in connection with periodic reports to their shareholders or partners, any Shareholder may, without first obtaining such written consent, make general statements, not containing technical or other confidential information, regarding the nature and progress of the Company’s business, (b) the Shareholders may provide summary information regarding the Company’s financial information and business affairs in their reports to their respective shareholders or partners, but may not annex to such reports the full financial information to be provided hereunder by the Company; provided, however, that in the event that any Shareholder, is required to annex financial information obtained pursuant to Section 1.1 herein to such reports, the Shareholder, accordingly shall be entitled to annex such financial information to these reports and (c) the Shareholder may disclose confidential information as may be required by law; </w:t>
      </w:r>
      <w:r>
        <w:rPr>
          <w:rFonts w:ascii="Arial" w:cs="Arial" w:eastAsia="Arial" w:hAnsi="Arial"/>
          <w:sz w:val="14"/>
          <w:szCs w:val="14"/>
          <w:u w:val="single" w:color="auto"/>
          <w:color w:val="auto"/>
        </w:rPr>
        <w:t>provided</w:t>
      </w:r>
      <w:r>
        <w:rPr>
          <w:rFonts w:ascii="Arial" w:cs="Arial" w:eastAsia="Arial" w:hAnsi="Arial"/>
          <w:sz w:val="14"/>
          <w:szCs w:val="14"/>
          <w:color w:val="auto"/>
        </w:rPr>
        <w:t>, in each case, that such Shareholder promptly notifies the Company no less than seven</w:t>
      </w:r>
    </w:p>
    <w:p>
      <w:pPr>
        <w:spacing w:after="0" w:line="4" w:lineRule="exact"/>
        <w:rPr>
          <w:sz w:val="20"/>
          <w:szCs w:val="20"/>
          <w:color w:val="auto"/>
        </w:rPr>
      </w:pPr>
    </w:p>
    <w:p>
      <w:pPr>
        <w:ind w:left="5120" w:right="2480" w:hanging="4541"/>
        <w:spacing w:after="0" w:line="771" w:lineRule="auto"/>
        <w:tabs>
          <w:tab w:leader="none" w:pos="81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days in advance of such disclosure and takes reasonable steps to minimize the extent of any such required disclosure.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-257175</wp:posOffset>
            </wp:positionV>
            <wp:extent cx="718375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5" w:right="299" w:bottom="1440" w:gutter="0" w:footer="0" w:header="0"/>
        </w:sectPr>
      </w:pPr>
    </w:p>
    <w:bookmarkStart w:id="238" w:name="page239"/>
    <w:bookmarkEnd w:id="238"/>
    <w:p>
      <w:pPr>
        <w:jc w:val="both"/>
        <w:ind w:left="1020" w:hanging="568"/>
        <w:spacing w:after="0" w:line="292" w:lineRule="auto"/>
        <w:tabs>
          <w:tab w:leader="none" w:pos="100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5"/>
          <w:szCs w:val="15"/>
          <w:u w:val="single" w:color="auto"/>
          <w:color w:val="auto"/>
        </w:rPr>
        <w:t>Termination of Covenants</w:t>
      </w:r>
      <w:r>
        <w:rPr>
          <w:rFonts w:ascii="Arial" w:cs="Arial" w:eastAsia="Arial" w:hAnsi="Arial"/>
          <w:sz w:val="15"/>
          <w:szCs w:val="15"/>
          <w:color w:val="auto"/>
        </w:rPr>
        <w:t>. The Company’s covenants under</w:t>
      </w:r>
      <w:r>
        <w:rPr>
          <w:rFonts w:ascii="Arial" w:cs="Arial" w:eastAsia="Arial" w:hAnsi="Arial"/>
          <w:sz w:val="15"/>
          <w:szCs w:val="15"/>
          <w:u w:val="single" w:color="auto"/>
          <w:color w:val="auto"/>
        </w:rPr>
        <w:t xml:space="preserve"> Section 1.1 </w:t>
      </w:r>
      <w:r>
        <w:rPr>
          <w:rFonts w:ascii="Arial" w:cs="Arial" w:eastAsia="Arial" w:hAnsi="Arial"/>
          <w:sz w:val="15"/>
          <w:szCs w:val="15"/>
          <w:color w:val="auto"/>
        </w:rPr>
        <w:t>through</w:t>
      </w:r>
      <w:r>
        <w:rPr>
          <w:rFonts w:ascii="Arial" w:cs="Arial" w:eastAsia="Arial" w:hAnsi="Arial"/>
          <w:sz w:val="15"/>
          <w:szCs w:val="15"/>
          <w:u w:val="single" w:color="auto"/>
          <w:color w:val="auto"/>
        </w:rPr>
        <w:t xml:space="preserve"> Section 1.4 </w:t>
      </w:r>
      <w:r>
        <w:rPr>
          <w:rFonts w:ascii="Arial" w:cs="Arial" w:eastAsia="Arial" w:hAnsi="Arial"/>
          <w:sz w:val="15"/>
          <w:szCs w:val="15"/>
          <w:color w:val="auto"/>
        </w:rPr>
        <w:t>herein shall terminate and shall be of no further force or effect</w:t>
      </w:r>
      <w:r>
        <w:rPr>
          <w:rFonts w:ascii="Arial" w:cs="Arial" w:eastAsia="Arial" w:hAnsi="Arial"/>
          <w:sz w:val="15"/>
          <w:szCs w:val="15"/>
          <w:u w:val="single" w:color="auto"/>
          <w:color w:val="auto"/>
        </w:rPr>
        <w:t xml:space="preserve"> </w:t>
      </w:r>
      <w:r>
        <w:rPr>
          <w:rFonts w:ascii="Arial" w:cs="Arial" w:eastAsia="Arial" w:hAnsi="Arial"/>
          <w:sz w:val="15"/>
          <w:szCs w:val="15"/>
          <w:color w:val="auto"/>
        </w:rPr>
        <w:t>upon the closing of the Company’s initial firmly underwritten public offering of its Ordinary Shares pursuant to an effective registration statement under the United States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or equivalent law of another jurisdiction (the “</w:t>
      </w:r>
      <w:r>
        <w:rPr>
          <w:rFonts w:ascii="Arial" w:cs="Arial" w:eastAsia="Arial" w:hAnsi="Arial"/>
          <w:sz w:val="15"/>
          <w:szCs w:val="15"/>
          <w:b w:val="1"/>
          <w:bCs w:val="1"/>
          <w:color w:val="auto"/>
        </w:rPr>
        <w:t>IPO</w:t>
      </w:r>
      <w:r>
        <w:rPr>
          <w:rFonts w:ascii="Arial" w:cs="Arial" w:eastAsia="Arial" w:hAnsi="Arial"/>
          <w:sz w:val="15"/>
          <w:szCs w:val="15"/>
          <w:color w:val="auto"/>
        </w:rPr>
        <w:t>”).</w:t>
      </w:r>
    </w:p>
    <w:p>
      <w:pPr>
        <w:spacing w:after="0" w:line="14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4"/>
          <w:szCs w:val="14"/>
          <w:color w:val="auto"/>
        </w:rPr>
        <w:t xml:space="preserve">The Company shall ensure that the provisions of this </w:t>
      </w:r>
      <w:r>
        <w:rPr>
          <w:rFonts w:ascii="Arial" w:cs="Arial" w:eastAsia="Arial" w:hAnsi="Arial"/>
          <w:sz w:val="14"/>
          <w:szCs w:val="14"/>
          <w:u w:val="single" w:color="auto"/>
          <w:color w:val="auto"/>
        </w:rPr>
        <w:t>Section 1</w:t>
      </w:r>
      <w:r>
        <w:rPr>
          <w:rFonts w:ascii="Arial" w:cs="Arial" w:eastAsia="Arial" w:hAnsi="Arial"/>
          <w:sz w:val="14"/>
          <w:szCs w:val="14"/>
          <w:color w:val="auto"/>
        </w:rPr>
        <w:t xml:space="preserve"> shall apply to actions taken by any of the Company’s subsidiaries.</w:t>
      </w:r>
    </w:p>
    <w:p>
      <w:pPr>
        <w:spacing w:after="0" w:line="204" w:lineRule="exact"/>
        <w:rPr>
          <w:sz w:val="20"/>
          <w:szCs w:val="20"/>
          <w:color w:val="auto"/>
        </w:rPr>
      </w:pPr>
    </w:p>
    <w:p>
      <w:pPr>
        <w:ind w:left="440" w:hanging="439"/>
        <w:spacing w:after="0"/>
        <w:tabs>
          <w:tab w:leader="none" w:pos="44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 The following provisions govern the registration of the Company’s securities:</w:t>
      </w:r>
    </w:p>
    <w:p>
      <w:pPr>
        <w:spacing w:after="0" w:line="20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 As used herein, the following terms have the following meanings:</w:t>
      </w:r>
    </w:p>
    <w:p>
      <w:pPr>
        <w:spacing w:after="0" w:line="200" w:lineRule="exact"/>
        <w:rPr>
          <w:sz w:val="20"/>
          <w:szCs w:val="20"/>
          <w:color w:val="auto"/>
        </w:rPr>
      </w:pPr>
    </w:p>
    <w:p>
      <w:pPr>
        <w:jc w:val="both"/>
        <w:ind w:left="920"/>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39" w:lineRule="exact"/>
        <w:rPr>
          <w:sz w:val="20"/>
          <w:szCs w:val="20"/>
          <w:color w:val="auto"/>
        </w:rPr>
      </w:pPr>
    </w:p>
    <w:p>
      <w:pPr>
        <w:jc w:val="both"/>
        <w:ind w:left="9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that is not a Friday, Saturday or Sunday or any other day on which banks in the City of New York or the State of Israel are permitted or required to be closed.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92" w:lineRule="exact"/>
        <w:rPr>
          <w:sz w:val="20"/>
          <w:szCs w:val="20"/>
          <w:color w:val="auto"/>
        </w:rPr>
      </w:pPr>
    </w:p>
    <w:p>
      <w:pPr>
        <w:jc w:val="both"/>
        <w:ind w:left="9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F-1</w:t>
      </w:r>
      <w:r>
        <w:rPr>
          <w:rFonts w:ascii="Arial" w:cs="Arial" w:eastAsia="Arial" w:hAnsi="Arial"/>
          <w:sz w:val="16"/>
          <w:szCs w:val="16"/>
          <w:color w:val="auto"/>
        </w:rPr>
        <w:t>” means such form (or Form S-1, as the case may be) under the Securities Act as in effect on the date hereof or any successor or similar registration form under the Securities Act subsequently adopted by the SEC.</w:t>
      </w:r>
    </w:p>
    <w:p>
      <w:pPr>
        <w:spacing w:after="0" w:line="143" w:lineRule="exact"/>
        <w:rPr>
          <w:sz w:val="20"/>
          <w:szCs w:val="20"/>
          <w:color w:val="auto"/>
        </w:rPr>
      </w:pPr>
    </w:p>
    <w:p>
      <w:pPr>
        <w:jc w:val="both"/>
        <w:ind w:left="920"/>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F-3</w:t>
      </w:r>
      <w:r>
        <w:rPr>
          <w:rFonts w:ascii="Arial" w:cs="Arial" w:eastAsia="Arial" w:hAnsi="Arial"/>
          <w:sz w:val="16"/>
          <w:szCs w:val="16"/>
          <w:color w:val="auto"/>
        </w:rPr>
        <w:t>” means such form (or Form S-3, as the case may be) under the Securities Act, as in effect on the date hereof or any successor registration form under the Securities Act subsequently adopted by the SEC, which permits inclusion or incorporation of substantial information by reference to other documents filed by the Company with the SEC.</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39" w:name="page240"/>
    <w:bookmarkEnd w:id="239"/>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Person (as defined below) holding outstanding Registrable Shares.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means the Company’s ordinary shares nominal value NIS 0.01 each.</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corporation, partnership, limited liability company, limited liability partnership, syndicate, person, trust, association, organization or other entity and including any successor, by merger or otherwise, of any of the foregoing.</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Shares</w:t>
      </w:r>
      <w:r>
        <w:rPr>
          <w:rFonts w:ascii="Arial" w:cs="Arial" w:eastAsia="Arial" w:hAnsi="Arial"/>
          <w:sz w:val="16"/>
          <w:szCs w:val="16"/>
          <w:color w:val="auto"/>
        </w:rPr>
        <w:t>" means the Company’s Series A-1 preferred shares nominal value NIS 0.01 each.</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Registrable Shares</w:t>
      </w:r>
      <w:r>
        <w:rPr>
          <w:rFonts w:ascii="Arial" w:cs="Arial" w:eastAsia="Arial" w:hAnsi="Arial"/>
          <w:sz w:val="15"/>
          <w:szCs w:val="15"/>
          <w:color w:val="auto"/>
        </w:rPr>
        <w:t xml:space="preserve">” means (i) any Ordinary Shares held by any Shareholder, (ii) any Ordinary Shares issuable upon conversion of Preferred Shares held by the Investor, (iii) any shares that the Holders may hereafter purchase pursuant to preemptive rights, rights of first refusal or otherwise, or shares issued on conversion or exercise of other securities so purchased, and (iv) in each of clauses (i), (ii) or (iii), together with any and all securities issued or issuable with respect to the securities described in clauses (i), (ii) and (iii) above, respectively, upon any share split, share dividend or the like, or into which such shares or other securities have been or may be converted to or exchanged into in connection with any merger, consolidation, reclassification, recapitalization or similar event; provided, however, that “Registrable Shares” </w:t>
      </w:r>
      <w:r>
        <w:rPr>
          <w:rFonts w:ascii="Arial" w:cs="Arial" w:eastAsia="Arial" w:hAnsi="Arial"/>
          <w:sz w:val="15"/>
          <w:szCs w:val="15"/>
          <w:u w:val="single" w:color="auto"/>
          <w:color w:val="auto"/>
        </w:rPr>
        <w:t>shall not include</w:t>
      </w:r>
      <w:r>
        <w:rPr>
          <w:rFonts w:ascii="Arial" w:cs="Arial" w:eastAsia="Arial" w:hAnsi="Arial"/>
          <w:sz w:val="15"/>
          <w:szCs w:val="15"/>
          <w:color w:val="auto"/>
        </w:rPr>
        <w:t xml:space="preserve"> the following: (a) Ordinary Shares that have previously been registered under an effective registration statement filed pursuant to the Securities Act and disposed of in accordance with such registration statement, (b) Ordinary Shares which have otherwise previously been sold to the public, (c) Ordinary Shares that could be sold by the holder thereof (in accordance with applicable law and together with any Affiliates with whom such holder must aggregate its sales under Rule 144) pursuant to Rule 144(b)(1) promulgated under the Securities Act if the holder thereof and any such Affiliates (x) prior to the expiration of any “lock-up agreement” entered into with the underwriters of the IPO, hold less than one percent (1%) of the outstanding Ordinary Shares of the Company, and (y) after such time, hold less than three percent (3%) of the outstanding Ordinary Shares of the Company, and (d) any Ordinary Shares sold by a Holder in a transaction in which such Holder’s rights under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Agreement are not assigned in accordance with Section 2.9.</w:t>
      </w:r>
    </w:p>
    <w:p>
      <w:pPr>
        <w:spacing w:after="0" w:line="163"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Register</w:t>
      </w:r>
      <w:r>
        <w:rPr>
          <w:rFonts w:ascii="Arial" w:cs="Arial" w:eastAsia="Arial" w:hAnsi="Arial"/>
          <w:sz w:val="15"/>
          <w:szCs w:val="15"/>
          <w:color w:val="auto"/>
        </w:rPr>
        <w:t>”, “</w:t>
      </w:r>
      <w:r>
        <w:rPr>
          <w:rFonts w:ascii="Arial" w:cs="Arial" w:eastAsia="Arial" w:hAnsi="Arial"/>
          <w:sz w:val="15"/>
          <w:szCs w:val="15"/>
          <w:b w:val="1"/>
          <w:bCs w:val="1"/>
          <w:color w:val="auto"/>
        </w:rPr>
        <w:t>registered</w:t>
      </w:r>
      <w:r>
        <w:rPr>
          <w:rFonts w:ascii="Arial" w:cs="Arial" w:eastAsia="Arial" w:hAnsi="Arial"/>
          <w:sz w:val="15"/>
          <w:szCs w:val="15"/>
          <w:color w:val="auto"/>
        </w:rPr>
        <w:t>” and “</w:t>
      </w:r>
      <w:r>
        <w:rPr>
          <w:rFonts w:ascii="Arial" w:cs="Arial" w:eastAsia="Arial" w:hAnsi="Arial"/>
          <w:sz w:val="15"/>
          <w:szCs w:val="15"/>
          <w:b w:val="1"/>
          <w:bCs w:val="1"/>
          <w:color w:val="auto"/>
        </w:rPr>
        <w:t>registration</w:t>
      </w:r>
      <w:r>
        <w:rPr>
          <w:rFonts w:ascii="Arial" w:cs="Arial" w:eastAsia="Arial" w:hAnsi="Arial"/>
          <w:sz w:val="15"/>
          <w:szCs w:val="15"/>
          <w:color w:val="auto"/>
        </w:rPr>
        <w:t>” refer to a registration effected by filing a registration statement in compliance with the Securities Act and the declaration or ordering by the SEC of effectiveness of such registration statement, or the equivalent actions under the laws of another jurisdiction.</w:t>
      </w:r>
    </w:p>
    <w:p>
      <w:pPr>
        <w:spacing w:after="0" w:line="318"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13970</wp:posOffset>
            </wp:positionV>
            <wp:extent cx="718375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380"/>
          </w:cols>
          <w:pgMar w:left="1220" w:top="802" w:right="299" w:bottom="1440" w:gutter="0" w:footer="0" w:header="0"/>
        </w:sectPr>
      </w:pPr>
    </w:p>
    <w:bookmarkStart w:id="240" w:name="page241"/>
    <w:bookmarkEnd w:id="240"/>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United States Securities and Exchange Commission.</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0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u w:val="single" w:color="auto"/>
          <w:color w:val="auto"/>
        </w:rPr>
        <w:t>Piggyback Registration</w:t>
      </w:r>
      <w:r>
        <w:rPr>
          <w:rFonts w:ascii="Arial" w:cs="Arial" w:eastAsia="Arial" w:hAnsi="Arial"/>
          <w:sz w:val="14"/>
          <w:szCs w:val="14"/>
          <w:color w:val="auto"/>
        </w:rPr>
        <w:t>.</w:t>
      </w:r>
    </w:p>
    <w:p>
      <w:pPr>
        <w:spacing w:after="0" w:line="204" w:lineRule="exact"/>
        <w:rPr>
          <w:sz w:val="20"/>
          <w:szCs w:val="20"/>
          <w:color w:val="auto"/>
        </w:rPr>
      </w:pPr>
    </w:p>
    <w:p>
      <w:pPr>
        <w:jc w:val="both"/>
        <w:ind w:left="1260" w:hanging="677"/>
        <w:spacing w:after="0" w:line="292" w:lineRule="auto"/>
        <w:tabs>
          <w:tab w:leader="none" w:pos="1240"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4"/>
          <w:szCs w:val="14"/>
          <w:color w:val="auto"/>
        </w:rPr>
        <w:t xml:space="preserve">(a) Other than in connection with the filing of a registration statement or an offering pursuant to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of this Agreement, if at any time the Company proposes to file (i) a prospectus supplement to an effective shelf registration statement (a “</w:t>
      </w:r>
      <w:r>
        <w:rPr>
          <w:rFonts w:ascii="Arial" w:cs="Arial" w:eastAsia="Arial" w:hAnsi="Arial"/>
          <w:sz w:val="14"/>
          <w:szCs w:val="14"/>
          <w:b w:val="1"/>
          <w:bCs w:val="1"/>
          <w:color w:val="auto"/>
        </w:rPr>
        <w:t>Shelf Registration Statement</w:t>
      </w:r>
      <w:r>
        <w:rPr>
          <w:rFonts w:ascii="Arial" w:cs="Arial" w:eastAsia="Arial" w:hAnsi="Arial"/>
          <w:sz w:val="14"/>
          <w:szCs w:val="14"/>
          <w:color w:val="auto"/>
        </w:rPr>
        <w:t>”), or (ii) a registration statement other than a Shelf Registration Statement for a delayed or continuous offering pursuant to Rule 415 under the Securities Act, in either case, for the sale of Ordinary Shares for its own account, or for the benefit of the holders of any of its securities other than the Holders, to an underwriter on a firm commitment basis for reoffering to the public or in a “bought deal” or “registered direct offering” with one or more investment banks (collectively, a “</w:t>
      </w:r>
      <w:r>
        <w:rPr>
          <w:rFonts w:ascii="Arial" w:cs="Arial" w:eastAsia="Arial" w:hAnsi="Arial"/>
          <w:sz w:val="14"/>
          <w:szCs w:val="14"/>
          <w:b w:val="1"/>
          <w:bCs w:val="1"/>
          <w:color w:val="auto"/>
        </w:rPr>
        <w:t>Piggy-Back Underwritten Offering</w:t>
      </w:r>
      <w:r>
        <w:rPr>
          <w:rFonts w:ascii="Arial" w:cs="Arial" w:eastAsia="Arial" w:hAnsi="Arial"/>
          <w:sz w:val="14"/>
          <w:szCs w:val="14"/>
          <w:color w:val="auto"/>
        </w:rPr>
        <w:t>”), then as soon as practicable but not less than fifteen (15) days prior to the filing of (a) any preliminary prospectus supplement relating to such Piggy-Back Underwritten Offering pursuant to Rule 424(b) under the Securities Act, (b) any prospectus supplement relating to such Piggy-Back Underwritten Offering pursuant to Rule 424(b) under the Securities Act (if no preliminary prospectus supplement is used) or (c) such registration statement, as the case may be, the Company shall give notice of such proposed Piggy-Back Underwritten Offering to the Holders and such notice (a “</w:t>
      </w:r>
      <w:r>
        <w:rPr>
          <w:rFonts w:ascii="Arial" w:cs="Arial" w:eastAsia="Arial" w:hAnsi="Arial"/>
          <w:sz w:val="14"/>
          <w:szCs w:val="14"/>
          <w:b w:val="1"/>
          <w:bCs w:val="1"/>
          <w:color w:val="auto"/>
        </w:rPr>
        <w:t>Piggyback Notice</w:t>
      </w:r>
      <w:r>
        <w:rPr>
          <w:rFonts w:ascii="Arial" w:cs="Arial" w:eastAsia="Arial" w:hAnsi="Arial"/>
          <w:sz w:val="14"/>
          <w:szCs w:val="14"/>
          <w:color w:val="auto"/>
        </w:rPr>
        <w:t>”) shall offer the Holders the opportunity to include in such Piggy-Back Underwritten Offering such number of Registrable Shares as each such Holder may request in writing. Each such Holder shall then have ten (10) days after receiving such Piggyback Notice to request in writing to the Company inclusion of Registrable Shares in the Piggy-Back Underwritten Offering, except that such Holder shall have two (2) Business Days after such Holder confirms receipt of the notice to request inclusion of Registrable Shares in the Piggy-Back Underwritten Offering in the case of a “bought deal”, “registered direct offering” or “overnight transaction” where no preliminary prospectus is used. Upon receipt of any such request for inclusion from a Holder received within the specified time, the Company shall use reasonable best efforts to effect the registration in any registration statement of any of the Holders’ Registrable Shares requested to be included on the terms set forth in this Agreement. Prior to the commencement of any “road show,” any Holder shall have the right to withdraw its request for inclusion of its Registrable Shares in any registration by giving written notice to the Company of its request to withdraw and such withdrawal shall be irrevocable and, after making such withdrawal, such Holder shall no longer have any right to include Registrable Shares in the Piggy-Back Underwritten Offering as to which such withdrawal was made.</w:t>
      </w:r>
    </w:p>
    <w:p>
      <w:pPr>
        <w:spacing w:after="0" w:line="200" w:lineRule="exact"/>
        <w:rPr>
          <w:sz w:val="20"/>
          <w:szCs w:val="20"/>
          <w:color w:val="auto"/>
        </w:rPr>
      </w:pP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1" w:right="299" w:bottom="1440" w:gutter="0" w:footer="0" w:header="0"/>
        </w:sectPr>
      </w:pPr>
    </w:p>
    <w:bookmarkStart w:id="241" w:name="page242"/>
    <w:bookmarkEnd w:id="241"/>
    <w:p>
      <w:pPr>
        <w:jc w:val="both"/>
        <w:ind w:left="580" w:hanging="1"/>
        <w:spacing w:after="0" w:line="273" w:lineRule="auto"/>
        <w:tabs>
          <w:tab w:leader="none" w:pos="817" w:val="left"/>
        </w:tabs>
        <w:numPr>
          <w:ilvl w:val="0"/>
          <w:numId w:val="267"/>
        </w:numPr>
        <w:rPr>
          <w:rFonts w:ascii="Arial" w:cs="Arial" w:eastAsia="Arial" w:hAnsi="Arial"/>
          <w:sz w:val="15"/>
          <w:szCs w:val="15"/>
          <w:color w:val="auto"/>
        </w:rPr>
      </w:pPr>
      <w:r>
        <w:rPr>
          <w:rFonts w:ascii="Arial" w:cs="Arial" w:eastAsia="Arial" w:hAnsi="Arial"/>
          <w:sz w:val="15"/>
          <w:szCs w:val="15"/>
          <w:color w:val="auto"/>
        </w:rPr>
        <w:t>If the Company does not qualify as a well-known seasoned issuer (within the meaning of Rule 405 under the Securities Act), (i) the Company shall give each Holder fifteen (15) days’ notice prior to filing a Shelf Registration Statement and, upon the written request of any Holder, received by the Company within ten (10) days of such notice to the Holder, the Company shall include in such Shelf Registration Statement a number of Ordinary Shares equal to the aggregate number of Registrable Shares requested to be included without naming any requesting Holder as a selling shareholder and including only a generic description of the holder of such securities (the “</w:t>
      </w:r>
      <w:r>
        <w:rPr>
          <w:rFonts w:ascii="Arial" w:cs="Arial" w:eastAsia="Arial" w:hAnsi="Arial"/>
          <w:sz w:val="15"/>
          <w:szCs w:val="15"/>
          <w:b w:val="1"/>
          <w:bCs w:val="1"/>
          <w:color w:val="auto"/>
        </w:rPr>
        <w:t>Undesignated Registrable Shares</w:t>
      </w:r>
      <w:r>
        <w:rPr>
          <w:rFonts w:ascii="Arial" w:cs="Arial" w:eastAsia="Arial" w:hAnsi="Arial"/>
          <w:sz w:val="15"/>
          <w:szCs w:val="15"/>
          <w:color w:val="auto"/>
        </w:rPr>
        <w:t xml:space="preserve">”), (ii) the Company shall not be required to give notice to any Holder in connection with a filing pursuant to </w:t>
      </w:r>
      <w:r>
        <w:rPr>
          <w:rFonts w:ascii="Arial" w:cs="Arial" w:eastAsia="Arial" w:hAnsi="Arial"/>
          <w:sz w:val="15"/>
          <w:szCs w:val="15"/>
          <w:u w:val="single" w:color="auto"/>
          <w:color w:val="auto"/>
        </w:rPr>
        <w:t>Section 2.2.1(a)</w:t>
      </w:r>
      <w:r>
        <w:rPr>
          <w:rFonts w:ascii="Arial" w:cs="Arial" w:eastAsia="Arial" w:hAnsi="Arial"/>
          <w:sz w:val="15"/>
          <w:szCs w:val="15"/>
          <w:color w:val="auto"/>
        </w:rPr>
        <w:t xml:space="preserve"> unless such Holder provided such notice to the Company pursuant to this </w:t>
      </w:r>
      <w:r>
        <w:rPr>
          <w:rFonts w:ascii="Arial" w:cs="Arial" w:eastAsia="Arial" w:hAnsi="Arial"/>
          <w:sz w:val="15"/>
          <w:szCs w:val="15"/>
          <w:u w:val="single" w:color="auto"/>
          <w:color w:val="auto"/>
        </w:rPr>
        <w:t>Section 2.2.1(b)</w:t>
      </w:r>
      <w:r>
        <w:rPr>
          <w:rFonts w:ascii="Arial" w:cs="Arial" w:eastAsia="Arial" w:hAnsi="Arial"/>
          <w:sz w:val="15"/>
          <w:szCs w:val="15"/>
          <w:color w:val="auto"/>
        </w:rPr>
        <w:t xml:space="preserve"> and included Undesignated Registrable Shares in the Shelf Registration Statement related to such filing, and (iii) at the written request of a Holder given to the Company more than seven (7) days before the date specified in writing by the Company as the Company’s good faith estimate of a launch of a Piggy-Back Underwritten Offering (or such shorter period to which the Company in its sole discretion consents), the Company shall use reasonable best efforts to effect the registration of any of the Holders’ Undesignated Registrable Shares so requested to be included and shall file a post-effective amendment or, if available, a prospectus supplement to a Shelf Registration Statement to include such Undesignated Registrable Shares as any Holder may request, provided that (a) the Company is actively employing its reasonable best efforts to effect such Piggy-Back Underwritten Offering; and (b) the Company shall not be required to effect a post-effective amendment more than two (2) times in any twelve (12) month period.</w:t>
      </w:r>
    </w:p>
    <w:p>
      <w:pPr>
        <w:spacing w:after="0" w:line="160" w:lineRule="exact"/>
        <w:rPr>
          <w:sz w:val="20"/>
          <w:szCs w:val="20"/>
          <w:color w:val="auto"/>
        </w:rPr>
      </w:pPr>
    </w:p>
    <w:p>
      <w:pPr>
        <w:jc w:val="both"/>
        <w:ind w:left="560" w:hanging="677"/>
        <w:spacing w:after="0" w:line="258" w:lineRule="auto"/>
        <w:tabs>
          <w:tab w:leader="none" w:pos="54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6"/>
          <w:szCs w:val="16"/>
          <w:color w:val="auto"/>
        </w:rPr>
        <w:t xml:space="preserve">The right of any Holder to be included in a Piggy-Back Underwritten Offering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conditioned upon such Holder’s participation in such underwriting and the inclusion of such Holder’s Registrable Shares in the underwriting to the extent provided herein. All Holders proposing to distribute their Registrable Shares through such underwriting shall enter into an underwriting agreement in customary form with the underwriter or underwriters selected for such underwriting by the Company. If any Holder disapproves of the terms of any such underwriting, such Holder may elect to withdraw therefrom by written notice to the Company and the underwriter prior to the commencement of any “road show”.</w:t>
      </w:r>
    </w:p>
    <w:p>
      <w:pPr>
        <w:spacing w:after="0" w:line="170" w:lineRule="exact"/>
        <w:rPr>
          <w:sz w:val="20"/>
          <w:szCs w:val="20"/>
          <w:color w:val="auto"/>
        </w:rPr>
      </w:pPr>
    </w:p>
    <w:p>
      <w:pPr>
        <w:jc w:val="both"/>
        <w:ind w:left="560" w:hanging="677"/>
        <w:spacing w:after="0" w:line="259" w:lineRule="auto"/>
        <w:tabs>
          <w:tab w:leader="none" w:pos="540"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6"/>
          <w:szCs w:val="16"/>
          <w:color w:val="auto"/>
        </w:rPr>
        <w:t>Notwithstanding any other provision of this Agreement, if the underwriter(s) determine in good faith that marketing factors require a limitation of the number of shares (including Registrable Shares) to be underwritten, the number of shares that may be included in the underwriting shall be allocated first, to the Company, second, to the Holders of Registrable Shares pro-rata, based on the total number of Registrable Shares then held by the Holders of Registrable Shares requesting to be included in such registration. Any Registrable Shares excluded or withdrawn from such underwriting shall be excluded and withdrawn from the registration.</w:t>
      </w:r>
    </w:p>
    <w:p>
      <w:pPr>
        <w:spacing w:after="0" w:line="36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242" w:name="page243"/>
    <w:bookmarkEnd w:id="242"/>
    <w:p>
      <w:pPr>
        <w:spacing w:after="0"/>
        <w:tabs>
          <w:tab w:leader="none" w:pos="5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u w:val="single" w:color="auto"/>
          <w:color w:val="auto"/>
        </w:rPr>
        <w:t>Demand Registration</w:t>
      </w:r>
      <w:r>
        <w:rPr>
          <w:rFonts w:ascii="Arial" w:cs="Arial" w:eastAsia="Arial" w:hAnsi="Arial"/>
          <w:sz w:val="14"/>
          <w:szCs w:val="14"/>
          <w:color w:val="auto"/>
        </w:rPr>
        <w:t>.</w:t>
      </w:r>
    </w:p>
    <w:p>
      <w:pPr>
        <w:spacing w:after="0" w:line="204" w:lineRule="exact"/>
        <w:rPr>
          <w:sz w:val="20"/>
          <w:szCs w:val="20"/>
          <w:color w:val="auto"/>
        </w:rPr>
      </w:pPr>
    </w:p>
    <w:p>
      <w:pPr>
        <w:jc w:val="both"/>
        <w:ind w:left="1260" w:hanging="677"/>
        <w:spacing w:after="0" w:line="275" w:lineRule="auto"/>
        <w:tabs>
          <w:tab w:leader="none" w:pos="124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5"/>
          <w:szCs w:val="15"/>
          <w:color w:val="auto"/>
        </w:rPr>
        <w:t>At any time following the closing of the IPO, but subject to the terms of any “lock-up agreement” entered into between the underwriters of the Company’s IPO and the Investor unless waived by such underwriters, the Investor may request in writing (a “</w:t>
      </w:r>
      <w:r>
        <w:rPr>
          <w:rFonts w:ascii="Arial" w:cs="Arial" w:eastAsia="Arial" w:hAnsi="Arial"/>
          <w:sz w:val="15"/>
          <w:szCs w:val="15"/>
          <w:b w:val="1"/>
          <w:bCs w:val="1"/>
          <w:color w:val="auto"/>
        </w:rPr>
        <w:t>Non-Shelf Request Notice</w:t>
      </w:r>
      <w:r>
        <w:rPr>
          <w:rFonts w:ascii="Arial" w:cs="Arial" w:eastAsia="Arial" w:hAnsi="Arial"/>
          <w:sz w:val="15"/>
          <w:szCs w:val="15"/>
          <w:color w:val="auto"/>
        </w:rPr>
        <w:t xml:space="preserve">”) that the Company file a registration statement under the Securities Act on Form F-1 or such other long form or short form registration statement, including Form F-3, in each case, other than pursuant to Rule 415 under the Securities Act. The Company shall, within ten (10) days of the delivery of the Non-Shelf Request Notice, give written notice of the Non-Shelf Request Notice to all Holders, which may elect to join in such request, as specified in a written request given to the Company within fifteen (15) days after delivery of the Company’s written notice thereof. Within thirty (30) days of the delivery of the Non-Shelf Request Notice and subject to the limitations of this </w:t>
      </w:r>
      <w:r>
        <w:rPr>
          <w:rFonts w:ascii="Arial" w:cs="Arial" w:eastAsia="Arial" w:hAnsi="Arial"/>
          <w:sz w:val="15"/>
          <w:szCs w:val="15"/>
          <w:u w:val="single" w:color="auto"/>
          <w:color w:val="auto"/>
        </w:rPr>
        <w:t>Section 2.3</w:t>
      </w:r>
      <w:r>
        <w:rPr>
          <w:rFonts w:ascii="Arial" w:cs="Arial" w:eastAsia="Arial" w:hAnsi="Arial"/>
          <w:sz w:val="15"/>
          <w:szCs w:val="15"/>
          <w:color w:val="auto"/>
        </w:rPr>
        <w:t>, the Company shall use its commercially reasonable efforts to effect, as promptly as reasonably possible, the registration under the Securities Act of the Registrable Shares that the Investor and the other Holders have requested to include in such registration.</w:t>
      </w:r>
    </w:p>
    <w:p>
      <w:pPr>
        <w:spacing w:after="0" w:line="159" w:lineRule="exact"/>
        <w:rPr>
          <w:sz w:val="20"/>
          <w:szCs w:val="20"/>
          <w:color w:val="auto"/>
        </w:rPr>
      </w:pPr>
    </w:p>
    <w:p>
      <w:pPr>
        <w:jc w:val="both"/>
        <w:ind w:left="1260" w:hanging="677"/>
        <w:spacing w:after="0" w:line="277" w:lineRule="auto"/>
        <w:tabs>
          <w:tab w:leader="none" w:pos="124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5"/>
          <w:szCs w:val="15"/>
          <w:color w:val="auto"/>
        </w:rPr>
        <w:t xml:space="preserve">If the Investor intends to distribute the Registrable Shares covered by its request by means of an underwriting, it shall so advise the Company in the Non-Shelf Request Notice and the Company shall include such information in the written notice provided to the other Holders. The right of any Holder to be included in a registration pursuant to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shall be conditioned upon such Holder’s participation in such underwriting and the inclusion of such Holder’s Registrable Shares in the underwriting to the extent provided herein. All Holders proposing to distribute their Registrable Shares through such underwriting shall enter into an underwriting agreement in customary form with the underwriter or underwriters selected for such underwriting by the Company. If any Holder disapproves of the terms of any such underwriting, such Holder may elect to withdraw therefrom by written notice to the Company and the underwriter prior to the commencement of any “road show”.</w:t>
      </w:r>
    </w:p>
    <w:p>
      <w:pPr>
        <w:spacing w:after="0" w:line="157" w:lineRule="exact"/>
        <w:rPr>
          <w:sz w:val="20"/>
          <w:szCs w:val="20"/>
          <w:color w:val="auto"/>
        </w:rPr>
      </w:pPr>
    </w:p>
    <w:p>
      <w:pPr>
        <w:jc w:val="both"/>
        <w:ind w:left="1260" w:hanging="677"/>
        <w:spacing w:after="0" w:line="296" w:lineRule="auto"/>
        <w:tabs>
          <w:tab w:leader="none" w:pos="1240"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4"/>
          <w:szCs w:val="14"/>
          <w:color w:val="auto"/>
        </w:rPr>
        <w:t xml:space="preserve">Notwithstanding any other provision of this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if the underwriter advises the Company that marketing factors require a limitation of the number of Registrable Shares to be underwritten, then the Company shall so advise the Holders of Registrable Shares, and the number of shares that may be included in the underwriting shall be allocated among the Holders of Registrable Shares pro-rata, based on the total number of Registrable Shares then held by the Holders of Registrable Shares requesting to be included in such registration;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number of Registrable Shares to be included in such underwriting and registration shall not be reduced unless all other securities are first entirely excluded from the underwriting and registration. Any Registrable Shares excluded or withdrawn from such underwriting shall be withdrawn from the registration. The Company shall not register securities for sale for its own account in any registration requested pursuant to this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unless permitted to do so by the Investor. The Company may not cause any other registration of securities for sale for its own account (other than a registration effected solely to implement an employee benefit plan) to be filed after a registration requested pursuant to this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and to become effective less than one hundred twenty (120) days after the effective date of any registration requested pursuant to this </w:t>
      </w:r>
      <w:r>
        <w:rPr>
          <w:rFonts w:ascii="Arial" w:cs="Arial" w:eastAsia="Arial" w:hAnsi="Arial"/>
          <w:sz w:val="14"/>
          <w:szCs w:val="14"/>
          <w:u w:val="single" w:color="auto"/>
          <w:color w:val="auto"/>
        </w:rPr>
        <w:t>Section 2.3</w:t>
      </w:r>
      <w:r>
        <w:rPr>
          <w:rFonts w:ascii="Arial" w:cs="Arial" w:eastAsia="Arial" w:hAnsi="Arial"/>
          <w:sz w:val="14"/>
          <w:szCs w:val="14"/>
          <w:color w:val="auto"/>
        </w:rPr>
        <w:t>.</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5" w:right="299" w:bottom="1440" w:gutter="0" w:footer="0" w:header="0"/>
        </w:sectPr>
      </w:pPr>
    </w:p>
    <w:bookmarkStart w:id="243" w:name="page244"/>
    <w:bookmarkEnd w:id="243"/>
    <w:p>
      <w:pPr>
        <w:jc w:val="both"/>
        <w:ind w:left="1280"/>
        <w:spacing w:after="0" w:line="258" w:lineRule="auto"/>
        <w:rPr>
          <w:sz w:val="20"/>
          <w:szCs w:val="20"/>
          <w:color w:val="auto"/>
        </w:rPr>
      </w:pPr>
      <w:r>
        <w:rPr>
          <w:rFonts w:ascii="Arial" w:cs="Arial" w:eastAsia="Arial" w:hAnsi="Arial"/>
          <w:sz w:val="16"/>
          <w:szCs w:val="16"/>
          <w:color w:val="auto"/>
        </w:rPr>
        <w:t xml:space="preserve">Notwithstanding the foregoing, the Company shall not be required to effect more than two (2) registrations on Form F-1, nor shall it be required to effect a registration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 if the Company has, within a ninety (90) day period preceding the date of such request, filed a registration statement pursuant to this Section 2.3, or completed a Piggy-Back Underwritten Offering or a Takedown; or (ii) if the Company shall deliver a notice to the Holders within thirty (30) days of any registration request that it is actively engaged in preparation of a registration statement for a firm commitment underwritten offering, for which a registration statement shall actually be filed within ninety (90) days, in which the Holder may include Registrable Shares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u w:val="single" w:color="auto"/>
          <w:color w:val="auto"/>
        </w:rPr>
        <w:t>Shelf Registration</w:t>
      </w:r>
      <w:r>
        <w:rPr>
          <w:rFonts w:ascii="Arial" w:cs="Arial" w:eastAsia="Arial" w:hAnsi="Arial"/>
          <w:sz w:val="14"/>
          <w:szCs w:val="14"/>
          <w:color w:val="auto"/>
        </w:rPr>
        <w:t>.</w:t>
      </w:r>
    </w:p>
    <w:p>
      <w:pPr>
        <w:spacing w:after="0" w:line="200" w:lineRule="exact"/>
        <w:rPr>
          <w:sz w:val="20"/>
          <w:szCs w:val="20"/>
          <w:color w:val="auto"/>
        </w:rPr>
      </w:pPr>
    </w:p>
    <w:p>
      <w:pPr>
        <w:jc w:val="both"/>
        <w:ind w:left="1260" w:hanging="677"/>
        <w:spacing w:after="0" w:line="274" w:lineRule="auto"/>
        <w:tabs>
          <w:tab w:leader="none" w:pos="124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5"/>
          <w:szCs w:val="15"/>
          <w:color w:val="auto"/>
        </w:rPr>
        <w:t xml:space="preserve">Subject to the conditions of this </w:t>
      </w:r>
      <w:r>
        <w:rPr>
          <w:rFonts w:ascii="Arial" w:cs="Arial" w:eastAsia="Arial" w:hAnsi="Arial"/>
          <w:sz w:val="15"/>
          <w:szCs w:val="15"/>
          <w:u w:val="single" w:color="auto"/>
          <w:color w:val="auto"/>
        </w:rPr>
        <w:t>Section 2.4</w:t>
      </w:r>
      <w:r>
        <w:rPr>
          <w:rFonts w:ascii="Arial" w:cs="Arial" w:eastAsia="Arial" w:hAnsi="Arial"/>
          <w:sz w:val="15"/>
          <w:szCs w:val="15"/>
          <w:color w:val="auto"/>
        </w:rPr>
        <w:t>, if the Company shall receive a written request (a “</w:t>
      </w:r>
      <w:r>
        <w:rPr>
          <w:rFonts w:ascii="Arial" w:cs="Arial" w:eastAsia="Arial" w:hAnsi="Arial"/>
          <w:sz w:val="15"/>
          <w:szCs w:val="15"/>
          <w:b w:val="1"/>
          <w:bCs w:val="1"/>
          <w:color w:val="auto"/>
        </w:rPr>
        <w:t>Form F-3 Demand Notice</w:t>
      </w:r>
      <w:r>
        <w:rPr>
          <w:rFonts w:ascii="Arial" w:cs="Arial" w:eastAsia="Arial" w:hAnsi="Arial"/>
          <w:sz w:val="15"/>
          <w:szCs w:val="15"/>
          <w:color w:val="auto"/>
        </w:rPr>
        <w:t>”) from the Investor that the Company file a registration statement for an offering to be made on a delayed or continuous basis pursuant to Rule 415 under the Securities Act registering the resale from time to time by the Investor of Registrable Shares with a sale price, based on a recent average close price of the Ordinary Shares, of at least Five Hundred Thousand United States Dollars ($500,000) (the “</w:t>
      </w:r>
      <w:r>
        <w:rPr>
          <w:rFonts w:ascii="Arial" w:cs="Arial" w:eastAsia="Arial" w:hAnsi="Arial"/>
          <w:sz w:val="15"/>
          <w:szCs w:val="15"/>
          <w:b w:val="1"/>
          <w:bCs w:val="1"/>
          <w:color w:val="auto"/>
        </w:rPr>
        <w:t>Shelf Registration Statement</w:t>
      </w:r>
      <w:r>
        <w:rPr>
          <w:rFonts w:ascii="Arial" w:cs="Arial" w:eastAsia="Arial" w:hAnsi="Arial"/>
          <w:sz w:val="15"/>
          <w:szCs w:val="15"/>
          <w:color w:val="auto"/>
        </w:rPr>
        <w:t xml:space="preserve">”), then the Company shall, within ten (10) days of the delivery thereof, give written notice of such request to all Holders, which may elect to join in such request, as specified in a written request given to the Company within fifteen (15) days after delivery of the Company’s written notice. The Shelf Registration Statement shall be on Form F-3 or another appropriate registration statement permitting registration of such Registrable Shares for resale by the Holders in accordance with the methods of distribution elected by them and set forth in such Shelf Registration Statement. The Company shall use its commercially reasonable efforts to cause the Shelf Registration Statement to be declared effective under the Securities Act as promptly as possible after the Investor's initial request in accordance with this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and to keep such Shelf Registration Statement continuously effective under the Securities Act until the earlier of (i) two (2) years following the date such registration was declared effective; and (ii) the disposition of all Registrable Shares included in such Shelf Registration Statement.</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5" w:right="299" w:bottom="1440" w:gutter="0" w:footer="0" w:header="0"/>
        </w:sectPr>
      </w:pPr>
    </w:p>
    <w:bookmarkStart w:id="244" w:name="page245"/>
    <w:bookmarkEnd w:id="244"/>
    <w:p>
      <w:pPr>
        <w:jc w:val="both"/>
        <w:ind w:left="560" w:hanging="677"/>
        <w:spacing w:after="0" w:line="293" w:lineRule="auto"/>
        <w:tabs>
          <w:tab w:leader="none" w:pos="540"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4"/>
          <w:szCs w:val="14"/>
          <w:color w:val="auto"/>
        </w:rPr>
        <w:t>In the event a Form F-3 is filed pursuant to a Form F-3 Demand Notice, upon written request from the Investor or from the Holders of a majority of the Company’s Registrable Shares named or entitled to be named as a selling shareholder in the registration statement filed pursuant to the Form F-3 Demand Notice or entitled to be named in such Form F-3 without filing a post-effective amendment thereto (the “</w:t>
      </w:r>
      <w:r>
        <w:rPr>
          <w:rFonts w:ascii="Arial" w:cs="Arial" w:eastAsia="Arial" w:hAnsi="Arial"/>
          <w:sz w:val="14"/>
          <w:szCs w:val="14"/>
          <w:b w:val="1"/>
          <w:bCs w:val="1"/>
          <w:color w:val="auto"/>
        </w:rPr>
        <w:t>Takedown Request</w:t>
      </w:r>
      <w:r>
        <w:rPr>
          <w:rFonts w:ascii="Arial" w:cs="Arial" w:eastAsia="Arial" w:hAnsi="Arial"/>
          <w:sz w:val="14"/>
          <w:szCs w:val="14"/>
          <w:color w:val="auto"/>
        </w:rPr>
        <w:t>”) that the Company effect an underwritten offering with respect to Registrable Shares (a “</w:t>
      </w:r>
      <w:r>
        <w:rPr>
          <w:rFonts w:ascii="Arial" w:cs="Arial" w:eastAsia="Arial" w:hAnsi="Arial"/>
          <w:sz w:val="14"/>
          <w:szCs w:val="14"/>
          <w:b w:val="1"/>
          <w:bCs w:val="1"/>
          <w:color w:val="auto"/>
        </w:rPr>
        <w:t>Takedown</w:t>
      </w:r>
      <w:r>
        <w:rPr>
          <w:rFonts w:ascii="Arial" w:cs="Arial" w:eastAsia="Arial" w:hAnsi="Arial"/>
          <w:sz w:val="14"/>
          <w:szCs w:val="14"/>
          <w:color w:val="auto"/>
        </w:rPr>
        <w:t xml:space="preserve">”), the Company will, (x) within five (5) days after receiving the Takedown Request deliver a notice relating to the proposed Takedown to all other Holders who are named or are entitled to be named as a selling shareholder in such Form F-3 without filing a post-effective amendment thereto and (y) within fifteen (15) days after receipt of the Takedown Request supplement the prospectus included in the Shelf Registration Statement in such manner as would permit or facilitate the sale and distribution of all or such portion of the Registrable Shares of the Holders seeking to include their shares in such Takedown as are specified in such (request together with the Registrable Shares requested to be included in such Takedown by the Investor) who notify the Company in writing within seven (7) days after receipt of such notice from the Company. The Company will complete any such supplement within the time periods set forth herein provided that (i) the Registrable Shares requested to be offered pursuant to such Takedown must have an anticipated aggregate price to the public (net of any underwriting discounts and commissions) of not less than $5,000,000, and (ii) the Company shall not be obligated to effect any such Takedown (x) if the Company has within the twelve (12) month period preceding the date of such request already effected two (2) Takedowns under this </w:t>
      </w:r>
      <w:r>
        <w:rPr>
          <w:rFonts w:ascii="Arial" w:cs="Arial" w:eastAsia="Arial" w:hAnsi="Arial"/>
          <w:sz w:val="14"/>
          <w:szCs w:val="14"/>
          <w:u w:val="single" w:color="auto"/>
          <w:color w:val="auto"/>
        </w:rPr>
        <w:t>Section 2.4.2</w:t>
      </w:r>
      <w:r>
        <w:rPr>
          <w:rFonts w:ascii="Arial" w:cs="Arial" w:eastAsia="Arial" w:hAnsi="Arial"/>
          <w:sz w:val="14"/>
          <w:szCs w:val="14"/>
          <w:color w:val="auto"/>
        </w:rPr>
        <w:t xml:space="preserve"> or (y) if the Company has, within a ninety (90) day period preceding receipt of the Takedown Request, filed a registration statement pursuant to Section 2.3, or completed a Piggy-Back Underwritten Offering or a Takedown.</w:t>
      </w:r>
    </w:p>
    <w:p>
      <w:pPr>
        <w:spacing w:after="0" w:line="153" w:lineRule="exact"/>
        <w:rPr>
          <w:sz w:val="20"/>
          <w:szCs w:val="20"/>
          <w:color w:val="auto"/>
        </w:rPr>
      </w:pPr>
    </w:p>
    <w:p>
      <w:pPr>
        <w:jc w:val="both"/>
        <w:ind w:left="560" w:hanging="677"/>
        <w:spacing w:after="0" w:line="258" w:lineRule="auto"/>
        <w:tabs>
          <w:tab w:leader="none" w:pos="540" w:val="left"/>
        </w:tabs>
        <w:rPr>
          <w:sz w:val="20"/>
          <w:szCs w:val="20"/>
          <w:color w:val="auto"/>
        </w:rPr>
      </w:pPr>
      <w:r>
        <w:rPr>
          <w:rFonts w:ascii="Arial" w:cs="Arial" w:eastAsia="Arial" w:hAnsi="Arial"/>
          <w:sz w:val="16"/>
          <w:szCs w:val="16"/>
          <w:color w:val="auto"/>
        </w:rPr>
        <w:t>2.4.3.</w:t>
      </w:r>
      <w:r>
        <w:rPr>
          <w:sz w:val="20"/>
          <w:szCs w:val="20"/>
          <w:color w:val="auto"/>
        </w:rPr>
        <w:tab/>
      </w:r>
      <w:r>
        <w:rPr>
          <w:rFonts w:ascii="Arial" w:cs="Arial" w:eastAsia="Arial" w:hAnsi="Arial"/>
          <w:sz w:val="16"/>
          <w:szCs w:val="16"/>
          <w:color w:val="auto"/>
        </w:rPr>
        <w:t xml:space="preserve">Notwithstanding the foregoing, the Company shall not be required to effect a registration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 if Form F-3 is not available for such offering by the Investors; or (ii) if within ten (10) days of receipt of a written request from the Investor or Major Shareholders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Company gives notice to the Investor or Major Shareholders of the Company’s good faith intention to file a registration statement or prospectus supplement for a public offering within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actually files such registration statement or prospectus supplement within such thirty (30) days and makes reasonable good faith efforts to cause such registration statement or prospectus supplement to become effective.</w:t>
      </w:r>
    </w:p>
    <w:p>
      <w:pPr>
        <w:spacing w:after="0" w:line="36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6" w:right="299" w:bottom="1440" w:gutter="0" w:footer="0" w:header="0"/>
        </w:sectPr>
      </w:pPr>
    </w:p>
    <w:bookmarkStart w:id="245" w:name="page246"/>
    <w:bookmarkEnd w:id="245"/>
    <w:p>
      <w:pPr>
        <w:jc w:val="both"/>
        <w:ind w:left="1260" w:hanging="677"/>
        <w:spacing w:after="0" w:line="281" w:lineRule="auto"/>
        <w:tabs>
          <w:tab w:leader="none" w:pos="1240" w:val="left"/>
        </w:tabs>
        <w:rPr>
          <w:sz w:val="20"/>
          <w:szCs w:val="20"/>
          <w:color w:val="auto"/>
        </w:rPr>
      </w:pPr>
      <w:r>
        <w:rPr>
          <w:rFonts w:ascii="Arial" w:cs="Arial" w:eastAsia="Arial" w:hAnsi="Arial"/>
          <w:sz w:val="16"/>
          <w:szCs w:val="16"/>
          <w:color w:val="auto"/>
        </w:rPr>
        <w:t>2.4.4.</w:t>
      </w:r>
      <w:r>
        <w:rPr>
          <w:sz w:val="20"/>
          <w:szCs w:val="20"/>
          <w:color w:val="auto"/>
        </w:rPr>
        <w:tab/>
      </w:r>
      <w:r>
        <w:rPr>
          <w:rFonts w:ascii="Arial" w:cs="Arial" w:eastAsia="Arial" w:hAnsi="Arial"/>
          <w:sz w:val="15"/>
          <w:szCs w:val="15"/>
          <w:color w:val="auto"/>
        </w:rPr>
        <w:t>The right of any Holder to be included in a Takedown shall be conditioned upon such Holder’s participation in such underwriting and the inclusion of such Holder’s Registrable Shares in the underwriting to the extent provided herein. All Holders proposing to distribute their Registrable Shares through such underwriting shall enter into an underwriting agreement in customary form with the underwriter or underwriters selected for such underwriting by the Company. If any Holder disapproves of the terms of any such underwriting, such Holder may elect to withdraw therefrom by written notice to the Company and the underwriter prior to the commencement of any “road show”.</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u w:val="single" w:color="auto"/>
          <w:color w:val="auto"/>
        </w:rPr>
        <w:t>Designation of Underwriter</w:t>
      </w:r>
      <w:r>
        <w:rPr>
          <w:rFonts w:ascii="Arial" w:cs="Arial" w:eastAsia="Arial" w:hAnsi="Arial"/>
          <w:sz w:val="15"/>
          <w:szCs w:val="15"/>
          <w:color w:val="auto"/>
        </w:rPr>
        <w:t>.</w:t>
      </w:r>
    </w:p>
    <w:p>
      <w:pPr>
        <w:spacing w:after="0" w:line="204" w:lineRule="exact"/>
        <w:rPr>
          <w:sz w:val="20"/>
          <w:szCs w:val="20"/>
          <w:color w:val="auto"/>
        </w:rPr>
      </w:pPr>
    </w:p>
    <w:p>
      <w:pPr>
        <w:jc w:val="both"/>
        <w:ind w:left="1260" w:hanging="677"/>
        <w:spacing w:after="0" w:line="267" w:lineRule="auto"/>
        <w:tabs>
          <w:tab w:leader="none" w:pos="1240" w:val="left"/>
        </w:tabs>
        <w:rPr>
          <w:sz w:val="20"/>
          <w:szCs w:val="20"/>
          <w:color w:val="auto"/>
        </w:rPr>
      </w:pPr>
      <w:r>
        <w:rPr>
          <w:rFonts w:ascii="Arial" w:cs="Arial" w:eastAsia="Arial" w:hAnsi="Arial"/>
          <w:sz w:val="16"/>
          <w:szCs w:val="16"/>
          <w:color w:val="auto"/>
        </w:rPr>
        <w:t>2.5.1.</w:t>
      </w:r>
      <w:r>
        <w:rPr>
          <w:sz w:val="20"/>
          <w:szCs w:val="20"/>
          <w:color w:val="auto"/>
        </w:rPr>
        <w:tab/>
      </w:r>
      <w:r>
        <w:rPr>
          <w:rFonts w:ascii="Arial" w:cs="Arial" w:eastAsia="Arial" w:hAnsi="Arial"/>
          <w:sz w:val="16"/>
          <w:szCs w:val="16"/>
          <w:color w:val="auto"/>
        </w:rPr>
        <w:t xml:space="preserve">In the case of any underwritten offering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2.4</w:t>
      </w:r>
      <w:r>
        <w:rPr>
          <w:rFonts w:ascii="Arial" w:cs="Arial" w:eastAsia="Arial" w:hAnsi="Arial"/>
          <w:sz w:val="16"/>
          <w:szCs w:val="16"/>
          <w:color w:val="auto"/>
        </w:rPr>
        <w:t>, the Investor or, in the alternative if the Investor no longer holds any Registrable Shares, the holders of a majority of the Registrable Shares participating in such offering, shall have the right to designate the representative(s) of the underwriters (the “</w:t>
      </w:r>
      <w:r>
        <w:rPr>
          <w:rFonts w:ascii="Arial" w:cs="Arial" w:eastAsia="Arial" w:hAnsi="Arial"/>
          <w:sz w:val="16"/>
          <w:szCs w:val="16"/>
          <w:b w:val="1"/>
          <w:bCs w:val="1"/>
          <w:color w:val="auto"/>
        </w:rPr>
        <w:t>Managing Underwriter(s)</w:t>
      </w:r>
      <w:r>
        <w:rPr>
          <w:rFonts w:ascii="Arial" w:cs="Arial" w:eastAsia="Arial" w:hAnsi="Arial"/>
          <w:sz w:val="16"/>
          <w:szCs w:val="16"/>
          <w:color w:val="auto"/>
        </w:rPr>
        <w:t>”) in any underwritten offering.</w:t>
      </w:r>
    </w:p>
    <w:p>
      <w:pPr>
        <w:spacing w:after="0" w:line="161" w:lineRule="exact"/>
        <w:rPr>
          <w:sz w:val="20"/>
          <w:szCs w:val="20"/>
          <w:color w:val="auto"/>
        </w:rPr>
      </w:pPr>
    </w:p>
    <w:p>
      <w:pPr>
        <w:jc w:val="both"/>
        <w:ind w:left="1260" w:hanging="677"/>
        <w:spacing w:after="0" w:line="281" w:lineRule="auto"/>
        <w:tabs>
          <w:tab w:leader="none" w:pos="1240" w:val="left"/>
        </w:tabs>
        <w:rPr>
          <w:sz w:val="20"/>
          <w:szCs w:val="20"/>
          <w:color w:val="auto"/>
        </w:rPr>
      </w:pPr>
      <w:r>
        <w:rPr>
          <w:rFonts w:ascii="Arial" w:cs="Arial" w:eastAsia="Arial" w:hAnsi="Arial"/>
          <w:sz w:val="16"/>
          <w:szCs w:val="16"/>
          <w:color w:val="auto"/>
        </w:rPr>
        <w:t>2.5.2.</w:t>
      </w:r>
      <w:r>
        <w:rPr>
          <w:sz w:val="20"/>
          <w:szCs w:val="20"/>
          <w:color w:val="auto"/>
        </w:rPr>
        <w:tab/>
      </w:r>
      <w:r>
        <w:rPr>
          <w:rFonts w:ascii="Arial" w:cs="Arial" w:eastAsia="Arial" w:hAnsi="Arial"/>
          <w:sz w:val="16"/>
          <w:szCs w:val="16"/>
          <w:color w:val="auto"/>
        </w:rPr>
        <w:t>In the case of any registration initiated by the Company, the Company shall have the right to designate the Managing Underwriter(s) in any underwritten offering, subject to the Investor’s approval, which shall not be unreasonably withheld.</w:t>
      </w:r>
    </w:p>
    <w:p>
      <w:pPr>
        <w:spacing w:after="0" w:line="151" w:lineRule="exact"/>
        <w:rPr>
          <w:sz w:val="20"/>
          <w:szCs w:val="20"/>
          <w:color w:val="auto"/>
        </w:rPr>
      </w:pPr>
    </w:p>
    <w:p>
      <w:pPr>
        <w:jc w:val="both"/>
        <w:ind w:left="580" w:hanging="568"/>
        <w:spacing w:after="0" w:line="255" w:lineRule="auto"/>
        <w:tabs>
          <w:tab w:leader="none" w:pos="56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All registration expenses incurred in connection with any registration, filing or qualification or compliance pursuant to</w:t>
      </w:r>
      <w:r>
        <w:rPr>
          <w:rFonts w:ascii="Arial" w:cs="Arial" w:eastAsia="Arial" w:hAnsi="Arial"/>
          <w:sz w:val="16"/>
          <w:szCs w:val="16"/>
          <w:u w:val="single" w:color="auto"/>
          <w:color w:val="auto"/>
        </w:rPr>
        <w:t xml:space="preserve"> Sections 2.2, 2.3 and 2.4 </w:t>
      </w:r>
      <w:r>
        <w:rPr>
          <w:rFonts w:ascii="Arial" w:cs="Arial" w:eastAsia="Arial" w:hAnsi="Arial"/>
          <w:sz w:val="16"/>
          <w:szCs w:val="16"/>
          <w:color w:val="auto"/>
        </w:rPr>
        <w:t>shall be borne by the Company. Registration expenses shall include all expenses incurred by the Company or incident to the Company’s performance of or compliance with this Agreement, including, without limitation, expenses incurred in connection with the preparation of a prospectus, printing, registration and filing fees, printing fees and expenses, fees and disbursements of counsel, accountants and other advisors for the Company, reasonable fees and disbursements of a single special counsel for the Holders (selected by the Investor or, in the alternative if the Investor no longer holds any Registrable Shares, the holders of a majority of the Registrable Shares participating in such offering), taxes, fees and expenses (including reasonable counsel fees) incurred in connection with complying with state securities or “blue sky” laws, fees of the Financial Industry Regulatory Authority, Inc., fees of transfer agents or registrars and the expense of any special audits incident to or required by any such registration. Notwithstanding the foregoing, however, all underwriters’ discounts and commissions in respect of the sale of Registrable Shares shall be paid by the Holders, pro rata in accordance with the number of Registrable Shares sold in the offering.</w:t>
      </w:r>
    </w:p>
    <w:p>
      <w:pPr>
        <w:spacing w:after="0" w:line="37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5" w:right="299" w:bottom="1440" w:gutter="0" w:footer="0" w:header="0"/>
        </w:sectPr>
      </w:pPr>
    </w:p>
    <w:bookmarkStart w:id="246" w:name="page247"/>
    <w:bookmarkEnd w:id="246"/>
    <w:p>
      <w:pPr>
        <w:spacing w:after="0"/>
        <w:tabs>
          <w:tab w:leader="none" w:pos="56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u w:val="single" w:color="auto"/>
          <w:color w:val="auto"/>
        </w:rPr>
        <w:t>Indemnities</w:t>
      </w:r>
      <w:r>
        <w:rPr>
          <w:rFonts w:ascii="Arial" w:cs="Arial" w:eastAsia="Arial" w:hAnsi="Arial"/>
          <w:sz w:val="14"/>
          <w:szCs w:val="14"/>
          <w:color w:val="auto"/>
        </w:rPr>
        <w:t>. In the event that any Registrable Shares are included in a registration statement pursuant to this</w:t>
      </w:r>
      <w:r>
        <w:rPr>
          <w:rFonts w:ascii="Arial" w:cs="Arial" w:eastAsia="Arial" w:hAnsi="Arial"/>
          <w:sz w:val="14"/>
          <w:szCs w:val="14"/>
          <w:u w:val="single" w:color="auto"/>
          <w:color w:val="auto"/>
        </w:rPr>
        <w:t xml:space="preserve"> Section 2:</w:t>
      </w:r>
    </w:p>
    <w:p>
      <w:pPr>
        <w:spacing w:after="0" w:line="204" w:lineRule="exact"/>
        <w:rPr>
          <w:sz w:val="20"/>
          <w:szCs w:val="20"/>
          <w:color w:val="auto"/>
        </w:rPr>
      </w:pPr>
    </w:p>
    <w:p>
      <w:pPr>
        <w:jc w:val="both"/>
        <w:ind w:left="1120" w:hanging="653"/>
        <w:spacing w:after="0" w:line="272" w:lineRule="auto"/>
        <w:tabs>
          <w:tab w:leader="none" w:pos="1100" w:val="left"/>
        </w:tabs>
        <w:rPr>
          <w:sz w:val="20"/>
          <w:szCs w:val="20"/>
          <w:color w:val="auto"/>
        </w:rPr>
      </w:pPr>
      <w:r>
        <w:rPr>
          <w:rFonts w:ascii="Arial" w:cs="Arial" w:eastAsia="Arial" w:hAnsi="Arial"/>
          <w:sz w:val="16"/>
          <w:szCs w:val="16"/>
          <w:color w:val="auto"/>
        </w:rPr>
        <w:t>2.7.1.</w:t>
      </w:r>
      <w:r>
        <w:rPr>
          <w:sz w:val="20"/>
          <w:szCs w:val="20"/>
          <w:color w:val="auto"/>
        </w:rPr>
        <w:tab/>
      </w:r>
      <w:r>
        <w:rPr>
          <w:rFonts w:ascii="Arial" w:cs="Arial" w:eastAsia="Arial" w:hAnsi="Arial"/>
          <w:sz w:val="15"/>
          <w:szCs w:val="15"/>
          <w:color w:val="auto"/>
        </w:rPr>
        <w:t>To the extent permitted by law, the Company will indemnify and hold harmless each Holder, its Affiliates, the partners, officers, directors and shareholders of each Holder, legal counsel and accountants for each Holder,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5"/>
          <w:szCs w:val="15"/>
          <w:b w:val="1"/>
          <w:bCs w:val="1"/>
          <w:color w:val="auto"/>
        </w:rPr>
        <w:t>Violation</w:t>
      </w:r>
      <w:r>
        <w:rPr>
          <w:rFonts w:ascii="Arial" w:cs="Arial" w:eastAsia="Arial" w:hAnsi="Arial"/>
          <w:sz w:val="15"/>
          <w:szCs w:val="15"/>
          <w:color w:val="auto"/>
        </w:rPr>
        <w:t xml:space="preserve">”) by the Company: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The Company will reimburse each such Holder, its Affiliates, the partners, officers, or directors, underwriters and each Person, if any, who controls such Holder or underwriter within the meaning of the Securities Act or the Exchange Act, for any legal or other expenses reasonably incurred by them in connection with investigating, preparing to defend or defending against or appearing as a third-party witness in connection with such loss, claim, damage, liability, or action or proceeding;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this indemnity shall not be deemed to relieve any underwriter of any of its due diligence obligations;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indemnity agreement contained in this </w:t>
      </w:r>
      <w:r>
        <w:rPr>
          <w:rFonts w:ascii="Arial" w:cs="Arial" w:eastAsia="Arial" w:hAnsi="Arial"/>
          <w:sz w:val="15"/>
          <w:szCs w:val="15"/>
          <w:u w:val="single" w:color="auto"/>
          <w:color w:val="auto"/>
        </w:rPr>
        <w:t>Section 2.7.1</w:t>
      </w:r>
      <w:r>
        <w:rPr>
          <w:rFonts w:ascii="Arial" w:cs="Arial" w:eastAsia="Arial" w:hAnsi="Arial"/>
          <w:sz w:val="15"/>
          <w:szCs w:val="15"/>
          <w:color w:val="auto"/>
        </w:rPr>
        <w:t xml:space="preserve"> shall not apply to amounts paid in settlement of any such loss, claim, damage, liability or action if such settlement is effected without the consent of the Company, nor shall the Company be liable in any such case for any such loss, claim, damage, liability, action, cost or expense to the extent that it arises out of or is based upon a Violation which occurs in reliance upon and in conformity with written information furnished expressly for use in connection with such registration by such Holder, partner, officer, director, underwriter or controlling Person of such Holder.</w:t>
      </w: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5" w:right="299" w:bottom="1440" w:gutter="0" w:footer="0" w:header="0"/>
        </w:sectPr>
      </w:pPr>
    </w:p>
    <w:bookmarkStart w:id="247" w:name="page248"/>
    <w:bookmarkEnd w:id="247"/>
    <w:p>
      <w:pPr>
        <w:jc w:val="both"/>
        <w:ind w:left="560" w:hanging="677"/>
        <w:spacing w:after="0" w:line="272" w:lineRule="auto"/>
        <w:tabs>
          <w:tab w:leader="none" w:pos="540" w:val="left"/>
        </w:tabs>
        <w:rPr>
          <w:sz w:val="20"/>
          <w:szCs w:val="20"/>
          <w:color w:val="auto"/>
        </w:rPr>
      </w:pPr>
      <w:r>
        <w:rPr>
          <w:rFonts w:ascii="Arial" w:cs="Arial" w:eastAsia="Arial" w:hAnsi="Arial"/>
          <w:sz w:val="16"/>
          <w:szCs w:val="16"/>
          <w:color w:val="auto"/>
        </w:rPr>
        <w:t>2.7.2.</w:t>
      </w:r>
      <w:r>
        <w:rPr>
          <w:sz w:val="20"/>
          <w:szCs w:val="20"/>
          <w:color w:val="auto"/>
        </w:rPr>
        <w:tab/>
      </w:r>
      <w:r>
        <w:rPr>
          <w:rFonts w:ascii="Arial" w:cs="Arial" w:eastAsia="Arial" w:hAnsi="Arial"/>
          <w:sz w:val="15"/>
          <w:szCs w:val="15"/>
          <w:color w:val="auto"/>
        </w:rPr>
        <w:t xml:space="preserve">To the extent permitted by law, each Holder will, if Registrable Shares held by such Holder are included in the securities as to which such registration qualifications or compliance is being effected, indemnify and hold harmless the Company and each Person, if any, who controls the Company within the meaning of the Securities Act, and any other Holder selling securities under such registration statement or any of such other Holder’s Affiliates, partners, directors or officers or any person who controls such Holder or underwriter within the meaning of the Securities Act or the Exchange Act, against any losses, claims, damages, liabilities (joint or several), costs or expenses, to which the Company or any such director, officer, controlling Person, underwriter or other such Holder or controlling Person of such other Holder may become subject under the Securities Act, the Exchange Act or other federal or state law, insofar as such losses, claims, damages, liabilities, costs or expenses (or actions in respect thereto) arise out of or are based upon any Violation, in each case to the extent (and only to the extent) that such Violation occurs in reliance upon and in conformity with written information furnished by such Holder under an instrument duly executed by such Holder and stated to be specifically for use in connection with such registration; and each such Holder will reimburse the Company, each such controlling Person of the Company or any underwriter or other Holder, or partner, officer, director or controlling person of such other Holder in connection with investigating, preparing to defend or defending against or appearing as a third-party witness in connection with such loss, claim, damage, liability, action or proceeding;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indemnity agreement contained in this </w:t>
      </w:r>
      <w:r>
        <w:rPr>
          <w:rFonts w:ascii="Arial" w:cs="Arial" w:eastAsia="Arial" w:hAnsi="Arial"/>
          <w:sz w:val="15"/>
          <w:szCs w:val="15"/>
          <w:u w:val="single" w:color="auto"/>
          <w:color w:val="auto"/>
        </w:rPr>
        <w:t>2.7.2</w:t>
      </w:r>
      <w:r>
        <w:rPr>
          <w:rFonts w:ascii="Arial" w:cs="Arial" w:eastAsia="Arial" w:hAnsi="Arial"/>
          <w:sz w:val="15"/>
          <w:szCs w:val="15"/>
          <w:color w:val="auto"/>
        </w:rPr>
        <w:t xml:space="preserve"> shall not apply to amounts paid in settlement of any such loss, claim, damage, liability or action if such settlement is effected without the consent of the Holder. In no event shall the liability of a Holder pursuant to this </w:t>
      </w:r>
      <w:r>
        <w:rPr>
          <w:rFonts w:ascii="Arial" w:cs="Arial" w:eastAsia="Arial" w:hAnsi="Arial"/>
          <w:sz w:val="15"/>
          <w:szCs w:val="15"/>
          <w:u w:val="single" w:color="auto"/>
          <w:color w:val="auto"/>
        </w:rPr>
        <w:t>Section 2.7.2</w:t>
      </w:r>
      <w:r>
        <w:rPr>
          <w:rFonts w:ascii="Arial" w:cs="Arial" w:eastAsia="Arial" w:hAnsi="Arial"/>
          <w:sz w:val="15"/>
          <w:szCs w:val="15"/>
          <w:color w:val="auto"/>
        </w:rPr>
        <w:t xml:space="preserve"> exceed the net proceeds from the offering received by such Holder.</w:t>
      </w:r>
    </w:p>
    <w:p>
      <w:pPr>
        <w:spacing w:after="0" w:line="169" w:lineRule="exact"/>
        <w:rPr>
          <w:sz w:val="20"/>
          <w:szCs w:val="20"/>
          <w:color w:val="auto"/>
        </w:rPr>
      </w:pPr>
    </w:p>
    <w:p>
      <w:pPr>
        <w:jc w:val="both"/>
        <w:ind w:left="560" w:hanging="677"/>
        <w:spacing w:after="0" w:line="272" w:lineRule="auto"/>
        <w:tabs>
          <w:tab w:leader="none" w:pos="540" w:val="left"/>
        </w:tabs>
        <w:rPr>
          <w:sz w:val="20"/>
          <w:szCs w:val="20"/>
          <w:color w:val="auto"/>
        </w:rPr>
      </w:pPr>
      <w:r>
        <w:rPr>
          <w:rFonts w:ascii="Arial" w:cs="Arial" w:eastAsia="Arial" w:hAnsi="Arial"/>
          <w:sz w:val="16"/>
          <w:szCs w:val="16"/>
          <w:color w:val="auto"/>
        </w:rPr>
        <w:t>2.7.3.</w:t>
      </w:r>
      <w:r>
        <w:rPr>
          <w:sz w:val="20"/>
          <w:szCs w:val="20"/>
          <w:color w:val="auto"/>
        </w:rPr>
        <w:tab/>
      </w:r>
      <w:r>
        <w:rPr>
          <w:rFonts w:ascii="Arial" w:cs="Arial" w:eastAsia="Arial" w:hAnsi="Arial"/>
          <w:sz w:val="15"/>
          <w:szCs w:val="15"/>
          <w:color w:val="auto"/>
        </w:rPr>
        <w:t xml:space="preserve">Promptly after receipt by an indemnified party pursuant to the provisions of </w:t>
      </w:r>
      <w:r>
        <w:rPr>
          <w:rFonts w:ascii="Arial" w:cs="Arial" w:eastAsia="Arial" w:hAnsi="Arial"/>
          <w:sz w:val="15"/>
          <w:szCs w:val="15"/>
          <w:u w:val="single" w:color="auto"/>
          <w:color w:val="auto"/>
        </w:rPr>
        <w:t>Sections 2.7.1 or 2.7.2</w:t>
      </w:r>
      <w:r>
        <w:rPr>
          <w:rFonts w:ascii="Arial" w:cs="Arial" w:eastAsia="Arial" w:hAnsi="Arial"/>
          <w:sz w:val="15"/>
          <w:szCs w:val="15"/>
          <w:color w:val="auto"/>
        </w:rPr>
        <w:t xml:space="preserve"> herein of notice of the commencement of any action involving the subject matter of the foregoing indemnity provisions, such indemnified party will, if a claim thereof is to be made against the indemnifying party pursuant to the provisions of said </w:t>
      </w:r>
      <w:r>
        <w:rPr>
          <w:rFonts w:ascii="Arial" w:cs="Arial" w:eastAsia="Arial" w:hAnsi="Arial"/>
          <w:sz w:val="15"/>
          <w:szCs w:val="15"/>
          <w:u w:val="single" w:color="auto"/>
          <w:color w:val="auto"/>
        </w:rPr>
        <w:t>Section 2.7.1 or 2.7.2</w:t>
      </w:r>
      <w:r>
        <w:rPr>
          <w:rFonts w:ascii="Arial" w:cs="Arial" w:eastAsia="Arial" w:hAnsi="Arial"/>
          <w:sz w:val="15"/>
          <w:szCs w:val="15"/>
          <w:color w:val="auto"/>
        </w:rPr>
        <w:t xml:space="preserve">, promptly notify the indemnifying party of the commencement thereof. Notwithstanding the foregoing, the omission to notify the indemnifying party will not relieve it from any liability which it may have to any indemnified party otherwise than hereunder. In case such action is brought against any indemnified party and it notifies the indemnifying party of the commencement thereof, the indemnifying party shall have the right to participate in, and, to the extent that it may wish, jointly with any other indemnifying party similarly notified, to assume the defense thereof with counsel reasonably satisfactory to such indemnified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the defendants in any action include both the indemnified party and the indemnifying party and there is a conflict of interests which would prevent counsel for the indemnifying party from also representing the indemnified party, the indemnified party or parties shall have the right to select one separate counsel to participate in the defense of such action on behalf of such indemnified party or parties. After notice from the indemnifying party to such indemnified party of its election to assume the defense thereof, the indemnifying party will not be liable to such indemnified party pursuant to the provisions of said </w:t>
      </w:r>
      <w:r>
        <w:rPr>
          <w:rFonts w:ascii="Arial" w:cs="Arial" w:eastAsia="Arial" w:hAnsi="Arial"/>
          <w:sz w:val="15"/>
          <w:szCs w:val="15"/>
          <w:u w:val="single" w:color="auto"/>
          <w:color w:val="auto"/>
        </w:rPr>
        <w:t>Sections 2.7.1 or 2.7.2</w:t>
      </w:r>
      <w:r>
        <w:rPr>
          <w:rFonts w:ascii="Arial" w:cs="Arial" w:eastAsia="Arial" w:hAnsi="Arial"/>
          <w:sz w:val="15"/>
          <w:szCs w:val="15"/>
          <w:color w:val="auto"/>
        </w:rPr>
        <w:t xml:space="preserve"> for any legal or other expense subsequently incurred by such indemnified party in connection with the defense thereof, unless (i) the indemnified party shall have employed counsel in accordance with the provision of the preceding sentence, (ii) the indemnifying party shall not have employed counsel reasonably satisfactory to the indemnified party to represent the indemnified party within a reasonable time after the notice of the commencement of the action and within 15 days after written notice of the indemnified party’s intention to employ separate counsel pursuant to the previous sentence, or (iii) the indemnifying party has authorized the employment of counsel for the indemnified party at the expense of the indemnifying party.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35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248" w:name="page249"/>
    <w:bookmarkEnd w:id="248"/>
    <w:p>
      <w:pPr>
        <w:jc w:val="both"/>
        <w:ind w:left="560" w:hanging="677"/>
        <w:spacing w:after="0" w:line="295" w:lineRule="auto"/>
        <w:tabs>
          <w:tab w:leader="none" w:pos="540" w:val="left"/>
        </w:tabs>
        <w:rPr>
          <w:sz w:val="20"/>
          <w:szCs w:val="20"/>
          <w:color w:val="auto"/>
        </w:rPr>
      </w:pPr>
      <w:r>
        <w:rPr>
          <w:rFonts w:ascii="Arial" w:cs="Arial" w:eastAsia="Arial" w:hAnsi="Arial"/>
          <w:sz w:val="16"/>
          <w:szCs w:val="16"/>
          <w:color w:val="auto"/>
        </w:rPr>
        <w:t>2.7.4.</w:t>
      </w:r>
      <w:r>
        <w:rPr>
          <w:sz w:val="20"/>
          <w:szCs w:val="20"/>
          <w:color w:val="auto"/>
        </w:rPr>
        <w:tab/>
      </w:r>
      <w:r>
        <w:rPr>
          <w:rFonts w:ascii="Arial" w:cs="Arial" w:eastAsia="Arial" w:hAnsi="Arial"/>
          <w:sz w:val="14"/>
          <w:szCs w:val="14"/>
          <w:color w:val="auto"/>
        </w:rPr>
        <w:t xml:space="preserve">If the indemnification provided for in this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concerning the matter with respect to which the claim was asserted, and opportunity to correct or prevent such statement or omission;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no event shall any contribution by a Holder hereunder exceed the net proceeds from the offering received by such Holder;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no party will be liable for contribution with respect to the settlement of any claim or action effected without its written consent.</w:t>
      </w:r>
    </w:p>
    <w:p>
      <w:pPr>
        <w:spacing w:after="0" w:line="343"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249" w:name="page250"/>
    <w:bookmarkEnd w:id="249"/>
    <w:p>
      <w:pPr>
        <w:jc w:val="both"/>
        <w:ind w:left="1260" w:hanging="677"/>
        <w:spacing w:after="0" w:line="256" w:lineRule="auto"/>
        <w:tabs>
          <w:tab w:leader="none" w:pos="1240" w:val="left"/>
        </w:tabs>
        <w:rPr>
          <w:sz w:val="20"/>
          <w:szCs w:val="20"/>
          <w:color w:val="auto"/>
        </w:rPr>
      </w:pPr>
      <w:r>
        <w:rPr>
          <w:rFonts w:ascii="Arial" w:cs="Arial" w:eastAsia="Arial" w:hAnsi="Arial"/>
          <w:sz w:val="16"/>
          <w:szCs w:val="16"/>
          <w:color w:val="auto"/>
        </w:rPr>
        <w:t>2.7.5.</w:t>
      </w:r>
      <w:r>
        <w:rPr>
          <w:sz w:val="20"/>
          <w:szCs w:val="20"/>
          <w:color w:val="auto"/>
        </w:rPr>
        <w:tab/>
      </w:r>
      <w:r>
        <w:rPr>
          <w:rFonts w:ascii="Arial" w:cs="Arial" w:eastAsia="Arial" w:hAnsi="Arial"/>
          <w:sz w:val="16"/>
          <w:szCs w:val="16"/>
          <w:color w:val="auto"/>
        </w:rPr>
        <w:t xml:space="preserve">The obligations of the Company and the Holders under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survive completion of any offering of Registrable Shares in a registration statement and the termination of this Agreement.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 The indemnification provisions of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not be in limitation of any other indemnification provisions included in any other agreement. Notwithstanding the foregoing, to the extent that the provisions on indemnification and contribution contained in any underwriting agreement entered into in connection with an underwritten public offering are in conflict with the foregoing provisions, the provisions in such underwriting agreement shall prevail.</w:t>
      </w:r>
    </w:p>
    <w:p>
      <w:pPr>
        <w:spacing w:after="0" w:line="174" w:lineRule="exact"/>
        <w:rPr>
          <w:sz w:val="20"/>
          <w:szCs w:val="20"/>
          <w:color w:val="auto"/>
        </w:rPr>
      </w:pPr>
    </w:p>
    <w:p>
      <w:pPr>
        <w:ind w:left="580" w:hanging="568"/>
        <w:spacing w:after="0" w:line="281" w:lineRule="auto"/>
        <w:tabs>
          <w:tab w:leader="none" w:pos="56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2 </w:t>
      </w:r>
      <w:r>
        <w:rPr>
          <w:rFonts w:ascii="Arial" w:cs="Arial" w:eastAsia="Arial" w:hAnsi="Arial"/>
          <w:sz w:val="16"/>
          <w:szCs w:val="16"/>
          <w:color w:val="auto"/>
        </w:rPr>
        <w:t>to effect the registration of any Registrable Shares, the Company shall, as expeditiously</w:t>
      </w:r>
      <w:r>
        <w:rPr>
          <w:rFonts w:ascii="Arial" w:cs="Arial" w:eastAsia="Arial" w:hAnsi="Arial"/>
          <w:sz w:val="16"/>
          <w:szCs w:val="16"/>
          <w:u w:val="single" w:color="auto"/>
          <w:color w:val="auto"/>
        </w:rPr>
        <w:t xml:space="preserve"> </w:t>
      </w:r>
      <w:r>
        <w:rPr>
          <w:rFonts w:ascii="Arial" w:cs="Arial" w:eastAsia="Arial" w:hAnsi="Arial"/>
          <w:sz w:val="16"/>
          <w:szCs w:val="16"/>
          <w:color w:val="auto"/>
        </w:rPr>
        <w:t>as reasonably possible:</w:t>
      </w:r>
    </w:p>
    <w:p>
      <w:pPr>
        <w:spacing w:after="0" w:line="151" w:lineRule="exact"/>
        <w:rPr>
          <w:sz w:val="20"/>
          <w:szCs w:val="20"/>
          <w:color w:val="auto"/>
        </w:rPr>
      </w:pPr>
    </w:p>
    <w:p>
      <w:pPr>
        <w:jc w:val="both"/>
        <w:ind w:left="1260" w:hanging="677"/>
        <w:spacing w:after="0" w:line="285" w:lineRule="auto"/>
        <w:tabs>
          <w:tab w:leader="none" w:pos="1240"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5"/>
          <w:szCs w:val="15"/>
          <w:color w:val="auto"/>
        </w:rPr>
        <w:t xml:space="preserve">prepare and file with the SEC a registration statement with respect to such Registrable Shares and use its commercially reasonable efforts to cause such registration statement to become effective, and keep such registration statement effective;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except as otherwise set forth herein (including in Section 2.4.1), the Company shall not be required to keep any such registration statement effective for more than ninety (90) days or, if sooner, after the disposition of all Registrable Shares included in such registration statement.</w:t>
      </w:r>
    </w:p>
    <w:p>
      <w:pPr>
        <w:spacing w:after="0" w:line="150" w:lineRule="exact"/>
        <w:rPr>
          <w:sz w:val="20"/>
          <w:szCs w:val="20"/>
          <w:color w:val="auto"/>
        </w:rPr>
      </w:pPr>
    </w:p>
    <w:p>
      <w:pPr>
        <w:jc w:val="both"/>
        <w:ind w:left="1260" w:hanging="677"/>
        <w:spacing w:after="0" w:line="267" w:lineRule="auto"/>
        <w:tabs>
          <w:tab w:leader="none" w:pos="1240" w:val="left"/>
        </w:tabs>
        <w:rPr>
          <w:sz w:val="20"/>
          <w:szCs w:val="20"/>
          <w:color w:val="auto"/>
        </w:rPr>
      </w:pPr>
      <w:r>
        <w:rPr>
          <w:rFonts w:ascii="Arial" w:cs="Arial" w:eastAsia="Arial" w:hAnsi="Arial"/>
          <w:sz w:val="16"/>
          <w:szCs w:val="16"/>
          <w:color w:val="auto"/>
        </w:rPr>
        <w:t>2.8.2.</w:t>
      </w:r>
      <w:r>
        <w:rPr>
          <w:sz w:val="20"/>
          <w:szCs w:val="20"/>
          <w:color w:val="auto"/>
        </w:rPr>
        <w:tab/>
      </w:r>
      <w:r>
        <w:rPr>
          <w:rFonts w:ascii="Arial" w:cs="Arial" w:eastAsia="Arial" w:hAnsi="Arial"/>
          <w:sz w:val="16"/>
          <w:szCs w:val="16"/>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Registrable Shares covered by such registration statement.</w:t>
      </w:r>
    </w:p>
    <w:p>
      <w:pPr>
        <w:spacing w:after="0" w:line="161" w:lineRule="exact"/>
        <w:rPr>
          <w:sz w:val="20"/>
          <w:szCs w:val="20"/>
          <w:color w:val="auto"/>
        </w:rPr>
      </w:pPr>
    </w:p>
    <w:p>
      <w:pPr>
        <w:jc w:val="both"/>
        <w:ind w:left="1260" w:hanging="677"/>
        <w:spacing w:after="0" w:line="267" w:lineRule="auto"/>
        <w:tabs>
          <w:tab w:leader="none" w:pos="1240"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6"/>
          <w:szCs w:val="16"/>
          <w:color w:val="auto"/>
        </w:rPr>
        <w:t>furnish to the Holders such numbers of copies of a prospectus, including a preliminary prospectus, in conformity with the requirements of the Securities Act, and such other documents as they may reasonably request in order to facilitate the disposition of Registrable Shares owned by them that are included in such registration.</w:t>
      </w:r>
    </w:p>
    <w:p>
      <w:pPr>
        <w:spacing w:after="0" w:line="161" w:lineRule="exact"/>
        <w:rPr>
          <w:sz w:val="20"/>
          <w:szCs w:val="20"/>
          <w:color w:val="auto"/>
        </w:rPr>
      </w:pPr>
    </w:p>
    <w:p>
      <w:pPr>
        <w:jc w:val="both"/>
        <w:ind w:left="1260" w:hanging="677"/>
        <w:spacing w:after="0" w:line="267" w:lineRule="auto"/>
        <w:tabs>
          <w:tab w:leader="none" w:pos="1240" w:val="left"/>
        </w:tabs>
        <w:rPr>
          <w:sz w:val="20"/>
          <w:szCs w:val="20"/>
          <w:color w:val="auto"/>
        </w:rPr>
      </w:pPr>
      <w:r>
        <w:rPr>
          <w:rFonts w:ascii="Arial" w:cs="Arial" w:eastAsia="Arial" w:hAnsi="Arial"/>
          <w:sz w:val="16"/>
          <w:szCs w:val="16"/>
          <w:color w:val="auto"/>
        </w:rPr>
        <w:t>2.8.4.</w:t>
      </w:r>
      <w:r>
        <w:rPr>
          <w:sz w:val="20"/>
          <w:szCs w:val="20"/>
          <w:color w:val="auto"/>
        </w:rPr>
        <w:tab/>
      </w:r>
      <w:r>
        <w:rPr>
          <w:rFonts w:ascii="Arial" w:cs="Arial" w:eastAsia="Arial" w:hAnsi="Arial"/>
          <w:sz w:val="16"/>
          <w:szCs w:val="16"/>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6" w:right="299" w:bottom="1440" w:gutter="0" w:footer="0" w:header="0"/>
        </w:sectPr>
      </w:pPr>
    </w:p>
    <w:bookmarkStart w:id="250" w:name="page251"/>
    <w:bookmarkEnd w:id="250"/>
    <w:p>
      <w:pPr>
        <w:jc w:val="both"/>
        <w:ind w:left="560" w:hanging="677"/>
        <w:spacing w:after="0" w:line="262" w:lineRule="auto"/>
        <w:tabs>
          <w:tab w:leader="none" w:pos="540" w:val="left"/>
        </w:tabs>
        <w:rPr>
          <w:sz w:val="20"/>
          <w:szCs w:val="20"/>
          <w:color w:val="auto"/>
        </w:rPr>
      </w:pPr>
      <w:r>
        <w:rPr>
          <w:rFonts w:ascii="Arial" w:cs="Arial" w:eastAsia="Arial" w:hAnsi="Arial"/>
          <w:sz w:val="16"/>
          <w:szCs w:val="16"/>
          <w:color w:val="auto"/>
        </w:rPr>
        <w:t>2.8.5.</w:t>
      </w:r>
      <w:r>
        <w:rPr>
          <w:sz w:val="20"/>
          <w:szCs w:val="20"/>
          <w:color w:val="auto"/>
        </w:rPr>
        <w:tab/>
      </w:r>
      <w:r>
        <w:rPr>
          <w:rFonts w:ascii="Arial" w:cs="Arial" w:eastAsia="Arial" w:hAnsi="Arial"/>
          <w:sz w:val="16"/>
          <w:szCs w:val="16"/>
          <w:color w:val="auto"/>
        </w:rPr>
        <w:t>notify each holder of Registrable Shares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66" w:lineRule="exact"/>
        <w:rPr>
          <w:sz w:val="20"/>
          <w:szCs w:val="20"/>
          <w:color w:val="auto"/>
        </w:rPr>
      </w:pPr>
    </w:p>
    <w:p>
      <w:pPr>
        <w:jc w:val="both"/>
        <w:ind w:left="560" w:hanging="677"/>
        <w:spacing w:after="0" w:line="281" w:lineRule="auto"/>
        <w:tabs>
          <w:tab w:leader="none" w:pos="540" w:val="left"/>
        </w:tabs>
        <w:rPr>
          <w:sz w:val="20"/>
          <w:szCs w:val="20"/>
          <w:color w:val="auto"/>
        </w:rPr>
      </w:pPr>
      <w:r>
        <w:rPr>
          <w:rFonts w:ascii="Arial" w:cs="Arial" w:eastAsia="Arial" w:hAnsi="Arial"/>
          <w:sz w:val="16"/>
          <w:szCs w:val="16"/>
          <w:color w:val="auto"/>
        </w:rPr>
        <w:t>2.8.6.</w:t>
      </w:r>
      <w:r>
        <w:rPr>
          <w:sz w:val="20"/>
          <w:szCs w:val="20"/>
          <w:color w:val="auto"/>
        </w:rPr>
        <w:tab/>
      </w:r>
      <w:r>
        <w:rPr>
          <w:rFonts w:ascii="Arial" w:cs="Arial" w:eastAsia="Arial" w:hAnsi="Arial"/>
          <w:sz w:val="16"/>
          <w:szCs w:val="16"/>
          <w:color w:val="auto"/>
        </w:rPr>
        <w:t>cause all Registrable Shares registered pursuant hereunder to be listed on each securities exchange on which similar securities issued by the Company are then listed.</w:t>
      </w:r>
    </w:p>
    <w:p>
      <w:pPr>
        <w:spacing w:after="0" w:line="151" w:lineRule="exact"/>
        <w:rPr>
          <w:sz w:val="20"/>
          <w:szCs w:val="20"/>
          <w:color w:val="auto"/>
        </w:rPr>
      </w:pPr>
    </w:p>
    <w:p>
      <w:pPr>
        <w:jc w:val="both"/>
        <w:ind w:left="560" w:hanging="677"/>
        <w:spacing w:after="0" w:line="281" w:lineRule="auto"/>
        <w:tabs>
          <w:tab w:leader="none" w:pos="540" w:val="left"/>
        </w:tabs>
        <w:rPr>
          <w:sz w:val="20"/>
          <w:szCs w:val="20"/>
          <w:color w:val="auto"/>
        </w:rPr>
      </w:pPr>
      <w:r>
        <w:rPr>
          <w:rFonts w:ascii="Arial" w:cs="Arial" w:eastAsia="Arial" w:hAnsi="Arial"/>
          <w:sz w:val="16"/>
          <w:szCs w:val="16"/>
          <w:color w:val="auto"/>
        </w:rPr>
        <w:t>2.8.7.</w:t>
      </w:r>
      <w:r>
        <w:rPr>
          <w:sz w:val="20"/>
          <w:szCs w:val="20"/>
          <w:color w:val="auto"/>
        </w:rPr>
        <w:tab/>
      </w:r>
      <w:r>
        <w:rPr>
          <w:rFonts w:ascii="Arial" w:cs="Arial" w:eastAsia="Arial" w:hAnsi="Arial"/>
          <w:sz w:val="16"/>
          <w:szCs w:val="16"/>
          <w:color w:val="auto"/>
        </w:rPr>
        <w:t>provide a transfer agent and registrar for all Registrable Shares registered pursuant hereunder and a CUSIP number for all such Registrable Shares, in each case not later than the effective date of such registration.</w:t>
      </w:r>
    </w:p>
    <w:p>
      <w:pPr>
        <w:spacing w:after="0" w:line="151" w:lineRule="exact"/>
        <w:rPr>
          <w:sz w:val="20"/>
          <w:szCs w:val="20"/>
          <w:color w:val="auto"/>
        </w:rPr>
      </w:pPr>
    </w:p>
    <w:p>
      <w:pPr>
        <w:jc w:val="both"/>
        <w:ind w:left="560" w:hanging="677"/>
        <w:spacing w:after="0" w:line="276" w:lineRule="auto"/>
        <w:tabs>
          <w:tab w:leader="none" w:pos="540" w:val="left"/>
        </w:tabs>
        <w:rPr>
          <w:sz w:val="20"/>
          <w:szCs w:val="20"/>
          <w:color w:val="auto"/>
        </w:rPr>
      </w:pPr>
      <w:r>
        <w:rPr>
          <w:rFonts w:ascii="Arial" w:cs="Arial" w:eastAsia="Arial" w:hAnsi="Arial"/>
          <w:sz w:val="16"/>
          <w:szCs w:val="16"/>
          <w:color w:val="auto"/>
        </w:rPr>
        <w:t>2.8.8.</w:t>
      </w:r>
      <w:r>
        <w:rPr>
          <w:sz w:val="20"/>
          <w:szCs w:val="20"/>
          <w:color w:val="auto"/>
        </w:rPr>
        <w:tab/>
      </w:r>
      <w:r>
        <w:rPr>
          <w:rFonts w:ascii="Arial" w:cs="Arial" w:eastAsia="Arial" w:hAnsi="Arial"/>
          <w:sz w:val="15"/>
          <w:szCs w:val="15"/>
          <w:color w:val="auto"/>
        </w:rPr>
        <w:t>immediately notify each seller of Registrable Shares covered by such registration statement and each underwriter under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prepare and furnish to each such seller a reasonable number of copies of a supplement to or an amendment of such prospectus as may be necessary so that, as thereafter delivered to the purchasers of such Registrable Shares, such prospectus shall not include any untrue statement of a material fact or omit to state a material fact required to be stated therein or necessary to make the statements therein not misleading in the light of the circumstances then existing.</w:t>
      </w:r>
    </w:p>
    <w:p>
      <w:pPr>
        <w:spacing w:after="0" w:line="157" w:lineRule="exact"/>
        <w:rPr>
          <w:sz w:val="20"/>
          <w:szCs w:val="20"/>
          <w:color w:val="auto"/>
        </w:rPr>
      </w:pPr>
    </w:p>
    <w:p>
      <w:pPr>
        <w:jc w:val="both"/>
        <w:ind w:left="560" w:hanging="677"/>
        <w:spacing w:after="0" w:line="274" w:lineRule="auto"/>
        <w:tabs>
          <w:tab w:leader="none" w:pos="540" w:val="left"/>
        </w:tabs>
        <w:rPr>
          <w:sz w:val="20"/>
          <w:szCs w:val="20"/>
          <w:color w:val="auto"/>
        </w:rPr>
      </w:pPr>
      <w:r>
        <w:rPr>
          <w:rFonts w:ascii="Arial" w:cs="Arial" w:eastAsia="Arial" w:hAnsi="Arial"/>
          <w:sz w:val="16"/>
          <w:szCs w:val="16"/>
          <w:color w:val="auto"/>
        </w:rPr>
        <w:t>2.8.9.</w:t>
      </w:r>
      <w:r>
        <w:rPr>
          <w:sz w:val="20"/>
          <w:szCs w:val="20"/>
          <w:color w:val="auto"/>
        </w:rPr>
        <w:tab/>
      </w:r>
      <w:r>
        <w:rPr>
          <w:rFonts w:ascii="Arial" w:cs="Arial" w:eastAsia="Arial" w:hAnsi="Arial"/>
          <w:sz w:val="15"/>
          <w:szCs w:val="15"/>
          <w:color w:val="auto"/>
        </w:rPr>
        <w:t xml:space="preserve">use its reasonable best efforts to obtain customary “comfort” letters from such accountants (to the extent deliverable in accordance with their professional standards) addressed to such selling Holder (to the extent consistent with the Statement on Auditing Standards No. 100 of the American Institute of Certified Public Accountants) and the Managing Underwriter(s), if any, in customary form and covering matters of the type customarily covered in “comfort” letters in connection with underwritten offerings and (B) use its reasonable best efforts to obtain opinions of counsel to the Company and updates thereof covering matters customarily covered in opinions of counsel in connection with underwritten offerings, addressed to each selling Holder and the Managing Underwriter(s), if any, provided that the delivery of any “10b-5 statement” and opinion may be conditioned on the prior or concurrent delivery of a comfort letter pursuant to subsection (A) above; provided, further that the Company shall only be required to comply with this clause </w:t>
      </w:r>
      <w:r>
        <w:rPr>
          <w:rFonts w:ascii="Arial" w:cs="Arial" w:eastAsia="Arial" w:hAnsi="Arial"/>
          <w:sz w:val="15"/>
          <w:szCs w:val="15"/>
          <w:u w:val="single" w:color="auto"/>
          <w:color w:val="auto"/>
        </w:rPr>
        <w:t>Section 2.8.9</w:t>
      </w:r>
      <w:r>
        <w:rPr>
          <w:rFonts w:ascii="Arial" w:cs="Arial" w:eastAsia="Arial" w:hAnsi="Arial"/>
          <w:sz w:val="15"/>
          <w:szCs w:val="15"/>
          <w:color w:val="auto"/>
        </w:rPr>
        <w:t xml:space="preserve"> in connection with an underwritten offering and such compliance is subject to each selling Holder to whom the comfort letter is addressed providing a customary representation letter to the independent registered public accounting firm of the Company in form and substance reasonably satisfactory to such firm.</w:t>
      </w:r>
    </w:p>
    <w:p>
      <w:pPr>
        <w:spacing w:after="0" w:line="35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13970</wp:posOffset>
            </wp:positionV>
            <wp:extent cx="718375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60"/>
          </w:cols>
          <w:pgMar w:left="1440" w:top="805" w:right="299" w:bottom="1440" w:gutter="0" w:footer="0" w:header="0"/>
        </w:sectPr>
      </w:pPr>
    </w:p>
    <w:bookmarkStart w:id="251" w:name="page252"/>
    <w:bookmarkEnd w:id="251"/>
    <w:p>
      <w:pPr>
        <w:jc w:val="both"/>
        <w:ind w:left="1260" w:hanging="677"/>
        <w:spacing w:after="0" w:line="258" w:lineRule="auto"/>
        <w:tabs>
          <w:tab w:leader="none" w:pos="1240" w:val="left"/>
        </w:tabs>
        <w:rPr>
          <w:sz w:val="20"/>
          <w:szCs w:val="20"/>
          <w:color w:val="auto"/>
        </w:rPr>
      </w:pPr>
      <w:r>
        <w:rPr>
          <w:rFonts w:ascii="Arial" w:cs="Arial" w:eastAsia="Arial" w:hAnsi="Arial"/>
          <w:sz w:val="16"/>
          <w:szCs w:val="16"/>
          <w:color w:val="auto"/>
        </w:rPr>
        <w:t>2.8.10.</w:t>
        <w:tab/>
        <w:t xml:space="preserve">in connection with the preparation and filing of each registration statement registering Registrable Shares under the Securities Act and initiated under the provisions of </w:t>
      </w:r>
      <w:r>
        <w:rPr>
          <w:rFonts w:ascii="Arial" w:cs="Arial" w:eastAsia="Arial" w:hAnsi="Arial"/>
          <w:sz w:val="16"/>
          <w:szCs w:val="16"/>
          <w:u w:val="single" w:color="auto"/>
          <w:color w:val="auto"/>
        </w:rPr>
        <w:t>Sections 2.3 or 2.4</w:t>
      </w:r>
      <w:r>
        <w:rPr>
          <w:rFonts w:ascii="Arial" w:cs="Arial" w:eastAsia="Arial" w:hAnsi="Arial"/>
          <w:sz w:val="16"/>
          <w:szCs w:val="16"/>
          <w:color w:val="auto"/>
        </w:rPr>
        <w:t>, and before filing any such registration statement or any other document in connection therewith, give the participating Holders of Registrable Shares and their underwriters, if any, and their respective counsel and accountants, the opportunity to (i) review any such registration statement, each prospectus included therein or filed with the SEC, each amendment thereof or supplement thereto and any related underwriting agreement, or other document to be filed, and (ii) provide comments to such documents if necessary to cause the description of such Holders of Registrable Shares to be accurate.</w:t>
      </w:r>
    </w:p>
    <w:p>
      <w:pPr>
        <w:spacing w:after="0" w:line="170" w:lineRule="exact"/>
        <w:rPr>
          <w:sz w:val="20"/>
          <w:szCs w:val="20"/>
          <w:color w:val="auto"/>
        </w:rPr>
      </w:pPr>
    </w:p>
    <w:p>
      <w:pPr>
        <w:jc w:val="both"/>
        <w:ind w:left="1260" w:hanging="677"/>
        <w:spacing w:after="0" w:line="311" w:lineRule="auto"/>
        <w:tabs>
          <w:tab w:leader="none" w:pos="1240" w:val="left"/>
        </w:tabs>
        <w:rPr>
          <w:sz w:val="20"/>
          <w:szCs w:val="20"/>
          <w:color w:val="auto"/>
        </w:rPr>
      </w:pPr>
      <w:r>
        <w:rPr>
          <w:rFonts w:ascii="Arial" w:cs="Arial" w:eastAsia="Arial" w:hAnsi="Arial"/>
          <w:sz w:val="16"/>
          <w:szCs w:val="16"/>
          <w:color w:val="auto"/>
        </w:rPr>
        <w:t>2.8.11.</w:t>
      </w:r>
      <w:r>
        <w:rPr>
          <w:sz w:val="20"/>
          <w:szCs w:val="20"/>
          <w:color w:val="auto"/>
        </w:rPr>
        <w:tab/>
      </w:r>
      <w:r>
        <w:rPr>
          <w:rFonts w:ascii="Arial" w:cs="Arial" w:eastAsia="Arial" w:hAnsi="Arial"/>
          <w:sz w:val="14"/>
          <w:szCs w:val="14"/>
          <w:color w:val="auto"/>
        </w:rPr>
        <w:t>use commercially reasonable efforts to cooperate with the sellers in the disposition of the Registrable Shares covered by such registration statement, including without limitation in the case of an underwritten offering using commercially reasonable efforts to cause key executives of the Company and its subsidiaries to participate under the direction of the Managing Underwriter(s) in a “road show” scheduled by such Managing Underwriter(s) in such locations and of such duration as in the judgment of such Managing Underwriter(s) are appropriate for such underwritten offering.</w:t>
      </w:r>
    </w:p>
    <w:p>
      <w:pPr>
        <w:spacing w:after="0" w:line="135" w:lineRule="exact"/>
        <w:rPr>
          <w:sz w:val="20"/>
          <w:szCs w:val="20"/>
          <w:color w:val="auto"/>
        </w:rPr>
      </w:pPr>
    </w:p>
    <w:p>
      <w:pPr>
        <w:jc w:val="both"/>
        <w:ind w:left="1260" w:hanging="677"/>
        <w:spacing w:after="0" w:line="262" w:lineRule="auto"/>
        <w:tabs>
          <w:tab w:leader="none" w:pos="1240" w:val="left"/>
        </w:tabs>
        <w:rPr>
          <w:sz w:val="20"/>
          <w:szCs w:val="20"/>
          <w:color w:val="auto"/>
        </w:rPr>
      </w:pPr>
      <w:r>
        <w:rPr>
          <w:rFonts w:ascii="Arial" w:cs="Arial" w:eastAsia="Arial" w:hAnsi="Arial"/>
          <w:sz w:val="16"/>
          <w:szCs w:val="16"/>
          <w:color w:val="auto"/>
        </w:rPr>
        <w:t>2.8.12.</w:t>
        <w:tab/>
        <w:t>otherwise use commercially reasonable efforts to comply with the Securities Act, the Exchange Act and any other applicable rules and regulations of the SEC, and make available to the Holders, as soon as reasonably practicable, an earnings statement covering the period of at least 12 months after the effective date of such registration statement, which earnings statement shall satisfy Section 11(a) of the Securities Act and any applicable regulations thereunder, including Rule 158.</w:t>
      </w:r>
    </w:p>
    <w:p>
      <w:pPr>
        <w:spacing w:after="0" w:line="166" w:lineRule="exact"/>
        <w:rPr>
          <w:sz w:val="20"/>
          <w:szCs w:val="20"/>
          <w:color w:val="auto"/>
        </w:rPr>
      </w:pPr>
    </w:p>
    <w:p>
      <w:pPr>
        <w:jc w:val="both"/>
        <w:ind w:left="580" w:hanging="568"/>
        <w:spacing w:after="0" w:line="257" w:lineRule="auto"/>
        <w:tabs>
          <w:tab w:leader="none" w:pos="56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6"/>
          <w:szCs w:val="16"/>
          <w:u w:val="single" w:color="auto"/>
          <w:color w:val="auto"/>
        </w:rPr>
        <w:t xml:space="preserve">Delay of Registration or Offering. </w:t>
      </w:r>
      <w:r>
        <w:rPr>
          <w:rFonts w:ascii="Arial" w:cs="Arial" w:eastAsia="Arial" w:hAnsi="Arial"/>
          <w:sz w:val="16"/>
          <w:szCs w:val="16"/>
          <w:color w:val="auto"/>
        </w:rPr>
        <w:t>Notwithstanding any other provision of this Agreement, the Company may postpone the filing of any registration statement,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suspend the use of a registration statement or prospectus, up to two (2) times in any 12-month period for up to an aggregate of ninety (90) days during such 12-month period if the Company shall furnish to the relevant Holders a certificate signed by the Chief Executive Officer of the Company stating that in the good faith judgment of the Board it would be seriously detrimental to the Company or its stockholders for a registration statement to be filed or used at such time. During such periods of deferral or suspension, the Company shall not sell securities for its own account or that of any other shareholder, in each case, pursuant to a registration statement filed under the Securities Act, other than a registration statement on Form S-8; provided, however, the Company shall be permitted to file one or more Shelf Registration Statements.</w:t>
      </w:r>
    </w:p>
    <w:p>
      <w:pPr>
        <w:spacing w:after="0" w:line="36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5" w:right="299" w:bottom="1440" w:gutter="0" w:footer="0" w:header="0"/>
        </w:sectPr>
      </w:pPr>
    </w:p>
    <w:bookmarkStart w:id="252" w:name="page253"/>
    <w:bookmarkEnd w:id="252"/>
    <w:p>
      <w:pPr>
        <w:jc w:val="both"/>
        <w:ind w:left="580" w:hanging="568"/>
        <w:spacing w:after="0" w:line="275" w:lineRule="auto"/>
        <w:tabs>
          <w:tab w:leader="none" w:pos="56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5"/>
          <w:szCs w:val="15"/>
          <w:u w:val="single" w:color="auto"/>
          <w:color w:val="auto"/>
        </w:rPr>
        <w:t>Assignment of Registration Rights</w:t>
      </w:r>
      <w:r>
        <w:rPr>
          <w:rFonts w:ascii="Arial" w:cs="Arial" w:eastAsia="Arial" w:hAnsi="Arial"/>
          <w:sz w:val="15"/>
          <w:szCs w:val="15"/>
          <w:color w:val="auto"/>
        </w:rPr>
        <w:t>. Each Holder of Registrable Shares may only assign its rights to cause the Company to register shares pursuant to this</w:t>
      </w:r>
      <w:r>
        <w:rPr>
          <w:rFonts w:ascii="Arial" w:cs="Arial" w:eastAsia="Arial" w:hAnsi="Arial"/>
          <w:sz w:val="15"/>
          <w:szCs w:val="15"/>
          <w:u w:val="single" w:color="auto"/>
          <w:color w:val="auto"/>
        </w:rPr>
        <w:t xml:space="preserve"> Section 2</w:t>
      </w:r>
      <w:r>
        <w:rPr>
          <w:rFonts w:ascii="Arial" w:cs="Arial" w:eastAsia="Arial" w:hAnsi="Arial"/>
          <w:sz w:val="15"/>
          <w:szCs w:val="15"/>
          <w:color w:val="auto"/>
        </w:rPr>
        <w:t xml:space="preserve"> to any transferee of all or part of the Registrable Shares held by such Holder that acquires Registrable Shares; </w:t>
      </w:r>
      <w:r>
        <w:rPr>
          <w:rFonts w:ascii="Arial" w:cs="Arial" w:eastAsia="Arial" w:hAnsi="Arial"/>
          <w:sz w:val="15"/>
          <w:szCs w:val="15"/>
          <w:u w:val="single" w:color="auto"/>
          <w:color w:val="auto"/>
        </w:rPr>
        <w:t>provided, however</w:t>
      </w:r>
      <w:r>
        <w:rPr>
          <w:rFonts w:ascii="Arial" w:cs="Arial" w:eastAsia="Arial" w:hAnsi="Arial"/>
          <w:sz w:val="15"/>
          <w:szCs w:val="15"/>
          <w:color w:val="auto"/>
        </w:rPr>
        <w:t>, (i) the transferor shall furnish to the Company promptly after such transfer written notice of the name and address of such transferee and the securities with respect to which such registration rights are being assigned, (ii) the transferor (a) is an Affiliate of the Holder; (b) is a Holder’s Immediate Family Member or trust for the benefit of an individual Holder of one or more of such Holder’s Immediate Family Members; or (c) after such transfer, holds at least 100,000 Registrable Shares (subject to appropriate adjustment for share splits, share dividends, combinations, and other recapitalizations), and (iii) such transferee or assignee shall agree at such time to be subject to all provisions and restrictions set forth in this Agreement. For the purposes of determining the number of Registrable Shares held by any Person, the holdings of a Holder (1) that is an Affiliate of a Holder; (2) who is a Holder’s Immediate Family Member; or (3) that is a trust for the benefit of an individual Holder or such Holder’s Immediate Family Member shall be aggregated together.</w:t>
      </w:r>
    </w:p>
    <w:p>
      <w:pPr>
        <w:spacing w:after="0" w:line="159" w:lineRule="exact"/>
        <w:rPr>
          <w:sz w:val="20"/>
          <w:szCs w:val="20"/>
          <w:color w:val="auto"/>
        </w:rPr>
      </w:pPr>
    </w:p>
    <w:p>
      <w:pPr>
        <w:jc w:val="both"/>
        <w:ind w:left="580" w:hanging="568"/>
        <w:spacing w:after="0" w:line="290" w:lineRule="auto"/>
        <w:tabs>
          <w:tab w:leader="none" w:pos="56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u w:val="single" w:color="auto"/>
          <w:color w:val="auto"/>
        </w:rPr>
        <w:t>Lock-Up</w:t>
      </w:r>
      <w:r>
        <w:rPr>
          <w:rFonts w:ascii="Arial" w:cs="Arial" w:eastAsia="Arial" w:hAnsi="Arial"/>
          <w:sz w:val="14"/>
          <w:szCs w:val="14"/>
          <w:color w:val="auto"/>
        </w:rPr>
        <w:t>. Each Holder hereby agrees that, if so requested by the managing underwriters with respect to any underwritten offering of the Ordinary Shares, such</w:t>
      </w:r>
      <w:r>
        <w:rPr>
          <w:rFonts w:ascii="Arial" w:cs="Arial" w:eastAsia="Arial" w:hAnsi="Arial"/>
          <w:sz w:val="14"/>
          <w:szCs w:val="14"/>
          <w:u w:val="single" w:color="auto"/>
          <w:color w:val="auto"/>
        </w:rPr>
        <w:t xml:space="preserve"> </w:t>
      </w:r>
      <w:r>
        <w:rPr>
          <w:rFonts w:ascii="Arial" w:cs="Arial" w:eastAsia="Arial" w:hAnsi="Arial"/>
          <w:sz w:val="14"/>
          <w:szCs w:val="14"/>
          <w:color w:val="auto"/>
        </w:rPr>
        <w:t>Holder shall not, without the prior consent of such managing underwriter(s) (i) lend, offer, pledge, sell, contract to sell, sell any option or contract to purchase, purchase any option or contract to sell, grant any option, right or warrant to purchase, or otherwise transfer or dispose of, directly or indirectly, any Registrable Shares or any securities of the Company (whether such shares or any such securities are then owned by the Holder, or are thereafter acquired), or (ii) enter into any swap or other arrangement that transfers to another, in whole or in part, any of the economic consequences of ownership of the Registrable Shares, whether any such transaction described in clause (i) or (ii) above is to be settled by delivery of Registrable Shares or such other securities, in cash or otherwise, during the period specified by the representative(s) (the “</w:t>
      </w:r>
      <w:r>
        <w:rPr>
          <w:rFonts w:ascii="Arial" w:cs="Arial" w:eastAsia="Arial" w:hAnsi="Arial"/>
          <w:sz w:val="14"/>
          <w:szCs w:val="14"/>
          <w:b w:val="1"/>
          <w:bCs w:val="1"/>
          <w:color w:val="auto"/>
        </w:rPr>
        <w:t>Market Standoff Period</w:t>
      </w:r>
      <w:r>
        <w:rPr>
          <w:rFonts w:ascii="Arial" w:cs="Arial" w:eastAsia="Arial" w:hAnsi="Arial"/>
          <w:sz w:val="14"/>
          <w:szCs w:val="14"/>
          <w:color w:val="auto"/>
        </w:rPr>
        <w:t>”), with such period not to exceed (a) in the case of the Company’s first underwritten offering of its Ordinary Shares following the registration of the Company’s Ordinary Shares under Section 12(b) of the Exchange Act one hundred and eighty (180) days following the effective date of such registration statement; or (b) in the case of any other offering, ninety</w:t>
      </w:r>
    </w:p>
    <w:p>
      <w:pPr>
        <w:spacing w:after="0" w:line="5" w:lineRule="exact"/>
        <w:rPr>
          <w:sz w:val="20"/>
          <w:szCs w:val="20"/>
          <w:color w:val="auto"/>
        </w:rPr>
      </w:pPr>
    </w:p>
    <w:p>
      <w:pPr>
        <w:jc w:val="both"/>
        <w:ind w:left="580" w:hanging="1"/>
        <w:spacing w:after="0" w:line="298" w:lineRule="auto"/>
        <w:tabs>
          <w:tab w:leader="none" w:pos="895" w:val="left"/>
        </w:tabs>
        <w:numPr>
          <w:ilvl w:val="0"/>
          <w:numId w:val="268"/>
        </w:numPr>
        <w:rPr>
          <w:rFonts w:ascii="Arial" w:cs="Arial" w:eastAsia="Arial" w:hAnsi="Arial"/>
          <w:sz w:val="14"/>
          <w:szCs w:val="14"/>
          <w:color w:val="auto"/>
        </w:rPr>
      </w:pPr>
      <w:r>
        <w:rPr>
          <w:rFonts w:ascii="Arial" w:cs="Arial" w:eastAsia="Arial" w:hAnsi="Arial"/>
          <w:sz w:val="14"/>
          <w:szCs w:val="14"/>
          <w:color w:val="auto"/>
        </w:rPr>
        <w:t xml:space="preserve">days from the date of the final prospectus;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officers and directors of the Company and, in the case of the Company’s IPO, Holders of at least one percent (1%) of the Company’s voting securities are bound by and have entered into similar agreements. Any discretionary waiver or termination of the restrictions contained in any such agreement by the Company or the underwriter shall first apply to the Holders of Registrable Shares, which shall have preference over all other holders of the Company’s securities to register and sell the shares to be registered within such waiver or termination of restrictions. The Company may impose stop-transfer instructions with respect to securities subject to the foregoing restrictions until the end of such Market Standoff Period. The foregoing provisions of this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shall not apply to the sale of any shares to an underwriter pursuant to an underwriting agreement.</w:t>
      </w: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5" w:right="299" w:bottom="1440" w:gutter="0" w:footer="0" w:header="0"/>
        </w:sectPr>
      </w:pPr>
    </w:p>
    <w:bookmarkStart w:id="253" w:name="page254"/>
    <w:bookmarkEnd w:id="253"/>
    <w:p>
      <w:pPr>
        <w:jc w:val="both"/>
        <w:ind w:left="1020" w:hanging="568"/>
        <w:spacing w:after="0" w:line="274" w:lineRule="auto"/>
        <w:tabs>
          <w:tab w:leader="none" w:pos="100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5"/>
          <w:szCs w:val="15"/>
          <w:u w:val="single" w:color="auto"/>
          <w:color w:val="auto"/>
        </w:rPr>
        <w:t>Public Information</w:t>
      </w:r>
      <w:r>
        <w:rPr>
          <w:rFonts w:ascii="Arial" w:cs="Arial" w:eastAsia="Arial" w:hAnsi="Arial"/>
          <w:sz w:val="15"/>
          <w:szCs w:val="15"/>
          <w:color w:val="auto"/>
        </w:rPr>
        <w:t>. With a view to making available to the Holders the benefits of certain rules and regulations of the SEC which may permit the sale of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Registrable Shares to the public without registration, the Company (at any time after it has become subject to such reporting requirements) agrees to: (i) make and keep publicly available and available to the Holders adequate current public information with respect to the Company, within the meaning Rule 144(c) under the Securities Act or any similar or analogous rule promulgated under the Securities Act, at all times after the effective date of the first registration statement filed by the Company for an offering of its securities to the general public, (ii) furnish to such Holder forthwith upon request: (A) a written statement by the Company as to its compliance with the informational requirements of Rule 144(c) under the Securities Act (or similar rule then in effect), and of the Exchange Act (at any time after it has become subject to such reporting requirements), (B) a copy of the most recent annual report of the Company, and (C) such other reports and documents as a Holder may reasonably request in availing itself of any rule or regulation of the SEC allowing it to sell any such securities without registration, and (iii) comply with all other necessary filings and other requirements so as to enable the holders of Registrable Shares to sell Registrable Shares pursuant to Rule 144 under the Securities Act (or similar rule then in effect).</w:t>
      </w:r>
    </w:p>
    <w:p>
      <w:pPr>
        <w:spacing w:after="0" w:line="163" w:lineRule="exact"/>
        <w:rPr>
          <w:sz w:val="20"/>
          <w:szCs w:val="20"/>
          <w:color w:val="auto"/>
        </w:rPr>
      </w:pPr>
    </w:p>
    <w:p>
      <w:pPr>
        <w:jc w:val="both"/>
        <w:ind w:left="1020" w:hanging="568"/>
        <w:spacing w:after="0" w:line="277" w:lineRule="auto"/>
        <w:tabs>
          <w:tab w:leader="none" w:pos="100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5"/>
          <w:szCs w:val="15"/>
          <w:u w:val="single" w:color="auto"/>
          <w:color w:val="auto"/>
        </w:rPr>
        <w:t xml:space="preserve">Limitations on Subsequent Registration Rights. </w:t>
      </w:r>
      <w:r>
        <w:rPr>
          <w:rFonts w:ascii="Arial" w:cs="Arial" w:eastAsia="Arial" w:hAnsi="Arial"/>
          <w:sz w:val="15"/>
          <w:szCs w:val="15"/>
          <w:color w:val="auto"/>
        </w:rPr>
        <w:t>From and after the date of this Agreement, the Company shall not, without the prior written consent of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Investor, enter into any agreement with any holder or prospective holder of any securities of the Company giving such holder or prospective holder any registration rights the terms of which are pari passu with or senior to the registration rights granted to the Investor provided that it continues to hold Registrable Shares and, otherwise, the Holders of at least fifty percent (50%) of the Outstanding Registrable Shares; provided, however, that the Company may without such consent enter into an agreement with any holder or prospective holder of any securities of the Company related to the filing of a resale shelf registration statement to register shares issued to such holder or prospective holder, if and only if such resale shelf registration statement does not permit underwritten offerings and the rights of Holders hereunder are not adversely impacted.</w:t>
      </w:r>
    </w:p>
    <w:p>
      <w:pPr>
        <w:spacing w:after="0" w:line="157" w:lineRule="exact"/>
        <w:rPr>
          <w:sz w:val="20"/>
          <w:szCs w:val="20"/>
          <w:color w:val="auto"/>
        </w:rPr>
      </w:pPr>
    </w:p>
    <w:p>
      <w:pPr>
        <w:ind w:left="440" w:hanging="439"/>
        <w:spacing w:after="0"/>
        <w:tabs>
          <w:tab w:leader="none" w:pos="440"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Rights of First Offer, First Refusal, Co-Sale and Bring-Along</w:t>
      </w:r>
    </w:p>
    <w:p>
      <w:pPr>
        <w:spacing w:after="0" w:line="203" w:lineRule="exact"/>
        <w:rPr>
          <w:rFonts w:ascii="Arial" w:cs="Arial" w:eastAsia="Arial" w:hAnsi="Arial"/>
          <w:sz w:val="16"/>
          <w:szCs w:val="16"/>
          <w:color w:val="auto"/>
        </w:rPr>
      </w:pPr>
    </w:p>
    <w:p>
      <w:pPr>
        <w:jc w:val="both"/>
        <w:ind w:left="460"/>
        <w:spacing w:after="0" w:line="285" w:lineRule="auto"/>
        <w:rPr>
          <w:rFonts w:ascii="Arial" w:cs="Arial" w:eastAsia="Arial" w:hAnsi="Arial"/>
          <w:sz w:val="16"/>
          <w:szCs w:val="16"/>
          <w:color w:val="auto"/>
        </w:rPr>
      </w:pPr>
      <w:r>
        <w:rPr>
          <w:rFonts w:ascii="Arial" w:cs="Arial" w:eastAsia="Arial" w:hAnsi="Arial"/>
          <w:sz w:val="15"/>
          <w:szCs w:val="15"/>
          <w:color w:val="auto"/>
        </w:rPr>
        <w:t xml:space="preserve">All rights and obligations of the Holders and the Company with respect to rights of first offer, rights of first refusal, rights of co-sale, board rights and “bring-along” rights in the Articles of Association of the Company as in effect on the date hereof, as may be amended from time to time pursuant to the provisions thereof (which amendments could include termination of the aforementioned rights), are incorporated herein by reference as if such rights were set forth 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rights and obligations shall terminate and shall be of no further force or effect upon the closing of the Company’s IPO.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54" w:name="page255"/>
    <w:bookmarkEnd w:id="254"/>
    <w:p>
      <w:pPr>
        <w:ind w:left="440" w:hanging="439"/>
        <w:spacing w:after="0"/>
        <w:tabs>
          <w:tab w:leader="none" w:pos="44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Miscellaneous</w:t>
      </w:r>
    </w:p>
    <w:p>
      <w:pPr>
        <w:spacing w:after="0" w:line="203" w:lineRule="exact"/>
        <w:rPr>
          <w:rFonts w:ascii="Arial" w:cs="Arial" w:eastAsia="Arial" w:hAnsi="Arial"/>
          <w:sz w:val="16"/>
          <w:szCs w:val="16"/>
          <w:color w:val="auto"/>
        </w:rPr>
      </w:pPr>
    </w:p>
    <w:p>
      <w:pPr>
        <w:ind w:left="1020" w:hanging="569"/>
        <w:spacing w:after="0" w:line="281" w:lineRule="auto"/>
        <w:rPr>
          <w:rFonts w:ascii="Arial" w:cs="Arial" w:eastAsia="Arial" w:hAnsi="Arial"/>
          <w:sz w:val="16"/>
          <w:szCs w:val="16"/>
          <w:color w:val="auto"/>
        </w:rPr>
      </w:pPr>
      <w:r>
        <w:rPr>
          <w:rFonts w:ascii="Arial" w:cs="Arial" w:eastAsia="Arial" w:hAnsi="Arial"/>
          <w:sz w:val="16"/>
          <w:szCs w:val="16"/>
          <w:color w:val="auto"/>
        </w:rPr>
        <w:t>4.1.</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hereto shall perform such further acts and execute such further documents as may reasonably be necessary to carry out</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give full effect to the provisions of this Agreement and the intentions of the parties as reflected thereby.</w:t>
      </w:r>
    </w:p>
    <w:p>
      <w:pPr>
        <w:spacing w:after="0" w:line="150" w:lineRule="exact"/>
        <w:rPr>
          <w:rFonts w:ascii="Arial" w:cs="Arial" w:eastAsia="Arial" w:hAnsi="Arial"/>
          <w:sz w:val="16"/>
          <w:szCs w:val="16"/>
          <w:color w:val="auto"/>
        </w:rPr>
      </w:pPr>
    </w:p>
    <w:p>
      <w:pPr>
        <w:ind w:left="1020" w:hanging="569"/>
        <w:spacing w:after="0" w:line="267" w:lineRule="auto"/>
        <w:rPr>
          <w:rFonts w:ascii="Arial" w:cs="Arial" w:eastAsia="Arial" w:hAnsi="Arial"/>
          <w:sz w:val="16"/>
          <w:szCs w:val="16"/>
          <w:color w:val="auto"/>
        </w:rPr>
      </w:pPr>
      <w:r>
        <w:rPr>
          <w:rFonts w:ascii="Arial" w:cs="Arial" w:eastAsia="Arial" w:hAnsi="Arial"/>
          <w:sz w:val="16"/>
          <w:szCs w:val="16"/>
          <w:color w:val="auto"/>
        </w:rPr>
        <w:t>4.2.</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Agreement shall be exclusively governed by and construed according to the laws of the State of Israel, without regard to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conflict of laws provisions thereof. Any dispute arising under or in relation to this Agreement shall be resolved in the competent courts in Tel Aviv-Jaffa, and each of the parties hereby irrevocably submits to the exclusive jurisdiction of such court.</w:t>
      </w:r>
    </w:p>
    <w:p>
      <w:pPr>
        <w:spacing w:after="0" w:line="161" w:lineRule="exact"/>
        <w:rPr>
          <w:rFonts w:ascii="Arial" w:cs="Arial" w:eastAsia="Arial" w:hAnsi="Arial"/>
          <w:sz w:val="16"/>
          <w:szCs w:val="16"/>
          <w:color w:val="auto"/>
        </w:rPr>
      </w:pPr>
    </w:p>
    <w:p>
      <w:pPr>
        <w:ind w:left="1020" w:hanging="569"/>
        <w:spacing w:after="0" w:line="262" w:lineRule="auto"/>
        <w:rPr>
          <w:rFonts w:ascii="Arial" w:cs="Arial" w:eastAsia="Arial" w:hAnsi="Arial"/>
          <w:sz w:val="16"/>
          <w:szCs w:val="16"/>
          <w:color w:val="auto"/>
        </w:rPr>
      </w:pPr>
      <w:r>
        <w:rPr>
          <w:rFonts w:ascii="Arial" w:cs="Arial" w:eastAsia="Arial" w:hAnsi="Arial"/>
          <w:sz w:val="16"/>
          <w:szCs w:val="16"/>
          <w:color w:val="auto"/>
        </w:rPr>
        <w:t>4.3.</w:t>
      </w:r>
      <w:r>
        <w:rPr>
          <w:rFonts w:ascii="Arial" w:cs="Arial" w:eastAsia="Arial" w:hAnsi="Arial"/>
          <w:sz w:val="16"/>
          <w:szCs w:val="16"/>
          <w:u w:val="single" w:color="auto"/>
          <w:color w:val="auto"/>
        </w:rPr>
        <w:t>Successors and Assigns; Assignment</w:t>
      </w:r>
      <w:r>
        <w:rPr>
          <w:rFonts w:ascii="Arial" w:cs="Arial" w:eastAsia="Arial" w:hAnsi="Arial"/>
          <w:sz w:val="16"/>
          <w:szCs w:val="16"/>
          <w:color w:val="auto"/>
        </w:rPr>
        <w:t>. Except as otherwise expressly limited herein, the provisions hereof shall inure to the benefit of, and be binding upon,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successors, assigns, heirs, executors, and administrators of the parties hereto.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65" w:lineRule="exact"/>
        <w:rPr>
          <w:rFonts w:ascii="Arial" w:cs="Arial" w:eastAsia="Arial" w:hAnsi="Arial"/>
          <w:sz w:val="16"/>
          <w:szCs w:val="16"/>
          <w:color w:val="auto"/>
        </w:rPr>
      </w:pPr>
    </w:p>
    <w:p>
      <w:pPr>
        <w:ind w:left="1020" w:hanging="569"/>
        <w:spacing w:after="0" w:line="295" w:lineRule="auto"/>
        <w:rPr>
          <w:rFonts w:ascii="Arial" w:cs="Arial" w:eastAsia="Arial" w:hAnsi="Arial"/>
          <w:sz w:val="16"/>
          <w:szCs w:val="16"/>
          <w:color w:val="auto"/>
        </w:rPr>
      </w:pPr>
      <w:r>
        <w:rPr>
          <w:rFonts w:ascii="Arial" w:cs="Arial" w:eastAsia="Arial" w:hAnsi="Arial"/>
          <w:sz w:val="16"/>
          <w:szCs w:val="16"/>
          <w:color w:val="auto"/>
        </w:rPr>
        <w:t>4.4.</w:t>
      </w:r>
      <w:r>
        <w:rPr>
          <w:rFonts w:ascii="Arial" w:cs="Arial" w:eastAsia="Arial" w:hAnsi="Arial"/>
          <w:sz w:val="14"/>
          <w:szCs w:val="14"/>
          <w:u w:val="single" w:color="auto"/>
          <w:color w:val="auto"/>
        </w:rPr>
        <w:t>Entire Agreement; Amendment and Waiver</w:t>
      </w:r>
      <w:r>
        <w:rPr>
          <w:rFonts w:ascii="Arial" w:cs="Arial" w:eastAsia="Arial" w:hAnsi="Arial"/>
          <w:sz w:val="14"/>
          <w:szCs w:val="14"/>
          <w:color w:val="auto"/>
        </w:rPr>
        <w:t>. This Agreement and the Schedules hereto constitute the full and entire understanding and agreement among the</w:t>
      </w:r>
      <w:r>
        <w:rPr>
          <w:rFonts w:ascii="Arial" w:cs="Arial" w:eastAsia="Arial" w:hAnsi="Arial"/>
          <w:sz w:val="14"/>
          <w:szCs w:val="14"/>
          <w:u w:val="single" w:color="auto"/>
          <w:color w:val="auto"/>
        </w:rPr>
        <w:t xml:space="preserve"> </w:t>
      </w:r>
      <w:r>
        <w:rPr>
          <w:rFonts w:ascii="Arial" w:cs="Arial" w:eastAsia="Arial" w:hAnsi="Arial"/>
          <w:sz w:val="14"/>
          <w:szCs w:val="14"/>
          <w:color w:val="auto"/>
        </w:rPr>
        <w:t>parties with regard to the subject matters hereof and thereof and supersede any prior understanding or agreement with respect to its subject matters, including the Prior Agreement, which is hereby terminated and cancelled. Any term of this Agreement may be amended and the observance of any term hereof may be waived (either prospectively or retroactively and either generally or in a particular instance) only with the written consent of: (i) the Company, (ii) the Investor, provided that it continues to hold Registrable Shares, (iii) the Holders of a majority of the then outstanding Registrable Securities, and (iv) to the extent any amendment or waiver impacts Holders other than the Investor in a manner that is different and adverse to such Holders compared to the Investor, the Holders of at least fifty percent (50%) of the Registrable Shares other than the Investor. Any amendment or waiver adopted with the foregoing consent shall be binding upon all parties to this Agreement. Notwithstanding anything else herein to contrary, the holders of a majority of the Registable Shares may, through their written consent and without consent of the Company, act to amend this Agreement and the Schedules hereto so as to add to the definition and amount of Registrable Shares (and to effect changes to any related provisions, including any “cutback” provision), securities held by officers of employees of the Company from time to time including Ordinary Shares issued pursuant to the exercise or conversion of any such securities.</w:t>
      </w:r>
    </w:p>
    <w:p>
      <w:pPr>
        <w:spacing w:after="0" w:line="148" w:lineRule="exact"/>
        <w:rPr>
          <w:rFonts w:ascii="Arial" w:cs="Arial" w:eastAsia="Arial" w:hAnsi="Arial"/>
          <w:sz w:val="16"/>
          <w:szCs w:val="16"/>
          <w:color w:val="auto"/>
        </w:rPr>
      </w:pPr>
    </w:p>
    <w:p>
      <w:pPr>
        <w:ind w:left="1020" w:hanging="569"/>
        <w:spacing w:after="0" w:line="267" w:lineRule="auto"/>
        <w:rPr>
          <w:rFonts w:ascii="Arial" w:cs="Arial" w:eastAsia="Arial" w:hAnsi="Arial"/>
          <w:sz w:val="16"/>
          <w:szCs w:val="16"/>
          <w:color w:val="auto"/>
        </w:rPr>
      </w:pPr>
      <w:r>
        <w:rPr>
          <w:rFonts w:ascii="Arial" w:cs="Arial" w:eastAsia="Arial" w:hAnsi="Arial"/>
          <w:sz w:val="16"/>
          <w:szCs w:val="16"/>
          <w:color w:val="auto"/>
        </w:rPr>
        <w:t>4.5.</w:t>
      </w:r>
      <w:r>
        <w:rPr>
          <w:rFonts w:ascii="Arial" w:cs="Arial" w:eastAsia="Arial" w:hAnsi="Arial"/>
          <w:sz w:val="16"/>
          <w:szCs w:val="16"/>
          <w:u w:val="single" w:color="auto"/>
          <w:color w:val="auto"/>
        </w:rPr>
        <w:t xml:space="preserve">Notices, etc. </w:t>
      </w:r>
      <w:r>
        <w:rPr>
          <w:rFonts w:ascii="Arial" w:cs="Arial" w:eastAsia="Arial" w:hAnsi="Arial"/>
          <w:sz w:val="16"/>
          <w:szCs w:val="16"/>
          <w:color w:val="auto"/>
        </w:rPr>
        <w:t>All notices and other communications required or permitted hereunder to be given to a party to this Agreement shall be in writing and shall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faxed or mailed by registered electronic or certified mail, postage prepaid, prepaid air courier, or otherwise delivered by hand or by messenger, addressed to such party’s address as set forth below: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55" w:name="page256"/>
    <w:bookmarkEnd w:id="255"/>
    <w:tbl>
      <w:tblPr>
        <w:tblLayout w:type="fixed"/>
        <w:tblInd w:w="580" w:type="dxa"/>
        <w:tblCellMar>
          <w:top w:w="0" w:type="dxa"/>
          <w:left w:w="0" w:type="dxa"/>
          <w:bottom w:w="0" w:type="dxa"/>
          <w:right w:w="0" w:type="dxa"/>
        </w:tblCellMar>
      </w:tblPr>
      <w:tr>
        <w:trPr>
          <w:trHeight w:val="198"/>
        </w:trPr>
        <w:tc>
          <w:tcPr>
            <w:tcW w:w="2080" w:type="dxa"/>
            <w:vAlign w:val="bottom"/>
          </w:tcPr>
          <w:p>
            <w:pPr>
              <w:spacing w:after="0"/>
              <w:rPr>
                <w:sz w:val="20"/>
                <w:szCs w:val="20"/>
                <w:color w:val="auto"/>
              </w:rPr>
            </w:pPr>
            <w:r>
              <w:rPr>
                <w:rFonts w:ascii="Arial" w:cs="Arial" w:eastAsia="Arial" w:hAnsi="Arial"/>
                <w:sz w:val="16"/>
                <w:szCs w:val="16"/>
                <w:color w:val="auto"/>
              </w:rPr>
              <w:t>if to the Company:</w:t>
            </w:r>
          </w:p>
        </w:tc>
        <w:tc>
          <w:tcPr>
            <w:tcW w:w="4340" w:type="dxa"/>
            <w:vAlign w:val="bottom"/>
            <w:gridSpan w:val="4"/>
          </w:tcPr>
          <w:p>
            <w:pPr>
              <w:ind w:left="860"/>
              <w:spacing w:after="0"/>
              <w:rPr>
                <w:sz w:val="20"/>
                <w:szCs w:val="20"/>
                <w:color w:val="auto"/>
              </w:rPr>
            </w:pPr>
            <w:r>
              <w:rPr>
                <w:rFonts w:ascii="Arial" w:cs="Arial" w:eastAsia="Arial" w:hAnsi="Arial"/>
                <w:sz w:val="16"/>
                <w:szCs w:val="16"/>
                <w:b w:val="1"/>
                <w:bCs w:val="1"/>
                <w:color w:val="auto"/>
              </w:rPr>
              <w:t>Kornit Digital Ltd.</w:t>
            </w:r>
            <w:r>
              <w:rPr>
                <w:rFonts w:ascii="Arial" w:cs="Arial" w:eastAsia="Arial" w:hAnsi="Arial"/>
                <w:sz w:val="16"/>
                <w:szCs w:val="16"/>
                <w:color w:val="auto"/>
              </w:rPr>
              <w:t>.</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Haamal 12 St., Park Afek, Rosh Haayin, Israel</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Attention: Gabi Seligsohn, CEO</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Facsimile: +972- 3-9080280</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Telephone: +972-3-9085800</w:t>
            </w:r>
          </w:p>
        </w:tc>
      </w:tr>
      <w:tr>
        <w:trPr>
          <w:trHeight w:val="206"/>
        </w:trPr>
        <w:tc>
          <w:tcPr>
            <w:tcW w:w="2080" w:type="dxa"/>
            <w:vAlign w:val="bottom"/>
          </w:tcPr>
          <w:p>
            <w:pPr>
              <w:spacing w:after="0"/>
              <w:rPr>
                <w:sz w:val="17"/>
                <w:szCs w:val="17"/>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Email: gabi.seligsohn@kornit.com</w:t>
            </w:r>
          </w:p>
        </w:tc>
      </w:tr>
      <w:tr>
        <w:trPr>
          <w:trHeight w:val="388"/>
        </w:trPr>
        <w:tc>
          <w:tcPr>
            <w:tcW w:w="2080" w:type="dxa"/>
            <w:vAlign w:val="bottom"/>
          </w:tcPr>
          <w:p>
            <w:pPr>
              <w:spacing w:after="0"/>
              <w:rPr>
                <w:sz w:val="24"/>
                <w:szCs w:val="24"/>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with a copy to:</w:t>
            </w:r>
          </w:p>
        </w:tc>
      </w:tr>
      <w:tr>
        <w:trPr>
          <w:trHeight w:val="376"/>
        </w:trPr>
        <w:tc>
          <w:tcPr>
            <w:tcW w:w="2080" w:type="dxa"/>
            <w:vAlign w:val="bottom"/>
          </w:tcPr>
          <w:p>
            <w:pPr>
              <w:spacing w:after="0"/>
              <w:rPr>
                <w:sz w:val="24"/>
                <w:szCs w:val="24"/>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w w:val="99"/>
              </w:rPr>
              <w:t>Meitar, Liquornik, Geva Leshem Tal – Law Office</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Attention: Aviv Avidan-Shalit, Adv.</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Facsimile: +972- 3-6103656</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Telephone: +972- 3-6103100</w:t>
            </w:r>
          </w:p>
        </w:tc>
      </w:tr>
      <w:tr>
        <w:trPr>
          <w:trHeight w:val="206"/>
        </w:trPr>
        <w:tc>
          <w:tcPr>
            <w:tcW w:w="2080" w:type="dxa"/>
            <w:vAlign w:val="bottom"/>
          </w:tcPr>
          <w:p>
            <w:pPr>
              <w:spacing w:after="0"/>
              <w:rPr>
                <w:sz w:val="17"/>
                <w:szCs w:val="17"/>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Email: Avivav@meitar.com</w:t>
            </w:r>
          </w:p>
        </w:tc>
      </w:tr>
      <w:tr>
        <w:trPr>
          <w:trHeight w:val="363"/>
        </w:trPr>
        <w:tc>
          <w:tcPr>
            <w:tcW w:w="2080" w:type="dxa"/>
            <w:vAlign w:val="bottom"/>
          </w:tcPr>
          <w:p>
            <w:pPr>
              <w:spacing w:after="0"/>
              <w:rPr>
                <w:sz w:val="20"/>
                <w:szCs w:val="20"/>
                <w:color w:val="auto"/>
              </w:rPr>
            </w:pPr>
            <w:r>
              <w:rPr>
                <w:rFonts w:ascii="Arial" w:cs="Arial" w:eastAsia="Arial" w:hAnsi="Arial"/>
                <w:sz w:val="16"/>
                <w:szCs w:val="16"/>
                <w:color w:val="auto"/>
              </w:rPr>
              <w:t>if to the Investor:</w:t>
            </w:r>
          </w:p>
        </w:tc>
        <w:tc>
          <w:tcPr>
            <w:tcW w:w="4340" w:type="dxa"/>
            <w:vAlign w:val="bottom"/>
            <w:gridSpan w:val="4"/>
          </w:tcPr>
          <w:p>
            <w:pPr>
              <w:ind w:left="860"/>
              <w:spacing w:after="0"/>
              <w:rPr>
                <w:sz w:val="20"/>
                <w:szCs w:val="20"/>
                <w:color w:val="auto"/>
              </w:rPr>
            </w:pPr>
            <w:r>
              <w:rPr>
                <w:rFonts w:ascii="Arial" w:cs="Arial" w:eastAsia="Arial" w:hAnsi="Arial"/>
                <w:sz w:val="16"/>
                <w:szCs w:val="16"/>
                <w:b w:val="1"/>
                <w:bCs w:val="1"/>
                <w:color w:val="auto"/>
              </w:rPr>
              <w:t>Fortissimo Capital Fund II (Israel) L.P.</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14 Hamelacha Street, Park Afek,</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Rosh Haayin, Israel</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Facsimile: +972-3-9157400</w:t>
            </w:r>
          </w:p>
        </w:tc>
      </w:tr>
      <w:tr>
        <w:trPr>
          <w:trHeight w:val="206"/>
        </w:trPr>
        <w:tc>
          <w:tcPr>
            <w:tcW w:w="2080" w:type="dxa"/>
            <w:vAlign w:val="bottom"/>
          </w:tcPr>
          <w:p>
            <w:pPr>
              <w:spacing w:after="0"/>
              <w:rPr>
                <w:sz w:val="17"/>
                <w:szCs w:val="17"/>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Telephone: +972-3-9157411</w:t>
            </w:r>
          </w:p>
        </w:tc>
      </w:tr>
      <w:tr>
        <w:trPr>
          <w:trHeight w:val="340"/>
        </w:trPr>
        <w:tc>
          <w:tcPr>
            <w:tcW w:w="2080" w:type="dxa"/>
            <w:vAlign w:val="bottom"/>
          </w:tcPr>
          <w:p>
            <w:pPr>
              <w:spacing w:after="0"/>
              <w:rPr>
                <w:sz w:val="24"/>
                <w:szCs w:val="24"/>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w w:val="93"/>
              </w:rPr>
              <w:t>Email: yuval@ffcapital.com and marc@ffcapital.com</w:t>
            </w:r>
          </w:p>
        </w:tc>
      </w:tr>
      <w:tr>
        <w:trPr>
          <w:trHeight w:val="20"/>
        </w:trPr>
        <w:tc>
          <w:tcPr>
            <w:tcW w:w="2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403"/>
        </w:trPr>
        <w:tc>
          <w:tcPr>
            <w:tcW w:w="2080" w:type="dxa"/>
            <w:vAlign w:val="bottom"/>
          </w:tcPr>
          <w:p>
            <w:pPr>
              <w:spacing w:after="0"/>
              <w:rPr>
                <w:sz w:val="24"/>
                <w:szCs w:val="24"/>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Attention: Yuval Cohen and Marc Lesnick</w:t>
            </w:r>
          </w:p>
        </w:tc>
      </w:tr>
      <w:tr>
        <w:trPr>
          <w:trHeight w:val="388"/>
        </w:trPr>
        <w:tc>
          <w:tcPr>
            <w:tcW w:w="2080" w:type="dxa"/>
            <w:vAlign w:val="bottom"/>
          </w:tcPr>
          <w:p>
            <w:pPr>
              <w:spacing w:after="0"/>
              <w:rPr>
                <w:sz w:val="24"/>
                <w:szCs w:val="24"/>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with a copy to:</w:t>
            </w:r>
          </w:p>
        </w:tc>
      </w:tr>
      <w:tr>
        <w:trPr>
          <w:trHeight w:val="363"/>
        </w:trPr>
        <w:tc>
          <w:tcPr>
            <w:tcW w:w="2080" w:type="dxa"/>
            <w:vAlign w:val="bottom"/>
          </w:tcPr>
          <w:p>
            <w:pPr>
              <w:spacing w:after="0"/>
              <w:rPr>
                <w:sz w:val="24"/>
                <w:szCs w:val="24"/>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Amit, Pollak, Matalon &amp; Co.</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Nitsba Tower, 19th Floor</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17 Yitzhak Sadeh Street</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Tel-Aviv 67775</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Attention: Shlomo Landress, Adv.</w:t>
            </w:r>
          </w:p>
        </w:tc>
      </w:tr>
      <w:tr>
        <w:trPr>
          <w:trHeight w:val="194"/>
        </w:trPr>
        <w:tc>
          <w:tcPr>
            <w:tcW w:w="2080" w:type="dxa"/>
            <w:vAlign w:val="bottom"/>
          </w:tcPr>
          <w:p>
            <w:pPr>
              <w:spacing w:after="0"/>
              <w:rPr>
                <w:sz w:val="16"/>
                <w:szCs w:val="16"/>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Fax: +972-3-5689001</w:t>
            </w:r>
          </w:p>
        </w:tc>
      </w:tr>
      <w:tr>
        <w:trPr>
          <w:trHeight w:val="206"/>
        </w:trPr>
        <w:tc>
          <w:tcPr>
            <w:tcW w:w="2080" w:type="dxa"/>
            <w:vAlign w:val="bottom"/>
          </w:tcPr>
          <w:p>
            <w:pPr>
              <w:spacing w:after="0"/>
              <w:rPr>
                <w:sz w:val="17"/>
                <w:szCs w:val="17"/>
                <w:color w:val="auto"/>
              </w:rPr>
            </w:pPr>
          </w:p>
        </w:tc>
        <w:tc>
          <w:tcPr>
            <w:tcW w:w="4340" w:type="dxa"/>
            <w:vAlign w:val="bottom"/>
            <w:gridSpan w:val="4"/>
          </w:tcPr>
          <w:p>
            <w:pPr>
              <w:ind w:left="860"/>
              <w:spacing w:after="0"/>
              <w:rPr>
                <w:sz w:val="20"/>
                <w:szCs w:val="20"/>
                <w:color w:val="auto"/>
              </w:rPr>
            </w:pPr>
            <w:r>
              <w:rPr>
                <w:rFonts w:ascii="Arial" w:cs="Arial" w:eastAsia="Arial" w:hAnsi="Arial"/>
                <w:sz w:val="16"/>
                <w:szCs w:val="16"/>
                <w:color w:val="auto"/>
              </w:rPr>
              <w:t>email: s_landress@apm-law.com</w:t>
            </w: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other Holders:  to the addresses set forth on the signature pages hereto</w:t>
      </w:r>
    </w:p>
    <w:p>
      <w:pPr>
        <w:spacing w:after="0" w:line="204" w:lineRule="exact"/>
        <w:rPr>
          <w:sz w:val="20"/>
          <w:szCs w:val="20"/>
          <w:color w:val="auto"/>
        </w:rPr>
      </w:pPr>
    </w:p>
    <w:p>
      <w:pPr>
        <w:jc w:val="both"/>
        <w:ind w:left="580"/>
        <w:spacing w:after="0" w:line="259" w:lineRule="auto"/>
        <w:rPr>
          <w:sz w:val="20"/>
          <w:szCs w:val="20"/>
          <w:color w:val="auto"/>
        </w:rPr>
      </w:pPr>
      <w:r>
        <w:rPr>
          <w:rFonts w:ascii="Arial" w:cs="Arial" w:eastAsia="Arial" w:hAnsi="Arial"/>
          <w:sz w:val="16"/>
          <w:szCs w:val="16"/>
          <w:color w:val="auto"/>
        </w:rPr>
        <w:t>Notices sent in accordance with this Section will be deemed received by the receiving party: (i) within seven (7) days of mailing, if mailed; (ii) two (2) business days after delivery to the courier service , if by air courier; (iii) upon delivery, if sent by messenger, and (iv) upon transmission and electronic confirmation of receipt, or (if transmitted and received on a non-business day) on the first business day (at the receiving end) following transmission and electronic confirmation of receipt, if sent via facsimile or email. If sent by messenger, upon delivery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notice of change of address shall only be valid upon receipt).</w:t>
      </w:r>
    </w:p>
    <w:p>
      <w:pPr>
        <w:spacing w:after="0" w:line="170" w:lineRule="exact"/>
        <w:rPr>
          <w:sz w:val="20"/>
          <w:szCs w:val="20"/>
          <w:color w:val="auto"/>
        </w:rPr>
      </w:pPr>
    </w:p>
    <w:p>
      <w:pPr>
        <w:jc w:val="both"/>
        <w:ind w:left="580" w:hanging="568"/>
        <w:spacing w:after="0" w:line="259" w:lineRule="auto"/>
        <w:tabs>
          <w:tab w:leader="none" w:pos="56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upon any breach or default under this Agreement,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1" w:right="299" w:bottom="1440" w:gutter="0" w:footer="0" w:header="0"/>
        </w:sectPr>
      </w:pPr>
    </w:p>
    <w:bookmarkStart w:id="256" w:name="page257"/>
    <w:bookmarkEnd w:id="256"/>
    <w:p>
      <w:pPr>
        <w:jc w:val="both"/>
        <w:ind w:left="580" w:hanging="568"/>
        <w:spacing w:after="0" w:line="311" w:lineRule="auto"/>
        <w:tabs>
          <w:tab w:leader="none" w:pos="56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u w:val="single" w:color="auto"/>
          <w:color w:val="auto"/>
        </w:rPr>
        <w:t>Severability</w:t>
      </w:r>
      <w:r>
        <w:rPr>
          <w:rFonts w:ascii="Arial" w:cs="Arial" w:eastAsia="Arial" w:hAnsi="Arial"/>
          <w:sz w:val="14"/>
          <w:szCs w:val="14"/>
          <w:color w:val="auto"/>
        </w:rPr>
        <w:t>. If any provision of this Agreement is held by a court of competent jurisdiction to be unenforceable under applicable law, then such provision</w:t>
      </w:r>
      <w:r>
        <w:rPr>
          <w:rFonts w:ascii="Arial" w:cs="Arial" w:eastAsia="Arial" w:hAnsi="Arial"/>
          <w:sz w:val="14"/>
          <w:szCs w:val="14"/>
          <w:u w:val="single" w:color="auto"/>
          <w:color w:val="auto"/>
        </w:rPr>
        <w:t xml:space="preserve"> </w:t>
      </w:r>
      <w:r>
        <w:rPr>
          <w:rFonts w:ascii="Arial" w:cs="Arial" w:eastAsia="Arial" w:hAnsi="Arial"/>
          <w:sz w:val="14"/>
          <w:szCs w:val="14"/>
          <w:color w:val="auto"/>
        </w:rPr>
        <w:t xml:space="preserve">shall be excluded from this Agreement and the remainder of this Agreement shall be interpreted as if such provision were so excluded and shall be enforceable in accordance with its terms;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35" w:lineRule="exact"/>
        <w:rPr>
          <w:sz w:val="20"/>
          <w:szCs w:val="20"/>
          <w:color w:val="auto"/>
        </w:rPr>
      </w:pPr>
    </w:p>
    <w:p>
      <w:pPr>
        <w:jc w:val="both"/>
        <w:ind w:left="580" w:hanging="568"/>
        <w:spacing w:after="0" w:line="281" w:lineRule="auto"/>
        <w:tabs>
          <w:tab w:leader="none" w:pos="56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deemed an original and enforceable against the parties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actually executing such counterpart, and all of which together shall constitute one and the same instrument.</w:t>
      </w:r>
    </w:p>
    <w:p>
      <w:pPr>
        <w:spacing w:after="0" w:line="14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PAGES FOLLOW</w:t>
      </w:r>
      <w:r>
        <w:rPr>
          <w:rFonts w:ascii="Arial" w:cs="Arial" w:eastAsia="Arial" w:hAnsi="Arial"/>
          <w:sz w:val="16"/>
          <w:szCs w:val="16"/>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13970</wp:posOffset>
            </wp:positionV>
            <wp:extent cx="718375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860"/>
          </w:cols>
          <w:pgMar w:left="740" w:top="805" w:right="299" w:bottom="1440" w:gutter="0" w:footer="0" w:header="0"/>
        </w:sectPr>
      </w:pPr>
    </w:p>
    <w:bookmarkStart w:id="257" w:name="page258"/>
    <w:bookmarkEnd w:id="257"/>
    <w:p>
      <w:pPr>
        <w:ind w:left="580"/>
        <w:spacing w:after="0"/>
        <w:rPr>
          <w:sz w:val="20"/>
          <w:szCs w:val="20"/>
          <w:color w:val="auto"/>
        </w:rPr>
      </w:pPr>
      <w:r>
        <w:rPr>
          <w:rFonts w:ascii="Arial" w:cs="Arial" w:eastAsia="Arial" w:hAnsi="Arial"/>
          <w:sz w:val="14"/>
          <w:szCs w:val="14"/>
          <w:color w:val="auto"/>
        </w:rPr>
        <w:t>IN WITNESS WHEREOF the parties have signed this Amended and Restated Investors’ Rights Agreement as of the date first hereinabove set forth.</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Kornit Digital Ltd.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359219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592195" cy="7620"/>
                    </a:xfrm>
                    <a:prstGeom prst="rect">
                      <a:avLst/>
                    </a:prstGeom>
                    <a:noFill/>
                  </pic:spPr>
                </pic:pic>
              </a:graphicData>
            </a:graphic>
          </wp:anchor>
        </w:drawing>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By (Name):</w:t>
      </w:r>
      <w:r>
        <w:rPr>
          <w:sz w:val="20"/>
          <w:szCs w:val="20"/>
          <w:color w:val="auto"/>
        </w:rPr>
        <w:tab/>
      </w:r>
      <w:r>
        <w:rPr>
          <w:rFonts w:ascii="Arial" w:cs="Arial" w:eastAsia="Arial" w:hAnsi="Arial"/>
          <w:sz w:val="15"/>
          <w:szCs w:val="15"/>
          <w:color w:val="auto"/>
        </w:rPr>
        <w:t>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13970</wp:posOffset>
            </wp:positionV>
            <wp:extent cx="286893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68930" cy="7620"/>
                    </a:xfrm>
                    <a:prstGeom prst="rect">
                      <a:avLst/>
                    </a:prstGeom>
                    <a:noFill/>
                  </pic:spPr>
                </pic:pic>
              </a:graphicData>
            </a:graphic>
          </wp:anchor>
        </w:drawing>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13970</wp:posOffset>
            </wp:positionV>
            <wp:extent cx="286893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68930"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FORTISSIMO CAPITAL FUND II (ISRAEL) L.P.</w:t>
      </w:r>
    </w:p>
    <w:p>
      <w:pPr>
        <w:spacing w:after="0" w:line="204" w:lineRule="exact"/>
        <w:rPr>
          <w:sz w:val="20"/>
          <w:szCs w:val="20"/>
          <w:color w:val="auto"/>
        </w:rPr>
      </w:pPr>
    </w:p>
    <w:p>
      <w:pPr>
        <w:ind w:right="4660"/>
        <w:spacing w:after="0" w:line="281" w:lineRule="auto"/>
        <w:rPr>
          <w:sz w:val="20"/>
          <w:szCs w:val="20"/>
          <w:color w:val="auto"/>
        </w:rPr>
      </w:pPr>
      <w:r>
        <w:rPr>
          <w:rFonts w:ascii="Arial" w:cs="Arial" w:eastAsia="Arial" w:hAnsi="Arial"/>
          <w:sz w:val="16"/>
          <w:szCs w:val="16"/>
          <w:color w:val="auto"/>
        </w:rPr>
        <w:t>By: Fortissimo Capital Fund II (GP), L.P., its general partner, by Fortissimo Capital 2 Management (GP) Ltd.,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226695</wp:posOffset>
            </wp:positionV>
            <wp:extent cx="359219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592195" cy="76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By (Name):</w:t>
      </w:r>
      <w:r>
        <w:rPr>
          <w:sz w:val="20"/>
          <w:szCs w:val="20"/>
          <w:color w:val="auto"/>
        </w:rPr>
        <w:tab/>
      </w:r>
      <w:r>
        <w:rPr>
          <w:rFonts w:ascii="Arial" w:cs="Arial" w:eastAsia="Arial" w:hAnsi="Arial"/>
          <w:sz w:val="14"/>
          <w:szCs w:val="14"/>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13970</wp:posOffset>
            </wp:positionV>
            <wp:extent cx="286893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68930"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13970</wp:posOffset>
            </wp:positionV>
            <wp:extent cx="286893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68930" cy="7620"/>
                    </a:xfrm>
                    <a:prstGeom prst="rect">
                      <a:avLst/>
                    </a:prstGeom>
                    <a:noFill/>
                  </pic:spPr>
                </pic:pic>
              </a:graphicData>
            </a:graphic>
          </wp:anchor>
        </w:drawing>
      </w:r>
    </w:p>
    <w:p>
      <w:pPr>
        <w:spacing w:after="0" w:line="196"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80"/>
          </w:cols>
          <w:pgMar w:left="300" w:top="805" w:right="1419" w:bottom="1440" w:gutter="0" w:footer="0" w:header="0"/>
        </w:sectPr>
      </w:pPr>
    </w:p>
    <w:bookmarkStart w:id="258" w:name="page259"/>
    <w:bookmarkEnd w:id="258"/>
    <w:p>
      <w:pPr>
        <w:spacing w:after="0"/>
        <w:rPr>
          <w:sz w:val="20"/>
          <w:szCs w:val="20"/>
          <w:color w:val="auto"/>
        </w:rPr>
      </w:pPr>
      <w:r>
        <w:rPr>
          <w:rFonts w:ascii="Arial" w:cs="Arial" w:eastAsia="Arial" w:hAnsi="Arial"/>
          <w:sz w:val="16"/>
          <w:szCs w:val="16"/>
          <w:b w:val="1"/>
          <w:bCs w:val="1"/>
          <w:color w:val="auto"/>
        </w:rPr>
        <w:t>MAJOR SHAREHOLDERS: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 Ofer Ben-Zur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359219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9219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4 Neurim Alley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Hod HaSharon, Israel</w:t>
      </w:r>
    </w:p>
    <w:p>
      <w:pPr>
        <w:spacing w:after="0" w:line="192" w:lineRule="exact"/>
        <w:rPr>
          <w:sz w:val="20"/>
          <w:szCs w:val="20"/>
          <w:color w:val="auto"/>
        </w:rPr>
      </w:pPr>
    </w:p>
    <w:p>
      <w:pPr>
        <w:jc w:val="right"/>
        <w:ind w:right="1359"/>
        <w:spacing w:after="0"/>
        <w:rPr>
          <w:sz w:val="20"/>
          <w:szCs w:val="20"/>
          <w:color w:val="auto"/>
        </w:rPr>
      </w:pPr>
      <w:r>
        <w:rPr>
          <w:rFonts w:ascii="Arial" w:cs="Arial" w:eastAsia="Arial" w:hAnsi="Arial"/>
          <w:sz w:val="16"/>
          <w:szCs w:val="16"/>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1" w:right="1440" w:bottom="1440" w:gutter="0" w:footer="0" w:header="0"/>
        </w:sectPr>
      </w:pPr>
    </w:p>
    <w:bookmarkStart w:id="259" w:name="page260"/>
    <w:bookmarkEnd w:id="259"/>
    <w:p>
      <w:pPr>
        <w:spacing w:after="0"/>
        <w:rPr>
          <w:sz w:val="20"/>
          <w:szCs w:val="20"/>
          <w:color w:val="auto"/>
        </w:rPr>
      </w:pPr>
      <w:r>
        <w:rPr>
          <w:rFonts w:ascii="Arial" w:cs="Arial" w:eastAsia="Arial" w:hAnsi="Arial"/>
          <w:sz w:val="16"/>
          <w:szCs w:val="16"/>
          <w:color w:val="auto"/>
        </w:rPr>
        <w:t>/s/ Avi Sterling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Avi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359219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9219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4 Sokolov St.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Hod HaSharon, Israel</w:t>
      </w:r>
    </w:p>
    <w:p>
      <w:pPr>
        <w:spacing w:after="0" w:line="192" w:lineRule="exact"/>
        <w:rPr>
          <w:sz w:val="20"/>
          <w:szCs w:val="20"/>
          <w:color w:val="auto"/>
        </w:rPr>
      </w:pPr>
    </w:p>
    <w:p>
      <w:pPr>
        <w:jc w:val="right"/>
        <w:ind w:right="1359"/>
        <w:spacing w:after="0"/>
        <w:rPr>
          <w:sz w:val="20"/>
          <w:szCs w:val="20"/>
          <w:color w:val="auto"/>
        </w:rPr>
      </w:pPr>
      <w:r>
        <w:rPr>
          <w:rFonts w:ascii="Arial" w:cs="Arial" w:eastAsia="Arial" w:hAnsi="Arial"/>
          <w:sz w:val="16"/>
          <w:szCs w:val="16"/>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6" w:right="1440"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color w:val="auto"/>
        </w:rPr>
        <w:t>/s/ Moshe Nur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Yahel (Nur Group)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359219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92195" cy="762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20"/>
                <w:szCs w:val="20"/>
                <w:color w:val="auto"/>
              </w:rPr>
            </w:pPr>
            <w:r>
              <w:rPr>
                <w:rFonts w:ascii="Arial" w:cs="Arial" w:eastAsia="Arial" w:hAnsi="Arial"/>
                <w:sz w:val="16"/>
                <w:szCs w:val="16"/>
                <w:color w:val="auto"/>
              </w:rPr>
              <w:t>By (Name):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Moshe Nur</w:t>
            </w:r>
          </w:p>
        </w:tc>
      </w:tr>
      <w:tr>
        <w:trPr>
          <w:trHeight w:val="174"/>
        </w:trPr>
        <w:tc>
          <w:tcPr>
            <w:tcW w:w="1140" w:type="dxa"/>
            <w:vAlign w:val="bottom"/>
          </w:tcPr>
          <w:p>
            <w:pPr>
              <w:spacing w:after="0" w:line="175" w:lineRule="exact"/>
              <w:rPr>
                <w:sz w:val="20"/>
                <w:szCs w:val="20"/>
                <w:color w:val="auto"/>
              </w:rPr>
            </w:pPr>
            <w:r>
              <w:rPr>
                <w:rFonts w:ascii="Arial" w:cs="Arial" w:eastAsia="Arial" w:hAnsi="Arial"/>
                <w:sz w:val="16"/>
                <w:szCs w:val="16"/>
                <w:color w:val="auto"/>
              </w:rPr>
              <w:t>Title:</w:t>
            </w:r>
          </w:p>
        </w:tc>
        <w:tc>
          <w:tcPr>
            <w:tcW w:w="4520" w:type="dxa"/>
            <w:vAlign w:val="bottom"/>
            <w:tcBorders>
              <w:bottom w:val="single" w:sz="8" w:color="auto"/>
            </w:tcBorders>
          </w:tcPr>
          <w:p>
            <w:pPr>
              <w:spacing w:after="0"/>
              <w:rPr>
                <w:sz w:val="15"/>
                <w:szCs w:val="1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5 David Navon St.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Magshimim, Israel</w:t>
      </w:r>
    </w:p>
    <w:p>
      <w:pPr>
        <w:spacing w:after="0" w:line="192" w:lineRule="exact"/>
        <w:rPr>
          <w:sz w:val="20"/>
          <w:szCs w:val="20"/>
          <w:color w:val="auto"/>
        </w:rPr>
      </w:pPr>
    </w:p>
    <w:p>
      <w:pPr>
        <w:jc w:val="right"/>
        <w:ind w:right="1359"/>
        <w:spacing w:after="0"/>
        <w:rPr>
          <w:sz w:val="20"/>
          <w:szCs w:val="20"/>
          <w:color w:val="auto"/>
        </w:rPr>
      </w:pPr>
      <w:r>
        <w:rPr>
          <w:rFonts w:ascii="Arial" w:cs="Arial" w:eastAsia="Arial" w:hAnsi="Arial"/>
          <w:sz w:val="16"/>
          <w:szCs w:val="16"/>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5" w:right="1440" w:bottom="1440" w:gutter="0" w:footer="0" w:header="0"/>
        </w:sectPr>
      </w:pPr>
    </w:p>
    <w:bookmarkStart w:id="261" w:name="page262"/>
    <w:bookmarkEnd w:id="261"/>
    <w:p>
      <w:pPr>
        <w:spacing w:after="0"/>
        <w:rPr>
          <w:sz w:val="20"/>
          <w:szCs w:val="20"/>
          <w:color w:val="auto"/>
        </w:rPr>
      </w:pPr>
      <w:r>
        <w:rPr>
          <w:rFonts w:ascii="Arial" w:cs="Arial" w:eastAsia="Arial" w:hAnsi="Arial"/>
          <w:sz w:val="16"/>
          <w:szCs w:val="16"/>
          <w:color w:val="auto"/>
        </w:rPr>
        <w:t>/s/ Moshe Nur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On behalf of Yosef Nuriel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359219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59219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10 Ein Gedi</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Ganei Tikva, Israel</w:t>
      </w:r>
    </w:p>
    <w:p>
      <w:pPr>
        <w:spacing w:after="0" w:line="192" w:lineRule="exact"/>
        <w:rPr>
          <w:sz w:val="20"/>
          <w:szCs w:val="20"/>
          <w:color w:val="auto"/>
        </w:rPr>
      </w:pPr>
    </w:p>
    <w:p>
      <w:pPr>
        <w:jc w:val="right"/>
        <w:ind w:right="1359"/>
        <w:spacing w:after="0"/>
        <w:rPr>
          <w:sz w:val="20"/>
          <w:szCs w:val="20"/>
          <w:color w:val="auto"/>
        </w:rPr>
      </w:pPr>
      <w:r>
        <w:rPr>
          <w:rFonts w:ascii="Arial" w:cs="Arial" w:eastAsia="Arial" w:hAnsi="Arial"/>
          <w:sz w:val="16"/>
          <w:szCs w:val="16"/>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5" w:right="1440" w:bottom="1440" w:gutter="0" w:footer="0" w:header="0"/>
        </w:sectPr>
      </w:pPr>
    </w:p>
    <w:bookmarkStart w:id="262" w:name="page263"/>
    <w:bookmarkEnd w:id="262"/>
    <w:p>
      <w:pPr>
        <w:spacing w:after="0"/>
        <w:rPr>
          <w:sz w:val="20"/>
          <w:szCs w:val="20"/>
          <w:color w:val="auto"/>
        </w:rPr>
      </w:pPr>
      <w:r>
        <w:rPr>
          <w:rFonts w:ascii="Arial" w:cs="Arial" w:eastAsia="Arial" w:hAnsi="Arial"/>
          <w:sz w:val="16"/>
          <w:szCs w:val="16"/>
          <w:color w:val="auto"/>
        </w:rPr>
        <w:t>/s/ Moshe Nur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On behalf of Gavriel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3592195"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592195"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10 Bertonov Yehoshua Street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Petach-Tikva, Israel</w:t>
      </w:r>
    </w:p>
    <w:p>
      <w:pPr>
        <w:spacing w:after="0" w:line="192" w:lineRule="exact"/>
        <w:rPr>
          <w:sz w:val="20"/>
          <w:szCs w:val="20"/>
          <w:color w:val="auto"/>
        </w:rPr>
      </w:pPr>
    </w:p>
    <w:p>
      <w:pPr>
        <w:jc w:val="right"/>
        <w:ind w:right="1359"/>
        <w:spacing w:after="0"/>
        <w:rPr>
          <w:sz w:val="20"/>
          <w:szCs w:val="20"/>
          <w:color w:val="auto"/>
        </w:rPr>
      </w:pPr>
      <w:r>
        <w:rPr>
          <w:rFonts w:ascii="Arial" w:cs="Arial" w:eastAsia="Arial" w:hAnsi="Arial"/>
          <w:sz w:val="16"/>
          <w:szCs w:val="16"/>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0159"/>
          </w:cols>
          <w:pgMar w:left="300" w:top="805"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16"/>
          <w:szCs w:val="16"/>
          <w:b w:val="1"/>
          <w:bCs w:val="1"/>
          <w:color w:val="auto"/>
        </w:rPr>
        <w:t>Exhibit 10.18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TERMINATION AGREEMENT</w:t>
      </w:r>
    </w:p>
    <w:p>
      <w:pPr>
        <w:spacing w:after="0" w:line="20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THIS TERMINATION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entered into as of March 18, 2015, by and among Kornit Digital Ltd., an Israeli company (the</w:t>
      </w:r>
    </w:p>
    <w:p>
      <w:pPr>
        <w:spacing w:after="0" w:line="2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Fortissimo Capital Fund II (Israel) L.P., a partnership organized under the laws of the Cayman Islands (together with its affiliates, successors and assigns, “</w:t>
      </w:r>
      <w:r>
        <w:rPr>
          <w:rFonts w:ascii="Arial" w:cs="Arial" w:eastAsia="Arial" w:hAnsi="Arial"/>
          <w:sz w:val="16"/>
          <w:szCs w:val="16"/>
          <w:u w:val="single" w:color="auto"/>
          <w:color w:val="auto"/>
        </w:rPr>
        <w:t>Fortissimo</w:t>
      </w:r>
      <w:r>
        <w:rPr>
          <w:rFonts w:ascii="Arial" w:cs="Arial" w:eastAsia="Arial" w:hAnsi="Arial"/>
          <w:sz w:val="16"/>
          <w:szCs w:val="16"/>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WITNESSETH</w:t>
      </w:r>
      <w:r>
        <w:rPr>
          <w:rFonts w:ascii="Arial" w:cs="Arial" w:eastAsia="Arial" w:hAnsi="Arial"/>
          <w:sz w:val="16"/>
          <w:szCs w:val="16"/>
          <w:color w:val="auto"/>
        </w:rPr>
        <w:t xml:space="preserve"> :</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WHEREAS, the Company and Fortissimo are party to that certain Management Services Agreement, dated as of August 11, 2011 (the “</w:t>
      </w:r>
      <w:r>
        <w:rPr>
          <w:rFonts w:ascii="Arial" w:cs="Arial" w:eastAsia="Arial" w:hAnsi="Arial"/>
          <w:sz w:val="14"/>
          <w:szCs w:val="14"/>
          <w:u w:val="single" w:color="auto"/>
          <w:color w:val="auto"/>
        </w:rPr>
        <w:t>Management Agreement</w:t>
      </w:r>
      <w:r>
        <w:rPr>
          <w:rFonts w:ascii="Arial" w:cs="Arial" w:eastAsia="Arial" w:hAnsi="Arial"/>
          <w:sz w:val="14"/>
          <w:szCs w:val="14"/>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2" w:lineRule="exact"/>
        <w:rPr>
          <w:sz w:val="20"/>
          <w:szCs w:val="20"/>
          <w:color w:val="auto"/>
        </w:rPr>
      </w:pPr>
    </w:p>
    <w:p>
      <w:pPr>
        <w:ind w:right="220" w:firstLine="581"/>
        <w:spacing w:after="0" w:line="281" w:lineRule="auto"/>
        <w:rPr>
          <w:sz w:val="20"/>
          <w:szCs w:val="20"/>
          <w:color w:val="auto"/>
        </w:rPr>
      </w:pPr>
      <w:r>
        <w:rPr>
          <w:rFonts w:ascii="Arial" w:cs="Arial" w:eastAsia="Arial" w:hAnsi="Arial"/>
          <w:sz w:val="16"/>
          <w:szCs w:val="16"/>
          <w:color w:val="auto"/>
        </w:rPr>
        <w:t>WHEREAS, in connection with the Company’s proposed initial public offering of ordinary shares (the “</w:t>
      </w:r>
      <w:r>
        <w:rPr>
          <w:rFonts w:ascii="Arial" w:cs="Arial" w:eastAsia="Arial" w:hAnsi="Arial"/>
          <w:sz w:val="16"/>
          <w:szCs w:val="16"/>
          <w:u w:val="single" w:color="auto"/>
          <w:color w:val="auto"/>
        </w:rPr>
        <w:t>IPO</w:t>
      </w:r>
      <w:r>
        <w:rPr>
          <w:rFonts w:ascii="Arial" w:cs="Arial" w:eastAsia="Arial" w:hAnsi="Arial"/>
          <w:sz w:val="16"/>
          <w:szCs w:val="16"/>
          <w:color w:val="auto"/>
        </w:rPr>
        <w:t>”), the Company and Fortissimo wish to terminate and discharge certain obligations of the parties under the Management Agreement, subject to the limitations set forth herein.</w:t>
      </w:r>
    </w:p>
    <w:p>
      <w:pPr>
        <w:spacing w:after="0" w:line="151" w:lineRule="exact"/>
        <w:rPr>
          <w:sz w:val="20"/>
          <w:szCs w:val="20"/>
          <w:color w:val="auto"/>
        </w:rPr>
      </w:pPr>
    </w:p>
    <w:p>
      <w:pPr>
        <w:ind w:right="440" w:firstLine="581"/>
        <w:spacing w:after="0" w:line="281" w:lineRule="auto"/>
        <w:rPr>
          <w:sz w:val="20"/>
          <w:szCs w:val="20"/>
          <w:color w:val="auto"/>
        </w:rPr>
      </w:pPr>
      <w:r>
        <w:rPr>
          <w:rFonts w:ascii="Arial" w:cs="Arial" w:eastAsia="Arial" w:hAnsi="Arial"/>
          <w:sz w:val="16"/>
          <w:szCs w:val="16"/>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Termination</w:t>
      </w:r>
    </w:p>
    <w:p>
      <w:pPr>
        <w:spacing w:after="0" w:line="192" w:lineRule="exact"/>
        <w:rPr>
          <w:sz w:val="20"/>
          <w:szCs w:val="20"/>
          <w:color w:val="auto"/>
        </w:rPr>
      </w:pPr>
    </w:p>
    <w:p>
      <w:pPr>
        <w:ind w:right="40" w:firstLine="1163"/>
        <w:spacing w:after="0" w:line="281"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Termination of Certain Provisions of the Management Agreement</w:t>
      </w:r>
      <w:r>
        <w:rPr>
          <w:rFonts w:ascii="Arial" w:cs="Arial" w:eastAsia="Arial" w:hAnsi="Arial"/>
          <w:sz w:val="15"/>
          <w:szCs w:val="15"/>
          <w:color w:val="auto"/>
        </w:rPr>
        <w:t>. In consideration for the payment of the Termination Fee (as defined below) to Fortissimo, the Company and Fortissimo hereby agree to terminate the Management Agreement effective immediately upon the closing of the IPO (the “</w:t>
      </w:r>
      <w:r>
        <w:rPr>
          <w:rFonts w:ascii="Arial" w:cs="Arial" w:eastAsia="Arial" w:hAnsi="Arial"/>
          <w:sz w:val="15"/>
          <w:szCs w:val="15"/>
          <w:u w:val="single" w:color="auto"/>
          <w:color w:val="auto"/>
        </w:rPr>
        <w:t>Closing</w:t>
      </w:r>
      <w:r>
        <w:rPr>
          <w:rFonts w:ascii="Arial" w:cs="Arial" w:eastAsia="Arial" w:hAnsi="Arial"/>
          <w:sz w:val="15"/>
          <w:szCs w:val="15"/>
          <w:color w:val="auto"/>
        </w:rPr>
        <w:t xml:space="preserve">”) and hereby agree that the Company and Fortissimo shall have no further rights or obligations under such Sections following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Fortissimo shall be entitled to receive a pro rata portion of the Management Fee (as defined in the Management Agreement) through the Closing. Fortissimo agrees it shall not be entitled to any payment on account of Additional Fee (as defined in the Management Agreement) upon termination of the Management Agreement.</w:t>
      </w:r>
    </w:p>
    <w:p>
      <w:pPr>
        <w:spacing w:after="0" w:line="153" w:lineRule="exact"/>
        <w:rPr>
          <w:sz w:val="20"/>
          <w:szCs w:val="20"/>
          <w:color w:val="auto"/>
        </w:rPr>
      </w:pPr>
    </w:p>
    <w:p>
      <w:pPr>
        <w:jc w:val="both"/>
        <w:ind w:right="100" w:firstLine="1163"/>
        <w:spacing w:after="0" w:line="28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Termination Fee</w:t>
      </w:r>
      <w:r>
        <w:rPr>
          <w:rFonts w:ascii="Arial" w:cs="Arial" w:eastAsia="Arial" w:hAnsi="Arial"/>
          <w:sz w:val="15"/>
          <w:szCs w:val="15"/>
          <w:color w:val="auto"/>
        </w:rPr>
        <w:t>. The Company hereby agrees to pay to Fortissimo $750,000 (the “</w:t>
      </w:r>
      <w:r>
        <w:rPr>
          <w:rFonts w:ascii="Arial" w:cs="Arial" w:eastAsia="Arial" w:hAnsi="Arial"/>
          <w:sz w:val="15"/>
          <w:szCs w:val="15"/>
          <w:u w:val="single" w:color="auto"/>
          <w:color w:val="auto"/>
        </w:rPr>
        <w:t>Termination Fee</w:t>
      </w:r>
      <w:r>
        <w:rPr>
          <w:rFonts w:ascii="Arial" w:cs="Arial" w:eastAsia="Arial" w:hAnsi="Arial"/>
          <w:sz w:val="15"/>
          <w:szCs w:val="15"/>
          <w:color w:val="auto"/>
        </w:rPr>
        <w:t>”) in consideration for the agreements set forth herein, such Termination Fee to be payable in immediately available funds immediately following the Closing. For the avoidance of any doubt, any fee or other amount paid to Fortissimo pursuant to the Management Agreement prior to the Closing shall be non-refundable by Fortissimo and any fee or other amount owed to Fortissimo pursuant to the Management Agreement prior to the Closing shall remain payable and shall be paid to Fortissimo immediately following the Closing.</w:t>
      </w:r>
    </w:p>
    <w:p>
      <w:pPr>
        <w:spacing w:after="0" w:line="150"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u w:val="single" w:color="auto"/>
          <w:color w:val="auto"/>
        </w:rPr>
        <w:t>Termination</w:t>
      </w:r>
      <w:r>
        <w:rPr>
          <w:rFonts w:ascii="Arial" w:cs="Arial" w:eastAsia="Arial" w:hAnsi="Arial"/>
          <w:sz w:val="14"/>
          <w:szCs w:val="14"/>
          <w:color w:val="auto"/>
        </w:rPr>
        <w:t>. This Agreement shall terminate and cease to have any force or effect in the event that the Closing does not occur before June 30, 2015.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Miscellaneous</w:t>
      </w:r>
    </w:p>
    <w:p>
      <w:pPr>
        <w:spacing w:after="0" w:line="192" w:lineRule="exact"/>
        <w:rPr>
          <w:sz w:val="20"/>
          <w:szCs w:val="20"/>
          <w:color w:val="auto"/>
        </w:rPr>
      </w:pPr>
    </w:p>
    <w:p>
      <w:pPr>
        <w:ind w:right="20" w:firstLine="1163"/>
        <w:spacing w:after="0" w:line="26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Agreement contains the entire understanding of the parties with respect to the subject matter contained herein. This Agreement supersedes all prior and contemporaneous agreements, arrangements, contracts, discussions, negotiations, undertakings and understandings (whether written or oral) among the parties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356235</wp:posOffset>
            </wp:positionV>
            <wp:extent cx="718375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264" w:name="page265"/>
    <w:bookmarkEnd w:id="264"/>
    <w:p>
      <w:pPr>
        <w:ind w:left="1160"/>
        <w:spacing w:after="0"/>
        <w:tabs>
          <w:tab w:leader="none" w:pos="170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u w:val="single" w:color="auto"/>
          <w:color w:val="auto"/>
        </w:rPr>
        <w:t>Captions</w:t>
      </w:r>
      <w:r>
        <w:rPr>
          <w:rFonts w:ascii="Arial" w:cs="Arial" w:eastAsia="Arial" w:hAnsi="Arial"/>
          <w:sz w:val="14"/>
          <w:szCs w:val="14"/>
          <w:color w:val="auto"/>
        </w:rPr>
        <w:t>. Article and section captions used herein are for reference purposes only, and shall not in any way affect the meaning or interpretation of</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w:t>
      </w:r>
    </w:p>
    <w:p>
      <w:pPr>
        <w:spacing w:after="0" w:line="192" w:lineRule="exact"/>
        <w:rPr>
          <w:sz w:val="20"/>
          <w:szCs w:val="20"/>
          <w:color w:val="auto"/>
        </w:rPr>
      </w:pPr>
    </w:p>
    <w:p>
      <w:pPr>
        <w:ind w:firstLine="1163"/>
        <w:spacing w:after="0" w:line="292"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Governing Law; Waiver</w:t>
      </w:r>
      <w:r>
        <w:rPr>
          <w:rFonts w:ascii="Arial" w:cs="Arial" w:eastAsia="Arial" w:hAnsi="Arial"/>
          <w:sz w:val="15"/>
          <w:szCs w:val="15"/>
          <w:color w:val="auto"/>
        </w:rPr>
        <w:t>. This Agreement and the transactions contemplated hereunder shall be governed by and construed in accordance with the laws of the State of Israel, without giving effect to rules respecting conflict of law that would cause the laws of any jurisdiction other than the State of Israel to be applied. The competent courts of Tel Aviv-Jaffa shall have sole and exclusive jurisdiction to hear and resolve any disputes among the parties related to this Agreement.</w:t>
      </w:r>
    </w:p>
    <w:p>
      <w:pPr>
        <w:spacing w:after="0" w:line="146" w:lineRule="exact"/>
        <w:rPr>
          <w:sz w:val="20"/>
          <w:szCs w:val="20"/>
          <w:color w:val="auto"/>
        </w:rPr>
      </w:pPr>
    </w:p>
    <w:p>
      <w:pPr>
        <w:ind w:right="220" w:firstLine="1163"/>
        <w:spacing w:after="0" w:line="28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of which shall be deemed an original but all of which together will constitute one and the same instrument.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[Remainder of the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8375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color w:val="auto"/>
        </w:rPr>
        <w:t>IN WITNESS WHEREOF, the parties have caused this Agreement to be duly executed as of the date first written above.</w:t>
      </w:r>
    </w:p>
    <w:p>
      <w:pPr>
        <w:spacing w:after="0" w:line="204"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KORNIT DIGITAL LTD.</w:t>
      </w:r>
    </w:p>
    <w:p>
      <w:pPr>
        <w:spacing w:after="0" w:line="204" w:lineRule="exact"/>
        <w:rPr>
          <w:sz w:val="20"/>
          <w:szCs w:val="20"/>
          <w:color w:val="auto"/>
        </w:rPr>
      </w:pPr>
    </w:p>
    <w:p>
      <w:pPr>
        <w:ind w:left="5080"/>
        <w:spacing w:after="0"/>
        <w:tabs>
          <w:tab w:leader="none" w:pos="5500" w:val="left"/>
        </w:tabs>
        <w:rPr>
          <w:sz w:val="20"/>
          <w:szCs w:val="20"/>
          <w:color w:val="auto"/>
        </w:rPr>
      </w:pPr>
      <w:r>
        <w:rPr>
          <w:rFonts w:ascii="Arial" w:cs="Arial" w:eastAsia="Arial" w:hAnsi="Arial"/>
          <w:sz w:val="16"/>
          <w:szCs w:val="16"/>
          <w:color w:val="auto"/>
        </w:rPr>
        <w:t>By:</w:t>
        <w:tab/>
        <w:t>/s/ Guy Avidan</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Name: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-116205</wp:posOffset>
            </wp:positionV>
            <wp:extent cx="329946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99460" cy="762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Title: CFO</w:t>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FORTISSIMO CAPITAL FUND II (ISRAEL) L.P.</w:t>
      </w:r>
    </w:p>
    <w:p>
      <w:pPr>
        <w:spacing w:after="0" w:line="204" w:lineRule="exact"/>
        <w:rPr>
          <w:sz w:val="20"/>
          <w:szCs w:val="20"/>
          <w:color w:val="auto"/>
        </w:rPr>
      </w:pPr>
    </w:p>
    <w:p>
      <w:pPr>
        <w:ind w:left="5080"/>
        <w:spacing w:after="0"/>
        <w:tabs>
          <w:tab w:leader="none" w:pos="5500" w:val="left"/>
        </w:tabs>
        <w:rPr>
          <w:sz w:val="20"/>
          <w:szCs w:val="20"/>
          <w:color w:val="auto"/>
        </w:rPr>
      </w:pPr>
      <w:r>
        <w:rPr>
          <w:rFonts w:ascii="Arial" w:cs="Arial" w:eastAsia="Arial" w:hAnsi="Arial"/>
          <w:sz w:val="16"/>
          <w:szCs w:val="16"/>
          <w:color w:val="auto"/>
        </w:rPr>
        <w:t>By:</w:t>
        <w:tab/>
        <w:t>Fortissimo Capital Fund II (GP), L.P., its general partner,</w:t>
      </w:r>
    </w:p>
    <w:p>
      <w:pPr>
        <w:spacing w:after="0" w:line="204" w:lineRule="exact"/>
        <w:rPr>
          <w:sz w:val="20"/>
          <w:szCs w:val="20"/>
          <w:color w:val="auto"/>
        </w:rPr>
      </w:pPr>
    </w:p>
    <w:p>
      <w:pPr>
        <w:jc w:val="both"/>
        <w:ind w:left="5080"/>
        <w:spacing w:after="0"/>
        <w:tabs>
          <w:tab w:leader="none" w:pos="5500" w:val="left"/>
        </w:tabs>
        <w:rPr>
          <w:sz w:val="20"/>
          <w:szCs w:val="20"/>
          <w:color w:val="auto"/>
        </w:rPr>
      </w:pPr>
      <w:r>
        <w:rPr>
          <w:rFonts w:ascii="Arial" w:cs="Arial" w:eastAsia="Arial" w:hAnsi="Arial"/>
          <w:sz w:val="16"/>
          <w:szCs w:val="16"/>
          <w:color w:val="auto"/>
        </w:rPr>
        <w:t>By:</w:t>
        <w:tab/>
        <w:t>Fortissimo Capital 2 Management (GP) Ltd., its general partner</w:t>
      </w:r>
    </w:p>
    <w:p>
      <w:pPr>
        <w:spacing w:after="0" w:line="228"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Yuval Cohen</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-116205</wp:posOffset>
            </wp:positionV>
            <wp:extent cx="308419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084195" cy="7620"/>
                    </a:xfrm>
                    <a:prstGeom prst="rect">
                      <a:avLst/>
                    </a:prstGeom>
                    <a:noFill/>
                  </pic:spPr>
                </pic:pic>
              </a:graphicData>
            </a:graphic>
          </wp:anchor>
        </w:drawing>
      </w:r>
    </w:p>
    <w:p>
      <w:pPr>
        <w:spacing w:after="0" w:line="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Title:</w:t>
      </w:r>
    </w:p>
    <w:p>
      <w:pPr>
        <w:spacing w:after="0" w:line="192"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Termination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383540</wp:posOffset>
            </wp:positionV>
            <wp:extent cx="718375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9640"/>
          </w:cols>
          <w:pgMar w:left="880" w:top="805" w:right="1379" w:bottom="1440" w:gutter="0" w:footer="0" w:header="0"/>
        </w:sectPr>
      </w:pPr>
    </w:p>
    <w:bookmarkStart w:id="266" w:name="page267"/>
    <w:bookmarkEnd w:id="266"/>
    <w:p>
      <w:pPr>
        <w:jc w:val="right"/>
        <w:spacing w:after="0"/>
        <w:rPr>
          <w:sz w:val="20"/>
          <w:szCs w:val="20"/>
          <w:color w:val="auto"/>
        </w:rPr>
      </w:pPr>
      <w:r>
        <w:rPr>
          <w:rFonts w:ascii="Arial" w:cs="Arial" w:eastAsia="Arial" w:hAnsi="Arial"/>
          <w:sz w:val="16"/>
          <w:szCs w:val="16"/>
          <w:b w:val="1"/>
          <w:bCs w:val="1"/>
          <w:color w:val="auto"/>
        </w:rPr>
        <w:t>Exhibit 10.21</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2015 INCENTIVE COMPENSATION PLAN</w:t>
      </w:r>
    </w:p>
    <w:p>
      <w:pPr>
        <w:spacing w:after="0" w:line="192" w:lineRule="exact"/>
        <w:rPr>
          <w:sz w:val="20"/>
          <w:szCs w:val="20"/>
          <w:color w:val="auto"/>
        </w:rPr>
      </w:pPr>
    </w:p>
    <w:p>
      <w:pPr>
        <w:jc w:val="both"/>
        <w:ind w:firstLine="581"/>
        <w:spacing w:after="0" w:line="316" w:lineRule="auto"/>
        <w:rPr>
          <w:sz w:val="20"/>
          <w:szCs w:val="20"/>
          <w:color w:val="auto"/>
        </w:rPr>
      </w:pPr>
      <w:r>
        <w:rPr>
          <w:rFonts w:ascii="Arial" w:cs="Arial" w:eastAsia="Arial" w:hAnsi="Arial"/>
          <w:sz w:val="15"/>
          <w:szCs w:val="15"/>
          <w:color w:val="auto"/>
        </w:rPr>
        <w:t>Kornit Digital Ltd., an Israeli company (the “</w:t>
      </w:r>
      <w:r>
        <w:rPr>
          <w:rFonts w:ascii="Arial" w:cs="Arial" w:eastAsia="Arial" w:hAnsi="Arial"/>
          <w:sz w:val="15"/>
          <w:szCs w:val="15"/>
          <w:u w:val="single" w:color="auto"/>
          <w:color w:val="auto"/>
        </w:rPr>
        <w:t>Company</w:t>
      </w:r>
      <w:r>
        <w:rPr>
          <w:rFonts w:ascii="Arial" w:cs="Arial" w:eastAsia="Arial" w:hAnsi="Arial"/>
          <w:sz w:val="15"/>
          <w:szCs w:val="15"/>
          <w:color w:val="auto"/>
        </w:rPr>
        <w:t>”), has adopted the Kornit Digital Ltd. 2015 Incentive Compensation Plan (the “</w:t>
      </w:r>
      <w:r>
        <w:rPr>
          <w:rFonts w:ascii="Arial" w:cs="Arial" w:eastAsia="Arial" w:hAnsi="Arial"/>
          <w:sz w:val="15"/>
          <w:szCs w:val="15"/>
          <w:u w:val="single" w:color="auto"/>
          <w:color w:val="auto"/>
        </w:rPr>
        <w:t>Plan</w:t>
      </w:r>
      <w:r>
        <w:rPr>
          <w:rFonts w:ascii="Arial" w:cs="Arial" w:eastAsia="Arial" w:hAnsi="Arial"/>
          <w:sz w:val="15"/>
          <w:szCs w:val="15"/>
          <w:color w:val="auto"/>
        </w:rPr>
        <w:t>”) for the benefit of non-employee directors of the Company and officers and eligible employees and consultants of the Company and any Affiliates (as each term is defined below), as follows: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ESTABLISHMENT; PURPOSES; AND DURATION</w:t>
      </w:r>
    </w:p>
    <w:p>
      <w:pPr>
        <w:spacing w:after="0" w:line="192" w:lineRule="exact"/>
        <w:rPr>
          <w:sz w:val="20"/>
          <w:szCs w:val="20"/>
          <w:color w:val="auto"/>
        </w:rPr>
      </w:pPr>
    </w:p>
    <w:p>
      <w:pPr>
        <w:jc w:val="both"/>
        <w:ind w:firstLine="581"/>
        <w:spacing w:after="0" w:line="25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Establishment of the Plan</w:t>
      </w:r>
      <w:r>
        <w:rPr>
          <w:rFonts w:ascii="Arial" w:cs="Arial" w:eastAsia="Arial" w:hAnsi="Arial"/>
          <w:sz w:val="16"/>
          <w:szCs w:val="16"/>
          <w:color w:val="auto"/>
        </w:rPr>
        <w:t>. The Company hereby establishes this incentive compensation plan to be known as the “Kornit Digital Ltd. 2015 Incentive Compensation Plan,” as set forth in this document. The Plan permits the grant of Stock Options, Stock Appreciation Rights, Restricted Shares, Restricted Share Units, Other Share-Based Awards, Dividend Equivalents and Cash-Based Awards. The Plan shall become effective upon the date of its adoption by the Board (the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the IPO Date and within twelve (12) months after the date the Plan is adopted by the Board, the Plan is approved by the holders of a majority of the outstanding Shares which are present and voted at a meeting, or by written consent in lieu of a meeting;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Award shall be exercisable or vested until such shareholder approval, and if the Plan is not so approved by the Company’s shareholders on or before the last day of such twelve (12)-month period, the Plan and any Awards previously granted shall thereupon be automatically canceled and deemed to have been null and void </w:t>
      </w:r>
      <w:r>
        <w:rPr>
          <w:rFonts w:ascii="Arial" w:cs="Arial" w:eastAsia="Arial" w:hAnsi="Arial"/>
          <w:sz w:val="16"/>
          <w:szCs w:val="16"/>
          <w:u w:val="single" w:color="auto"/>
          <w:color w:val="auto"/>
        </w:rPr>
        <w:t>ab initio</w:t>
      </w:r>
      <w:r>
        <w:rPr>
          <w:rFonts w:ascii="Arial" w:cs="Arial" w:eastAsia="Arial" w:hAnsi="Arial"/>
          <w:sz w:val="16"/>
          <w:szCs w:val="16"/>
          <w:color w:val="auto"/>
        </w:rPr>
        <w:t>. The Plan shall remain in effect as provided in Section 1.3.</w:t>
      </w:r>
    </w:p>
    <w:p>
      <w:pPr>
        <w:spacing w:after="0" w:line="174" w:lineRule="exact"/>
        <w:rPr>
          <w:sz w:val="20"/>
          <w:szCs w:val="20"/>
          <w:color w:val="auto"/>
        </w:rPr>
      </w:pPr>
    </w:p>
    <w:p>
      <w:pPr>
        <w:jc w:val="both"/>
        <w:ind w:firstLine="581"/>
        <w:spacing w:after="0" w:line="278"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Purposes of the Plan</w:t>
      </w:r>
      <w:r>
        <w:rPr>
          <w:rFonts w:ascii="Arial" w:cs="Arial" w:eastAsia="Arial" w:hAnsi="Arial"/>
          <w:sz w:val="15"/>
          <w:szCs w:val="15"/>
          <w:color w:val="auto"/>
        </w:rPr>
        <w:t>. The purposes of the Plan are to provide additional incentives to non-employee directors of the Company and to those officers, employees and consultants of the Company and Affiliates, whose substantial contributions are essential to the continued growth and success of the business of the Company and the Affiliates, in order to strengthen their commitment to the Company and the Affiliates, and to attract and retain competent and dedicated individuals whose efforts will result in the long-term growth and profitability of the Company and to further align the interests of such non-employee directors, officers, employees and consultants with the interests of the shareholders of the Company. To accomplish such purposes, the Plan provides that the Company may grant Share Options, Share Appreciation Rights, Restricted Shares, Restricted Share Units, Other Share-Based Awards, Dividend Equivalents and Cash-Based Awards.</w:t>
      </w:r>
    </w:p>
    <w:p>
      <w:pPr>
        <w:spacing w:after="0" w:line="158" w:lineRule="exact"/>
        <w:rPr>
          <w:sz w:val="20"/>
          <w:szCs w:val="20"/>
          <w:color w:val="auto"/>
        </w:rPr>
      </w:pPr>
    </w:p>
    <w:p>
      <w:pPr>
        <w:jc w:val="both"/>
        <w:ind w:firstLine="581"/>
        <w:spacing w:after="0" w:line="292"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Duration of the Plan</w:t>
      </w:r>
      <w:r>
        <w:rPr>
          <w:rFonts w:ascii="Arial" w:cs="Arial" w:eastAsia="Arial" w:hAnsi="Arial"/>
          <w:sz w:val="15"/>
          <w:szCs w:val="15"/>
          <w:color w:val="auto"/>
        </w:rPr>
        <w:t>. The Plan shall commence on the Effective Date, as described in Section 1.1, and shall remain in effect, subject to the right of the Board of Directors to amend or terminate the Plan at any time pursuant to Article XV, until all Shares subject to it shall have been delivered, and any restrictions on such Shares have lapsed, pursuant to the Plan’s provisions. However, in no event may an Award be granted under the Plan on or after ten (10) years from the Effective Date.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6"/>
          <w:szCs w:val="16"/>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DEFINITIONS</w:t>
      </w:r>
    </w:p>
    <w:p>
      <w:pPr>
        <w:spacing w:after="0" w:line="192"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Certain terms used herein have the definitions given to them in the first instance in which they are used. In addition, for purposes of the Plan, the following terms are defined as set forth below:</w:t>
      </w:r>
    </w:p>
    <w:p>
      <w:pPr>
        <w:spacing w:after="0" w:line="151" w:lineRule="exact"/>
        <w:rPr>
          <w:sz w:val="20"/>
          <w:szCs w:val="20"/>
          <w:color w:val="auto"/>
        </w:rPr>
      </w:pPr>
    </w:p>
    <w:p>
      <w:pPr>
        <w:jc w:val="both"/>
        <w:ind w:firstLine="581"/>
        <w:spacing w:after="0" w:line="285" w:lineRule="auto"/>
        <w:rPr>
          <w:sz w:val="20"/>
          <w:szCs w:val="20"/>
          <w:color w:val="auto"/>
        </w:rPr>
      </w:pPr>
      <w:r>
        <w:rPr>
          <w:rFonts w:ascii="Arial" w:cs="Arial" w:eastAsia="Arial" w:hAnsi="Arial"/>
          <w:sz w:val="15"/>
          <w:szCs w:val="15"/>
          <w:color w:val="auto"/>
        </w:rPr>
        <w:t>2.1. “</w:t>
      </w:r>
      <w:r>
        <w:rPr>
          <w:rFonts w:ascii="Arial" w:cs="Arial" w:eastAsia="Arial" w:hAnsi="Arial"/>
          <w:sz w:val="15"/>
          <w:szCs w:val="15"/>
          <w:u w:val="single" w:color="auto"/>
          <w:color w:val="auto"/>
        </w:rPr>
        <w:t>Affiliate</w:t>
      </w:r>
      <w:r>
        <w:rPr>
          <w:rFonts w:ascii="Arial" w:cs="Arial" w:eastAsia="Arial" w:hAnsi="Arial"/>
          <w:sz w:val="15"/>
          <w:szCs w:val="15"/>
          <w:color w:val="auto"/>
        </w:rPr>
        <w:t>” means (i) any Subsidiary; (ii) any Person that directly or indirectly controls, is controlled by or is under common control with the Company; and/or (iii) to the extent provided by the Committee, any Person in which the Company has a significant interest.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50"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Applicable Exchange</w:t>
      </w:r>
      <w:r>
        <w:rPr>
          <w:rFonts w:ascii="Arial" w:cs="Arial" w:eastAsia="Arial" w:hAnsi="Arial"/>
          <w:sz w:val="16"/>
          <w:szCs w:val="16"/>
          <w:color w:val="auto"/>
        </w:rPr>
        <w:t>” means the New York Stock Exchange, NASDAQ Stock Market or such other securities exchange as may at the applicable time be the principal market for the Shares.</w:t>
      </w:r>
    </w:p>
    <w:p>
      <w:pPr>
        <w:spacing w:after="0" w:line="151"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Applicable Law</w:t>
      </w:r>
      <w:r>
        <w:rPr>
          <w:rFonts w:ascii="Arial" w:cs="Arial" w:eastAsia="Arial" w:hAnsi="Arial"/>
          <w:sz w:val="16"/>
          <w:szCs w:val="16"/>
          <w:color w:val="auto"/>
        </w:rPr>
        <w:t>” means any applicable law, rule, regulation, statute, pronouncement, policy, interpretation, judgment, order or decree of any federal, provincial, state or local governmental, regulatory or adjudicative authority or agency, of any jurisdiction, and the rules and regulations of any stock exchange or trading system on which the Shares are then traded or listed.</w:t>
      </w:r>
    </w:p>
    <w:p>
      <w:pPr>
        <w:spacing w:after="0" w:line="16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 grant under the Plan of Share Options, Share Appreciation Rights, Restricted Share Awards, Restricted Share Units, Cash-Based Awards, Other Share-Based Awards and Dividend Equivalents.</w:t>
      </w:r>
    </w:p>
    <w:p>
      <w:pPr>
        <w:spacing w:after="0" w:line="151" w:lineRule="exact"/>
        <w:rPr>
          <w:sz w:val="20"/>
          <w:szCs w:val="20"/>
          <w:color w:val="auto"/>
        </w:rPr>
      </w:pPr>
    </w:p>
    <w:p>
      <w:pPr>
        <w:jc w:val="both"/>
        <w:ind w:firstLine="581"/>
        <w:spacing w:after="0" w:line="285" w:lineRule="auto"/>
        <w:rPr>
          <w:sz w:val="20"/>
          <w:szCs w:val="20"/>
          <w:color w:val="auto"/>
        </w:rPr>
      </w:pPr>
      <w:r>
        <w:rPr>
          <w:rFonts w:ascii="Arial" w:cs="Arial" w:eastAsia="Arial" w:hAnsi="Arial"/>
          <w:sz w:val="15"/>
          <w:szCs w:val="15"/>
          <w:color w:val="auto"/>
        </w:rPr>
        <w:t>2.5. “</w:t>
      </w:r>
      <w:r>
        <w:rPr>
          <w:rFonts w:ascii="Arial" w:cs="Arial" w:eastAsia="Arial" w:hAnsi="Arial"/>
          <w:sz w:val="15"/>
          <w:szCs w:val="15"/>
          <w:u w:val="single" w:color="auto"/>
          <w:color w:val="auto"/>
        </w:rPr>
        <w:t>Award Agreement</w:t>
      </w:r>
      <w:r>
        <w:rPr>
          <w:rFonts w:ascii="Arial" w:cs="Arial" w:eastAsia="Arial" w:hAnsi="Arial"/>
          <w:sz w:val="15"/>
          <w:szCs w:val="15"/>
          <w:color w:val="auto"/>
        </w:rPr>
        <w:t>” means either: (a) a written agreement entered into by the Company and a Participant setting forth the terms and provisions applicable to an Award granted under the Plan, or (b) a written or electronic statement issued by the Company to a Participant describing the terms and provisions of such Award, including any amendment or modification thereof. Subject to compliance with Applicable Law, the Committee may provide for the use of electronic, internet or other non-paper Award Agreements, and the use of electronic, internet or other non-paper means for the acceptance thereof and actions thereunder by a Participant.</w:t>
      </w:r>
    </w:p>
    <w:p>
      <w:pPr>
        <w:spacing w:after="0" w:line="15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Beneficial Ownership</w:t>
      </w:r>
      <w:r>
        <w:rPr>
          <w:rFonts w:ascii="Arial" w:cs="Arial" w:eastAsia="Arial" w:hAnsi="Arial"/>
          <w:sz w:val="14"/>
          <w:szCs w:val="14"/>
          <w:color w:val="auto"/>
        </w:rPr>
        <w:t>” (including correlative terms) shall have the meaning given such term in Rule 13d-3 promulgated under the Exchange Act.</w:t>
      </w:r>
    </w:p>
    <w:p>
      <w:pPr>
        <w:spacing w:after="0" w:line="204"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Board</w:t>
      </w:r>
      <w:r>
        <w:rPr>
          <w:rFonts w:ascii="Arial" w:cs="Arial" w:eastAsia="Arial" w:hAnsi="Arial"/>
          <w:sz w:val="14"/>
          <w:szCs w:val="14"/>
          <w:color w:val="auto"/>
        </w:rPr>
        <w:t>” or “</w:t>
      </w:r>
      <w:r>
        <w:rPr>
          <w:rFonts w:ascii="Arial" w:cs="Arial" w:eastAsia="Arial" w:hAnsi="Arial"/>
          <w:sz w:val="14"/>
          <w:szCs w:val="14"/>
          <w:u w:val="single" w:color="auto"/>
          <w:color w:val="auto"/>
        </w:rPr>
        <w:t>Board of Directors</w:t>
      </w:r>
      <w:r>
        <w:rPr>
          <w:rFonts w:ascii="Arial" w:cs="Arial" w:eastAsia="Arial" w:hAnsi="Arial"/>
          <w:sz w:val="14"/>
          <w:szCs w:val="14"/>
          <w:color w:val="auto"/>
        </w:rPr>
        <w:t>” means the Board of Directors of the Company.</w:t>
      </w:r>
    </w:p>
    <w:p>
      <w:pPr>
        <w:spacing w:after="0" w:line="204"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Cash-Based Award</w:t>
      </w:r>
      <w:r>
        <w:rPr>
          <w:rFonts w:ascii="Arial" w:cs="Arial" w:eastAsia="Arial" w:hAnsi="Arial"/>
          <w:sz w:val="14"/>
          <w:szCs w:val="14"/>
          <w:color w:val="auto"/>
        </w:rPr>
        <w:t>” means an Award, whose value is determined by the Committee, granted to a Participant, as described in Article XI.</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68" w:name="page269"/>
    <w:bookmarkEnd w:id="268"/>
    <w:p>
      <w:pPr>
        <w:jc w:val="both"/>
        <w:ind w:firstLine="581"/>
        <w:spacing w:after="0" w:line="256"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Cause</w:t>
      </w:r>
      <w:r>
        <w:rPr>
          <w:rFonts w:ascii="Arial" w:cs="Arial" w:eastAsia="Arial" w:hAnsi="Arial"/>
          <w:sz w:val="16"/>
          <w:szCs w:val="16"/>
          <w:color w:val="auto"/>
        </w:rPr>
        <w:t>” means, unless otherwise provided in an Award Agreement, any of the following: (a) any fraud, embezzlement or felony or similar act by the Participant (whether or not related to Participant’s relationship with the Company or any of its Affiliates); (b) an act of moral turpitude by the Participant, or any act that causes significant injury to the reputation, business, assets, operations or business relationship of the Company or an Affiliate; (c) any breach by the Participant of an agreement between the Company or any Affiliate and the Participant, including, without limitation, breach of confidentiality, non-competition or non-solicitation covenants, or of any duty of the Participant to the Company or any Affiliate thereof; (d) in case of an Employee, performance by an Employee of any act that entitles the Company or an Affiliate (as applicable) to dismiss him without paying him any or partial severance pay in connection with such dismissal under Applicable Law; or (e) any circumstances that constitute grounds for termination for cause as defined under the Participant’s employment, consulting or service agreement with the Company or Affiliate, to the extent applicable.</w:t>
      </w:r>
    </w:p>
    <w:p>
      <w:pPr>
        <w:spacing w:after="0" w:line="17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Change of Control</w:t>
      </w:r>
      <w:r>
        <w:rPr>
          <w:rFonts w:ascii="Arial" w:cs="Arial" w:eastAsia="Arial" w:hAnsi="Arial"/>
          <w:sz w:val="14"/>
          <w:szCs w:val="14"/>
          <w:color w:val="auto"/>
        </w:rPr>
        <w:t>” means the occurrence of any of the following:</w:t>
      </w:r>
    </w:p>
    <w:p>
      <w:pPr>
        <w:spacing w:after="0" w:line="204" w:lineRule="exact"/>
        <w:rPr>
          <w:sz w:val="20"/>
          <w:szCs w:val="20"/>
          <w:color w:val="auto"/>
        </w:rPr>
      </w:pPr>
    </w:p>
    <w:p>
      <w:pPr>
        <w:jc w:val="both"/>
        <w:ind w:firstLine="1164"/>
        <w:spacing w:after="0" w:line="259" w:lineRule="auto"/>
        <w:tabs>
          <w:tab w:leader="none" w:pos="178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an acquisition in one transaction or a series of related transactions (other than directly from the Company or pursuant to Awards granted under the Plan or compensatory options or other similar awards granted by the Company) by any Person of any Voting Securities of the Company, immediately after which such Person has Beneficial Ownership of fifty percent (50%) or more of the combined voting power of the Company’s then outstanding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a Change of Control has occurred pursuant to this Section 2.10(a), Voting Securities of the Company which are acquired in a Non-Control Acquisition shall not constitute an acquisition that would cause a Change of Control;</w:t>
      </w:r>
    </w:p>
    <w:p>
      <w:pPr>
        <w:spacing w:after="0" w:line="170" w:lineRule="exact"/>
        <w:rPr>
          <w:rFonts w:ascii="Arial" w:cs="Arial" w:eastAsia="Arial" w:hAnsi="Arial"/>
          <w:sz w:val="16"/>
          <w:szCs w:val="16"/>
          <w:color w:val="auto"/>
        </w:rPr>
      </w:pPr>
    </w:p>
    <w:p>
      <w:pPr>
        <w:jc w:val="both"/>
        <w:ind w:firstLine="1164"/>
        <w:spacing w:after="0" w:line="258" w:lineRule="auto"/>
        <w:tabs>
          <w:tab w:leader="none" w:pos="183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Any time at which individuals who, as of the Effective Date, constitute the Board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69" w:lineRule="exact"/>
        <w:rPr>
          <w:rFonts w:ascii="Arial" w:cs="Arial" w:eastAsia="Arial" w:hAnsi="Arial"/>
          <w:sz w:val="16"/>
          <w:szCs w:val="16"/>
          <w:color w:val="auto"/>
        </w:rPr>
      </w:pPr>
    </w:p>
    <w:p>
      <w:pPr>
        <w:ind w:left="1740" w:hanging="576"/>
        <w:spacing w:after="0"/>
        <w:tabs>
          <w:tab w:leader="none" w:pos="17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consummation of any merger, consolidation, recapitalization or reorganization involving the Company unless:</w:t>
      </w:r>
    </w:p>
    <w:p>
      <w:pPr>
        <w:spacing w:after="0" w:line="204" w:lineRule="exact"/>
        <w:rPr>
          <w:sz w:val="20"/>
          <w:szCs w:val="20"/>
          <w:color w:val="auto"/>
        </w:rPr>
      </w:pPr>
    </w:p>
    <w:p>
      <w:pPr>
        <w:jc w:val="both"/>
        <w:ind w:left="580" w:firstLine="584"/>
        <w:spacing w:after="0" w:line="259" w:lineRule="auto"/>
        <w:tabs>
          <w:tab w:leader="none" w:pos="183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shareholders of the Company, immediately before such merger, consolidation, recapitalization or reorganization, own, directly or indirectly, immediately following such merger, consolidation, recapitalization or reorganization, more than fifty percent (50%) of the combined voting power of the outstanding Voting Securities of the ultimate parent corporation resulting from such merger or consolidation or reorganization (the “</w:t>
      </w:r>
      <w:r>
        <w:rPr>
          <w:rFonts w:ascii="Arial" w:cs="Arial" w:eastAsia="Arial" w:hAnsi="Arial"/>
          <w:sz w:val="16"/>
          <w:szCs w:val="16"/>
          <w:u w:val="single" w:color="auto"/>
          <w:color w:val="auto"/>
        </w:rPr>
        <w:t>Company Surviving Corporation</w:t>
      </w:r>
      <w:r>
        <w:rPr>
          <w:rFonts w:ascii="Arial" w:cs="Arial" w:eastAsia="Arial" w:hAnsi="Arial"/>
          <w:sz w:val="16"/>
          <w:szCs w:val="16"/>
          <w:color w:val="auto"/>
        </w:rPr>
        <w:t>”) in substantially the same proportion as their ownership of the Voting Securities of the Company immediately before such merger, consolidation, recapitalization or reorganization; 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69" w:name="page270"/>
    <w:bookmarkEnd w:id="269"/>
    <w:p>
      <w:pPr>
        <w:jc w:val="both"/>
        <w:ind w:left="580" w:firstLine="584"/>
        <w:spacing w:after="0" w:line="267" w:lineRule="auto"/>
        <w:tabs>
          <w:tab w:leader="none" w:pos="183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individuals who were members of the Board immediately prior to the execution of the agreement providing for such merger, consolidation, recapitalization or reorganization constitute at least a majority of the members of the board of directors of the Company Surviving Corporation, or a corporation Beneficially Owning, directly or indirectly, a majority of the voting securities of the Company Surviving Corporation; and</w:t>
      </w:r>
    </w:p>
    <w:p>
      <w:pPr>
        <w:spacing w:after="0" w:line="161" w:lineRule="exact"/>
        <w:rPr>
          <w:rFonts w:ascii="Arial" w:cs="Arial" w:eastAsia="Arial" w:hAnsi="Arial"/>
          <w:sz w:val="16"/>
          <w:szCs w:val="16"/>
          <w:color w:val="auto"/>
        </w:rPr>
      </w:pPr>
    </w:p>
    <w:p>
      <w:pPr>
        <w:jc w:val="both"/>
        <w:ind w:left="580" w:firstLine="584"/>
        <w:spacing w:after="0" w:line="258" w:lineRule="auto"/>
        <w:tabs>
          <w:tab w:leader="none" w:pos="193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no Person,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(A) the Company, (B) any Related Entity, (C) any employee benefit plan (or any trust forming a part thereof) that, immediately prior to such merger, consolidation, recapitalization or reorganization, was maintained by the Company, the Company Surviving Corporation, or any Related Entity or (D) any Person who, together with its Affiliates, immediately prior to such merger, consolidation, recapitalization or reorganization had Beneficial Ownership of fifty percent (50%) or more of the then outstanding Voting Securities of the Company, owns, together with its Affiliates, Beneficial Ownership of fifty percent (50%) or more of the combined voting power of the Company Surviving Corporation’s then outstanding Voting Securities (a transaction described in clauses (c)(i) through (c)(iii) above is referred to herein as a “</w:t>
      </w:r>
      <w:r>
        <w:rPr>
          <w:rFonts w:ascii="Arial" w:cs="Arial" w:eastAsia="Arial" w:hAnsi="Arial"/>
          <w:sz w:val="16"/>
          <w:szCs w:val="16"/>
          <w:u w:val="single" w:color="auto"/>
          <w:color w:val="auto"/>
        </w:rPr>
        <w:t>Non-Control Transaction</w:t>
      </w:r>
      <w:r>
        <w:rPr>
          <w:rFonts w:ascii="Arial" w:cs="Arial" w:eastAsia="Arial" w:hAnsi="Arial"/>
          <w:sz w:val="16"/>
          <w:szCs w:val="16"/>
          <w:color w:val="auto"/>
        </w:rPr>
        <w:t>”); or</w:t>
      </w:r>
    </w:p>
    <w:p>
      <w:pPr>
        <w:spacing w:after="0" w:line="170" w:lineRule="exact"/>
        <w:rPr>
          <w:sz w:val="20"/>
          <w:szCs w:val="20"/>
          <w:color w:val="auto"/>
        </w:rPr>
      </w:pPr>
    </w:p>
    <w:p>
      <w:pPr>
        <w:jc w:val="both"/>
        <w:ind w:firstLine="1164"/>
        <w:spacing w:after="0" w:line="267" w:lineRule="auto"/>
        <w:tabs>
          <w:tab w:leader="none" w:pos="180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sale, lease, exchange, transfer or other disposition (in one transaction or a series of related transactions) of all or substantially all of the assets or business of the Company to any Person (other than (A) a transfer or distribution to a Related Entity, or (B) a transfer or distribution to the Company’s shareholders of the shares of a Related Entity or any other assets).</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Notwithstanding the foregoing, a Change of Control shall not be deemed to occur solely because any Person (the “</w:t>
      </w:r>
      <w:r>
        <w:rPr>
          <w:rFonts w:ascii="Arial" w:cs="Arial" w:eastAsia="Arial" w:hAnsi="Arial"/>
          <w:sz w:val="15"/>
          <w:szCs w:val="15"/>
          <w:u w:val="single" w:color="auto"/>
          <w:color w:val="auto"/>
        </w:rPr>
        <w:t>Subject Person</w:t>
      </w:r>
      <w:r>
        <w:rPr>
          <w:rFonts w:ascii="Arial" w:cs="Arial" w:eastAsia="Arial" w:hAnsi="Arial"/>
          <w:sz w:val="15"/>
          <w:szCs w:val="15"/>
          <w:color w:val="auto"/>
        </w:rPr>
        <w:t xml:space="preserve">”) acquired Beneficial Ownership of fifty percent (50%) or more of the combined voting power of the then outstanding Voting Securities of the Company as a result of the acquisition of Voting Securities of the Company by the Company which, by reducing the number of Voting Securities of the Company then outstanding, increases the proportional number of shares Beneficially Owned by the Subject Persons,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 Change of Control would occur (but for the operation of this sentence) as a result of the acquisition of Voting Securities by the Company and (1) before such share acquisition by the Company the Subject Person becomes the Beneficial Owner of any new or additional Voting Securities of the Company in a related transaction or (2) after such share acquisition by the Company the Subject Person becomes the Beneficial Owner of any new or additional Voting Securities of the Company which in either case increases the percentage of the then outstanding Voting Securities of the Company Beneficially Owned by the Subject Person, then a Change of Control shall be deemed to occur.</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Solely for purposes of this Section 2.10, (1)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Person, any other Person that, directly or indirectly, controls, is controlled by, or is under common control with, such Person, and (2)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 Any Relative (for this purpose, “</w:t>
      </w:r>
      <w:r>
        <w:rPr>
          <w:rFonts w:ascii="Arial" w:cs="Arial" w:eastAsia="Arial" w:hAnsi="Arial"/>
          <w:sz w:val="16"/>
          <w:szCs w:val="16"/>
          <w:u w:val="single" w:color="auto"/>
          <w:color w:val="auto"/>
        </w:rPr>
        <w:t>Relative</w:t>
      </w:r>
      <w:r>
        <w:rPr>
          <w:rFonts w:ascii="Arial" w:cs="Arial" w:eastAsia="Arial" w:hAnsi="Arial"/>
          <w:sz w:val="16"/>
          <w:szCs w:val="16"/>
          <w:color w:val="auto"/>
        </w:rPr>
        <w:t>” means a spouse, child, parent, parent of spouse, sibling or grandchild) of an individual shall be deemed to be an Affiliate of such individual for this purpose. None of the Company or any Person controlled by the Company shall be deemed to be an Affiliate of any holder of Shares.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70" w:name="page271"/>
    <w:bookmarkEnd w:id="270"/>
    <w:p>
      <w:pPr>
        <w:jc w:val="both"/>
        <w:ind w:firstLine="581"/>
        <w:spacing w:after="0" w:line="281"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of Directors or a subcommittee thereof, or such other committee designated by the Board to administer the Plan.</w:t>
      </w:r>
    </w:p>
    <w:p>
      <w:pPr>
        <w:spacing w:after="0" w:line="151"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Company Surviving Corporation</w:t>
      </w:r>
      <w:r>
        <w:rPr>
          <w:rFonts w:ascii="Arial" w:cs="Arial" w:eastAsia="Arial" w:hAnsi="Arial"/>
          <w:sz w:val="14"/>
          <w:szCs w:val="14"/>
          <w:color w:val="auto"/>
        </w:rPr>
        <w:t>” has the meaning provided in Section 2.10(c)(i).</w:t>
      </w:r>
    </w:p>
    <w:p>
      <w:pPr>
        <w:spacing w:after="0" w:line="204"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Consultant</w:t>
      </w:r>
      <w:r>
        <w:rPr>
          <w:rFonts w:ascii="Arial" w:cs="Arial" w:eastAsia="Arial" w:hAnsi="Arial"/>
          <w:sz w:val="16"/>
          <w:szCs w:val="16"/>
          <w:color w:val="auto"/>
        </w:rPr>
        <w:t>” means a consultant, advisor or independent contractor who is a natural person and who performs services for the Company or an Affiliate in a capacity other than as an Employee or Director (or who is a personal services company that is wholly owned by such a service provider, or the equivalent thereof, as determined by the Committee in its discretion).</w:t>
      </w:r>
    </w:p>
    <w:p>
      <w:pPr>
        <w:spacing w:after="0" w:line="161"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any individual who is a member of the Board of Directors of the Company and/or any Affiliate.</w:t>
      </w:r>
    </w:p>
    <w:p>
      <w:pPr>
        <w:spacing w:after="0" w:line="204"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inability of a Participant to engage in any substantial gainful activity by reason of any medically determinable physical or mental impairment which can be expected to result in death or which has lasted or can be expected to last for a continuous period of not less than twelve (12) months, as determined by a medical doctor satisfactory to the Committee.</w:t>
      </w:r>
    </w:p>
    <w:p>
      <w:pPr>
        <w:spacing w:after="0" w:line="16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Disaffiliation</w:t>
      </w:r>
      <w:r>
        <w:rPr>
          <w:rFonts w:ascii="Arial" w:cs="Arial" w:eastAsia="Arial" w:hAnsi="Arial"/>
          <w:sz w:val="16"/>
          <w:szCs w:val="16"/>
          <w:color w:val="auto"/>
        </w:rPr>
        <w:t>” means an Affiliate’s ceasing to be an Affiliate for any reason (including as a result of a public offering, or a spin-off or sale by the Company, of the stock of the Affiliate) or a sale of a division of the Company or an Affiliate.</w:t>
      </w:r>
    </w:p>
    <w:p>
      <w:pPr>
        <w:spacing w:after="0" w:line="15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means the equivalent value (in cash or Shares) of dividends that would otherwise be paid on the Shares subject to an Award but that have not been issued or delivered, as described in Article X.</w:t>
      </w:r>
    </w:p>
    <w:p>
      <w:pPr>
        <w:spacing w:after="0" w:line="151"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2.18.</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shall have the meaning ascribed to such term in Section 1.1.</w:t>
      </w:r>
    </w:p>
    <w:p>
      <w:pPr>
        <w:spacing w:after="0" w:line="204"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5"/>
          <w:szCs w:val="15"/>
          <w:color w:val="auto"/>
        </w:rPr>
        <w:t>2.19. “</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designated as an employee of the Company and/or an Affiliate on the payroll records thereof. An Employee shall not include any individual during any period he or she is classified or treated by the Company or an Affiliate as an independent contractor, a consultant, or any employee of an employment, consulting, or temporary agency or any other entity other than the Company and/or an Affiliate without regard to whether such individual is subsequently determined to have been, or is subsequently retroactively reclassified as a common-law employee of the Company and/or an Affiliate during such period. For the avoidance of doubt, a Director who would otherwise be an “Employee” within the meaning of this Section 2.19 shall be considered an Employee for purposes of the Plan.</w:t>
      </w:r>
    </w:p>
    <w:p>
      <w:pPr>
        <w:spacing w:after="0" w:line="153"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it may be amended from time to time, including the rules and regulations promulgated thereunder and successor provisions and rules and regulations thereto.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71" w:name="page272"/>
    <w:bookmarkEnd w:id="271"/>
    <w:p>
      <w:pPr>
        <w:jc w:val="both"/>
        <w:ind w:firstLine="581"/>
        <w:spacing w:after="0" w:line="259"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if the Shares are listed on a national securities exchange, as of any given date, the closing price for a Share on such date on the Applicable Exchange, or if Shares were not traded on the Applicable Exchange on such measurement date, then on the next preceding date on which Shares are traded, all as reported by such source as the Committee may select. If the Shares are not listed on a national securities exchange, Fair Market Value shall be determined by the Committee in good faith. The foregoing to the contrary notwithstanding, the Fair Market Value of a Share on the IPO Date shall be the price to the public as set forth in the final prospectus filed with the SEC pursuant to Rule 424 under the Securities Act with respect to the IPO.</w:t>
      </w:r>
    </w:p>
    <w:p>
      <w:pPr>
        <w:spacing w:after="0" w:line="170"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Fiscal Year</w:t>
      </w:r>
      <w:r>
        <w:rPr>
          <w:rFonts w:ascii="Arial" w:cs="Arial" w:eastAsia="Arial" w:hAnsi="Arial"/>
          <w:sz w:val="14"/>
          <w:szCs w:val="14"/>
          <w:color w:val="auto"/>
        </w:rPr>
        <w:t>” means the calendar year, or such other consecutive twelve-month period as the Committee may select.</w:t>
      </w:r>
    </w:p>
    <w:p>
      <w:pPr>
        <w:spacing w:after="0" w:line="20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Freestanding SAR</w:t>
      </w:r>
      <w:r>
        <w:rPr>
          <w:rFonts w:ascii="Arial" w:cs="Arial" w:eastAsia="Arial" w:hAnsi="Arial"/>
          <w:sz w:val="14"/>
          <w:szCs w:val="14"/>
          <w:color w:val="auto"/>
        </w:rPr>
        <w:t>” means an SAR that is granted independently of any Options, as described in Article VII.</w:t>
      </w:r>
    </w:p>
    <w:p>
      <w:pPr>
        <w:spacing w:after="0" w:line="204"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Grant Price</w:t>
      </w:r>
      <w:r>
        <w:rPr>
          <w:rFonts w:ascii="Arial" w:cs="Arial" w:eastAsia="Arial" w:hAnsi="Arial"/>
          <w:sz w:val="16"/>
          <w:szCs w:val="16"/>
          <w:color w:val="auto"/>
        </w:rPr>
        <w:t>” means the price established at the time of grant of a SAR pursuant to Article VII, used to determine whether there is any payment due upon exercise of the SAR.</w:t>
      </w:r>
    </w:p>
    <w:p>
      <w:pPr>
        <w:spacing w:after="0" w:line="151" w:lineRule="exact"/>
        <w:rPr>
          <w:sz w:val="20"/>
          <w:szCs w:val="20"/>
          <w:color w:val="auto"/>
        </w:rPr>
      </w:pPr>
    </w:p>
    <w:p>
      <w:pPr>
        <w:jc w:val="both"/>
        <w:ind w:firstLine="581"/>
        <w:spacing w:after="0" w:line="316" w:lineRule="auto"/>
        <w:rPr>
          <w:sz w:val="20"/>
          <w:szCs w:val="20"/>
          <w:color w:val="auto"/>
        </w:rPr>
      </w:pPr>
      <w:r>
        <w:rPr>
          <w:rFonts w:ascii="Arial" w:cs="Arial" w:eastAsia="Arial" w:hAnsi="Arial"/>
          <w:sz w:val="15"/>
          <w:szCs w:val="15"/>
          <w:color w:val="auto"/>
        </w:rPr>
        <w:t>2.25. “</w:t>
      </w:r>
      <w:r>
        <w:rPr>
          <w:rFonts w:ascii="Arial" w:cs="Arial" w:eastAsia="Arial" w:hAnsi="Arial"/>
          <w:sz w:val="15"/>
          <w:szCs w:val="15"/>
          <w:u w:val="single" w:color="auto"/>
          <w:color w:val="auto"/>
        </w:rPr>
        <w:t>Insider</w:t>
      </w:r>
      <w:r>
        <w:rPr>
          <w:rFonts w:ascii="Arial" w:cs="Arial" w:eastAsia="Arial" w:hAnsi="Arial"/>
          <w:sz w:val="15"/>
          <w:szCs w:val="15"/>
          <w:color w:val="auto"/>
        </w:rPr>
        <w:t>” means an individual who is, on the relevant date, an officer, director or ten percent (10%) Beneficial Owner of any class of the Company’s equity securities that is registered pursuant to Section 12 of the Exchange Act, as determined by the Committee in accordance with Section 16 of the Exchange Act.</w:t>
      </w:r>
    </w:p>
    <w:p>
      <w:pPr>
        <w:spacing w:after="0" w:line="127"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IPO</w:t>
      </w:r>
      <w:r>
        <w:rPr>
          <w:rFonts w:ascii="Arial" w:cs="Arial" w:eastAsia="Arial" w:hAnsi="Arial"/>
          <w:sz w:val="16"/>
          <w:szCs w:val="16"/>
          <w:color w:val="auto"/>
        </w:rPr>
        <w:t>” means a firm commitment underwritten initial public offering of the Shares under the Securities Act as a result of which the Shares become listed on one or more national securities exchanges.</w:t>
      </w:r>
    </w:p>
    <w:p>
      <w:pPr>
        <w:spacing w:after="0" w:line="151"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2.27.</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IPO Date</w:t>
      </w:r>
      <w:r>
        <w:rPr>
          <w:rFonts w:ascii="Arial" w:cs="Arial" w:eastAsia="Arial" w:hAnsi="Arial"/>
          <w:sz w:val="14"/>
          <w:szCs w:val="14"/>
          <w:color w:val="auto"/>
        </w:rPr>
        <w:t>” means the date of the pricing of the IPO.</w:t>
      </w:r>
    </w:p>
    <w:p>
      <w:pPr>
        <w:spacing w:after="0" w:line="204"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New Employer</w:t>
      </w:r>
      <w:r>
        <w:rPr>
          <w:rFonts w:ascii="Arial" w:cs="Arial" w:eastAsia="Arial" w:hAnsi="Arial"/>
          <w:sz w:val="16"/>
          <w:szCs w:val="16"/>
          <w:color w:val="auto"/>
        </w:rPr>
        <w:t>” means, after a Change of Control, a Participant’s employer, or any direct or indirect parent or any direct or indirect majority-owned subsidiary of such employer.</w:t>
      </w:r>
    </w:p>
    <w:p>
      <w:pPr>
        <w:spacing w:after="0" w:line="151"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u w:val="single" w:color="auto"/>
          <w:color w:val="auto"/>
        </w:rPr>
        <w:t>Non-Control Acquisition</w:t>
      </w:r>
      <w:r>
        <w:rPr>
          <w:rFonts w:ascii="Arial" w:cs="Arial" w:eastAsia="Arial" w:hAnsi="Arial"/>
          <w:sz w:val="16"/>
          <w:szCs w:val="16"/>
          <w:color w:val="auto"/>
        </w:rPr>
        <w:t>” means an acquisition (whether by merger, stock purchase, asset purchase or otherwise) by (a) an employee benefit plan (or a trust forming a part thereof) maintained by (i) the Company or (ii) any corporation or other Person of which fifty percent (50%) or more of its total value or total voting power of its Voting Securities or equity interests is owned, directly or indirectly, by the Company (a “</w:t>
      </w:r>
      <w:r>
        <w:rPr>
          <w:rFonts w:ascii="Arial" w:cs="Arial" w:eastAsia="Arial" w:hAnsi="Arial"/>
          <w:sz w:val="16"/>
          <w:szCs w:val="16"/>
          <w:u w:val="single" w:color="auto"/>
          <w:color w:val="auto"/>
        </w:rPr>
        <w:t>Related Entity</w:t>
      </w:r>
      <w:r>
        <w:rPr>
          <w:rFonts w:ascii="Arial" w:cs="Arial" w:eastAsia="Arial" w:hAnsi="Arial"/>
          <w:sz w:val="16"/>
          <w:szCs w:val="16"/>
          <w:color w:val="auto"/>
        </w:rPr>
        <w:t>”); (b) the Company or any Related Entity; (c) any Person in connection with a Non-Control Transaction; or (d) any Person that owns, together with its Affiliates, Beneficial Ownership of fifty percent (50%) or more of the outstanding Voting Securities of the Company on the Effective Date.</w:t>
      </w:r>
    </w:p>
    <w:p>
      <w:pPr>
        <w:spacing w:after="0" w:line="170"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2.30.</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Non-Control Transaction</w:t>
      </w:r>
      <w:r>
        <w:rPr>
          <w:rFonts w:ascii="Arial" w:cs="Arial" w:eastAsia="Arial" w:hAnsi="Arial"/>
          <w:sz w:val="14"/>
          <w:szCs w:val="14"/>
          <w:color w:val="auto"/>
        </w:rPr>
        <w:t>” shall have the meaning provided in Section 2.10(c)(iii).</w:t>
      </w:r>
    </w:p>
    <w:p>
      <w:pPr>
        <w:spacing w:after="0" w:line="20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Non-Employee Director</w:t>
      </w:r>
      <w:r>
        <w:rPr>
          <w:rFonts w:ascii="Arial" w:cs="Arial" w:eastAsia="Arial" w:hAnsi="Arial"/>
          <w:sz w:val="14"/>
          <w:szCs w:val="14"/>
          <w:color w:val="auto"/>
        </w:rPr>
        <w:t>” means a Director who is not an Employee.</w:t>
      </w:r>
    </w:p>
    <w:p>
      <w:pPr>
        <w:spacing w:after="0" w:line="20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Notice</w:t>
      </w:r>
      <w:r>
        <w:rPr>
          <w:rFonts w:ascii="Arial" w:cs="Arial" w:eastAsia="Arial" w:hAnsi="Arial"/>
          <w:sz w:val="14"/>
          <w:szCs w:val="14"/>
          <w:color w:val="auto"/>
        </w:rPr>
        <w:t>” means notice provided by a Participant to the Company in a manner prescribed by the Committee.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72" w:name="page273"/>
    <w:bookmarkEnd w:id="272"/>
    <w:p>
      <w:pPr>
        <w:ind w:left="580"/>
        <w:spacing w:after="0"/>
        <w:tabs>
          <w:tab w:leader="none" w:pos="1240"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Option</w:t>
      </w:r>
      <w:r>
        <w:rPr>
          <w:rFonts w:ascii="Arial" w:cs="Arial" w:eastAsia="Arial" w:hAnsi="Arial"/>
          <w:sz w:val="14"/>
          <w:szCs w:val="14"/>
          <w:color w:val="auto"/>
        </w:rPr>
        <w:t>” or “</w:t>
      </w:r>
      <w:r>
        <w:rPr>
          <w:rFonts w:ascii="Arial" w:cs="Arial" w:eastAsia="Arial" w:hAnsi="Arial"/>
          <w:sz w:val="14"/>
          <w:szCs w:val="14"/>
          <w:u w:val="single" w:color="auto"/>
          <w:color w:val="auto"/>
        </w:rPr>
        <w:t>Share Option</w:t>
      </w:r>
      <w:r>
        <w:rPr>
          <w:rFonts w:ascii="Arial" w:cs="Arial" w:eastAsia="Arial" w:hAnsi="Arial"/>
          <w:sz w:val="14"/>
          <w:szCs w:val="14"/>
          <w:color w:val="auto"/>
        </w:rPr>
        <w:t>” means a Share Option, as described in Article VI.</w:t>
      </w:r>
    </w:p>
    <w:p>
      <w:pPr>
        <w:spacing w:after="0" w:line="20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2.34.</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Option Price</w:t>
      </w:r>
      <w:r>
        <w:rPr>
          <w:rFonts w:ascii="Arial" w:cs="Arial" w:eastAsia="Arial" w:hAnsi="Arial"/>
          <w:sz w:val="14"/>
          <w:szCs w:val="14"/>
          <w:color w:val="auto"/>
        </w:rPr>
        <w:t>” means the price at which a Share may be purchased by a Participant pursuant to an Option.</w:t>
      </w:r>
    </w:p>
    <w:p>
      <w:pPr>
        <w:spacing w:after="0" w:line="204"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Other Share-Based Award</w:t>
      </w:r>
      <w:r>
        <w:rPr>
          <w:rFonts w:ascii="Arial" w:cs="Arial" w:eastAsia="Arial" w:hAnsi="Arial"/>
          <w:sz w:val="16"/>
          <w:szCs w:val="16"/>
          <w:color w:val="auto"/>
        </w:rPr>
        <w:t>” means an equity-based or equity-related Award described in Section 9.1, granted in accordance with the terms and conditions set forth in Article IX.</w:t>
      </w:r>
    </w:p>
    <w:p>
      <w:pPr>
        <w:spacing w:after="0" w:line="151"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2.36.</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Participant</w:t>
      </w:r>
      <w:r>
        <w:rPr>
          <w:rFonts w:ascii="Arial" w:cs="Arial" w:eastAsia="Arial" w:hAnsi="Arial"/>
          <w:sz w:val="14"/>
          <w:szCs w:val="14"/>
          <w:color w:val="auto"/>
        </w:rPr>
        <w:t>” means any eligible individual as set forth in Article V who holds one or more outstanding Awards.</w:t>
      </w:r>
    </w:p>
    <w:p>
      <w:pPr>
        <w:spacing w:after="0" w:line="204"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2.37. “</w:t>
      </w:r>
      <w:r>
        <w:rPr>
          <w:rFonts w:ascii="Arial" w:cs="Arial" w:eastAsia="Arial" w:hAnsi="Arial"/>
          <w:sz w:val="16"/>
          <w:szCs w:val="16"/>
          <w:u w:val="single" w:color="auto"/>
          <w:color w:val="auto"/>
        </w:rPr>
        <w:t>Period of Restriction</w:t>
      </w:r>
      <w:r>
        <w:rPr>
          <w:rFonts w:ascii="Arial" w:cs="Arial" w:eastAsia="Arial" w:hAnsi="Arial"/>
          <w:sz w:val="16"/>
          <w:szCs w:val="16"/>
          <w:color w:val="auto"/>
        </w:rPr>
        <w:t>” means the period of time during which Restricted Shares or Restricted Share Units are subject to a substantial risk of forfeiture, or, as applicable, the period of time within which performance is measured for purposes of determining whether such an Award has been earned, and, in the case of Restricted Shares, the transfer of Restricted Shares is limited in some way, in each case in accordance with Article VIII.</w:t>
      </w:r>
    </w:p>
    <w:p>
      <w:pPr>
        <w:spacing w:after="0" w:line="161" w:lineRule="exact"/>
        <w:rPr>
          <w:sz w:val="20"/>
          <w:szCs w:val="20"/>
          <w:color w:val="auto"/>
        </w:rPr>
      </w:pPr>
    </w:p>
    <w:p>
      <w:pPr>
        <w:jc w:val="both"/>
        <w:ind w:firstLine="581"/>
        <w:spacing w:after="0" w:line="316" w:lineRule="auto"/>
        <w:rPr>
          <w:sz w:val="20"/>
          <w:szCs w:val="20"/>
          <w:color w:val="auto"/>
        </w:rPr>
      </w:pPr>
      <w:r>
        <w:rPr>
          <w:rFonts w:ascii="Arial" w:cs="Arial" w:eastAsia="Arial" w:hAnsi="Arial"/>
          <w:sz w:val="15"/>
          <w:szCs w:val="15"/>
          <w:color w:val="auto"/>
        </w:rPr>
        <w:t>2.38. “</w:t>
      </w:r>
      <w:r>
        <w:rPr>
          <w:rFonts w:ascii="Arial" w:cs="Arial" w:eastAsia="Arial" w:hAnsi="Arial"/>
          <w:sz w:val="15"/>
          <w:szCs w:val="15"/>
          <w:u w:val="single" w:color="auto"/>
          <w:color w:val="auto"/>
        </w:rPr>
        <w:t>Person</w:t>
      </w:r>
      <w:r>
        <w:rPr>
          <w:rFonts w:ascii="Arial" w:cs="Arial" w:eastAsia="Arial" w:hAnsi="Arial"/>
          <w:sz w:val="15"/>
          <w:szCs w:val="15"/>
          <w:color w:val="auto"/>
        </w:rPr>
        <w:t>” means “person” as such term is used for purposes of Section 13(d) or 14(d) of the Exchange Act, including any individual, corporation, limited liability company, partnership, trust, unincorporated organization, government or any agency or political subdivision thereof, or any other entity or any group of persons.</w:t>
      </w:r>
    </w:p>
    <w:p>
      <w:pPr>
        <w:spacing w:after="0" w:line="127"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2.39.</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Restricted Share</w:t>
      </w:r>
      <w:r>
        <w:rPr>
          <w:rFonts w:ascii="Arial" w:cs="Arial" w:eastAsia="Arial" w:hAnsi="Arial"/>
          <w:sz w:val="14"/>
          <w:szCs w:val="14"/>
          <w:color w:val="auto"/>
        </w:rPr>
        <w:t>” means an Award granted to a Participant pursuant to Article VIII.</w:t>
      </w:r>
    </w:p>
    <w:p>
      <w:pPr>
        <w:spacing w:after="0" w:line="20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2.40.</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Restricted Share Unit</w:t>
      </w:r>
      <w:r>
        <w:rPr>
          <w:rFonts w:ascii="Arial" w:cs="Arial" w:eastAsia="Arial" w:hAnsi="Arial"/>
          <w:sz w:val="14"/>
          <w:szCs w:val="14"/>
          <w:color w:val="auto"/>
        </w:rPr>
        <w:t>” means an Award, whose value is equal to a Share, granted to a Participant pursuant to Article VIII.</w:t>
      </w:r>
    </w:p>
    <w:p>
      <w:pPr>
        <w:spacing w:after="0" w:line="20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Rule 16b-3</w:t>
      </w:r>
      <w:r>
        <w:rPr>
          <w:rFonts w:ascii="Arial" w:cs="Arial" w:eastAsia="Arial" w:hAnsi="Arial"/>
          <w:sz w:val="14"/>
          <w:szCs w:val="14"/>
          <w:color w:val="auto"/>
        </w:rPr>
        <w:t>” means Rule 16b-3 under the Exchange Act, or any successor rule, as the same may be amended from time to time.</w:t>
      </w:r>
    </w:p>
    <w:p>
      <w:pPr>
        <w:spacing w:after="0" w:line="20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SEC</w:t>
      </w:r>
      <w:r>
        <w:rPr>
          <w:rFonts w:ascii="Arial" w:cs="Arial" w:eastAsia="Arial" w:hAnsi="Arial"/>
          <w:sz w:val="14"/>
          <w:szCs w:val="14"/>
          <w:color w:val="auto"/>
        </w:rPr>
        <w:t>” means the Securities and Exchange Commission.</w:t>
      </w:r>
    </w:p>
    <w:p>
      <w:pPr>
        <w:spacing w:after="0" w:line="204"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2.43. “</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it may be amended from time to time, including the rules and regulations promulgated thereunder and successor provisions and rules and regulations thereto.</w:t>
      </w:r>
    </w:p>
    <w:p>
      <w:pPr>
        <w:spacing w:after="0" w:line="15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Share</w:t>
      </w:r>
      <w:r>
        <w:rPr>
          <w:rFonts w:ascii="Arial" w:cs="Arial" w:eastAsia="Arial" w:hAnsi="Arial"/>
          <w:sz w:val="16"/>
          <w:szCs w:val="16"/>
          <w:color w:val="auto"/>
        </w:rPr>
        <w:t>” means an ordinary share, nominal value NIS 0.01 each (including any new, additional or different stock or securities resulting from any change in corporate capitalization as listed in Section 4.3).</w:t>
      </w:r>
    </w:p>
    <w:p>
      <w:pPr>
        <w:spacing w:after="0" w:line="15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Share Appreciation Right</w:t>
      </w:r>
      <w:r>
        <w:rPr>
          <w:rFonts w:ascii="Arial" w:cs="Arial" w:eastAsia="Arial" w:hAnsi="Arial"/>
          <w:sz w:val="16"/>
          <w:szCs w:val="16"/>
          <w:color w:val="auto"/>
        </w:rPr>
        <w:t>” or “</w:t>
      </w:r>
      <w:r>
        <w:rPr>
          <w:rFonts w:ascii="Arial" w:cs="Arial" w:eastAsia="Arial" w:hAnsi="Arial"/>
          <w:sz w:val="16"/>
          <w:szCs w:val="16"/>
          <w:u w:val="single" w:color="auto"/>
          <w:color w:val="auto"/>
        </w:rPr>
        <w:t>SAR</w:t>
      </w:r>
      <w:r>
        <w:rPr>
          <w:rFonts w:ascii="Arial" w:cs="Arial" w:eastAsia="Arial" w:hAnsi="Arial"/>
          <w:sz w:val="16"/>
          <w:szCs w:val="16"/>
          <w:color w:val="auto"/>
        </w:rPr>
        <w:t>” means an Award, granted as a Freestanding SAR or in connection with a related Option as a Tandem SAR, designated as an SAR, pursuant to the terms of Article VII.</w:t>
      </w:r>
    </w:p>
    <w:p>
      <w:pPr>
        <w:spacing w:after="0" w:line="151"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2.46.</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Subject Person</w:t>
      </w:r>
      <w:r>
        <w:rPr>
          <w:rFonts w:ascii="Arial" w:cs="Arial" w:eastAsia="Arial" w:hAnsi="Arial"/>
          <w:sz w:val="14"/>
          <w:szCs w:val="14"/>
          <w:color w:val="auto"/>
        </w:rPr>
        <w:t>” has the meaning provided in Section 2.10.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73" w:name="page274"/>
    <w:bookmarkEnd w:id="273"/>
    <w:p>
      <w:pPr>
        <w:jc w:val="both"/>
        <w:ind w:firstLine="581"/>
        <w:spacing w:after="0" w:line="262" w:lineRule="auto"/>
        <w:rPr>
          <w:sz w:val="20"/>
          <w:szCs w:val="20"/>
          <w:color w:val="auto"/>
        </w:rPr>
      </w:pPr>
      <w:r>
        <w:rPr>
          <w:rFonts w:ascii="Arial" w:cs="Arial" w:eastAsia="Arial" w:hAnsi="Arial"/>
          <w:sz w:val="16"/>
          <w:szCs w:val="16"/>
          <w:color w:val="auto"/>
        </w:rPr>
        <w:t>2.47. “</w:t>
      </w:r>
      <w:r>
        <w:rPr>
          <w:rFonts w:ascii="Arial" w:cs="Arial" w:eastAsia="Arial" w:hAnsi="Arial"/>
          <w:sz w:val="16"/>
          <w:szCs w:val="16"/>
          <w:u w:val="single" w:color="auto"/>
          <w:color w:val="auto"/>
        </w:rPr>
        <w:t>Subplan</w:t>
      </w:r>
      <w:r>
        <w:rPr>
          <w:rFonts w:ascii="Arial" w:cs="Arial" w:eastAsia="Arial" w:hAnsi="Arial"/>
          <w:sz w:val="16"/>
          <w:szCs w:val="16"/>
          <w:color w:val="auto"/>
        </w:rPr>
        <w:t>” means additional incentive compensation plans as may be established by the Board within the parameters and in accordance with the overall terms and provisions of the Plan as may be needed to facilitate local administration of the Plan in any jurisdiction in which the Company or an Affiliate operate in and to conform the Plan to the legal requirements of any such jurisdiction or to allow for favorable tax treatment under any applicable provision of tax law, including, without limitation, Appendix A – Israel, Appendix B – United States, enclosed hereto and other appendices that may be enclosed to this Plan.</w:t>
      </w:r>
    </w:p>
    <w:p>
      <w:pPr>
        <w:spacing w:after="0" w:line="166"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2.48.</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any present or future corporation which is or would be a subsidiary of the Company as determined by the Committee.</w:t>
      </w:r>
    </w:p>
    <w:p>
      <w:pPr>
        <w:spacing w:after="0" w:line="204"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2.49. “</w:t>
      </w:r>
      <w:r>
        <w:rPr>
          <w:rFonts w:ascii="Arial" w:cs="Arial" w:eastAsia="Arial" w:hAnsi="Arial"/>
          <w:sz w:val="16"/>
          <w:szCs w:val="16"/>
          <w:u w:val="single" w:color="auto"/>
          <w:color w:val="auto"/>
        </w:rPr>
        <w:t>Substitute Awards</w:t>
      </w:r>
      <w:r>
        <w:rPr>
          <w:rFonts w:ascii="Arial" w:cs="Arial" w:eastAsia="Arial" w:hAnsi="Arial"/>
          <w:sz w:val="16"/>
          <w:szCs w:val="16"/>
          <w:color w:val="auto"/>
        </w:rPr>
        <w:t>” means Awards granted or Shares issued by the Company in assumption of, or in substitution or exchange for, options or other awards previously granted, or the right or obligation to grant future options or other awards, by a company acquired by the Company and/or an Affiliate or with which the Company and/or an Affiliate combines, or otherwise in connection with any merger, consolidation, acquisition of property or stock, or reorganization involving the Company or an Affiliate.</w:t>
      </w:r>
    </w:p>
    <w:p>
      <w:pPr>
        <w:spacing w:after="0" w:line="166"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color w:val="auto"/>
        </w:rPr>
        <w:t>2.50.</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Tandem SAR</w:t>
      </w:r>
      <w:r>
        <w:rPr>
          <w:rFonts w:ascii="Arial" w:cs="Arial" w:eastAsia="Arial" w:hAnsi="Arial"/>
          <w:sz w:val="14"/>
          <w:szCs w:val="14"/>
          <w:color w:val="auto"/>
        </w:rPr>
        <w:t>” means an SAR that is granted in connection with a related Option pursuant to Article VII.</w:t>
      </w:r>
    </w:p>
    <w:p>
      <w:pPr>
        <w:spacing w:after="0" w:line="204" w:lineRule="exact"/>
        <w:rPr>
          <w:sz w:val="20"/>
          <w:szCs w:val="20"/>
          <w:color w:val="auto"/>
        </w:rPr>
      </w:pPr>
    </w:p>
    <w:p>
      <w:pPr>
        <w:jc w:val="both"/>
        <w:ind w:firstLine="581"/>
        <w:spacing w:after="0" w:line="275" w:lineRule="auto"/>
        <w:rPr>
          <w:sz w:val="20"/>
          <w:szCs w:val="20"/>
          <w:color w:val="auto"/>
        </w:rPr>
      </w:pPr>
      <w:r>
        <w:rPr>
          <w:rFonts w:ascii="Arial" w:cs="Arial" w:eastAsia="Arial" w:hAnsi="Arial"/>
          <w:sz w:val="15"/>
          <w:szCs w:val="15"/>
          <w:color w:val="auto"/>
        </w:rPr>
        <w:t>2.51.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means the termination of the applicable Participant’s employment with, or performance of services for, the Company or any Affiliate under any circumstances, including, without limitation, termination by resignation, discharge, death, disability, and retirement. Unless otherwise determined by the Committee, a Termination shall not be considered to have occurred in the case of: (i) sick leave; (ii) military leave; (iii) any other </w:t>
      </w:r>
      <w:r>
        <w:rPr>
          <w:rFonts w:ascii="Arial" w:cs="Arial" w:eastAsia="Arial" w:hAnsi="Arial"/>
          <w:sz w:val="15"/>
          <w:szCs w:val="15"/>
          <w:u w:val="single" w:color="auto"/>
          <w:color w:val="auto"/>
        </w:rPr>
        <w:t>bona fide</w:t>
      </w:r>
      <w:r>
        <w:rPr>
          <w:rFonts w:ascii="Arial" w:cs="Arial" w:eastAsia="Arial" w:hAnsi="Arial"/>
          <w:sz w:val="15"/>
          <w:szCs w:val="15"/>
          <w:color w:val="auto"/>
        </w:rPr>
        <w:t xml:space="preserve"> leave of absence approved by the Committee;</w:t>
      </w:r>
    </w:p>
    <w:p>
      <w:pPr>
        <w:spacing w:after="0" w:line="1" w:lineRule="exact"/>
        <w:rPr>
          <w:sz w:val="20"/>
          <w:szCs w:val="20"/>
          <w:color w:val="auto"/>
        </w:rPr>
      </w:pPr>
    </w:p>
    <w:p>
      <w:pPr>
        <w:jc w:val="both"/>
        <w:ind w:firstLine="1"/>
        <w:spacing w:after="0" w:line="254" w:lineRule="auto"/>
        <w:tabs>
          <w:tab w:leader="none" w:pos="27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changes in status from Director to advisory director; (v) transfers between locations of the Company or between or among the Company and/or an Affiliate or Affiliates, including, whenever there was a termination of employment or service of Participant and simultaneous reemployment (or commencement of service or employment) or continuing employment or service of a Participant by the Company or any Affiliate; or (vi) if so determined by the Committee, any change in status between service as an Employee, Director or Consultant if such individual continues to perform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services for the Company or an Affiliate. A Participant employed by, or performing services for, an Affiliate or a division of the Company or of an Affiliate shall be deemed to incur a Termination if, as a result of a Disaffiliation, such Affiliate or division ceases to be an Affiliate or such a division, as the case may be, and the Participant does not immediately thereafter become an employee of, or service provider for, the Company or another Affiliate. The Committee shall have sole discretion to determine whether and to what extent the vesting of any Awards shall be tolled during any paid or unpaid leave of absence;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absence of such determination, vesting for all Awards shall be tolled during any such unpaid leave (but not for a paid leave).</w:t>
      </w:r>
    </w:p>
    <w:p>
      <w:pPr>
        <w:spacing w:after="0" w:line="173" w:lineRule="exact"/>
        <w:rPr>
          <w:sz w:val="20"/>
          <w:szCs w:val="20"/>
          <w:color w:val="auto"/>
        </w:rPr>
      </w:pPr>
    </w:p>
    <w:p>
      <w:pPr>
        <w:ind w:firstLine="581"/>
        <w:spacing w:after="0" w:line="281" w:lineRule="auto"/>
        <w:rPr>
          <w:sz w:val="20"/>
          <w:szCs w:val="20"/>
          <w:color w:val="auto"/>
        </w:rPr>
      </w:pPr>
      <w:r>
        <w:rPr>
          <w:rFonts w:ascii="Arial" w:cs="Arial" w:eastAsia="Arial" w:hAnsi="Arial"/>
          <w:sz w:val="16"/>
          <w:szCs w:val="16"/>
          <w:color w:val="auto"/>
        </w:rPr>
        <w:t>2.52. “</w:t>
      </w:r>
      <w:r>
        <w:rPr>
          <w:rFonts w:ascii="Arial" w:cs="Arial" w:eastAsia="Arial" w:hAnsi="Arial"/>
          <w:sz w:val="16"/>
          <w:szCs w:val="16"/>
          <w:u w:val="single" w:color="auto"/>
          <w:color w:val="auto"/>
        </w:rPr>
        <w:t>Voting Securities</w:t>
      </w:r>
      <w:r>
        <w:rPr>
          <w:rFonts w:ascii="Arial" w:cs="Arial" w:eastAsia="Arial" w:hAnsi="Arial"/>
          <w:sz w:val="16"/>
          <w:szCs w:val="16"/>
          <w:color w:val="auto"/>
        </w:rPr>
        <w:t>” shall mean, with respect to any Person that is a corporation, all outstanding voting securities of such Person entitled to vote generally in the election of the board of directors of such Person.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6"/>
          <w:szCs w:val="16"/>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ADMINISTRATION</w:t>
      </w:r>
    </w:p>
    <w:p>
      <w:pPr>
        <w:spacing w:after="0" w:line="192" w:lineRule="exact"/>
        <w:rPr>
          <w:sz w:val="20"/>
          <w:szCs w:val="20"/>
          <w:color w:val="auto"/>
        </w:rPr>
      </w:pPr>
    </w:p>
    <w:p>
      <w:pPr>
        <w:jc w:val="both"/>
        <w:ind w:firstLine="581"/>
        <w:spacing w:after="0" w:line="25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The Committee shall have exclusive authority to operate, manage and administer the Plan including but not limited to authorizing and administering Subplans all in accordance with its terms and conditions. Notwithstanding the foregoing, in its absolute discretion, the Board may at any time and from time to time exercise any and all rights, duties and responsibilities of the Committee under the Plan, including establishing procedures to be followed by the Committee, but excluding matters which under any applicable law, regulation or rule, including any exemptive rule under Section 16 of the Exchange Act (including Rule 16b-3), are required to be determined in the sole discretion of the Committee. If and to the extent that the Committee may not operate in respect of any matter pursuant to Applicable Law, does not exist or cannot function, the Board may take any action under the Plan that would otherwise be the responsibility of the Committee, subject to the limitations set forth in the immediately preceding sentence. Accordingly, in any such case described in the immediately preceding sentence, any reference to the “Committee” shall also refer to the Board.</w:t>
      </w:r>
    </w:p>
    <w:p>
      <w:pPr>
        <w:spacing w:after="0" w:line="174"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Committee</w:t>
      </w:r>
      <w:r>
        <w:rPr>
          <w:rFonts w:ascii="Arial" w:cs="Arial" w:eastAsia="Arial" w:hAnsi="Arial"/>
          <w:sz w:val="14"/>
          <w:szCs w:val="14"/>
          <w:color w:val="auto"/>
        </w:rPr>
        <w:t>. The members of the Committee shall be appointed from time to time by, and shall serve at the discretion of, the Board of Directors.</w:t>
      </w:r>
    </w:p>
    <w:p>
      <w:pPr>
        <w:spacing w:after="0" w:line="204" w:lineRule="exact"/>
        <w:rPr>
          <w:sz w:val="20"/>
          <w:szCs w:val="20"/>
          <w:color w:val="auto"/>
        </w:rPr>
      </w:pPr>
    </w:p>
    <w:p>
      <w:pPr>
        <w:jc w:val="both"/>
        <w:ind w:firstLine="581"/>
        <w:spacing w:after="0" w:line="292"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Authority of the Committee</w:t>
      </w:r>
      <w:r>
        <w:rPr>
          <w:rFonts w:ascii="Arial" w:cs="Arial" w:eastAsia="Arial" w:hAnsi="Arial"/>
          <w:sz w:val="15"/>
          <w:szCs w:val="15"/>
          <w:color w:val="auto"/>
        </w:rPr>
        <w:t>. The Committee shall have full discretionary authority to grant or, when so restricted by applicable law, recommend the Board to grant, pursuant to the terms of the Plan, Awards to those individuals who are eligible to receive Awards under the Plan. Except as limited by law or by the Articles of Association of the Company, and subject to the provisions herein, the Committee shall have full power, in accordance with the other terms and provisions of the Plan, to:</w:t>
      </w:r>
    </w:p>
    <w:p>
      <w:pPr>
        <w:spacing w:after="0" w:line="146" w:lineRule="exact"/>
        <w:rPr>
          <w:sz w:val="20"/>
          <w:szCs w:val="20"/>
          <w:color w:val="auto"/>
        </w:rPr>
      </w:pPr>
    </w:p>
    <w:p>
      <w:pPr>
        <w:ind w:left="1740" w:hanging="576"/>
        <w:spacing w:after="0"/>
        <w:tabs>
          <w:tab w:leader="none" w:pos="17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select Employees, Non-Employee Directors and Consultants who may receive Awards under the Plan and become Participants;</w:t>
      </w:r>
    </w:p>
    <w:p>
      <w:pPr>
        <w:spacing w:after="0" w:line="203" w:lineRule="exact"/>
        <w:rPr>
          <w:rFonts w:ascii="Arial" w:cs="Arial" w:eastAsia="Arial" w:hAnsi="Arial"/>
          <w:sz w:val="16"/>
          <w:szCs w:val="16"/>
          <w:color w:val="auto"/>
        </w:rPr>
      </w:pPr>
    </w:p>
    <w:p>
      <w:pPr>
        <w:ind w:left="1760" w:hanging="596"/>
        <w:spacing w:after="0"/>
        <w:tabs>
          <w:tab w:leader="none" w:pos="176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determine eligibility for participation in the Plan and decide all questions concerning eligibility for, and the amount of, Awards under the Plan;</w:t>
      </w:r>
    </w:p>
    <w:p>
      <w:pPr>
        <w:spacing w:after="0" w:line="215" w:lineRule="exact"/>
        <w:rPr>
          <w:rFonts w:ascii="Arial" w:cs="Arial" w:eastAsia="Arial" w:hAnsi="Arial"/>
          <w:sz w:val="15"/>
          <w:szCs w:val="15"/>
          <w:color w:val="auto"/>
        </w:rPr>
      </w:pPr>
    </w:p>
    <w:p>
      <w:pPr>
        <w:ind w:left="1740" w:hanging="576"/>
        <w:spacing w:after="0"/>
        <w:tabs>
          <w:tab w:leader="none" w:pos="17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determine the sizes and types of Awards;</w:t>
      </w:r>
    </w:p>
    <w:p>
      <w:pPr>
        <w:spacing w:after="0" w:line="203" w:lineRule="exact"/>
        <w:rPr>
          <w:rFonts w:ascii="Arial" w:cs="Arial" w:eastAsia="Arial" w:hAnsi="Arial"/>
          <w:sz w:val="16"/>
          <w:szCs w:val="16"/>
          <w:color w:val="auto"/>
        </w:rPr>
      </w:pPr>
    </w:p>
    <w:p>
      <w:pPr>
        <w:ind w:left="1760" w:hanging="596"/>
        <w:spacing w:after="0"/>
        <w:tabs>
          <w:tab w:leader="none" w:pos="17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determine the terms and conditions of Awards, including the Option Prices of Options and the Grant Prices of SARs;</w:t>
      </w:r>
    </w:p>
    <w:p>
      <w:pPr>
        <w:spacing w:after="0" w:line="203" w:lineRule="exact"/>
        <w:rPr>
          <w:rFonts w:ascii="Arial" w:cs="Arial" w:eastAsia="Arial" w:hAnsi="Arial"/>
          <w:sz w:val="16"/>
          <w:szCs w:val="16"/>
          <w:color w:val="auto"/>
        </w:rPr>
      </w:pPr>
    </w:p>
    <w:p>
      <w:pPr>
        <w:ind w:firstLine="1164"/>
        <w:spacing w:after="0" w:line="281" w:lineRule="auto"/>
        <w:tabs>
          <w:tab w:leader="none" w:pos="187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grant Awards as an alternative to, or as the form of payment for grants or rights earned or payable under, other bonus or compensation plans, arrangements or policies of the Company or an Affiliate;</w:t>
      </w:r>
    </w:p>
    <w:p>
      <w:pPr>
        <w:spacing w:after="0" w:line="150" w:lineRule="exact"/>
        <w:rPr>
          <w:rFonts w:ascii="Arial" w:cs="Arial" w:eastAsia="Arial" w:hAnsi="Arial"/>
          <w:sz w:val="16"/>
          <w:szCs w:val="16"/>
          <w:color w:val="auto"/>
        </w:rPr>
      </w:pPr>
    </w:p>
    <w:p>
      <w:pPr>
        <w:ind w:left="1720" w:hanging="556"/>
        <w:spacing w:after="0"/>
        <w:tabs>
          <w:tab w:leader="none" w:pos="17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grant Substitute Awards on such terms and conditions as the Committee may prescribe;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75" w:name="page276"/>
    <w:bookmarkEnd w:id="275"/>
    <w:p>
      <w:pPr>
        <w:jc w:val="both"/>
        <w:ind w:firstLine="1164"/>
        <w:spacing w:after="0" w:line="355" w:lineRule="auto"/>
        <w:tabs>
          <w:tab w:leader="none" w:pos="1888" w:val="left"/>
        </w:tabs>
        <w:numPr>
          <w:ilvl w:val="0"/>
          <w:numId w:val="277"/>
        </w:numPr>
        <w:rPr>
          <w:rFonts w:ascii="Arial" w:cs="Arial" w:eastAsia="Arial" w:hAnsi="Arial"/>
          <w:sz w:val="14"/>
          <w:szCs w:val="14"/>
          <w:color w:val="auto"/>
        </w:rPr>
      </w:pPr>
      <w:r>
        <w:rPr>
          <w:rFonts w:ascii="Arial" w:cs="Arial" w:eastAsia="Arial" w:hAnsi="Arial"/>
          <w:sz w:val="14"/>
          <w:szCs w:val="14"/>
          <w:color w:val="auto"/>
        </w:rPr>
        <w:t>make all determinations under the Plan concerning Termination of any Participant’s employment or service with the Company or an Affiliate, including whether such Termination occurs by reason of cause, disability, retirement or in connection with a Change of Control and whether a leave constitutes a Termination;</w:t>
      </w:r>
    </w:p>
    <w:p>
      <w:pPr>
        <w:spacing w:after="0" w:line="105" w:lineRule="exact"/>
        <w:rPr>
          <w:rFonts w:ascii="Arial" w:cs="Arial" w:eastAsia="Arial" w:hAnsi="Arial"/>
          <w:sz w:val="14"/>
          <w:szCs w:val="14"/>
          <w:color w:val="auto"/>
        </w:rPr>
      </w:pPr>
    </w:p>
    <w:p>
      <w:pPr>
        <w:ind w:left="1760" w:hanging="596"/>
        <w:spacing w:after="0"/>
        <w:tabs>
          <w:tab w:leader="none" w:pos="17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determine whether a Change of Control shall have occurred;</w:t>
      </w:r>
    </w:p>
    <w:p>
      <w:pPr>
        <w:spacing w:after="0" w:line="203" w:lineRule="exact"/>
        <w:rPr>
          <w:rFonts w:ascii="Arial" w:cs="Arial" w:eastAsia="Arial" w:hAnsi="Arial"/>
          <w:sz w:val="16"/>
          <w:szCs w:val="16"/>
          <w:color w:val="auto"/>
        </w:rPr>
      </w:pPr>
    </w:p>
    <w:p>
      <w:pPr>
        <w:ind w:left="1720" w:hanging="556"/>
        <w:spacing w:after="0"/>
        <w:tabs>
          <w:tab w:leader="none" w:pos="172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construe and interpret the Plan and any agreement or instrument entered into under the Plan, including any Subplan and Award Agreement;</w:t>
      </w:r>
    </w:p>
    <w:p>
      <w:pPr>
        <w:spacing w:after="0" w:line="215" w:lineRule="exact"/>
        <w:rPr>
          <w:rFonts w:ascii="Arial" w:cs="Arial" w:eastAsia="Arial" w:hAnsi="Arial"/>
          <w:sz w:val="15"/>
          <w:szCs w:val="15"/>
          <w:color w:val="auto"/>
        </w:rPr>
      </w:pPr>
    </w:p>
    <w:p>
      <w:pPr>
        <w:ind w:left="1760" w:hanging="596"/>
        <w:spacing w:after="0"/>
        <w:tabs>
          <w:tab w:leader="none" w:pos="176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establish and administer any terms, conditions, restrictions, limitations, forfeiture, vesting or exercise schedule, and other provisions of or relating</w:t>
      </w:r>
    </w:p>
    <w:p>
      <w:pPr>
        <w:spacing w:after="0" w:line="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to any Award;</w:t>
      </w:r>
    </w:p>
    <w:p>
      <w:pPr>
        <w:spacing w:after="0" w:line="191" w:lineRule="exact"/>
        <w:rPr>
          <w:rFonts w:ascii="Arial" w:cs="Arial" w:eastAsia="Arial" w:hAnsi="Arial"/>
          <w:sz w:val="14"/>
          <w:szCs w:val="14"/>
          <w:color w:val="auto"/>
        </w:rPr>
      </w:pPr>
    </w:p>
    <w:p>
      <w:pPr>
        <w:ind w:firstLine="1164"/>
        <w:spacing w:after="0" w:line="281" w:lineRule="auto"/>
        <w:tabs>
          <w:tab w:leader="none" w:pos="175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establish and administer any performance goals in connection with any Awards, including performance criteria and applicable performance periods, determine the extent to which any performance goals and/or other terms and conditions of an Award are attained or are not attained;</w:t>
      </w:r>
    </w:p>
    <w:p>
      <w:pPr>
        <w:spacing w:after="0" w:line="150" w:lineRule="exact"/>
        <w:rPr>
          <w:rFonts w:ascii="Arial" w:cs="Arial" w:eastAsia="Arial" w:hAnsi="Arial"/>
          <w:sz w:val="16"/>
          <w:szCs w:val="16"/>
          <w:color w:val="auto"/>
        </w:rPr>
      </w:pPr>
    </w:p>
    <w:p>
      <w:pPr>
        <w:ind w:firstLine="1164"/>
        <w:spacing w:after="0" w:line="281" w:lineRule="auto"/>
        <w:tabs>
          <w:tab w:leader="none" w:pos="180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construe any ambiguous provisions, correct any defects, supply any omissions and reconcile any inconsistencies in the Plan, Subplan and/or any Award Agreement or any other instrument relating to any Awards;</w:t>
      </w:r>
    </w:p>
    <w:p>
      <w:pPr>
        <w:spacing w:after="0" w:line="150" w:lineRule="exact"/>
        <w:rPr>
          <w:rFonts w:ascii="Arial" w:cs="Arial" w:eastAsia="Arial" w:hAnsi="Arial"/>
          <w:sz w:val="16"/>
          <w:szCs w:val="16"/>
          <w:color w:val="auto"/>
        </w:rPr>
      </w:pPr>
    </w:p>
    <w:p>
      <w:pPr>
        <w:ind w:left="1960" w:hanging="796"/>
        <w:spacing w:after="0"/>
        <w:tabs>
          <w:tab w:leader="none" w:pos="196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establish, adopt, amend, waive and/or rescind rules, regulations, procedures, guidelines, forms and/or instruments for the Plan’s operation or</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administration;</w:t>
      </w:r>
    </w:p>
    <w:p>
      <w:pPr>
        <w:spacing w:after="0" w:line="191" w:lineRule="exact"/>
        <w:rPr>
          <w:rFonts w:ascii="Arial" w:cs="Arial" w:eastAsia="Arial" w:hAnsi="Arial"/>
          <w:sz w:val="15"/>
          <w:szCs w:val="15"/>
          <w:color w:val="auto"/>
        </w:rPr>
      </w:pPr>
    </w:p>
    <w:p>
      <w:pPr>
        <w:ind w:left="1760" w:hanging="596"/>
        <w:spacing w:after="0"/>
        <w:tabs>
          <w:tab w:leader="none" w:pos="17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make all valuation determinations relating to Awards and the payment or settlement thereof;</w:t>
      </w:r>
    </w:p>
    <w:p>
      <w:pPr>
        <w:spacing w:after="0" w:line="203" w:lineRule="exact"/>
        <w:rPr>
          <w:rFonts w:ascii="Arial" w:cs="Arial" w:eastAsia="Arial" w:hAnsi="Arial"/>
          <w:sz w:val="16"/>
          <w:szCs w:val="16"/>
          <w:color w:val="auto"/>
        </w:rPr>
      </w:pPr>
    </w:p>
    <w:p>
      <w:pPr>
        <w:ind w:left="1760" w:hanging="596"/>
        <w:spacing w:after="0"/>
        <w:tabs>
          <w:tab w:leader="none" w:pos="176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grant waivers of terms, conditions, restrictions and limitations under the Plan or applicable to any Award, or accelerate the vesting or exercisability</w:t>
      </w:r>
    </w:p>
    <w:p>
      <w:pPr>
        <w:spacing w:after="0" w:line="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of any Award;</w:t>
      </w:r>
    </w:p>
    <w:p>
      <w:pPr>
        <w:spacing w:after="0" w:line="191" w:lineRule="exact"/>
        <w:rPr>
          <w:rFonts w:ascii="Arial" w:cs="Arial" w:eastAsia="Arial" w:hAnsi="Arial"/>
          <w:sz w:val="14"/>
          <w:szCs w:val="14"/>
          <w:color w:val="auto"/>
        </w:rPr>
      </w:pPr>
    </w:p>
    <w:p>
      <w:pPr>
        <w:ind w:firstLine="1164"/>
        <w:spacing w:after="0" w:line="281" w:lineRule="auto"/>
        <w:tabs>
          <w:tab w:leader="none" w:pos="1803" w:val="left"/>
        </w:tabs>
        <w:numPr>
          <w:ilvl w:val="0"/>
          <w:numId w:val="277"/>
        </w:numPr>
        <w:rPr>
          <w:rFonts w:ascii="Arial" w:cs="Arial" w:eastAsia="Arial" w:hAnsi="Arial"/>
          <w:sz w:val="16"/>
          <w:szCs w:val="16"/>
          <w:color w:val="auto"/>
        </w:rPr>
      </w:pPr>
      <w:r>
        <w:rPr>
          <w:rFonts w:ascii="Arial" w:cs="Arial" w:eastAsia="Arial" w:hAnsi="Arial"/>
          <w:sz w:val="16"/>
          <w:szCs w:val="16"/>
          <w:color w:val="auto"/>
        </w:rPr>
        <w:t>subject to the provisions of Article XV, amend or adjust the terms and conditions of any outstanding Award and/or adjust the number and/or class of shares subject to any outstanding Award;</w:t>
      </w:r>
    </w:p>
    <w:p>
      <w:pPr>
        <w:spacing w:after="0" w:line="150" w:lineRule="exact"/>
        <w:rPr>
          <w:rFonts w:ascii="Arial" w:cs="Arial" w:eastAsia="Arial" w:hAnsi="Arial"/>
          <w:sz w:val="16"/>
          <w:szCs w:val="16"/>
          <w:color w:val="auto"/>
        </w:rPr>
      </w:pPr>
    </w:p>
    <w:p>
      <w:pPr>
        <w:jc w:val="both"/>
        <w:ind w:firstLine="1164"/>
        <w:spacing w:after="0" w:line="285" w:lineRule="auto"/>
        <w:tabs>
          <w:tab w:leader="none" w:pos="1839" w:val="left"/>
        </w:tabs>
        <w:numPr>
          <w:ilvl w:val="0"/>
          <w:numId w:val="277"/>
        </w:numPr>
        <w:rPr>
          <w:rFonts w:ascii="Arial" w:cs="Arial" w:eastAsia="Arial" w:hAnsi="Arial"/>
          <w:sz w:val="15"/>
          <w:szCs w:val="15"/>
          <w:color w:val="auto"/>
        </w:rPr>
      </w:pPr>
      <w:r>
        <w:rPr>
          <w:rFonts w:ascii="Arial" w:cs="Arial" w:eastAsia="Arial" w:hAnsi="Arial"/>
          <w:sz w:val="15"/>
          <w:szCs w:val="15"/>
          <w:color w:val="auto"/>
        </w:rPr>
        <w:t>at any time and from time to time after the granting of an Award, specify such additional terms, conditions and restrictions with respect to such Award as may be deemed necessary or appropriate to ensure or facilitate compliance with any and all applicable laws or rules, including terms, restrictions and conditions for compliance with applicable securities laws or listing rules, methods of withholding or providing for the payment of required taxes and restrictions regarding a Participant’s ability to exercise Options through a cashless (broker-assisted) exercise or to achieve favorable tax treatment for the Participant and/or the Company;</w:t>
      </w:r>
    </w:p>
    <w:p>
      <w:pPr>
        <w:spacing w:after="0" w:line="149" w:lineRule="exact"/>
        <w:rPr>
          <w:rFonts w:ascii="Arial" w:cs="Arial" w:eastAsia="Arial" w:hAnsi="Arial"/>
          <w:sz w:val="15"/>
          <w:szCs w:val="15"/>
          <w:color w:val="auto"/>
        </w:rPr>
      </w:pPr>
    </w:p>
    <w:p>
      <w:pPr>
        <w:ind w:firstLine="1164"/>
        <w:spacing w:after="0" w:line="281" w:lineRule="auto"/>
        <w:tabs>
          <w:tab w:leader="none" w:pos="18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offer to buy out an Award previously granted, based on such terms and conditions as the Committee shall establish with and communicate to the Participant at the time such offer is made;</w:t>
      </w:r>
    </w:p>
    <w:p>
      <w:pPr>
        <w:spacing w:after="0" w:line="150" w:lineRule="exact"/>
        <w:rPr>
          <w:rFonts w:ascii="Arial" w:cs="Arial" w:eastAsia="Arial" w:hAnsi="Arial"/>
          <w:sz w:val="16"/>
          <w:szCs w:val="16"/>
          <w:color w:val="auto"/>
        </w:rPr>
      </w:pPr>
    </w:p>
    <w:p>
      <w:pPr>
        <w:ind w:left="1900" w:hanging="736"/>
        <w:spacing w:after="0"/>
        <w:tabs>
          <w:tab w:leader="none" w:pos="190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determine whether, and to what extent and under what circumstances Awards may be settled in cash, Shares or other property or canceled or</w:t>
      </w:r>
    </w:p>
    <w:p>
      <w:pPr>
        <w:spacing w:after="0" w:line="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suspended;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76" w:name="page277"/>
    <w:bookmarkEnd w:id="276"/>
    <w:p>
      <w:pPr>
        <w:ind w:left="1720" w:hanging="556"/>
        <w:spacing w:after="0"/>
        <w:tabs>
          <w:tab w:leader="none" w:pos="172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establish any “blackout” period that the Committee in its sole discretion deems necessary or advisable; and</w:t>
      </w:r>
    </w:p>
    <w:p>
      <w:pPr>
        <w:spacing w:after="0" w:line="203" w:lineRule="exact"/>
        <w:rPr>
          <w:rFonts w:ascii="Arial" w:cs="Arial" w:eastAsia="Arial" w:hAnsi="Arial"/>
          <w:sz w:val="16"/>
          <w:szCs w:val="16"/>
          <w:color w:val="auto"/>
        </w:rPr>
      </w:pPr>
    </w:p>
    <w:p>
      <w:pPr>
        <w:ind w:firstLine="1164"/>
        <w:spacing w:after="0" w:line="281" w:lineRule="auto"/>
        <w:tabs>
          <w:tab w:leader="none" w:pos="185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exercise all such other authorities, take all such other actions and make all such other determinations as it deems necessary or advisable for the proper operation and/or administration of the Plan.</w:t>
      </w:r>
    </w:p>
    <w:p>
      <w:pPr>
        <w:spacing w:after="0" w:line="151" w:lineRule="exact"/>
        <w:rPr>
          <w:sz w:val="20"/>
          <w:szCs w:val="20"/>
          <w:color w:val="auto"/>
        </w:rPr>
      </w:pPr>
    </w:p>
    <w:p>
      <w:pPr>
        <w:jc w:val="both"/>
        <w:ind w:firstLine="581"/>
        <w:spacing w:after="0" w:line="274"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Award Agreements</w:t>
      </w:r>
      <w:r>
        <w:rPr>
          <w:rFonts w:ascii="Arial" w:cs="Arial" w:eastAsia="Arial" w:hAnsi="Arial"/>
          <w:sz w:val="15"/>
          <w:szCs w:val="15"/>
          <w:color w:val="auto"/>
        </w:rPr>
        <w:t xml:space="preserve">. The Committee shall, subject to applicable laws and rules, determine the date an Award is granted. Each Award shall be evidenced by an Award Agreement;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two or more Awards granted to a single Participant may be combined in a single Award Agreement. Unless required by Applicable Law, an Award Agreement shall not be a precondition to the granting of an Award;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the Committee may, but need not, require as a condition to any Award Agreement’s effectiveness, that such Award Agreement be executed on behalf of the Company and/or by the Participant to whom the Award evidenced thereby shall have been granted (including by electronic signature or other electronic indication of acceptance), and such executed Award Agreement be delivered to the Company, and (b) no person shall have any rights under any Award unless and until the Participant to whom such Award shall have been granted has complied with the applicable terms and conditions of the Award. The Committee shall prescribe the form of all Award Agreements, and, subject to the terms and conditions of the Plan, shall determine the content of all Award Agreements. Any Award Agreement may be supplemented or amended in writing from time to time as approved by the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terms and conditions of any such Award Agreement as supplemented or amended are not inconsistent with the provisions of the Plan. In the event of any dispute or discrepancy concerning the terms of an Award, the records of the Committee or its designee shall be determinative.</w:t>
      </w:r>
    </w:p>
    <w:p>
      <w:pPr>
        <w:spacing w:after="0" w:line="163"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Discretionary Authority; Decisions Binding</w:t>
      </w:r>
      <w:r>
        <w:rPr>
          <w:rFonts w:ascii="Arial" w:cs="Arial" w:eastAsia="Arial" w:hAnsi="Arial"/>
          <w:sz w:val="16"/>
          <w:szCs w:val="16"/>
          <w:color w:val="auto"/>
        </w:rPr>
        <w:t>. The Committee shall have full discretionary authority in all matters related to the discharge of its responsibilities and the exercise of its authority under the Plan. All determinations, decisions, actions and interpretations by the Committee with respect to the Plan and any Award Agreement, and all related orders and resolutions of the Committee shall be final, conclusive and binding on all Participants, the Company and its shareholders, any Affiliate and all persons having or claiming to have any right or interest in or under the Plan and/or any Award Agreement. The Committee shall consider such factors as it deems relevant to making or taking such decisions, determinations, actions and interpretations, including the recommendations or advice of any Director or officer or employee of the Company, any director, officer or employee of an Affiliate and such attorneys, consultants and accountants as the Committee may select in its sole and absolute discretion.</w:t>
      </w:r>
    </w:p>
    <w:p>
      <w:pPr>
        <w:spacing w:after="0" w:line="171" w:lineRule="exact"/>
        <w:rPr>
          <w:sz w:val="20"/>
          <w:szCs w:val="20"/>
          <w:color w:val="auto"/>
        </w:rPr>
      </w:pPr>
    </w:p>
    <w:p>
      <w:pPr>
        <w:jc w:val="both"/>
        <w:ind w:firstLine="581"/>
        <w:spacing w:after="0" w:line="285"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Attorneys; Consultants</w:t>
      </w:r>
      <w:r>
        <w:rPr>
          <w:rFonts w:ascii="Arial" w:cs="Arial" w:eastAsia="Arial" w:hAnsi="Arial"/>
          <w:sz w:val="15"/>
          <w:szCs w:val="15"/>
          <w:color w:val="auto"/>
        </w:rPr>
        <w:t>. The Committee may consult with counsel who may be counsel to the Company. The Committee may, with the approval of the Board, employ such other attorneys and/or consultants, accountants, appraisers, brokers, agents and other persons, any of whom may be an Employee, as the Committee deems necessary or appropriate. The Committee, the Company and its officers and Directors shall be entitled to rely upon the advice, opinions or valuations of any such persons. The Committee shall not incur any liability for any action taken in good faith in reliance upon the advice of such counsel or other persons.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77" w:name="page278"/>
    <w:bookmarkEnd w:id="277"/>
    <w:p>
      <w:pPr>
        <w:jc w:val="both"/>
        <w:ind w:firstLine="581"/>
        <w:spacing w:after="0" w:line="302"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Delegation of Administration</w:t>
      </w:r>
      <w:r>
        <w:rPr>
          <w:rFonts w:ascii="Arial" w:cs="Arial" w:eastAsia="Arial" w:hAnsi="Arial"/>
          <w:sz w:val="14"/>
          <w:szCs w:val="14"/>
          <w:color w:val="auto"/>
        </w:rPr>
        <w:t xml:space="preserve">. Except to the extent prohibited or restricted by applicable law, including any applicable exemptive rule under Section 16 of the Exchange Act (including Rule 16b-3), or the applicable rules of a stock exchange, the Committee may, in its discretion, allocate all or any portion of its responsibilities and powers under this Article III to any one or more of its members and/or delegate all or any part of its responsibilities and powers under this Article III to any person or persons selected by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Committee may not delegate its authority to correct defects, omissions or inconsistencies in the Plan. Any such authority delegated or allocated by the Committee under this Section 3.7 shall be exercised in accordance with the terms and conditions of the Plan and any rules, regulations or administrative guidelines that may from time to time be established by the Committee, and any such allocation or delegation may be revoked by the Committee at any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SHARES SUBJECT TO THE PLAN</w:t>
      </w:r>
    </w:p>
    <w:p>
      <w:pPr>
        <w:spacing w:after="0" w:line="192" w:lineRule="exact"/>
        <w:rPr>
          <w:sz w:val="20"/>
          <w:szCs w:val="20"/>
          <w:color w:val="auto"/>
        </w:rPr>
      </w:pPr>
    </w:p>
    <w:p>
      <w:pPr>
        <w:jc w:val="both"/>
        <w:ind w:firstLine="581"/>
        <w:spacing w:after="0" w:line="292"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Number of Shares Available for Issuance</w:t>
      </w:r>
      <w:r>
        <w:rPr>
          <w:rFonts w:ascii="Arial" w:cs="Arial" w:eastAsia="Arial" w:hAnsi="Arial"/>
          <w:sz w:val="14"/>
          <w:szCs w:val="14"/>
          <w:color w:val="auto"/>
        </w:rPr>
        <w:t xml:space="preserve">. The shares subject to Awards granted under the Plan shall be Ordinary Shares. Such Shares subject to the Plan may be authorized and unissued shares (which will not be subject to preemptive rights), Shares held in treasury by the Company, Shares purchased on the open market or by private purchase or any combination of the foregoing. Subject to adjustment as provided in Section 4.3, the total number of Shares that may be issued pursuant to Awards under the Plan shall be the sum of (i) 661,745 Shares;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 on January 1 of each calendar year during the term of the Plan a number of Shares equal to the lesser of: (x) 1,965,930, (y) 3% of the total number of Shares outstanding on December 31 of the immediately preceding calendar year, and (z) an amount determined by the Board; </w:t>
      </w:r>
      <w:r>
        <w:rPr>
          <w:rFonts w:ascii="Arial" w:cs="Arial" w:eastAsia="Arial" w:hAnsi="Arial"/>
          <w:sz w:val="14"/>
          <w:szCs w:val="14"/>
          <w:u w:val="single" w:color="auto"/>
          <w:color w:val="auto"/>
        </w:rPr>
        <w:t>plus</w:t>
      </w:r>
    </w:p>
    <w:p>
      <w:pPr>
        <w:spacing w:after="0" w:line="2" w:lineRule="exact"/>
        <w:rPr>
          <w:sz w:val="20"/>
          <w:szCs w:val="20"/>
          <w:color w:val="auto"/>
        </w:rPr>
      </w:pPr>
    </w:p>
    <w:p>
      <w:pPr>
        <w:jc w:val="both"/>
        <w:ind w:firstLine="1"/>
        <w:spacing w:after="0" w:line="257" w:lineRule="auto"/>
        <w:tabs>
          <w:tab w:leader="none" w:pos="28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number of Shares available for issuance under the Kornit Digital Ltd. 2012 Share Incentive Plan and the 2004 Share Option Plan (collectively, the “</w:t>
      </w:r>
      <w:r>
        <w:rPr>
          <w:rFonts w:ascii="Arial" w:cs="Arial" w:eastAsia="Arial" w:hAnsi="Arial"/>
          <w:sz w:val="16"/>
          <w:szCs w:val="16"/>
          <w:u w:val="single" w:color="auto"/>
          <w:color w:val="auto"/>
        </w:rPr>
        <w:t>Prior Plans</w:t>
      </w:r>
      <w:r>
        <w:rPr>
          <w:rFonts w:ascii="Arial" w:cs="Arial" w:eastAsia="Arial" w:hAnsi="Arial"/>
          <w:sz w:val="16"/>
          <w:szCs w:val="16"/>
          <w:color w:val="auto"/>
        </w:rPr>
        <w:t xml:space="preserve">”) as of the Effective Date; plus (iv) the number of Shares available for issuance under the Prior Plans upon forfeiture of an award under the Prior Plans, in accordance with the their terms. From and after the Effective Date, no further grants or awards shall be made under the Prior Plans; </w:t>
      </w:r>
      <w:r>
        <w:rPr>
          <w:rFonts w:ascii="Arial" w:cs="Arial" w:eastAsia="Arial" w:hAnsi="Arial"/>
          <w:sz w:val="16"/>
          <w:szCs w:val="16"/>
          <w:u w:val="single" w:color="auto"/>
          <w:color w:val="auto"/>
        </w:rPr>
        <w:t>however</w:t>
      </w:r>
      <w:r>
        <w:rPr>
          <w:rFonts w:ascii="Arial" w:cs="Arial" w:eastAsia="Arial" w:hAnsi="Arial"/>
          <w:sz w:val="16"/>
          <w:szCs w:val="16"/>
          <w:color w:val="auto"/>
        </w:rPr>
        <w:t>, grants or awards made under the Prior Plans before the Effective Date shall continue in effect in accordance with their terms.</w:t>
      </w:r>
    </w:p>
    <w:p>
      <w:pPr>
        <w:spacing w:after="0" w:line="169"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u w:val="single" w:color="auto"/>
          <w:color w:val="auto"/>
        </w:rPr>
        <w:t>Rules for Calculating Shares Issued</w:t>
      </w:r>
      <w:r>
        <w:rPr>
          <w:rFonts w:ascii="Arial" w:cs="Arial" w:eastAsia="Arial" w:hAnsi="Arial"/>
          <w:sz w:val="14"/>
          <w:szCs w:val="14"/>
          <w:color w:val="auto"/>
        </w:rPr>
        <w:t>.</w:t>
      </w:r>
    </w:p>
    <w:p>
      <w:pPr>
        <w:spacing w:after="0" w:line="204" w:lineRule="exact"/>
        <w:rPr>
          <w:sz w:val="20"/>
          <w:szCs w:val="20"/>
          <w:color w:val="auto"/>
        </w:rPr>
      </w:pPr>
    </w:p>
    <w:p>
      <w:pPr>
        <w:jc w:val="both"/>
        <w:ind w:firstLine="1164"/>
        <w:spacing w:after="0" w:line="322" w:lineRule="auto"/>
        <w:tabs>
          <w:tab w:leader="none" w:pos="1867" w:val="left"/>
        </w:tabs>
        <w:numPr>
          <w:ilvl w:val="0"/>
          <w:numId w:val="280"/>
        </w:numPr>
        <w:rPr>
          <w:rFonts w:ascii="Arial" w:cs="Arial" w:eastAsia="Arial" w:hAnsi="Arial"/>
          <w:sz w:val="14"/>
          <w:szCs w:val="14"/>
          <w:color w:val="auto"/>
        </w:rPr>
      </w:pPr>
      <w:r>
        <w:rPr>
          <w:rFonts w:ascii="Arial" w:cs="Arial" w:eastAsia="Arial" w:hAnsi="Arial"/>
          <w:sz w:val="14"/>
          <w:szCs w:val="14"/>
          <w:color w:val="auto"/>
        </w:rPr>
        <w:t>Shares underlying Awards (or awards under the Prior Plans that are (x) forfeited (including any Shares subject to an Award (or any such other award) that are repurchased by the Company due to failure to meet any applicable condition), cancelled, terminated or expire unexercised, or (y) settled in cash in lieu of issuance of Shares shall be available for issuance pursuant to future Awards, to the extent that such Shares are forfeited, repurchased or not issued under any such Award.</w:t>
      </w:r>
    </w:p>
    <w:p>
      <w:pPr>
        <w:spacing w:after="0" w:line="127" w:lineRule="exact"/>
        <w:rPr>
          <w:rFonts w:ascii="Arial" w:cs="Arial" w:eastAsia="Arial" w:hAnsi="Arial"/>
          <w:sz w:val="14"/>
          <w:szCs w:val="14"/>
          <w:color w:val="auto"/>
        </w:rPr>
      </w:pPr>
    </w:p>
    <w:p>
      <w:pPr>
        <w:jc w:val="both"/>
        <w:ind w:firstLine="1164"/>
        <w:spacing w:after="0" w:line="267" w:lineRule="auto"/>
        <w:tabs>
          <w:tab w:leader="none" w:pos="180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Any Shares tendered to pay the Option Price of an Option or other purchase price of an Award (or the option price or other purchase price of any option or other award under the Prior Plans), or withholding tax obligations with respect to an Award (or any awards under the Prior Plans), shall be available for issuance pursuant to future Awards.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78" w:name="page279"/>
    <w:bookmarkEnd w:id="278"/>
    <w:p>
      <w:pPr>
        <w:jc w:val="both"/>
        <w:ind w:firstLine="1164"/>
        <w:spacing w:after="0" w:line="262" w:lineRule="auto"/>
        <w:tabs>
          <w:tab w:leader="none" w:pos="180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If any Shares subject to an Award (or any award under the Prior Plans) are not delivered to a Participant because (A) such Shares are withheld to pay the Option Price or other purchase price of such Award (or any award under the Prior Plans), or withholding tax obligations with respect to such Award (or other such award) or (B) a payment upon exercise of a Share Appreciation Right is made in Shares, the number of Shares subject to the exercised or purchased portion of any such Award that are not delivered to the Participant shall be available for issuance pursuant to future Awards.</w:t>
      </w:r>
    </w:p>
    <w:p>
      <w:pPr>
        <w:spacing w:after="0" w:line="165" w:lineRule="exact"/>
        <w:rPr>
          <w:rFonts w:ascii="Arial" w:cs="Arial" w:eastAsia="Arial" w:hAnsi="Arial"/>
          <w:sz w:val="16"/>
          <w:szCs w:val="16"/>
          <w:color w:val="auto"/>
        </w:rPr>
      </w:pPr>
    </w:p>
    <w:p>
      <w:pPr>
        <w:ind w:left="1760" w:hanging="596"/>
        <w:spacing w:after="0"/>
        <w:tabs>
          <w:tab w:leader="none" w:pos="1760" w:val="left"/>
        </w:tabs>
        <w:numPr>
          <w:ilvl w:val="0"/>
          <w:numId w:val="281"/>
        </w:numPr>
        <w:rPr>
          <w:rFonts w:ascii="Arial" w:cs="Arial" w:eastAsia="Arial" w:hAnsi="Arial"/>
          <w:sz w:val="14"/>
          <w:szCs w:val="14"/>
          <w:color w:val="auto"/>
        </w:rPr>
      </w:pPr>
      <w:r>
        <w:rPr>
          <w:rFonts w:ascii="Arial" w:cs="Arial" w:eastAsia="Arial" w:hAnsi="Arial"/>
          <w:sz w:val="14"/>
          <w:szCs w:val="14"/>
          <w:color w:val="auto"/>
        </w:rPr>
        <w:t>Any Shares delivered under the Plan upon exercise or satisfaction of Substitute Awards shall not reduce the Shares available for issuance under the</w:t>
      </w:r>
    </w:p>
    <w:p>
      <w:pPr>
        <w:spacing w:after="0" w:line="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Plan.</w:t>
      </w:r>
    </w:p>
    <w:p>
      <w:pPr>
        <w:spacing w:after="0" w:line="192" w:lineRule="exact"/>
        <w:rPr>
          <w:sz w:val="20"/>
          <w:szCs w:val="20"/>
          <w:color w:val="auto"/>
        </w:rPr>
      </w:pPr>
    </w:p>
    <w:p>
      <w:pPr>
        <w:jc w:val="both"/>
        <w:ind w:firstLine="581"/>
        <w:spacing w:after="0" w:line="25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Adjustment Provisions</w:t>
      </w:r>
      <w:r>
        <w:rPr>
          <w:rFonts w:ascii="Arial" w:cs="Arial" w:eastAsia="Arial" w:hAnsi="Arial"/>
          <w:sz w:val="16"/>
          <w:szCs w:val="16"/>
          <w:color w:val="auto"/>
        </w:rPr>
        <w:t>. Notwithstanding any other provisions of the Plan to the contrary, in the event of (a) any dividend (excluding any ordinary dividend) or other distribution (whether in the form of cash, Shares, other securities or other property), recapitalization, stock split, reverse stock split, reorganization, merger, consolidation, split-up, split-off, combination, repurchase or exchange of Shares or other securities of the Company, issuance of warrants or other rights to acquire Shares or other securities of the Company to all holders of the Company’s outstanding Shares, or other similar corporate transaction or event (including a Change of Control) that affects the Shares, or (b) any unusual or nonrecurring events (including a Change of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subject to Applicable Law, the Committee shall make any such adjustments in such manner as it may deem equitable, without obtaining Participants’ consent, including any or all of the following:</w:t>
      </w:r>
    </w:p>
    <w:p>
      <w:pPr>
        <w:spacing w:after="0" w:line="172" w:lineRule="exact"/>
        <w:rPr>
          <w:sz w:val="20"/>
          <w:szCs w:val="20"/>
          <w:color w:val="auto"/>
        </w:rPr>
      </w:pPr>
    </w:p>
    <w:p>
      <w:pPr>
        <w:jc w:val="both"/>
        <w:ind w:left="580" w:firstLine="584"/>
        <w:spacing w:after="0" w:line="285" w:lineRule="auto"/>
        <w:tabs>
          <w:tab w:leader="none" w:pos="1766" w:val="left"/>
        </w:tabs>
        <w:numPr>
          <w:ilvl w:val="0"/>
          <w:numId w:val="282"/>
        </w:numPr>
        <w:rPr>
          <w:rFonts w:ascii="Arial" w:cs="Arial" w:eastAsia="Arial" w:hAnsi="Arial"/>
          <w:sz w:val="15"/>
          <w:szCs w:val="15"/>
          <w:color w:val="auto"/>
        </w:rPr>
      </w:pPr>
      <w:r>
        <w:rPr>
          <w:rFonts w:ascii="Arial" w:cs="Arial" w:eastAsia="Arial" w:hAnsi="Arial"/>
          <w:sz w:val="15"/>
          <w:szCs w:val="15"/>
          <w:color w:val="auto"/>
        </w:rPr>
        <w:t>adjusting any or all of (A) the number of Shares or other securities of the Company (or number and kind of other securities or other property) that may be delivered in respect of Awards or with respect to which Awards may be granted under the Plan and (B) the terms of any outstanding Award, including (1) the number of Shares or other securities of the Company (or number and kind of other securities or other property) subject to outstanding Awards or to which outstanding Awards relate, (2) the Option Price or Grant Price with respect to any Award or (3) any applicable performance measures;</w:t>
      </w:r>
    </w:p>
    <w:p>
      <w:pPr>
        <w:spacing w:after="0" w:line="149" w:lineRule="exact"/>
        <w:rPr>
          <w:rFonts w:ascii="Arial" w:cs="Arial" w:eastAsia="Arial" w:hAnsi="Arial"/>
          <w:sz w:val="15"/>
          <w:szCs w:val="15"/>
          <w:color w:val="auto"/>
        </w:rPr>
      </w:pPr>
    </w:p>
    <w:p>
      <w:pPr>
        <w:ind w:left="580" w:firstLine="584"/>
        <w:spacing w:after="0" w:line="281" w:lineRule="auto"/>
        <w:tabs>
          <w:tab w:leader="none" w:pos="178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providing for a substitution or assumption of Awards, accelerating the exercisability of, lapse of restrictions (including any Period of Restriction) on, or termination of, Awards or providing for a period of time for exercise prior to the occurrence of such event; and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79" w:name="page280"/>
    <w:bookmarkEnd w:id="279"/>
    <w:p>
      <w:pPr>
        <w:jc w:val="both"/>
        <w:ind w:left="580" w:firstLine="584"/>
        <w:spacing w:after="0" w:line="257" w:lineRule="auto"/>
        <w:tabs>
          <w:tab w:leader="none" w:pos="1763" w:val="left"/>
        </w:tabs>
        <w:numPr>
          <w:ilvl w:val="0"/>
          <w:numId w:val="283"/>
        </w:numPr>
        <w:rPr>
          <w:rFonts w:ascii="Arial" w:cs="Arial" w:eastAsia="Arial" w:hAnsi="Arial"/>
          <w:sz w:val="16"/>
          <w:szCs w:val="16"/>
          <w:color w:val="auto"/>
        </w:rPr>
      </w:pPr>
      <w:r>
        <w:rPr>
          <w:rFonts w:ascii="Arial" w:cs="Arial" w:eastAsia="Arial" w:hAnsi="Arial"/>
          <w:sz w:val="16"/>
          <w:szCs w:val="16"/>
          <w:color w:val="auto"/>
        </w:rPr>
        <w:t>cancelling any one or more outstanding Awards and causing to be paid to the holders thereof, in cash, Shares, other securities or other property, or any combination thereof, the value of such Awards, if any, as determined by the Committee (which, if applicable, may be based upon the price per Share received or to be received by other stockholders of the Company in such event, as the Committee shall resolve), including, in the case of an outstanding Option or SAR, a cash payment in an amount equal to the excess, if any, of the Fair Market Value (as of a date specified by the Committee) of the Shares subject to such Option or SAR over the aggregate Option Price or Grant Price of such Option or SAR, respectively (it is being understood that, in such event, any Option or SAR having a per share Option Price or Grant Price equal to, or in excess of, the Fair Market Value of a Share may be canceled and terminated without any payment or consideration therefor);</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“equity restructuring” (within the meaning of Financial Accounting Standards Board Accounting Standards Codification Topic 718, Compensation — Stock Compensation (or any successor pronouncement)), the Committee shall make an equitable or proportionate adjustment to outstanding Awards to reflect such equity restructuring. Any adjustments under this Section 4.3 shall be made in a manner that does not adversely affect the exemption provided pursuant to Rule 16b-3 under the Exchange Act, to the extent applicable. Any actions or determinations of the Committee under this Section 4.3 need not be uniform as to all outstanding Awards, nor treat all Participants identically. All determinations of the Committee as to adjustments, if any, under this Section 4.3 shall be conclusive and binding for all purposes.</w:t>
      </w:r>
    </w:p>
    <w:p>
      <w:pPr>
        <w:spacing w:after="0" w:line="170" w:lineRule="exact"/>
        <w:rPr>
          <w:sz w:val="20"/>
          <w:szCs w:val="20"/>
          <w:color w:val="auto"/>
        </w:rPr>
      </w:pPr>
    </w:p>
    <w:p>
      <w:pPr>
        <w:jc w:val="both"/>
        <w:ind w:firstLine="581"/>
        <w:spacing w:after="0" w:line="285"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No Limitation on Corporate Actions</w:t>
      </w:r>
      <w:r>
        <w:rPr>
          <w:rFonts w:ascii="Arial" w:cs="Arial" w:eastAsia="Arial" w:hAnsi="Arial"/>
          <w:sz w:val="15"/>
          <w:szCs w:val="15"/>
          <w:color w:val="auto"/>
        </w:rPr>
        <w:t>. The existence of the Plan and any Awards granted hereunder shall not affect in any way the right or power of the Company or any Affiliate to make or authorize any adjustment, recapitalization, reorganization or other change in its capital structure or business structure, any merger or consolidation, any issuance of debt, preferred or prior preference stock ahead of or affecting the Shares, additional shares of capital stock or other securities or subscription rights thereto, any dissolution or liquidation, any sale or transfer of all or part of its assets or business or any other corporate act or proceeding.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ELIGIBILITY AND PARTICIPATION</w:t>
      </w:r>
    </w:p>
    <w:p>
      <w:pPr>
        <w:spacing w:after="0" w:line="192"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Employees, Non-Employee Directors and Consultants shall be eligible to become Participants and receive Awards in accordance with the terms and conditions of the Plan.</w:t>
      </w:r>
    </w:p>
    <w:p>
      <w:pPr>
        <w:spacing w:after="0" w:line="15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Actual Participation</w:t>
      </w:r>
      <w:r>
        <w:rPr>
          <w:rFonts w:ascii="Arial" w:cs="Arial" w:eastAsia="Arial" w:hAnsi="Arial"/>
          <w:sz w:val="16"/>
          <w:szCs w:val="16"/>
          <w:color w:val="auto"/>
        </w:rPr>
        <w:t>. Subject to the provisions of the Plan, the Committee may, from time to time, select Participants from all eligible Employees, Non-Employee Directors and Consultants and shall determine the nature and amount of each Award.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SHARE OPTIONS</w:t>
      </w:r>
    </w:p>
    <w:p>
      <w:pPr>
        <w:spacing w:after="0" w:line="192"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Options</w:t>
      </w:r>
      <w:r>
        <w:rPr>
          <w:rFonts w:ascii="Arial" w:cs="Arial" w:eastAsia="Arial" w:hAnsi="Arial"/>
          <w:sz w:val="16"/>
          <w:szCs w:val="16"/>
          <w:color w:val="auto"/>
        </w:rPr>
        <w:t>. Subject to the terms and provisions of the Plan, Options may be granted to Participants in such number, and upon such terms, and at any time and from time to time as shall be determined by the Committee. The Committee may grant an Option or provide for the grant of an Option, either from time to time in the discretion of the Committee or automatically upon the occurrence of specified events, including the achievement of performance goals, the satisfaction of an event or condition within the control of the recipient of the Option or within the control of others.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80" w:name="page281"/>
    <w:bookmarkEnd w:id="280"/>
    <w:p>
      <w:pPr>
        <w:jc w:val="both"/>
        <w:ind w:firstLine="581"/>
        <w:spacing w:after="0" w:line="26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Option grant shall be evidenced by an Award Agreement that shall specify the Option Price, the maximum duration of the Option, the number of Shares to which the Option pertains, the conditions upon which the Option shall become exercisable and such other provisions as the Committee shall determine, which are not inconsistent with the terms of the Plan.</w:t>
      </w:r>
    </w:p>
    <w:p>
      <w:pPr>
        <w:spacing w:after="0" w:line="161"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The Option Price for each Option shall be determined by the Committee and set forth in the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Substitute Awards or Awards granted in connection with an adjustment provided for in Section 4.3, in the form of share options, shall have an Option Price per Share that is intended to maintain the economic value of the Award that was replaced or adjusted, as determined by the Committee.</w:t>
      </w:r>
    </w:p>
    <w:p>
      <w:pPr>
        <w:spacing w:after="0" w:line="16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Duration of Options</w:t>
      </w:r>
      <w:r>
        <w:rPr>
          <w:rFonts w:ascii="Arial" w:cs="Arial" w:eastAsia="Arial" w:hAnsi="Arial"/>
          <w:sz w:val="16"/>
          <w:szCs w:val="16"/>
          <w:color w:val="auto"/>
        </w:rPr>
        <w:t>. Each Option granted to a Participant shall expire at such time as the Committee shall determine at the time of grant and set forth in the Award Agreement.</w:t>
      </w:r>
    </w:p>
    <w:p>
      <w:pPr>
        <w:spacing w:after="0" w:line="151" w:lineRule="exact"/>
        <w:rPr>
          <w:sz w:val="20"/>
          <w:szCs w:val="20"/>
          <w:color w:val="auto"/>
        </w:rPr>
      </w:pPr>
    </w:p>
    <w:p>
      <w:pPr>
        <w:jc w:val="both"/>
        <w:ind w:firstLine="581"/>
        <w:spacing w:after="0" w:line="272"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Exercise of Options</w:t>
      </w:r>
      <w:r>
        <w:rPr>
          <w:rFonts w:ascii="Arial" w:cs="Arial" w:eastAsia="Arial" w:hAnsi="Arial"/>
          <w:sz w:val="15"/>
          <w:szCs w:val="15"/>
          <w:color w:val="auto"/>
        </w:rPr>
        <w:t xml:space="preserve">. Options shall be exercisable at such times and be subject to such restrictions and conditions as the Committee shall in each instance determine and set forth in the Award Agreement, which need not be the same for each grant or for each Option or Participant. The Committee, in its discretion, may allow a Participant to exercise an Option that has not otherwise become exercisable pursuant to the applicable Award Agreement, in which case the Shares then issued shall be Restricted Shares having a Period of Restriction analogous to the exercisability provisions of the Option. In the event that any portion of an exercisable Option is scheduled to expire or terminate pursuant to the Plan or the applicable Award Agreement (other than due to Termination of Service for Cause) and both (x) the date on which such portion of the Option is scheduled to expire or terminate falls during a Company blackout trading period applicable to the Participant (whether such period is imposed at the election of the Company or is required by applicable law to be imposed) and (y) the Option Price per Share of such portion of the Option is less than the Fair Market Value of a Share, then on the date that such portion of the Option is scheduled to expire or terminate, such portion of the Option (to the extent not previously exercised by the Participant) shall be automatically exercised on behalf of the Participant through a “net exercise” (as described in Section 6.6(c)) and minimum withholding taxes due (if any) upon such automatic exercise shall be satisfied by withholding of Shares (as described in Section 16.2(a)). The period of time over which a Nonqualified Stock Option may be exercised shall be automatically extended if on the scheduled expiration date or termination date (other than due to Termination of Service for Cause) of such Option the Participant’s exercise of such Option would violate an applicable law (except under circumstances described in the preceding sentence);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during such extended exercise period the Option may only be exercised to the extent the Option was exercisable in accordance with its terms immediately prior to such scheduled expiration date or termination date;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extended exercise period shall end not later than thirty (30) days after the exercise of such Option first would no longer violate such law.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81" w:name="page282"/>
    <w:bookmarkEnd w:id="281"/>
    <w:p>
      <w:pPr>
        <w:jc w:val="both"/>
        <w:ind w:firstLine="581"/>
        <w:spacing w:after="0" w:line="25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Payment</w:t>
      </w:r>
      <w:r>
        <w:rPr>
          <w:rFonts w:ascii="Arial" w:cs="Arial" w:eastAsia="Arial" w:hAnsi="Arial"/>
          <w:sz w:val="16"/>
          <w:szCs w:val="16"/>
          <w:color w:val="auto"/>
        </w:rPr>
        <w:t>. Options shall be exercised by the delivery of a written notice of exercise to the Company, in a form specified or accepted by the Committee, or by complying with any alternative exercise procedures that may be authorized by the Committee, setting forth the number of Shares with respect to which the Option is to be exercised, accompanied by full payment for such Shares, which shall include applicable taxes, if any, in accordance with Article XVI. The Option Price upon exercise of any Option shall be payable to the Company in full by certified or bank check or such other instrument as the Committee may accept. If approved by the Committee, and subject to any such terms, conditions and limitations as the Committee may prescribe and to the extent permitted by Applicable Law, payment of the Option Price, in full or in part, may also be made as follows:</w:t>
      </w:r>
    </w:p>
    <w:p>
      <w:pPr>
        <w:spacing w:after="0" w:line="170" w:lineRule="exact"/>
        <w:rPr>
          <w:sz w:val="20"/>
          <w:szCs w:val="20"/>
          <w:color w:val="auto"/>
        </w:rPr>
      </w:pPr>
    </w:p>
    <w:p>
      <w:pPr>
        <w:jc w:val="both"/>
        <w:ind w:left="580" w:firstLine="584"/>
        <w:spacing w:after="0" w:line="259" w:lineRule="auto"/>
        <w:tabs>
          <w:tab w:leader="none" w:pos="176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Payment may be made in the form of unrestricted and unencumbered Shares (by actual delivery of such Shares or by attestation) already owned by the Participant exercising such Option, or by such Participant and his or her spouse jointly (based on the Fair Market Value of the Shares on the date the Option is exercised),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already owned Shares must have been either previously acquired by the Participant on the open market or held by the Participant for at least six (6) months at the time of exercise (or meet any such other requirements as the Committee may determine are necessary in order to avoid an accounting earnings charge on account of the use of such Shares to pay the Option Price).</w:t>
      </w:r>
    </w:p>
    <w:p>
      <w:pPr>
        <w:spacing w:after="0" w:line="170" w:lineRule="exact"/>
        <w:rPr>
          <w:rFonts w:ascii="Arial" w:cs="Arial" w:eastAsia="Arial" w:hAnsi="Arial"/>
          <w:sz w:val="16"/>
          <w:szCs w:val="16"/>
          <w:color w:val="auto"/>
        </w:rPr>
      </w:pPr>
    </w:p>
    <w:p>
      <w:pPr>
        <w:jc w:val="both"/>
        <w:ind w:left="580" w:firstLine="584"/>
        <w:spacing w:after="0" w:line="267" w:lineRule="auto"/>
        <w:tabs>
          <w:tab w:leader="none" w:pos="187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Payment may be made by delivering a properly executed exercise notice to the Company, together with a copy of irrevocable instructions to a broker to deliver promptly to the Company the amount of sale or loan proceeds necessary to pay the Option Price, and, if requested, the amount of any federal, state, local or non-United States withholding taxes.</w:t>
      </w:r>
    </w:p>
    <w:p>
      <w:pPr>
        <w:spacing w:after="0" w:line="161" w:lineRule="exact"/>
        <w:rPr>
          <w:rFonts w:ascii="Arial" w:cs="Arial" w:eastAsia="Arial" w:hAnsi="Arial"/>
          <w:sz w:val="16"/>
          <w:szCs w:val="16"/>
          <w:color w:val="auto"/>
        </w:rPr>
      </w:pPr>
    </w:p>
    <w:p>
      <w:pPr>
        <w:jc w:val="both"/>
        <w:ind w:left="580" w:firstLine="584"/>
        <w:spacing w:after="0" w:line="267" w:lineRule="auto"/>
        <w:tabs>
          <w:tab w:leader="none" w:pos="187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Payment may be made by a “net exercise” pursuant to which the Participant instructs the Company to withhold a number of Shares otherwise deliverable to the Participant pursuant to the Option having an aggregate Fair Market Value on the date of exercise equal to the product of: (i) the Option Price multiplied by (ii) the number of Shares in respect of which the Option shall have been exercised.</w:t>
      </w:r>
    </w:p>
    <w:p>
      <w:pPr>
        <w:spacing w:after="0" w:line="161" w:lineRule="exact"/>
        <w:rPr>
          <w:rFonts w:ascii="Arial" w:cs="Arial" w:eastAsia="Arial" w:hAnsi="Arial"/>
          <w:sz w:val="16"/>
          <w:szCs w:val="16"/>
          <w:color w:val="auto"/>
        </w:rPr>
      </w:pPr>
    </w:p>
    <w:p>
      <w:pPr>
        <w:ind w:left="1760" w:hanging="596"/>
        <w:spacing w:after="0"/>
        <w:tabs>
          <w:tab w:leader="none" w:pos="17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Payment may be made by any other method approved or accepted by the Committee in its discretion.</w:t>
      </w:r>
    </w:p>
    <w:p>
      <w:pPr>
        <w:spacing w:after="0" w:line="204" w:lineRule="exact"/>
        <w:rPr>
          <w:sz w:val="20"/>
          <w:szCs w:val="20"/>
          <w:color w:val="auto"/>
        </w:rPr>
      </w:pPr>
    </w:p>
    <w:p>
      <w:pPr>
        <w:jc w:val="both"/>
        <w:ind w:firstLine="1163"/>
        <w:spacing w:after="0" w:line="259" w:lineRule="auto"/>
        <w:rPr>
          <w:sz w:val="20"/>
          <w:szCs w:val="20"/>
          <w:color w:val="auto"/>
        </w:rPr>
      </w:pPr>
      <w:r>
        <w:rPr>
          <w:rFonts w:ascii="Arial" w:cs="Arial" w:eastAsia="Arial" w:hAnsi="Arial"/>
          <w:sz w:val="16"/>
          <w:szCs w:val="16"/>
          <w:color w:val="auto"/>
        </w:rPr>
        <w:t>Subject to any governing rules or regulations, as soon as practicable after receipt of a written notification of exercise and full payment in accordance with the preceding provisions of this Section 6.6 and satisfaction of tax obligations in accordance with Article XVI, the Company shall deliver to the Participant exercising an Option, in the Participant’s name, evidence of book entry Shares, or, upon the Participant’s request, Share certificates, in an appropriate amount based upon the number of Shares purchased under the Option, subject to Section 18.9. Unless otherwise determined by the Committee, all payments under all of the methods described above shall be paid in United States dollars.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82" w:name="page283"/>
    <w:bookmarkEnd w:id="282"/>
    <w:p>
      <w:pPr>
        <w:jc w:val="both"/>
        <w:ind w:firstLine="581"/>
        <w:spacing w:after="0" w:line="267"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Rights as a Shareholder</w:t>
      </w:r>
      <w:r>
        <w:rPr>
          <w:rFonts w:ascii="Arial" w:cs="Arial" w:eastAsia="Arial" w:hAnsi="Arial"/>
          <w:sz w:val="16"/>
          <w:szCs w:val="16"/>
          <w:color w:val="auto"/>
        </w:rPr>
        <w:t>. No Participant or other person shall become the beneficial owner of any Shares subject to an Option, nor have any rights to dividends or other rights of a shareholder with respect to any such Shares, until the Participant has actually received such Shares following exercise of his or her Option in accordance with the provisions of the Plan and the applicable Award Agreement.</w:t>
      </w:r>
    </w:p>
    <w:p>
      <w:pPr>
        <w:spacing w:after="0" w:line="161"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xml:space="preserve">. Except as otherwise provided by Section 6.5 or in the applicable Award Agreement, an Option may be exercised only to the extent that it is then exercisable, and if at all times during the period beginning with the date of granting of such Option and ending on the date of exercise of such Option the Participant is an Employee, Non-Employee Director or Consultant, and shall terminate immediately upon a Termination of Service of the Participant. An Option shall cease to become exercisable upon a Termination of Service of the holder thereof. Notwithstanding the foregoing provisions of this Section 6.8 to the contrary, the Committee may determine in its discretion that an Option may be exercised following any such Termination of Service, whether or not exercisable at the time of such Termination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may an Option be exercised after the expiration date of such Option specified in the applicable Award Agreement, except as otherwise provided by Section 6.5.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SHARE APPRECIATION RIGHTS</w:t>
      </w:r>
    </w:p>
    <w:p>
      <w:pPr>
        <w:spacing w:after="0" w:line="192"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Grant of SARs</w:t>
      </w:r>
      <w:r>
        <w:rPr>
          <w:rFonts w:ascii="Arial" w:cs="Arial" w:eastAsia="Arial" w:hAnsi="Arial"/>
          <w:sz w:val="16"/>
          <w:szCs w:val="16"/>
          <w:color w:val="auto"/>
        </w:rPr>
        <w:t>. Subject to the terms and conditions of the Plan, SARs may be granted to Participants at any time and from time to time as shall be determined by the Committee. The Committee may grant an SAR (a) in connection and simultaneously with the grant of an Option (a Tandem SAR) or (b) independent of, and unrelated to, an Option (a Freestanding SAR). The Committee shall have complete discretion in determining the number of Shares to which an SAR pertains (subject to Article IV) and, consistent with the provisions of the Plan, in determining the terms and conditions pertaining to any SAR.</w:t>
      </w:r>
    </w:p>
    <w:p>
      <w:pPr>
        <w:spacing w:after="0" w:line="166"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Grant Price</w:t>
      </w:r>
      <w:r>
        <w:rPr>
          <w:rFonts w:ascii="Arial" w:cs="Arial" w:eastAsia="Arial" w:hAnsi="Arial"/>
          <w:sz w:val="16"/>
          <w:szCs w:val="16"/>
          <w:color w:val="auto"/>
        </w:rPr>
        <w:t>. The Grant Price for each SAR shall be determined by the Committee and set forth in the Award Agreement. The Grant Price of a Tandem SAR shall be equal to the Option Price of the related Option.</w:t>
      </w:r>
    </w:p>
    <w:p>
      <w:pPr>
        <w:spacing w:after="0" w:line="151" w:lineRule="exact"/>
        <w:rPr>
          <w:sz w:val="20"/>
          <w:szCs w:val="20"/>
          <w:color w:val="auto"/>
        </w:rPr>
      </w:pPr>
    </w:p>
    <w:p>
      <w:pPr>
        <w:jc w:val="both"/>
        <w:ind w:firstLine="581"/>
        <w:spacing w:after="0" w:line="298"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Exercise of Tandem SARs</w:t>
      </w:r>
      <w:r>
        <w:rPr>
          <w:rFonts w:ascii="Arial" w:cs="Arial" w:eastAsia="Arial" w:hAnsi="Arial"/>
          <w:sz w:val="14"/>
          <w:szCs w:val="14"/>
          <w:color w:val="auto"/>
        </w:rPr>
        <w:t>. Tandem SARs may be exercised for all or part of the Shares subject to the related Option upon the surrender of the right to exercise the equivalent portion of the related Option. A Tandem SAR shall be exercisable only when and to the extent the related Option is exercisable and may be exercised only with respect to the Shares for which the related Option is then exercisable. A Tandem SAR shall entitle a Participant to elect, in the manner set forth in the Plan and the applicable Award Agreement, in lieu of exercising his or her unexercised related Option for all or a portion of the Shares for which such Option is then exercisable pursuant to its terms, to surrender such Option to the Company with respect to any or all of such Shares and to receive from the Company in exchange therefor a payment described in Section 7.7. An Option with respect to which a Participant has elected to exercise a Tandem SAR shall, to the extent of the Shares covered by such exercise, be canceled automatically and surrendered to the Company. Such Option shall thereafter remain exercisable according to its terms only with respect to the number of Shares as to which it would otherwise be exercisable, less the number of Shares with respect to which such Tandem SAR has been so exercised.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83" w:name="page284"/>
    <w:bookmarkEnd w:id="283"/>
    <w:p>
      <w:pPr>
        <w:jc w:val="both"/>
        <w:ind w:firstLine="581"/>
        <w:spacing w:after="0" w:line="258"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Exercise of Freestanding SARs</w:t>
      </w:r>
      <w:r>
        <w:rPr>
          <w:rFonts w:ascii="Arial" w:cs="Arial" w:eastAsia="Arial" w:hAnsi="Arial"/>
          <w:sz w:val="16"/>
          <w:szCs w:val="16"/>
          <w:color w:val="auto"/>
        </w:rPr>
        <w:t xml:space="preserve">. Freestanding SARs may be exercised upon whatever terms and conditions the Committee, in its sole discretion, in accordance with the Plan, determines and sets forth in the Award Agreement. An Agreement may provide that the period of time over which a Freestanding SAR may be exercised shall automatically be extended if on the scheduled expiration date of such SAR the Participant’s exercise of such SAR would violate an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during such extended exercise period the SAR may only be exercised to the extent the SAR was exercisable in accordance with its terms immediately prior to such scheduled expiration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extended exercise period shall end not later than thirty (30) days after the exercise of such SAR first would no longer violate such law.</w:t>
      </w:r>
    </w:p>
    <w:p>
      <w:pPr>
        <w:spacing w:after="0" w:line="170"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SAR grant shall be evidenced by an Award Agreement that shall specify the number of Shares to which the SAR pertains, the Grant Price, the term of the SAR, and such other terms and conditions as the Committee shall determine in accordance with the Plan.</w:t>
      </w:r>
    </w:p>
    <w:p>
      <w:pPr>
        <w:spacing w:after="0" w:line="15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Term of SARs</w:t>
      </w:r>
      <w:r>
        <w:rPr>
          <w:rFonts w:ascii="Arial" w:cs="Arial" w:eastAsia="Arial" w:hAnsi="Arial"/>
          <w:sz w:val="16"/>
          <w:szCs w:val="16"/>
          <w:color w:val="auto"/>
        </w:rPr>
        <w:t xml:space="preserve">. The term of an SAR granted under the Plan shall be determined by the Committee and set forth in the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of any Tandem SAR shall be the same as the related Option.</w:t>
      </w:r>
    </w:p>
    <w:p>
      <w:pPr>
        <w:spacing w:after="0" w:line="15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Payment of SAR Amount</w:t>
      </w:r>
      <w:r>
        <w:rPr>
          <w:rFonts w:ascii="Arial" w:cs="Arial" w:eastAsia="Arial" w:hAnsi="Arial"/>
          <w:sz w:val="16"/>
          <w:szCs w:val="16"/>
          <w:color w:val="auto"/>
        </w:rPr>
        <w:t>. An election to exercise SARs shall be deemed to have been made on the date of Notice of such election to the Company. Upon exercise of an SAR, a Participant shall be entitled to receive payment from the Company in an amount determined by multiplying:</w:t>
      </w:r>
    </w:p>
    <w:p>
      <w:pPr>
        <w:spacing w:after="0" w:line="151" w:lineRule="exact"/>
        <w:rPr>
          <w:sz w:val="20"/>
          <w:szCs w:val="20"/>
          <w:color w:val="auto"/>
        </w:rPr>
      </w:pPr>
    </w:p>
    <w:p>
      <w:pPr>
        <w:ind w:left="1740" w:hanging="576"/>
        <w:spacing w:after="0"/>
        <w:tabs>
          <w:tab w:leader="none" w:pos="17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excess of the Fair Market Value of a Share on the date of exercise over the Grant Price of the SAR; by</w:t>
      </w:r>
    </w:p>
    <w:p>
      <w:pPr>
        <w:spacing w:after="0" w:line="203" w:lineRule="exact"/>
        <w:rPr>
          <w:rFonts w:ascii="Arial" w:cs="Arial" w:eastAsia="Arial" w:hAnsi="Arial"/>
          <w:sz w:val="16"/>
          <w:szCs w:val="16"/>
          <w:color w:val="auto"/>
        </w:rPr>
      </w:pPr>
    </w:p>
    <w:p>
      <w:pPr>
        <w:ind w:left="1760" w:hanging="596"/>
        <w:spacing w:after="0"/>
        <w:tabs>
          <w:tab w:leader="none" w:pos="17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number of Shares with respect to which the SAR is exercised.</w:t>
      </w:r>
    </w:p>
    <w:p>
      <w:pPr>
        <w:spacing w:after="0" w:line="204" w:lineRule="exact"/>
        <w:rPr>
          <w:sz w:val="20"/>
          <w:szCs w:val="20"/>
          <w:color w:val="auto"/>
        </w:rPr>
      </w:pPr>
    </w:p>
    <w:p>
      <w:pPr>
        <w:jc w:val="both"/>
        <w:ind w:hanging="2"/>
        <w:spacing w:after="0" w:line="267" w:lineRule="auto"/>
        <w:rPr>
          <w:sz w:val="20"/>
          <w:szCs w:val="20"/>
          <w:color w:val="auto"/>
        </w:rPr>
      </w:pPr>
      <w:r>
        <w:rPr>
          <w:rFonts w:ascii="Arial" w:cs="Arial" w:eastAsia="Arial" w:hAnsi="Arial"/>
          <w:sz w:val="16"/>
          <w:szCs w:val="16"/>
          <w:color w:val="auto"/>
        </w:rPr>
        <w:t>Notwithstanding the foregoing provisions of this Section 7.7 to the contrary, the Committee may establish and set forth in the applicable Award Agreement a maximum amount per Share that will be payable upon the exercise of an SAR. At the discretion of the Committee, such payment upon exercise of an SAR shall be in cash, in Shares of equivalent Fair Market Value, or in some combination thereof.</w:t>
      </w:r>
    </w:p>
    <w:p>
      <w:pPr>
        <w:spacing w:after="0" w:line="161"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Rights as a Shareholder</w:t>
      </w:r>
      <w:r>
        <w:rPr>
          <w:rFonts w:ascii="Arial" w:cs="Arial" w:eastAsia="Arial" w:hAnsi="Arial"/>
          <w:sz w:val="16"/>
          <w:szCs w:val="16"/>
          <w:color w:val="auto"/>
        </w:rPr>
        <w:t>. A Participant receiving an SAR shall have the rights of a Shareholder only as to Shares, if any, actually issued to such Participant upon satisfaction or achievement of the terms and conditions of the Award, and in accordance with the provisions of the Plan and the applicable Award Agreement, and not with respect to Shares to which such Award relates but which are not actually issued to such Participant.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84" w:name="page285"/>
    <w:bookmarkEnd w:id="284"/>
    <w:p>
      <w:pPr>
        <w:jc w:val="both"/>
        <w:ind w:firstLine="581"/>
        <w:spacing w:after="0" w:line="300" w:lineRule="auto"/>
        <w:rPr>
          <w:sz w:val="20"/>
          <w:szCs w:val="20"/>
          <w:color w:val="auto"/>
        </w:rPr>
      </w:pPr>
      <w:r>
        <w:rPr>
          <w:rFonts w:ascii="Arial" w:cs="Arial" w:eastAsia="Arial" w:hAnsi="Arial"/>
          <w:sz w:val="14"/>
          <w:szCs w:val="14"/>
          <w:color w:val="auto"/>
        </w:rPr>
        <w:t xml:space="preserve">7.9. </w:t>
      </w:r>
      <w:r>
        <w:rPr>
          <w:rFonts w:ascii="Arial" w:cs="Arial" w:eastAsia="Arial" w:hAnsi="Arial"/>
          <w:sz w:val="14"/>
          <w:szCs w:val="14"/>
          <w:u w:val="single" w:color="auto"/>
          <w:color w:val="auto"/>
        </w:rPr>
        <w:t>Termination of Service</w:t>
      </w:r>
      <w:r>
        <w:rPr>
          <w:rFonts w:ascii="Arial" w:cs="Arial" w:eastAsia="Arial" w:hAnsi="Arial"/>
          <w:sz w:val="14"/>
          <w:szCs w:val="14"/>
          <w:color w:val="auto"/>
        </w:rPr>
        <w:t xml:space="preserve">. Except as otherwise provided by Section 6.5 (in the case of Tandem SARs) or in Section 7.4 (in the case of Freestanding SARs) or in the applicable Award Agreement, an SAR may be exercised only to the extent that it is then exercisable, and if at all times during the period beginning with the date of granting of such SAR and ending on the date of exercise of such SAR the Participant is an Employee, Non-Employee Director or Consultant, and shall terminate immediately upon a Termination of Service of the Participant. A SAR shall cease to become exercisable upon a Termination of Service of the holder thereof. Notwithstanding the foregoing provisions of this Section 7.9 to the contrary, the Committee may determine in its discretion that a SAR may be exercised following any such Termination of Service, whether or not exercisable at the time of such Termination of Service;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no event may a SAR be exercised after the expiration date of such SAR specified in the applicable Award Agreement, except as provided in Section 6.5 (in the case of Tandem SARs) or in Section 7.4 (in the case of Freestanding SARs).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RESTRICTED SHARES AND RESTRICTED SHARE UNITS</w:t>
      </w:r>
    </w:p>
    <w:p>
      <w:pPr>
        <w:spacing w:after="0" w:line="192" w:lineRule="exact"/>
        <w:rPr>
          <w:sz w:val="20"/>
          <w:szCs w:val="20"/>
          <w:color w:val="auto"/>
        </w:rPr>
      </w:pPr>
    </w:p>
    <w:p>
      <w:pPr>
        <w:jc w:val="both"/>
        <w:ind w:firstLine="581"/>
        <w:spacing w:after="0" w:line="277"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Awards of Restricted Shares and Restricted Share Units</w:t>
      </w:r>
      <w:r>
        <w:rPr>
          <w:rFonts w:ascii="Arial" w:cs="Arial" w:eastAsia="Arial" w:hAnsi="Arial"/>
          <w:sz w:val="15"/>
          <w:szCs w:val="15"/>
          <w:color w:val="auto"/>
        </w:rPr>
        <w:t>. Subject to the terms and provisions of the Plan, the Committee, at any time and from time to time, may grant Restricted Shares and/or Restricted Share Units to Participants in such amounts as the Committee shall determine. Awards of Restricted Shares may be made with or without the requirement of a cash payment from the Participant to whom such Award is made in exchange for, or as a condition precedent to, the completion of such Award and the issuance of Restricted Shares, and any such required cash payment shall be set forth in the applicable Award Agreement. Subject to the terms and conditions of this Article VIII and the Award Agreement, upon delivery of Restricted Shares to a Participant, or creation of a book entry evidencing a Participant’s ownership of Restricted Shares, pursuant to Section 8.6, the Participant shall have all of the rights of a shareholder with respect to such Shares, subject to the terms and restrictions set forth in this Article VIII or the applicable Award Agreement or as determined by the Committee.</w:t>
      </w:r>
    </w:p>
    <w:p>
      <w:pPr>
        <w:spacing w:after="0" w:line="157"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Restricted Share and/or Restricted Share Unit Award shall be evidenced by an Award Agreement that shall specify the Period of Restriction, the number of Restricted Shares or the number of Restricted Share Units granted, and such other provisions as the Committee shall determine in accordance with the Plan.</w:t>
      </w:r>
    </w:p>
    <w:p>
      <w:pPr>
        <w:spacing w:after="0" w:line="161"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Nontransferability of Restricted Shares</w:t>
      </w:r>
      <w:r>
        <w:rPr>
          <w:rFonts w:ascii="Arial" w:cs="Arial" w:eastAsia="Arial" w:hAnsi="Arial"/>
          <w:sz w:val="16"/>
          <w:szCs w:val="16"/>
          <w:color w:val="auto"/>
        </w:rPr>
        <w:t>. Except as provided in this Article VIII, Restricted Shares may not be sold, transferred, pledged, assigned, encumbered, alienated, hypothecated or otherwise disposed of until the end of the applicable Period of Restriction established by the Committee and specified in the Restricted Share Award Agreement.</w:t>
      </w:r>
    </w:p>
    <w:p>
      <w:pPr>
        <w:spacing w:after="0" w:line="161" w:lineRule="exact"/>
        <w:rPr>
          <w:sz w:val="20"/>
          <w:szCs w:val="20"/>
          <w:color w:val="auto"/>
        </w:rPr>
      </w:pPr>
    </w:p>
    <w:p>
      <w:pPr>
        <w:jc w:val="both"/>
        <w:ind w:firstLine="581"/>
        <w:spacing w:after="0" w:line="292"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Period of Restriction and Other Restrictions</w:t>
      </w:r>
      <w:r>
        <w:rPr>
          <w:rFonts w:ascii="Arial" w:cs="Arial" w:eastAsia="Arial" w:hAnsi="Arial"/>
          <w:sz w:val="15"/>
          <w:szCs w:val="15"/>
          <w:color w:val="auto"/>
        </w:rPr>
        <w:t>. The Period of Restriction applicable to an Award of Restricted Shares or Restricted Share Units shall lapse based on a Participant’s continuing service or employment with the Company or an Affiliate, the achievement of performance goals, the satisfaction of other conditions or restrictions or upon the occurrence of other events, in each case, as determined by the Committee, at its discretion, and stated in the Award Agreement.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85" w:name="page286"/>
    <w:bookmarkEnd w:id="285"/>
    <w:p>
      <w:pPr>
        <w:jc w:val="both"/>
        <w:ind w:firstLine="581"/>
        <w:spacing w:after="0" w:line="274"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Delivery of Shares and Settlement of Restricted Share Units</w:t>
      </w:r>
      <w:r>
        <w:rPr>
          <w:rFonts w:ascii="Arial" w:cs="Arial" w:eastAsia="Arial" w:hAnsi="Arial"/>
          <w:sz w:val="15"/>
          <w:szCs w:val="15"/>
          <w:color w:val="auto"/>
        </w:rPr>
        <w:t xml:space="preserve">. Upon the expiration of the Period of Restriction with respect to any Restricted Shares, the restrictions set forth in the applicable Award Agreement shall be of no further force or effect with respect to such Shares, except as set forth in such Award Agreement. If applicable share certificates are held by the Secretary of the Company or an escrow holder, upon such expiration, the Company shall deliver to the Participant, his or her beneficiary or trustee (as applicable), without charge, the share certificate evidencing the Restricted Shares that have not then been forfeited and with respect to which the Period of Restriction has expired. Unless otherwise provided by the Committee in an Award Agreement, upon the expiration of the Period of Restriction with respect to any outstanding Restricted Share Units, the Company shall deliver to the Participant, or his beneficiary or trustee (as applicable), without charge, one Share for each such outstanding Restricted Share Unit;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Committee may, in its discretion, elect to (i) pay cash or part cash and part Shares in lieu of delivering only Shares in respect of such Restricted Share Units or (ii) defer the delivery of Shares beyond the expiration of the Period of Restriction. If a cash payment is made in lieu of delivering Shares, the amount of such payment shall be equal to the Fair Market Value of such Shares as of the date on which the Period of Restriction lapsed with respect to such Restricted Share Units, less applicable tax withholdings in accordance with Article XVI.</w:t>
      </w:r>
    </w:p>
    <w:p>
      <w:pPr>
        <w:spacing w:after="0" w:line="163" w:lineRule="exact"/>
        <w:rPr>
          <w:sz w:val="20"/>
          <w:szCs w:val="20"/>
          <w:color w:val="auto"/>
        </w:rPr>
      </w:pPr>
    </w:p>
    <w:p>
      <w:pPr>
        <w:jc w:val="both"/>
        <w:ind w:firstLine="581"/>
        <w:spacing w:after="0" w:line="272"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Forms of Restricted Share Awards</w:t>
      </w:r>
      <w:r>
        <w:rPr>
          <w:rFonts w:ascii="Arial" w:cs="Arial" w:eastAsia="Arial" w:hAnsi="Arial"/>
          <w:sz w:val="15"/>
          <w:szCs w:val="15"/>
          <w:color w:val="auto"/>
        </w:rPr>
        <w:t>. Each Participant who receives an Award of Restricted Shares shall be issued a share certificate or certificates evidencing the Shares covered by such Award registered in the name of such Participant or its trustee (as the case may be), which certificate or certificates shall bear an appropriate legend, and, if the Committee determines that the Restricted Shares shall be held by the Company or in escrow rather than delivered to the Participant or its trustee pending expiration of the Period of Restriction, the Committee may require the Participant to additionally execute and deliver to the Company: (i) an escrow agreement satisfactory to the Committee, if applicable, and (ii) an appropriate share transfer deed (endorsed in blank) with respect to such Restricted Shares. The Committee may require a Participant who receives a certificate or certificates evidencing a Restricted Share Award to immediately deposit such certificate or certificates, together with a stock power or other appropriate instrument of transfer, endorsed in blank by the Participant, with signatures guaranteed in accordance with the Exchange Act if required by the Committee, with the Secretary of the Company or an escrow holder as provided in the immediately following sentence. The Secretary of the Company or such escrow holder as the Committee may appoint shall retain physical custody of each certificate representing a Restricted Share Award until the Period of Restriction and any other restrictions imposed by the Committee or under the Award Agreement with respect to the Shares evidenced by such certificate expire or shall have been removed. The foregoing to the contrary notwithstanding, the Committee may, in its discretion, provide that a Participant’s ownership of Restricted Shares prior to the lapse of the Period of Restriction or any other applicable restrictions shall, in lieu of such certificates, be evidenced by a “book entry” (</w:t>
      </w:r>
      <w:r>
        <w:rPr>
          <w:rFonts w:ascii="Arial" w:cs="Arial" w:eastAsia="Arial" w:hAnsi="Arial"/>
          <w:sz w:val="15"/>
          <w:szCs w:val="15"/>
          <w:u w:val="single" w:color="auto"/>
          <w:color w:val="auto"/>
        </w:rPr>
        <w:t>i.e.</w:t>
      </w:r>
      <w:r>
        <w:rPr>
          <w:rFonts w:ascii="Arial" w:cs="Arial" w:eastAsia="Arial" w:hAnsi="Arial"/>
          <w:sz w:val="15"/>
          <w:szCs w:val="15"/>
          <w:color w:val="auto"/>
        </w:rPr>
        <w:t>, a computerized or manual entry) in the records of the Company or its designated agent in the name of the Participant or its trustee (as the case may be) who has received such Award. Such records of the Company or such agent shall, absent manifest error, be binding on all Participants who receive Restricted Share Awards evidenced in such manner. The holding of Restricted Shares by the Company or such an escrow holder, or the use of book entries to evidence the ownership of Restricted Shares, in accordance with this Section 8.6, shall not affect the rights of Participants as owners or beneficial owners of the Restricted Shares awarded to them, nor affect the restrictions applicable to such Shares under the Award Agreement or the Plan, including the Period of Restriction.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86" w:name="page287"/>
    <w:bookmarkEnd w:id="286"/>
    <w:p>
      <w:pPr>
        <w:ind w:left="580"/>
        <w:spacing w:after="0"/>
        <w:tabs>
          <w:tab w:leader="none" w:pos="1200"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4"/>
          <w:szCs w:val="14"/>
          <w:u w:val="single" w:color="auto"/>
          <w:color w:val="auto"/>
        </w:rPr>
        <w:t>Rights as a Shareholder</w:t>
      </w:r>
      <w:r>
        <w:rPr>
          <w:rFonts w:ascii="Arial" w:cs="Arial" w:eastAsia="Arial" w:hAnsi="Arial"/>
          <w:sz w:val="14"/>
          <w:szCs w:val="14"/>
          <w:color w:val="auto"/>
        </w:rPr>
        <w:t>.</w:t>
      </w:r>
    </w:p>
    <w:p>
      <w:pPr>
        <w:spacing w:after="0" w:line="204" w:lineRule="exact"/>
        <w:rPr>
          <w:sz w:val="20"/>
          <w:szCs w:val="20"/>
          <w:color w:val="auto"/>
        </w:rPr>
      </w:pPr>
    </w:p>
    <w:p>
      <w:pPr>
        <w:jc w:val="both"/>
        <w:ind w:firstLine="1164"/>
        <w:spacing w:after="0" w:line="257" w:lineRule="auto"/>
        <w:tabs>
          <w:tab w:leader="none" w:pos="1758"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Restricted Shares</w:t>
      </w:r>
      <w:r>
        <w:rPr>
          <w:rFonts w:ascii="Arial" w:cs="Arial" w:eastAsia="Arial" w:hAnsi="Arial"/>
          <w:sz w:val="16"/>
          <w:szCs w:val="16"/>
          <w:color w:val="auto"/>
        </w:rPr>
        <w:t xml:space="preserve">. Participants holding Restricted Shares shall have all rights of a shareholder as to such Shares immediately upon issuance of such Shares, subject to the terms and conditions of the Plan, the applicable Award Agreement and the Company’s Articles of Association;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during the Period of Restriction, the Committee may apply any restrictions to any cash dividends otherwise payable with respect to such Shares while they are so held as the Committee deems appropriate. Except as set forth in the Award Agreement and subject to Applicable Law, in the event of (A) any adjustment as provided in Section 4.3, or (B) any shares or securities are received as a dividend, or an extraordinary dividend is paid in cash, on Restricted Shares, any new or additional Shares or securities or any extraordinary dividends paid in cash received by a recipient of Restricted Shares shall be subject to the same terms and conditions, including the Period of Restriction, as it relates to the original Restricted Shares.</w:t>
      </w:r>
    </w:p>
    <w:p>
      <w:pPr>
        <w:spacing w:after="0" w:line="171" w:lineRule="exact"/>
        <w:rPr>
          <w:rFonts w:ascii="Arial" w:cs="Arial" w:eastAsia="Arial" w:hAnsi="Arial"/>
          <w:sz w:val="16"/>
          <w:szCs w:val="16"/>
          <w:color w:val="auto"/>
        </w:rPr>
      </w:pPr>
    </w:p>
    <w:p>
      <w:pPr>
        <w:jc w:val="both"/>
        <w:ind w:firstLine="1164"/>
        <w:spacing w:after="0" w:line="322" w:lineRule="auto"/>
        <w:tabs>
          <w:tab w:leader="none" w:pos="1391" w:val="left"/>
        </w:tabs>
        <w:numPr>
          <w:ilvl w:val="0"/>
          <w:numId w:val="286"/>
        </w:numPr>
        <w:rPr>
          <w:rFonts w:ascii="Arial" w:cs="Arial" w:eastAsia="Arial" w:hAnsi="Arial"/>
          <w:sz w:val="14"/>
          <w:szCs w:val="14"/>
          <w:color w:val="auto"/>
        </w:rPr>
      </w:pPr>
      <w:r>
        <w:rPr>
          <w:rFonts w:ascii="Arial" w:cs="Arial" w:eastAsia="Arial" w:hAnsi="Arial"/>
          <w:sz w:val="14"/>
          <w:szCs w:val="14"/>
          <w:u w:val="single" w:color="auto"/>
          <w:color w:val="auto"/>
        </w:rPr>
        <w:t>Restricted Share Units</w:t>
      </w:r>
      <w:r>
        <w:rPr>
          <w:rFonts w:ascii="Arial" w:cs="Arial" w:eastAsia="Arial" w:hAnsi="Arial"/>
          <w:sz w:val="14"/>
          <w:szCs w:val="14"/>
          <w:color w:val="auto"/>
        </w:rPr>
        <w:t>. A Participant receiving Restricted Share Units shall have the rights of a shareholder only as to Shares, if any, actually issued to such Participant upon expiration of the Period of Restriction and satisfaction or achievement of the terms and conditions of the Award, and in accordance with the provisions of the Plan and the applicable Award Agreement, and not with respect to Shares to which such Award relates but which are not actually issued to such Participant.</w:t>
      </w:r>
    </w:p>
    <w:p>
      <w:pPr>
        <w:spacing w:after="0" w:line="127" w:lineRule="exact"/>
        <w:rPr>
          <w:sz w:val="20"/>
          <w:szCs w:val="20"/>
          <w:color w:val="auto"/>
        </w:rPr>
      </w:pPr>
    </w:p>
    <w:p>
      <w:pPr>
        <w:jc w:val="both"/>
        <w:ind w:firstLine="581"/>
        <w:spacing w:after="0" w:line="256"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Except as otherwise provided in this Section 8.8, during the Period of Restriction, any Restricted Share Units and/or Restricted Stock held by a Participant or its trustee (as applicable) that are subject to such Period of Restriction shall be forfeited and revert to the Company (or, if Restricted Shares were sold to the Participant, the Participant shall be required to resell such Shares to the Company at cost) upon the Participant’s Termination or the failure to meet or satisfy any applicable performance goals, vesting terms or other terms, conditions and restrictions to the extent set forth in the applicable Award Agreement. Each applicable Award Agreement shall set forth the extent to which, if any, the Participant shall have the right to retain Restricted Share Units and/or Restricted Shares, then subject to the Period of Restriction, following such Participant’s Termination. Such provisions shall be determined in the sole discretion of the Committee, shall be included in the applicable Award Agreement, need not be uniform among all such Awards issued pursuant to the Plan, and may reflect distinctions based on the reasons for, or circumstances of, such Termination.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OTHER SHARE-BASED AWARDS</w:t>
      </w:r>
    </w:p>
    <w:p>
      <w:pPr>
        <w:spacing w:after="0" w:line="192" w:lineRule="exact"/>
        <w:rPr>
          <w:sz w:val="20"/>
          <w:szCs w:val="20"/>
          <w:color w:val="auto"/>
        </w:rPr>
      </w:pPr>
    </w:p>
    <w:p>
      <w:pPr>
        <w:jc w:val="both"/>
        <w:ind w:firstLine="581"/>
        <w:spacing w:after="0" w:line="311"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Other Share-Based Awards</w:t>
      </w:r>
      <w:r>
        <w:rPr>
          <w:rFonts w:ascii="Arial" w:cs="Arial" w:eastAsia="Arial" w:hAnsi="Arial"/>
          <w:sz w:val="14"/>
          <w:szCs w:val="14"/>
          <w:color w:val="auto"/>
        </w:rPr>
        <w:t>. The Committee may grant types of equity-based or equity-related Awards not otherwise described by the terms of the Plan (including the grant or offer for sale of unrestricted Shares), in such amounts and subject to such terms and conditions, as the Committee shall determine. Such Other Share-Based Awards may involve the transfer of actual Shares to Participants, or payment in cash or otherwise of amounts based on the value of Shares. The terms and conditions of such Awards shall be consistent with the Plan and set forth in the Award Agreement and need not be uniform among all such Awards or all Participants receiving such Awards.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87" w:name="page288"/>
    <w:bookmarkEnd w:id="287"/>
    <w:p>
      <w:pPr>
        <w:jc w:val="both"/>
        <w:ind w:firstLine="581"/>
        <w:spacing w:after="0" w:line="26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Value of Other Share-Based Awards</w:t>
      </w:r>
      <w:r>
        <w:rPr>
          <w:rFonts w:ascii="Arial" w:cs="Arial" w:eastAsia="Arial" w:hAnsi="Arial"/>
          <w:sz w:val="16"/>
          <w:szCs w:val="16"/>
          <w:color w:val="auto"/>
        </w:rPr>
        <w:t>. Each Other Share-Based Award shall be expressed in terms of Shares or units based on Shares, as determined by the Committee. The Committee may establish performance goals in its discretion, and any such performance goals shall be set forth in the applicable Award Agreement. If the Committee exercises its discretion to establish performance goals, the number and/or value of Other Share-Based Awards that will be paid out to the Participant will depend on the extent to which such performance goals are met.</w:t>
      </w:r>
    </w:p>
    <w:p>
      <w:pPr>
        <w:spacing w:after="0" w:line="166"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Payment of Other Share-Based Awards</w:t>
      </w:r>
      <w:r>
        <w:rPr>
          <w:rFonts w:ascii="Arial" w:cs="Arial" w:eastAsia="Arial" w:hAnsi="Arial"/>
          <w:sz w:val="16"/>
          <w:szCs w:val="16"/>
          <w:color w:val="auto"/>
        </w:rPr>
        <w:t>. Payment, if any, with respect to an Other Share-Based Award shall be made in accordance with the terms of the Award, as set forth in the Award Agreement, in cash, Shares or a combination of cash and Shares, as the Committee determines.</w:t>
      </w:r>
    </w:p>
    <w:p>
      <w:pPr>
        <w:spacing w:after="0" w:line="151"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Rights as a Shareholder</w:t>
      </w:r>
      <w:r>
        <w:rPr>
          <w:rFonts w:ascii="Arial" w:cs="Arial" w:eastAsia="Arial" w:hAnsi="Arial"/>
          <w:sz w:val="16"/>
          <w:szCs w:val="16"/>
          <w:color w:val="auto"/>
        </w:rPr>
        <w:t>. A Participant receiving an Other Share-Based Award shall have the rights of a shareholder only as to Shares, if any, actually issued to such Participant upon satisfaction or achievement of the terms and conditions of the Award, and in accordance with the provisions of the Plan and the applicable Award Agreement, and not with respect to Shares to which such Award relates but which are not actually issued to such Participant.</w:t>
      </w:r>
    </w:p>
    <w:p>
      <w:pPr>
        <w:spacing w:after="0" w:line="161" w:lineRule="exact"/>
        <w:rPr>
          <w:sz w:val="20"/>
          <w:szCs w:val="20"/>
          <w:color w:val="auto"/>
        </w:rPr>
      </w:pPr>
    </w:p>
    <w:p>
      <w:pPr>
        <w:jc w:val="both"/>
        <w:ind w:firstLine="581"/>
        <w:spacing w:after="0" w:line="322"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Termination of Service</w:t>
      </w:r>
      <w:r>
        <w:rPr>
          <w:rFonts w:ascii="Arial" w:cs="Arial" w:eastAsia="Arial" w:hAnsi="Arial"/>
          <w:sz w:val="14"/>
          <w:szCs w:val="14"/>
          <w:color w:val="auto"/>
        </w:rPr>
        <w:t>. The Committee shall determine the extent to which the Participant shall have the right to receive Other Share-Based Awards following the Participant’s Termination. Such provisions shall be determined in the sole discretion of the Committee, such provisions may be included in the applicable Award Agreement, but need not be uniform among all Other Share-Based Awards issued pursuant to the Plan, and may reflect distinctions based on the reasons for Termination.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DIVIDEND EQUIVALENTS</w:t>
      </w:r>
    </w:p>
    <w:p>
      <w:pPr>
        <w:spacing w:after="0" w:line="192" w:lineRule="exact"/>
        <w:rPr>
          <w:sz w:val="20"/>
          <w:szCs w:val="20"/>
          <w:color w:val="auto"/>
        </w:rPr>
      </w:pPr>
    </w:p>
    <w:p>
      <w:pPr>
        <w:jc w:val="both"/>
        <w:ind w:firstLine="581"/>
        <w:spacing w:after="0" w:line="257" w:lineRule="auto"/>
        <w:rPr>
          <w:sz w:val="20"/>
          <w:szCs w:val="20"/>
          <w:color w:val="auto"/>
        </w:rPr>
      </w:pPr>
      <w:r>
        <w:rPr>
          <w:rFonts w:ascii="Arial" w:cs="Arial" w:eastAsia="Arial" w:hAnsi="Arial"/>
          <w:sz w:val="16"/>
          <w:szCs w:val="16"/>
          <w:color w:val="auto"/>
        </w:rPr>
        <w:t>Unless otherwise provided by the Committee, no adjustment shall be made in the Shares issuable or taken into account under Awards on account of cash dividends that may be paid or other rights that may be issued to the holders of Shares prior to issuance of such Shares under such Award. The Committee may grant Dividend Equivalents based on the dividends declared on Shares that are subject to any Award, including any Award the payment or settlement of which is deferred pursuant to Section 18.5. Any Award of Dividend Equivalents may be credited as of the dividend payment dates, during the period between the grant date of the Award and the date the Award becomes payable or terminates or expires, as determined by the Committee. Dividend Equivalents may be subject to any limitations and/or restrictions determined by the Committee. Dividend Equivalents shall be converted to cash or additional Shares by such formula and at such time, and shall be paid at such times, as may be determined by the Committee.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6"/>
          <w:szCs w:val="16"/>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CASH-BASED AWARDS</w:t>
      </w:r>
    </w:p>
    <w:p>
      <w:pPr>
        <w:spacing w:after="0" w:line="192"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Grant of Cash-Based Awards</w:t>
      </w:r>
      <w:r>
        <w:rPr>
          <w:rFonts w:ascii="Arial" w:cs="Arial" w:eastAsia="Arial" w:hAnsi="Arial"/>
          <w:sz w:val="15"/>
          <w:szCs w:val="15"/>
          <w:color w:val="auto"/>
        </w:rPr>
        <w:t>. Subject to the terms of the Plan, Cash-Based Awards may be granted to Participants in such amounts and upon such terms, and at any time and from time to time, as shall be determined by the Committee, in accordance with the Plan. A Cash-Based Award entitles the Participant who receives such Award to receive a payment in cash upon the attainment of applicable performance goals for the applicable performance period, and/or satisfaction of other terms and conditions, in each case determined by the Committee, and which shall be set forth in the Award Agreement. The terms and conditions of such Awards shall be consistent with the Plan and set forth in the Award Agreement and need not be uniform among all such Awards or all Participants receiving such Awards.</w:t>
      </w:r>
    </w:p>
    <w:p>
      <w:pPr>
        <w:spacing w:after="0" w:line="153" w:lineRule="exact"/>
        <w:rPr>
          <w:sz w:val="20"/>
          <w:szCs w:val="20"/>
          <w:color w:val="auto"/>
        </w:rPr>
      </w:pPr>
    </w:p>
    <w:p>
      <w:pPr>
        <w:jc w:val="both"/>
        <w:ind w:firstLine="581"/>
        <w:spacing w:after="0" w:line="25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Earning and Payment of Cash-Based Awards</w:t>
      </w:r>
      <w:r>
        <w:rPr>
          <w:rFonts w:ascii="Arial" w:cs="Arial" w:eastAsia="Arial" w:hAnsi="Arial"/>
          <w:sz w:val="16"/>
          <w:szCs w:val="16"/>
          <w:color w:val="auto"/>
        </w:rPr>
        <w:t>. Cash-Based Awards shall become earned, in whole or in part, based upon the attainment of performance goals specified by the Committee and/or the occurrence of any event or events and/or satisfaction of such terms and conditions, including a Change of Control, as the Committee shall determine, either at or after the Grant Date. The Committee shall determine the extent to which any applicable performance goals and/or other terms and conditions of a Cash-Based Award are attained or not attained following conclusion of the applicable performance period. The Committee may, in its discretion, waive any such performance goals and/or other terms and conditions relating to any such Award. Payment of earned Cash-Based Awards shall be as determined by the Committee and set forth in the Award Agreement.</w:t>
      </w:r>
    </w:p>
    <w:p>
      <w:pPr>
        <w:spacing w:after="0" w:line="170"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Each Award Agreement shall set forth the extent to which the Participant shall have the right to retain a Cash-Based Award following such Participant’s Termination. Such provisions shall be determined in the sole discretion of the Committee, shall be included in the applicable Award Agreement, need not be uniform among all such Awards issued pursuant to the Plan, and may reflect distinctions based on the reasons for Termination.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6"/>
          <w:szCs w:val="16"/>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TRANSFERABILITY OF AWARDS; BENEFICIARY DESIGNATION</w:t>
      </w:r>
    </w:p>
    <w:p>
      <w:pPr>
        <w:spacing w:after="0" w:line="192" w:lineRule="exact"/>
        <w:rPr>
          <w:sz w:val="20"/>
          <w:szCs w:val="20"/>
          <w:color w:val="auto"/>
        </w:rPr>
      </w:pPr>
    </w:p>
    <w:p>
      <w:pPr>
        <w:jc w:val="both"/>
        <w:ind w:firstLine="581"/>
        <w:spacing w:after="0" w:line="294"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Transferability of Awards</w:t>
      </w:r>
      <w:r>
        <w:rPr>
          <w:rFonts w:ascii="Arial" w:cs="Arial" w:eastAsia="Arial" w:hAnsi="Arial"/>
          <w:sz w:val="14"/>
          <w:szCs w:val="14"/>
          <w:color w:val="auto"/>
        </w:rPr>
        <w:t xml:space="preserve">. Except as otherwise provided in Section 8.6 or Section 12.2 or a Participant’s Award Agreement or otherwise determined at any time by the Committee, no Award granted under the Plan may be sold, transferred, pledged, assigned, or otherwise alienated or hypothecated, other than by will or by the laws of descent and distribution;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Committee may permit further transferability, on a general or a specific basis, and may impose conditions and limitations on any permitted transferability, subject to any applicable Period of Restriction. Further, except as otherwise provided in a Participant’s Award Agreement or otherwise determined at any time by the Committee, or unless the Committee decides to permit further transferability, subject to any applicable Period of Restriction, all Awards granted to a Participant under the Plan, and all rights with respect to such Awards, shall be exercisable or available during his or her lifetime only by or to such Participant. With respect to those Awards, if any, that are permitted to be transferred to another Person, references in the Plan to exercise or payment related to such Awards by or to the Participant shall be deemed to include, as determined by the Committee, the Participant’s permitted transferee. In the event any Award is exercised by or otherwise paid to the executors, administrators, heirs or distributees of the estate of a deceased Participant, or such a Participant’s beneficiary, or the transferee of an Award, in any such case, pursuant to the terms and conditions of the Plan and the applicable Agreement and in accordance with such terms and conditions as may be specified from time to time by the Committee, the Company shall be under no obligation to issue Shares thereunder unless and until the Company is satisfied, as determined in the discretion of the Committee, that the person or persons exercising such Award, or to receive such payment, are the duly appointed legal representative of the deceased Participant’s estate or the proper legatees or distributees thereof or the named beneficiary of such Participant, or the valid transferee of such Award, as applicable. Any purported assignment, transfer or encumbrance of an Award that does not comply with this Section 12.1 shall be void and unenforceable against the Company.</w:t>
      </w:r>
    </w:p>
    <w:p>
      <w:pPr>
        <w:spacing w:after="0" w:line="146" w:lineRule="exact"/>
        <w:rPr>
          <w:sz w:val="20"/>
          <w:szCs w:val="20"/>
          <w:color w:val="auto"/>
        </w:rPr>
      </w:pPr>
    </w:p>
    <w:p>
      <w:pPr>
        <w:jc w:val="both"/>
        <w:ind w:firstLine="581"/>
        <w:spacing w:after="0" w:line="25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 Each Participant may, from time to time, name any beneficiary or beneficiaries who shall be permitted to exercise his or her Option or SAR or to whom any benefit under the Plan is to be paid in case of the Participant’s death before he or she fully exercises his or her Option or SAR or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beneficiary designation, a Participant’s unexercised Option or SAR, or amounts due but remaining unpaid to such Participant, at the Participant’s death, shall be exercised or paid as designated by the Participant by will or by the laws of descent and distribution.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RIGHTS OF PARTICIPANTS</w:t>
      </w:r>
    </w:p>
    <w:p>
      <w:pPr>
        <w:spacing w:after="0" w:line="192" w:lineRule="exact"/>
        <w:rPr>
          <w:sz w:val="20"/>
          <w:szCs w:val="20"/>
          <w:color w:val="auto"/>
        </w:rPr>
      </w:pPr>
    </w:p>
    <w:p>
      <w:pPr>
        <w:jc w:val="both"/>
        <w:ind w:firstLine="581"/>
        <w:spacing w:after="0" w:line="278"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Rights or Claims</w:t>
      </w:r>
      <w:r>
        <w:rPr>
          <w:rFonts w:ascii="Arial" w:cs="Arial" w:eastAsia="Arial" w:hAnsi="Arial"/>
          <w:sz w:val="15"/>
          <w:szCs w:val="15"/>
          <w:color w:val="auto"/>
        </w:rPr>
        <w:t>. No person shall have any rights or claims under the Plan except in accordance with the provisions of the Plan and any applicable Award Agreement. The liability of the Company and any Affiliate under the Plan is limited to the obligations expressly set forth in the Plan, and no term or provision of the Plan may be construed to impose any further or additional duties, obligations, or costs on the Company or any Affiliate thereof or the Board or the Committee not expressly set forth in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evidencing such Award. Without limiting the generality of the foregoing, neither the existence of the Plan nor anything contained in the Plan or in any Award Agreement shall be deemed to:</w:t>
      </w:r>
    </w:p>
    <w:p>
      <w:pPr>
        <w:spacing w:after="0" w:line="158" w:lineRule="exact"/>
        <w:rPr>
          <w:sz w:val="20"/>
          <w:szCs w:val="20"/>
          <w:color w:val="auto"/>
        </w:rPr>
      </w:pPr>
    </w:p>
    <w:p>
      <w:pPr>
        <w:ind w:left="880" w:hanging="297"/>
        <w:spacing w:after="0" w:line="281" w:lineRule="auto"/>
        <w:tabs>
          <w:tab w:leader="none" w:pos="866" w:val="left"/>
        </w:tabs>
        <w:numPr>
          <w:ilvl w:val="0"/>
          <w:numId w:val="287"/>
        </w:numPr>
        <w:rPr>
          <w:rFonts w:ascii="Arial" w:cs="Arial" w:eastAsia="Arial" w:hAnsi="Arial"/>
          <w:sz w:val="16"/>
          <w:szCs w:val="16"/>
          <w:color w:val="auto"/>
        </w:rPr>
      </w:pPr>
      <w:r>
        <w:rPr>
          <w:rFonts w:ascii="Arial" w:cs="Arial" w:eastAsia="Arial" w:hAnsi="Arial"/>
          <w:sz w:val="16"/>
          <w:szCs w:val="16"/>
          <w:color w:val="auto"/>
        </w:rPr>
        <w:t>Give any Employee or Non-Employee Director the right to be retained in the service of the Company and/or an Affiliate, whether in any particular position, at any particular rate of compensation, for any particular period of time or otherwise;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90" w:name="page291"/>
    <w:bookmarkEnd w:id="290"/>
    <w:p>
      <w:pPr>
        <w:ind w:left="880" w:hanging="297"/>
        <w:spacing w:after="0" w:line="281" w:lineRule="auto"/>
        <w:tabs>
          <w:tab w:leader="none" w:pos="91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Restrict in any way the right of the Company and/or an Affiliate to terminate, change or modify any Employee’s employment or any Non-Employee Director’s service as a Director at any time with or without cause;</w:t>
      </w:r>
    </w:p>
    <w:p>
      <w:pPr>
        <w:spacing w:after="0" w:line="150" w:lineRule="exact"/>
        <w:rPr>
          <w:rFonts w:ascii="Arial" w:cs="Arial" w:eastAsia="Arial" w:hAnsi="Arial"/>
          <w:sz w:val="16"/>
          <w:szCs w:val="16"/>
          <w:color w:val="auto"/>
        </w:rPr>
      </w:pPr>
    </w:p>
    <w:p>
      <w:pPr>
        <w:ind w:left="880" w:hanging="297"/>
        <w:spacing w:after="0" w:line="281" w:lineRule="auto"/>
        <w:tabs>
          <w:tab w:leader="none" w:pos="90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Confer on any Consultant any right of continued relationship with the Company and/or an Affiliate, or alter any relationship between them, including any right of the Company or an Affiliate to terminate, change or modify its relationship with a Consultant;</w:t>
      </w:r>
    </w:p>
    <w:p>
      <w:pPr>
        <w:spacing w:after="0" w:line="150" w:lineRule="exact"/>
        <w:rPr>
          <w:rFonts w:ascii="Arial" w:cs="Arial" w:eastAsia="Arial" w:hAnsi="Arial"/>
          <w:sz w:val="16"/>
          <w:szCs w:val="16"/>
          <w:color w:val="auto"/>
        </w:rPr>
      </w:pPr>
    </w:p>
    <w:p>
      <w:pPr>
        <w:ind w:left="880" w:hanging="297"/>
        <w:spacing w:after="0" w:line="281" w:lineRule="auto"/>
        <w:tabs>
          <w:tab w:leader="none" w:pos="93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Constitute a contract of employment or service between the Company or any Affiliate and any Employee, Non-Employee Director or Consultant, nor shall it constitute a right to remain in the employ or service of the Company or any Affiliate;</w:t>
      </w:r>
    </w:p>
    <w:p>
      <w:pPr>
        <w:spacing w:after="0" w:line="150" w:lineRule="exact"/>
        <w:rPr>
          <w:rFonts w:ascii="Arial" w:cs="Arial" w:eastAsia="Arial" w:hAnsi="Arial"/>
          <w:sz w:val="16"/>
          <w:szCs w:val="16"/>
          <w:color w:val="auto"/>
        </w:rPr>
      </w:pPr>
    </w:p>
    <w:p>
      <w:pPr>
        <w:jc w:val="both"/>
        <w:ind w:left="880" w:hanging="297"/>
        <w:spacing w:after="0" w:line="262" w:lineRule="auto"/>
        <w:tabs>
          <w:tab w:leader="none" w:pos="90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Give any Employee, Non-Employee Director or Consultant the right to receive any bonus, whether payable in cash or in Shares, or in any combination thereof, from the Company and/or an Affiliate, nor be construed as limiting in any way the right of the Company and/or an Affiliate to determine, in its sole discretion, whether or not it shall pay any Employee, Non-Employee Director or Consultant bonuses, and, if so paid, the amount thereof and the manner of such payment; or</w:t>
      </w:r>
    </w:p>
    <w:p>
      <w:pPr>
        <w:spacing w:after="0" w:line="165" w:lineRule="exact"/>
        <w:rPr>
          <w:rFonts w:ascii="Arial" w:cs="Arial" w:eastAsia="Arial" w:hAnsi="Arial"/>
          <w:sz w:val="16"/>
          <w:szCs w:val="16"/>
          <w:color w:val="auto"/>
        </w:rPr>
      </w:pPr>
    </w:p>
    <w:p>
      <w:pPr>
        <w:ind w:left="900" w:hanging="317"/>
        <w:spacing w:after="0"/>
        <w:tabs>
          <w:tab w:leader="none" w:pos="90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Give any Participant any rights whatsoever with respect to an Award except as specifically provided in the Plan and the Award Agreement.</w:t>
      </w:r>
    </w:p>
    <w:p>
      <w:pPr>
        <w:spacing w:after="0" w:line="204"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Adoption of the Plan</w:t>
      </w:r>
      <w:r>
        <w:rPr>
          <w:rFonts w:ascii="Arial" w:cs="Arial" w:eastAsia="Arial" w:hAnsi="Arial"/>
          <w:sz w:val="16"/>
          <w:szCs w:val="16"/>
          <w:color w:val="auto"/>
        </w:rPr>
        <w:t>. The adoption of the Plan shall not be deemed to give any Employee, Non-Employee Director or Consultant or any other individual any right to be selected as a Participant or to be granted an Award, or, having been so selected, to be selected to receive a future Award.</w:t>
      </w:r>
    </w:p>
    <w:p>
      <w:pPr>
        <w:spacing w:after="0" w:line="151"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Vesting</w:t>
      </w:r>
      <w:r>
        <w:rPr>
          <w:rFonts w:ascii="Arial" w:cs="Arial" w:eastAsia="Arial" w:hAnsi="Arial"/>
          <w:sz w:val="16"/>
          <w:szCs w:val="16"/>
          <w:color w:val="auto"/>
        </w:rPr>
        <w:t>. Notwithstanding any other provision of the Plan, a Participant’s right or entitlement to exercise or otherwise vest in any Award not exercisable or vested at the time of grant shall only result from continued services as a Non-Employee Director or Consultant or continued employment, as the case may be, with the Company or any Affiliate, and/or satisfaction of any other performance goals or other conditions or restrictions applicable, by its terms, to such Award, except, in each such case, as the Committee may, in its discretion, expressly determine otherwise.</w:t>
      </w:r>
    </w:p>
    <w:p>
      <w:pPr>
        <w:spacing w:after="0" w:line="166"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No Effects on Benefits</w:t>
      </w:r>
      <w:r>
        <w:rPr>
          <w:rFonts w:ascii="Arial" w:cs="Arial" w:eastAsia="Arial" w:hAnsi="Arial"/>
          <w:sz w:val="16"/>
          <w:szCs w:val="16"/>
          <w:color w:val="auto"/>
        </w:rPr>
        <w:t>. Except as expressly provided otherwise, payments and other compensation received by a Participant under an Award are not part of such Participant’s normal or expected compensation or salary for any purpose, including calculating termination, indemnity, severance, resignation, redundancy, end of service payments, bonuses, long-service awards, pension or retirement benefits or similar payments under any laws, plans, contracts, arrangements or otherwise. No claim or entitlement to compensation or damages arises from the termination of the Plan or diminution in value of any Award or Shares purchased or otherwise received under the Plan.</w:t>
      </w:r>
    </w:p>
    <w:p>
      <w:pPr>
        <w:spacing w:after="0" w:line="170"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4"/>
          <w:szCs w:val="14"/>
          <w:u w:val="single" w:color="auto"/>
          <w:color w:val="auto"/>
        </w:rPr>
        <w:t>One or More Types of Awards</w:t>
      </w:r>
      <w:r>
        <w:rPr>
          <w:rFonts w:ascii="Arial" w:cs="Arial" w:eastAsia="Arial" w:hAnsi="Arial"/>
          <w:sz w:val="14"/>
          <w:szCs w:val="14"/>
          <w:color w:val="auto"/>
        </w:rPr>
        <w:t>. A particular type of Award may be granted to a Participant either alone or in addition to other Awards under the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6"/>
          <w:szCs w:val="16"/>
          <w:color w:val="auto"/>
        </w:rPr>
        <w:t>ARTICLE XIV.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CHANGE OF CONTROL</w:t>
      </w:r>
    </w:p>
    <w:p>
      <w:pPr>
        <w:spacing w:after="0" w:line="19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4"/>
          <w:szCs w:val="14"/>
          <w:u w:val="single" w:color="auto"/>
          <w:color w:val="auto"/>
        </w:rPr>
        <w:t>Treatment of Outstanding Awards</w:t>
      </w:r>
      <w:r>
        <w:rPr>
          <w:rFonts w:ascii="Arial" w:cs="Arial" w:eastAsia="Arial" w:hAnsi="Arial"/>
          <w:sz w:val="14"/>
          <w:szCs w:val="14"/>
          <w:color w:val="auto"/>
        </w:rPr>
        <w:t>.</w:t>
      </w:r>
    </w:p>
    <w:p>
      <w:pPr>
        <w:spacing w:after="0" w:line="204" w:lineRule="exact"/>
        <w:rPr>
          <w:sz w:val="20"/>
          <w:szCs w:val="20"/>
          <w:color w:val="auto"/>
        </w:rPr>
      </w:pPr>
    </w:p>
    <w:p>
      <w:pPr>
        <w:jc w:val="both"/>
        <w:ind w:firstLine="1164"/>
        <w:spacing w:after="0" w:line="267" w:lineRule="auto"/>
        <w:tabs>
          <w:tab w:leader="none" w:pos="182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 the event of a Change of Control, each outstanding Award shall be treated as the Committee determines, including, without limitation, (i) that each Award be honored or assumed, or equivalent rights substituted therefor, by the New Employer or (ii) that all unvested Awards will terminate upon the Change in Control. References to the Committee in this Section 14 are to the Committee as constituted prior to the Change of Control.</w:t>
      </w:r>
    </w:p>
    <w:p>
      <w:pPr>
        <w:spacing w:after="0" w:line="161" w:lineRule="exact"/>
        <w:rPr>
          <w:rFonts w:ascii="Arial" w:cs="Arial" w:eastAsia="Arial" w:hAnsi="Arial"/>
          <w:sz w:val="16"/>
          <w:szCs w:val="16"/>
          <w:color w:val="auto"/>
        </w:rPr>
      </w:pPr>
    </w:p>
    <w:p>
      <w:pPr>
        <w:jc w:val="both"/>
        <w:ind w:firstLine="1164"/>
        <w:spacing w:after="0" w:line="277" w:lineRule="auto"/>
        <w:tabs>
          <w:tab w:leader="none" w:pos="1805" w:val="left"/>
        </w:tabs>
        <w:numPr>
          <w:ilvl w:val="0"/>
          <w:numId w:val="289"/>
        </w:numPr>
        <w:rPr>
          <w:rFonts w:ascii="Arial" w:cs="Arial" w:eastAsia="Arial" w:hAnsi="Arial"/>
          <w:sz w:val="15"/>
          <w:szCs w:val="15"/>
          <w:color w:val="auto"/>
        </w:rPr>
      </w:pPr>
      <w:r>
        <w:rPr>
          <w:rFonts w:ascii="Arial" w:cs="Arial" w:eastAsia="Arial" w:hAnsi="Arial"/>
          <w:sz w:val="15"/>
          <w:szCs w:val="15"/>
          <w:color w:val="auto"/>
        </w:rPr>
        <w:t>Notwithstanding any other provisions of the Plan to the contrary, in the event that the New Employer does not honor, assume or substitute for the Award in such Change of Control (as described in Section 14.1(a)(i)) and the Committee does not terminate such Award (as described in Section 14(a)(ii)): (1)(A) the Award shall become fully exercisable (as applicable), vested and nonforfeitable; (B) any Period of Restriction applicable to the Award shall lapse; and (C) any target performance goals applicable to the Award shall be deemed to have been attained at target (100%) (unless actual performance exceeds the target, in which case actual performance shall be used) and any other terms and condition applicable to the award shall be deemed met; and (2) in the case of an Option or Share Appreciation Right, the Committee will notify the applicable Participant that the Option or Share Appreciation Right will be exercisable for a period of time determined by the Committee in its discretion, and the Option or Stock Appreciation Right will terminate upon the expiration of such period.</w:t>
      </w:r>
    </w:p>
    <w:p>
      <w:pPr>
        <w:spacing w:after="0" w:line="156" w:lineRule="exact"/>
        <w:rPr>
          <w:rFonts w:ascii="Arial" w:cs="Arial" w:eastAsia="Arial" w:hAnsi="Arial"/>
          <w:sz w:val="15"/>
          <w:szCs w:val="15"/>
          <w:color w:val="auto"/>
        </w:rPr>
      </w:pPr>
    </w:p>
    <w:p>
      <w:pPr>
        <w:jc w:val="both"/>
        <w:ind w:firstLine="1164"/>
        <w:spacing w:after="0" w:line="274" w:lineRule="auto"/>
        <w:tabs>
          <w:tab w:leader="none" w:pos="1859" w:val="left"/>
        </w:tabs>
        <w:numPr>
          <w:ilvl w:val="0"/>
          <w:numId w:val="289"/>
        </w:numPr>
        <w:rPr>
          <w:rFonts w:ascii="Arial" w:cs="Arial" w:eastAsia="Arial" w:hAnsi="Arial"/>
          <w:sz w:val="15"/>
          <w:szCs w:val="15"/>
          <w:color w:val="auto"/>
        </w:rPr>
      </w:pPr>
      <w:r>
        <w:rPr>
          <w:rFonts w:ascii="Arial" w:cs="Arial" w:eastAsia="Arial" w:hAnsi="Arial"/>
          <w:sz w:val="15"/>
          <w:szCs w:val="15"/>
          <w:color w:val="auto"/>
        </w:rPr>
        <w:t xml:space="preserve">For the purposes of this Section 14, an Award shall be considered honored, assumed or substituted for if, following the Change of Control, the Award confers the right to purchase or receive, for each Share subject to the Award immediately prior to the Change of Control, the consideration (whether stock, cash, or other securities or property) received in the Change of Control transaction by holders of Shares for each Share held on the effective date of such transaction (and if holders were offered a choice of consideration, the type of consideration chosen by the holders of a majority of the outstanding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such consideration received in such transaction is not solely common equity of the New Employer, the Committee may, with the consent of the New Employer, if applicable, provide for the consideration to be received upon the exercise or payment of an Award, for each Share subject to such Award, to be solely common equity of the New Employer equal in fair market value, as determined by the Committee, to the per share consideration received by holders of Shares in such transaction. Notwithstanding anything in this Section 14 to the contrary, an Award that vests, is earned or paid-out upon the satisfaction of one or more performance goals will not be considered honor, assumed or substituted for if the Company or its successor or the New Employer modifies any of such performance goals without the Participant’s consent;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a modification to such performance goals only to reflect any successor corporation’s post-Change of Control corporate structure will not be deemed to invalidate an otherwise valid honoring, assumption or substitution.</w:t>
      </w:r>
    </w:p>
    <w:p>
      <w:pPr>
        <w:spacing w:after="0" w:line="159"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No Implied Rights; Other Limitations</w:t>
      </w:r>
      <w:r>
        <w:rPr>
          <w:rFonts w:ascii="Arial" w:cs="Arial" w:eastAsia="Arial" w:hAnsi="Arial"/>
          <w:sz w:val="16"/>
          <w:szCs w:val="16"/>
          <w:color w:val="auto"/>
        </w:rPr>
        <w:t>. No Participant shall have any right to prevent the consummation of any of the acts described in Section 4.3 or this Section 14 affecting the number of Shares available to, or other entitlement of, such Participant under the Plan or such Participant’s Award. Any actions or determinations of the Committee under this Section 14 need not be uniform as to all outstanding Awards, nor treat all Participants identically.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6"/>
          <w:szCs w:val="16"/>
          <w:color w:val="auto"/>
        </w:rPr>
        <w:t>ARTICLE XV.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AMENDMENT, MODIFICATION, AND TERMINATION</w:t>
      </w:r>
    </w:p>
    <w:p>
      <w:pPr>
        <w:spacing w:after="0" w:line="192" w:lineRule="exact"/>
        <w:rPr>
          <w:sz w:val="20"/>
          <w:szCs w:val="20"/>
          <w:color w:val="auto"/>
        </w:rPr>
      </w:pPr>
    </w:p>
    <w:p>
      <w:pPr>
        <w:jc w:val="both"/>
        <w:ind w:firstLine="581"/>
        <w:spacing w:after="0" w:line="25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The Board may, at any time and with or without prior notice, amend, alter, suspend or terminate the Plan, retroactively or otherwise, but no such amendment, alteration, suspension or termination of the Plan shall be made which would materially impair the previously accrued rights of any Participant with respect to a previously granted Award without such Participant’s consent, except any such amendment made to comply with applicable law, tax rules, stock exchange rules or accounting rules. In addition, no such amendment shall be made without the approval of the Company’s shareholders to the extent such approval is required by any applicable law, tax rules, stock exchange rules or accounting rules (including as necessary to comply with any rules or requirements of any securities exchange or inter-dealer quotation system on which the Shares may be listed or quoted).</w:t>
      </w:r>
    </w:p>
    <w:p>
      <w:pPr>
        <w:spacing w:after="0" w:line="170" w:lineRule="exact"/>
        <w:rPr>
          <w:sz w:val="20"/>
          <w:szCs w:val="20"/>
          <w:color w:val="auto"/>
        </w:rPr>
      </w:pPr>
    </w:p>
    <w:p>
      <w:pPr>
        <w:jc w:val="both"/>
        <w:ind w:firstLine="581"/>
        <w:spacing w:after="0" w:line="285" w:lineRule="auto"/>
        <w:rPr>
          <w:sz w:val="20"/>
          <w:szCs w:val="20"/>
          <w:color w:val="auto"/>
        </w:rPr>
      </w:pPr>
      <w:r>
        <w:rPr>
          <w:rFonts w:ascii="Arial" w:cs="Arial" w:eastAsia="Arial" w:hAnsi="Arial"/>
          <w:sz w:val="15"/>
          <w:szCs w:val="15"/>
          <w:color w:val="auto"/>
        </w:rPr>
        <w:t xml:space="preserve">15.2. </w:t>
      </w:r>
      <w:r>
        <w:rPr>
          <w:rFonts w:ascii="Arial" w:cs="Arial" w:eastAsia="Arial" w:hAnsi="Arial"/>
          <w:sz w:val="15"/>
          <w:szCs w:val="15"/>
          <w:u w:val="single" w:color="auto"/>
          <w:color w:val="auto"/>
        </w:rPr>
        <w:t>Amendment of Awards</w:t>
      </w:r>
      <w:r>
        <w:rPr>
          <w:rFonts w:ascii="Arial" w:cs="Arial" w:eastAsia="Arial" w:hAnsi="Arial"/>
          <w:sz w:val="15"/>
          <w:szCs w:val="15"/>
          <w:color w:val="auto"/>
        </w:rPr>
        <w:t>. Subject to the immediately following sentence, the Committee may, in its sole discretion, unilaterally amend or alter the terms of any Award theretofore granted, including any Award Agreement, retroactively or otherwise, but no such amendment shall be inconsistent with the terms and conditions of the Plan or materially impair the previously accrued rights of the Participant to whom such Award was granted with respect to such Award without his or her consent, except such an amendment made to cause the Plan or such Award to recognize differences in local law, tax policy, customs, stock exchange rules or accounting principles.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TAX WITHHOLDING AND OTHER TAX MATTERS</w:t>
      </w:r>
    </w:p>
    <w:p>
      <w:pPr>
        <w:spacing w:after="0" w:line="192" w:lineRule="exact"/>
        <w:rPr>
          <w:sz w:val="20"/>
          <w:szCs w:val="20"/>
          <w:color w:val="auto"/>
        </w:rPr>
      </w:pPr>
    </w:p>
    <w:p>
      <w:pPr>
        <w:jc w:val="both"/>
        <w:ind w:firstLine="581"/>
        <w:spacing w:after="0" w:line="277" w:lineRule="auto"/>
        <w:rPr>
          <w:sz w:val="20"/>
          <w:szCs w:val="20"/>
          <w:color w:val="auto"/>
        </w:rPr>
      </w:pPr>
      <w:r>
        <w:rPr>
          <w:rFonts w:ascii="Arial" w:cs="Arial" w:eastAsia="Arial" w:hAnsi="Arial"/>
          <w:sz w:val="15"/>
          <w:szCs w:val="15"/>
          <w:color w:val="auto"/>
        </w:rPr>
        <w:t xml:space="preserve">16.1. </w:t>
      </w:r>
      <w:r>
        <w:rPr>
          <w:rFonts w:ascii="Arial" w:cs="Arial" w:eastAsia="Arial" w:hAnsi="Arial"/>
          <w:sz w:val="15"/>
          <w:szCs w:val="15"/>
          <w:u w:val="single" w:color="auto"/>
          <w:color w:val="auto"/>
        </w:rPr>
        <w:t>Tax Withholding</w:t>
      </w:r>
      <w:r>
        <w:rPr>
          <w:rFonts w:ascii="Arial" w:cs="Arial" w:eastAsia="Arial" w:hAnsi="Arial"/>
          <w:sz w:val="15"/>
          <w:szCs w:val="15"/>
          <w:color w:val="auto"/>
        </w:rPr>
        <w:t>. The Company and/or any Affiliate are authorized to withhold from any Award granted or payment due under the Plan the amount of all taxes due in respect of such Award or payment and take any such other action as may be necessary or appropriate, as determined by the Committee, to satisfy all obligations for the payment of such taxes. No later than the date as of which an amount first becomes includible in the gross income or wages of a Participant for tax purposes with respect to any Award, such Participant shall pay to the Company, or make arrangements satisfactory to the Committee regarding the payment of, any taxes or social security (or similar) contributions of any kind required by law to be withheld with respect to such amount. The obligations of the Company under the Plan shall be conditional on such payment or satisfactory arrangements (as determined by the Committee in its discretion), and the Company and the Subsidiaries and Affiliates shall, to the extent permitted by law, have the right to deduct any such taxes from any payment otherwise due to such Participant, whether or not under the Plan.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93" w:name="page294"/>
    <w:bookmarkEnd w:id="293"/>
    <w:p>
      <w:pPr>
        <w:jc w:val="both"/>
        <w:ind w:firstLine="581"/>
        <w:spacing w:after="0" w:line="275" w:lineRule="auto"/>
        <w:rPr>
          <w:sz w:val="20"/>
          <w:szCs w:val="20"/>
          <w:color w:val="auto"/>
        </w:rPr>
      </w:pPr>
      <w:r>
        <w:rPr>
          <w:rFonts w:ascii="Arial" w:cs="Arial" w:eastAsia="Arial" w:hAnsi="Arial"/>
          <w:sz w:val="15"/>
          <w:szCs w:val="15"/>
          <w:color w:val="auto"/>
        </w:rPr>
        <w:t xml:space="preserve">16.2. </w:t>
      </w:r>
      <w:r>
        <w:rPr>
          <w:rFonts w:ascii="Arial" w:cs="Arial" w:eastAsia="Arial" w:hAnsi="Arial"/>
          <w:sz w:val="15"/>
          <w:szCs w:val="15"/>
          <w:u w:val="single" w:color="auto"/>
          <w:color w:val="auto"/>
        </w:rPr>
        <w:t>Withholding or Tendering Shares</w:t>
      </w:r>
      <w:r>
        <w:rPr>
          <w:rFonts w:ascii="Arial" w:cs="Arial" w:eastAsia="Arial" w:hAnsi="Arial"/>
          <w:sz w:val="15"/>
          <w:szCs w:val="15"/>
          <w:color w:val="auto"/>
        </w:rPr>
        <w:t>. Without limiting the generality of Section 16.1, subject to compliance with Applicable Law, the Committee may in its discretion permit a Participant to satisfy or arrange to satisfy, in whole or in part, the tax obligations incident to an Award by: (a) electing to have the Company withhold Shares or other property otherwise deliverable to such Participant pursuant to his or her Award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amount of any Shares so withheld shall not exceed the amount necessary to satisfy required withholding obligations using the minimum statutory withholding rates for tax purposes, including payroll taxes, that are applicable to such taxable income) and/or (b) tendering to the Company Shares owned by such Participant (or by such Participant and his or her spouse jointly) and purchased or held for the requisite period of time as may be required to avoid the Company’s or the Affiliates’ incurring an adverse accounting charge, based, in each case, on the Fair Market Value of the Shares on the payment date as determined by the Committee. All such elections shall be irrevocable, made in writing, signed by the Participant, and shall be subject to any restrictions or limitations that the Committee, in its sole discretion, deems appropriate. The Committee may establish such procedures as it deems appropriate, including making irrevocable elections, for settlement of withholding obligations with Shares or otherwise.</w:t>
      </w:r>
    </w:p>
    <w:p>
      <w:pPr>
        <w:spacing w:after="0" w:line="159"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Restrictions</w:t>
      </w:r>
      <w:r>
        <w:rPr>
          <w:rFonts w:ascii="Arial" w:cs="Arial" w:eastAsia="Arial" w:hAnsi="Arial"/>
          <w:sz w:val="16"/>
          <w:szCs w:val="16"/>
          <w:color w:val="auto"/>
        </w:rPr>
        <w:t>. The satisfaction of tax obligations pursuant to this Article XVI shall be subject to such restrictions as the Committee may impose, including any restrictions required by Applicable Law or the rules and regulations of the SEC, and shall be construed consistent with an intent to comply with any such Applicable Laws.</w:t>
      </w:r>
    </w:p>
    <w:p>
      <w:pPr>
        <w:spacing w:after="0" w:line="161"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No Guarantee of Favorable Tax Treatment</w:t>
      </w:r>
      <w:r>
        <w:rPr>
          <w:rFonts w:ascii="Arial" w:cs="Arial" w:eastAsia="Arial" w:hAnsi="Arial"/>
          <w:sz w:val="16"/>
          <w:szCs w:val="16"/>
          <w:color w:val="auto"/>
        </w:rPr>
        <w:t>. The Company does not warrant that any Award under the Plan will qualify for favorable tax treatment under any provision of any applicable law. The Company shall not be liable to any Participant for any tax, interest, or penalties the Participant might owe as a result of the grant, holding, vesting, exercise, or payment of any Award under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LIMITS OF LIABILITY; INDEMNIFICATION</w:t>
      </w:r>
    </w:p>
    <w:p>
      <w:pPr>
        <w:spacing w:after="0" w:line="19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6"/>
          <w:szCs w:val="16"/>
          <w:u w:val="single" w:color="auto"/>
          <w:color w:val="auto"/>
        </w:rPr>
        <w:t>Limits of Liability</w:t>
      </w:r>
      <w:r>
        <w:rPr>
          <w:rFonts w:ascii="Arial" w:cs="Arial" w:eastAsia="Arial" w:hAnsi="Arial"/>
          <w:sz w:val="16"/>
          <w:szCs w:val="16"/>
          <w:color w:val="auto"/>
        </w:rPr>
        <w:t>.</w:t>
      </w:r>
    </w:p>
    <w:p>
      <w:pPr>
        <w:spacing w:after="0" w:line="204" w:lineRule="exact"/>
        <w:rPr>
          <w:sz w:val="20"/>
          <w:szCs w:val="20"/>
          <w:color w:val="auto"/>
        </w:rPr>
      </w:pPr>
    </w:p>
    <w:p>
      <w:pPr>
        <w:ind w:firstLine="1164"/>
        <w:spacing w:after="0" w:line="281" w:lineRule="auto"/>
        <w:tabs>
          <w:tab w:leader="none" w:pos="175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Any liability of the Company or an Affiliate to any Participant with respect to any Award shall be based solely upon contractual obligations created by the Plan and the Award Agreement.</w:t>
      </w:r>
    </w:p>
    <w:p>
      <w:pPr>
        <w:spacing w:after="0" w:line="150" w:lineRule="exact"/>
        <w:rPr>
          <w:rFonts w:ascii="Arial" w:cs="Arial" w:eastAsia="Arial" w:hAnsi="Arial"/>
          <w:sz w:val="16"/>
          <w:szCs w:val="16"/>
          <w:color w:val="auto"/>
        </w:rPr>
      </w:pPr>
    </w:p>
    <w:p>
      <w:pPr>
        <w:jc w:val="both"/>
        <w:ind w:firstLine="1164"/>
        <w:spacing w:after="0" w:line="267" w:lineRule="auto"/>
        <w:tabs>
          <w:tab w:leader="none" w:pos="186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None of the Company, any Affiliate, any member of the Board or the Committee or any other person participating in any determination of any question under the Plan, or in the interpretation, administration or application of the Plan, shall have any liability, in the absence of bad faith, to any party for any action taken or not taken in connection with the Plan, except as may expressly be provided by statute.</w:t>
      </w:r>
    </w:p>
    <w:p>
      <w:pPr>
        <w:spacing w:after="0" w:line="161" w:lineRule="exact"/>
        <w:rPr>
          <w:rFonts w:ascii="Arial" w:cs="Arial" w:eastAsia="Arial" w:hAnsi="Arial"/>
          <w:sz w:val="16"/>
          <w:szCs w:val="16"/>
          <w:color w:val="auto"/>
        </w:rPr>
      </w:pPr>
    </w:p>
    <w:p>
      <w:pPr>
        <w:jc w:val="both"/>
        <w:ind w:firstLine="1164"/>
        <w:spacing w:after="0" w:line="267" w:lineRule="auto"/>
        <w:tabs>
          <w:tab w:leader="none" w:pos="1903"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Each member of the Committee, while serving as such, shall be considered to be acting in his or her capacity as a director of the Company. Members of the Board of Directors and members of the Committee acting under the Plan shall be fully protected in relying in good faith upon the advice of counsel and shall incur no liability except for gross negligence or willful misconduct in the performance of their duties.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94" w:name="page295"/>
    <w:bookmarkEnd w:id="294"/>
    <w:p>
      <w:pPr>
        <w:jc w:val="both"/>
        <w:ind w:firstLine="1164"/>
        <w:spacing w:after="0" w:line="262" w:lineRule="auto"/>
        <w:tabs>
          <w:tab w:leader="none" w:pos="175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Company shall not be liable to a Participant or any other person as to: (i) the non-issuance of Shares as to which the Company has been unable to obtain from any regulatory body having relevant jurisdiction the authority deemed by the Committee or the Company’s counsel to be necessary to the lawful issuance and sale of any Shares hereunder, and (ii) any tax consequence expected, but not realized, by any Participant or other person due to the receipt, exercise or settlement of any Option or other Award.</w:t>
      </w:r>
    </w:p>
    <w:p>
      <w:pPr>
        <w:spacing w:after="0" w:line="166" w:lineRule="exact"/>
        <w:rPr>
          <w:sz w:val="20"/>
          <w:szCs w:val="20"/>
          <w:color w:val="auto"/>
        </w:rPr>
      </w:pPr>
    </w:p>
    <w:p>
      <w:pPr>
        <w:jc w:val="both"/>
        <w:ind w:firstLine="581"/>
        <w:spacing w:after="0" w:line="275" w:lineRule="auto"/>
        <w:rPr>
          <w:sz w:val="20"/>
          <w:szCs w:val="20"/>
          <w:color w:val="auto"/>
        </w:rPr>
      </w:pPr>
      <w:r>
        <w:rPr>
          <w:rFonts w:ascii="Arial" w:cs="Arial" w:eastAsia="Arial" w:hAnsi="Arial"/>
          <w:sz w:val="15"/>
          <w:szCs w:val="15"/>
          <w:color w:val="auto"/>
        </w:rPr>
        <w:t xml:space="preserve">17.2. </w:t>
      </w:r>
      <w:r>
        <w:rPr>
          <w:rFonts w:ascii="Arial" w:cs="Arial" w:eastAsia="Arial" w:hAnsi="Arial"/>
          <w:sz w:val="15"/>
          <w:szCs w:val="15"/>
          <w:u w:val="single" w:color="auto"/>
          <w:color w:val="auto"/>
        </w:rPr>
        <w:t>Indemnification</w:t>
      </w:r>
      <w:r>
        <w:rPr>
          <w:rFonts w:ascii="Arial" w:cs="Arial" w:eastAsia="Arial" w:hAnsi="Arial"/>
          <w:sz w:val="15"/>
          <w:szCs w:val="15"/>
          <w:color w:val="auto"/>
        </w:rPr>
        <w:t xml:space="preserve">. Subject to the requirements of applicable law, each individual who is or shall have been a member of the Committee or of the Board, or an officer of the Company to whom authority was delegated in accordance with Article III,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he or she shall give the Company an opportunity, at its own expense, to handle and defend the same before he or she undertakes to handle and defend it on his or her own behalf, unless such loss, cost, liability, or expense is a result of the individual’s own willful misconduct or except as provided by statute. The foregoing right of indemnification shall not be exclusive of any other rights of indemnification to which such individual may be entitled under the Company’s Articles of Association, as a matter of law, or otherwise, or any power that the Company may have to indemnify or hold harmless such individual.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MISCELLANEOUS</w:t>
      </w:r>
    </w:p>
    <w:p>
      <w:pPr>
        <w:spacing w:after="0" w:line="192"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Drafting Context</w:t>
      </w:r>
      <w:r>
        <w:rPr>
          <w:rFonts w:ascii="Arial" w:cs="Arial" w:eastAsia="Arial" w:hAnsi="Arial"/>
          <w:sz w:val="16"/>
          <w:szCs w:val="16"/>
          <w:color w:val="auto"/>
        </w:rPr>
        <w:t>. Except where otherwise indicated by the context, any masculine term used herein also shall include the feminine; the plural shall include the singular and the singular shall include the plural. The words “Article,” “Section,” and “paragraph” herein shall refer to provisions of the Plan, unless expressly indicated otherwise. The words “include,” “includes,” and “including” herein shall be deemed to be followed by “without limitation” whether or not they are in fact followed by such words or words of similar import, unless the context otherwise requires. The headings and captions appearing herein are inserted only as a matter of convenience. They do not define, limit, construe, or describe the scope or intent of the provisions of the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95" w:name="page296"/>
    <w:bookmarkEnd w:id="295"/>
    <w:p>
      <w:pPr>
        <w:jc w:val="both"/>
        <w:ind w:firstLine="581"/>
        <w:spacing w:after="0" w:line="278" w:lineRule="auto"/>
        <w:rPr>
          <w:sz w:val="20"/>
          <w:szCs w:val="20"/>
          <w:color w:val="auto"/>
        </w:rPr>
      </w:pPr>
      <w:r>
        <w:rPr>
          <w:rFonts w:ascii="Arial" w:cs="Arial" w:eastAsia="Arial" w:hAnsi="Arial"/>
          <w:sz w:val="15"/>
          <w:szCs w:val="15"/>
          <w:color w:val="auto"/>
        </w:rPr>
        <w:t xml:space="preserve">18.2. </w:t>
      </w:r>
      <w:r>
        <w:rPr>
          <w:rFonts w:ascii="Arial" w:cs="Arial" w:eastAsia="Arial" w:hAnsi="Arial"/>
          <w:sz w:val="15"/>
          <w:szCs w:val="15"/>
          <w:u w:val="single" w:color="auto"/>
          <w:color w:val="auto"/>
        </w:rPr>
        <w:t>Forfeiture / Clawback</w:t>
      </w:r>
      <w:r>
        <w:rPr>
          <w:rFonts w:ascii="Arial" w:cs="Arial" w:eastAsia="Arial" w:hAnsi="Arial"/>
          <w:sz w:val="15"/>
          <w:szCs w:val="15"/>
          <w:color w:val="auto"/>
        </w:rPr>
        <w:t>. The Committee may, in its discretion, specify in an Award Agreement or a policy that will be deemed incorporated into an Award Agreement by reference (regardless of whether such policy is established before or after the date of such Award Agreement), that a Participant’s rights, payments, and benefits with respect to an Award shall be subject to reduction, cancellation, forfeiture, rescission or recoupment upon the occurrence of certain specified events, in addition to any otherwise applicable vesting, restrictions or performance conditions of an Award. Such events may include, but shall not be limited to, Termination with or without cause, breach of noncompetition, confidentiality, or other restrictive covenants that may apply to the Participant, or restatement of the Company’s financial statements to reflect adverse results from those previously released financial statements, as a consequence of errors, omissions, fraud, or misconduct.</w:t>
      </w:r>
    </w:p>
    <w:p>
      <w:pPr>
        <w:spacing w:after="0" w:line="158"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51"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 xml:space="preserve">18.4. </w:t>
      </w:r>
      <w:r>
        <w:rPr>
          <w:rFonts w:ascii="Arial" w:cs="Arial" w:eastAsia="Arial" w:hAnsi="Arial"/>
          <w:sz w:val="16"/>
          <w:szCs w:val="16"/>
          <w:u w:val="single" w:color="auto"/>
          <w:color w:val="auto"/>
        </w:rPr>
        <w:t>Exercise and Payment of Awards</w:t>
      </w:r>
      <w:r>
        <w:rPr>
          <w:rFonts w:ascii="Arial" w:cs="Arial" w:eastAsia="Arial" w:hAnsi="Arial"/>
          <w:sz w:val="16"/>
          <w:szCs w:val="16"/>
          <w:color w:val="auto"/>
        </w:rPr>
        <w:t>. An Award shall be deemed exercised or claimed when the Secretary of the Company or any other Company official or other person designated by the Committee for such purpose receives appropriate written notice from a Participant, in form acceptable to the Committee, together with payment of the applicable Option Price, Grant Price or other purchase price, if any, and compliance with Article XVI, in accordance with the Plan and such Participant’s Award Agreement.</w:t>
      </w:r>
    </w:p>
    <w:p>
      <w:pPr>
        <w:spacing w:after="0" w:line="166"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Deferrals</w:t>
      </w:r>
      <w:r>
        <w:rPr>
          <w:rFonts w:ascii="Arial" w:cs="Arial" w:eastAsia="Arial" w:hAnsi="Arial"/>
          <w:sz w:val="16"/>
          <w:szCs w:val="16"/>
          <w:color w:val="auto"/>
        </w:rPr>
        <w:t>. Subject to applicable law, the Committee may from time to time establish procedures pursuant to which a Participant may defer on an elective or mandatory basis receipt of all or a portion of the cash or Shares subject to an Award on such terms and conditions as the Committee shall determine, including those of any deferred compensation plan of the Company or any Affiliate specified by the Committee for such purpose.</w:t>
      </w:r>
    </w:p>
    <w:p>
      <w:pPr>
        <w:spacing w:after="0" w:line="161" w:lineRule="exact"/>
        <w:rPr>
          <w:sz w:val="20"/>
          <w:szCs w:val="20"/>
          <w:color w:val="auto"/>
        </w:rPr>
      </w:pPr>
    </w:p>
    <w:p>
      <w:pPr>
        <w:jc w:val="both"/>
        <w:ind w:firstLine="581"/>
        <w:spacing w:after="0" w:line="292" w:lineRule="auto"/>
        <w:rPr>
          <w:sz w:val="20"/>
          <w:szCs w:val="20"/>
          <w:color w:val="auto"/>
        </w:rPr>
      </w:pPr>
      <w:r>
        <w:rPr>
          <w:rFonts w:ascii="Arial" w:cs="Arial" w:eastAsia="Arial" w:hAnsi="Arial"/>
          <w:sz w:val="15"/>
          <w:szCs w:val="15"/>
          <w:color w:val="auto"/>
        </w:rPr>
        <w:t xml:space="preserve">18.6. </w:t>
      </w:r>
      <w:r>
        <w:rPr>
          <w:rFonts w:ascii="Arial" w:cs="Arial" w:eastAsia="Arial" w:hAnsi="Arial"/>
          <w:sz w:val="15"/>
          <w:szCs w:val="15"/>
          <w:u w:val="single" w:color="auto"/>
          <w:color w:val="auto"/>
        </w:rPr>
        <w:t>Loans</w:t>
      </w:r>
      <w:r>
        <w:rPr>
          <w:rFonts w:ascii="Arial" w:cs="Arial" w:eastAsia="Arial" w:hAnsi="Arial"/>
          <w:sz w:val="15"/>
          <w:szCs w:val="15"/>
          <w:color w:val="auto"/>
        </w:rPr>
        <w:t xml:space="preserve">. The Company may, in the discretion of the Committee, extend one or more loans to Participants in connection with the exercise or receipt of an Award granted to any such Participant;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extend loans to any Participant if prohibited by Applicable Law or the rules of any stock exchange or quotation system on which the Company’s securities are listed. The terms and conditions of any such loan shall be established by the Committee.</w:t>
      </w:r>
    </w:p>
    <w:p>
      <w:pPr>
        <w:spacing w:after="0" w:line="146"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18.7. </w:t>
      </w:r>
      <w:r>
        <w:rPr>
          <w:rFonts w:ascii="Arial" w:cs="Arial" w:eastAsia="Arial" w:hAnsi="Arial"/>
          <w:sz w:val="16"/>
          <w:szCs w:val="16"/>
          <w:u w:val="single" w:color="auto"/>
          <w:color w:val="auto"/>
        </w:rPr>
        <w:t>No Effect on Other Plans</w:t>
      </w:r>
      <w:r>
        <w:rPr>
          <w:rFonts w:ascii="Arial" w:cs="Arial" w:eastAsia="Arial" w:hAnsi="Arial"/>
          <w:sz w:val="16"/>
          <w:szCs w:val="16"/>
          <w:color w:val="auto"/>
        </w:rPr>
        <w:t>. Neither the adoption of the Plan nor anything contained herein shall affect any other compensation or incentive plans or arrangements of the Company or any Affiliate, or prevent or limit the right of the Company or any Affiliate to establish any other forms of incentives or compensation for their directors, officers, eligible employees or consultants or grant or assume options or other rights otherwise than under the Plan.</w:t>
      </w:r>
    </w:p>
    <w:p>
      <w:pPr>
        <w:spacing w:after="0" w:line="161"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6"/>
          <w:szCs w:val="16"/>
          <w:color w:val="auto"/>
        </w:rPr>
        <w:t xml:space="preserve">18.8. </w:t>
      </w:r>
      <w:r>
        <w:rPr>
          <w:rFonts w:ascii="Arial" w:cs="Arial" w:eastAsia="Arial" w:hAnsi="Arial"/>
          <w:sz w:val="16"/>
          <w:szCs w:val="16"/>
          <w:u w:val="single" w:color="auto"/>
          <w:color w:val="auto"/>
        </w:rPr>
        <w:t>Section 16 of Exchange Act</w:t>
      </w:r>
      <w:r>
        <w:rPr>
          <w:rFonts w:ascii="Arial" w:cs="Arial" w:eastAsia="Arial" w:hAnsi="Arial"/>
          <w:sz w:val="16"/>
          <w:szCs w:val="16"/>
          <w:color w:val="auto"/>
        </w:rPr>
        <w:t>. The provisions and operation of the Plan are intended to ensure that no transaction under the Plan is subject to (and not exempt from) the short-swing profit recovery rules of Section 16(b) of the Exchange Act. Unless otherwise stated in the Award Agreement, notwithstanding any other provision of the Plan, any Award granted to an Insider shall be subject to any additional limitations set forth in any applicable exemptive rule under Section 16 of the Exchange Act (including Rule 16b-3) that are requirements for the application of such exemptive rule, and the Plan and the Award Agreement shall be deemed amended to the extent necessary to conform to such limitations.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96" w:name="page297"/>
    <w:bookmarkEnd w:id="296"/>
    <w:p>
      <w:pPr>
        <w:ind w:left="580"/>
        <w:spacing w:after="0"/>
        <w:tabs>
          <w:tab w:leader="none" w:pos="1160" w:val="left"/>
        </w:tabs>
        <w:rPr>
          <w:sz w:val="20"/>
          <w:szCs w:val="20"/>
          <w:color w:val="auto"/>
        </w:rPr>
      </w:pPr>
      <w:r>
        <w:rPr>
          <w:rFonts w:ascii="Arial" w:cs="Arial" w:eastAsia="Arial" w:hAnsi="Arial"/>
          <w:sz w:val="16"/>
          <w:szCs w:val="16"/>
          <w:color w:val="auto"/>
        </w:rPr>
        <w:t>18.9.</w:t>
      </w:r>
      <w:r>
        <w:rPr>
          <w:sz w:val="20"/>
          <w:szCs w:val="20"/>
          <w:color w:val="auto"/>
        </w:rPr>
        <w:tab/>
      </w:r>
      <w:r>
        <w:rPr>
          <w:rFonts w:ascii="Arial" w:cs="Arial" w:eastAsia="Arial" w:hAnsi="Arial"/>
          <w:sz w:val="14"/>
          <w:szCs w:val="14"/>
          <w:u w:val="single" w:color="auto"/>
          <w:color w:val="auto"/>
        </w:rPr>
        <w:t>Requirements of Law; Limitations on Awards</w:t>
      </w:r>
      <w:r>
        <w:rPr>
          <w:rFonts w:ascii="Arial" w:cs="Arial" w:eastAsia="Arial" w:hAnsi="Arial"/>
          <w:sz w:val="14"/>
          <w:szCs w:val="14"/>
          <w:color w:val="auto"/>
        </w:rPr>
        <w:t>.</w:t>
      </w:r>
    </w:p>
    <w:p>
      <w:pPr>
        <w:spacing w:after="0" w:line="204" w:lineRule="exact"/>
        <w:rPr>
          <w:sz w:val="20"/>
          <w:szCs w:val="20"/>
          <w:color w:val="auto"/>
        </w:rPr>
      </w:pPr>
    </w:p>
    <w:p>
      <w:pPr>
        <w:ind w:firstLine="1164"/>
        <w:spacing w:after="0" w:line="281" w:lineRule="auto"/>
        <w:tabs>
          <w:tab w:leader="none" w:pos="198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granting of Awards and the issuance of Shares under the Plan shall be subject to all Applicable Laws and to such approvals by any governmental agencies or national securities exchanges as may be required.</w:t>
      </w:r>
    </w:p>
    <w:p>
      <w:pPr>
        <w:spacing w:after="0" w:line="150" w:lineRule="exact"/>
        <w:rPr>
          <w:rFonts w:ascii="Arial" w:cs="Arial" w:eastAsia="Arial" w:hAnsi="Arial"/>
          <w:sz w:val="16"/>
          <w:szCs w:val="16"/>
          <w:color w:val="auto"/>
        </w:rPr>
      </w:pPr>
    </w:p>
    <w:p>
      <w:pPr>
        <w:jc w:val="both"/>
        <w:ind w:firstLine="1164"/>
        <w:spacing w:after="0" w:line="259" w:lineRule="auto"/>
        <w:tabs>
          <w:tab w:leader="none" w:pos="191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at any time the Committee shall determine, in its discretion, that the listing, registration and/or qualification of Shares upon any securities exchange or under any law, or the consent or approval of any governmental regulatory body, is necessary or desirable as a condition of, or in connection with, the sale or purchase of Shares hereunder, the Company shall have no obligation to allow the grant, exercise or payment of any Award, or to issue or deliver evidence of title for Shares issued under the Plan, in whole or in part, unless and until such listing, registration, qualification, consent and/or approval shall have been effected or obtained, or otherwise provided for, free of any conditions not acceptable to the Committee.</w:t>
      </w:r>
    </w:p>
    <w:p>
      <w:pPr>
        <w:spacing w:after="0" w:line="170" w:lineRule="exact"/>
        <w:rPr>
          <w:rFonts w:ascii="Arial" w:cs="Arial" w:eastAsia="Arial" w:hAnsi="Arial"/>
          <w:sz w:val="16"/>
          <w:szCs w:val="16"/>
          <w:color w:val="auto"/>
        </w:rPr>
      </w:pPr>
    </w:p>
    <w:p>
      <w:pPr>
        <w:jc w:val="both"/>
        <w:ind w:firstLine="1164"/>
        <w:spacing w:after="0" w:line="281" w:lineRule="auto"/>
        <w:tabs>
          <w:tab w:leader="none" w:pos="1927" w:val="left"/>
        </w:tabs>
        <w:numPr>
          <w:ilvl w:val="0"/>
          <w:numId w:val="292"/>
        </w:numPr>
        <w:rPr>
          <w:rFonts w:ascii="Arial" w:cs="Arial" w:eastAsia="Arial" w:hAnsi="Arial"/>
          <w:sz w:val="15"/>
          <w:szCs w:val="15"/>
          <w:color w:val="auto"/>
        </w:rPr>
      </w:pPr>
      <w:r>
        <w:rPr>
          <w:rFonts w:ascii="Arial" w:cs="Arial" w:eastAsia="Arial" w:hAnsi="Arial"/>
          <w:sz w:val="15"/>
          <w:szCs w:val="15"/>
          <w:color w:val="auto"/>
        </w:rPr>
        <w:t>If at any time counsel to the Company shall be of the opinion that any sale or delivery of Shares pursuant to an Award is or may be in the circumstances unlawful or result in the imposition of excise taxes on the Company or any Affiliate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or Awards and the right to exercise or payment of any Option or Award shall be suspended until, in the opinion of such counsel, such sale or delivery shall be lawful or will not result in the imposition of excise taxes on the Company or any Affiliate.</w:t>
      </w:r>
    </w:p>
    <w:p>
      <w:pPr>
        <w:spacing w:after="0" w:line="153" w:lineRule="exact"/>
        <w:rPr>
          <w:rFonts w:ascii="Arial" w:cs="Arial" w:eastAsia="Arial" w:hAnsi="Arial"/>
          <w:sz w:val="15"/>
          <w:szCs w:val="15"/>
          <w:color w:val="auto"/>
        </w:rPr>
      </w:pPr>
    </w:p>
    <w:p>
      <w:pPr>
        <w:jc w:val="both"/>
        <w:ind w:firstLine="1164"/>
        <w:spacing w:after="0" w:line="267" w:lineRule="auto"/>
        <w:tabs>
          <w:tab w:leader="none" w:pos="176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Upon termination of any period of suspension under this Section 18.9, any Award affected by such suspension which shall not then have expired or terminated shall be reinstated as to all Shares available before such suspension and as to the Shares which would otherwise have become available during the period of such suspension, but no suspension shall extend the term of any Award.</w:t>
      </w:r>
    </w:p>
    <w:p>
      <w:pPr>
        <w:spacing w:after="0" w:line="161" w:lineRule="exact"/>
        <w:rPr>
          <w:rFonts w:ascii="Arial" w:cs="Arial" w:eastAsia="Arial" w:hAnsi="Arial"/>
          <w:sz w:val="16"/>
          <w:szCs w:val="16"/>
          <w:color w:val="auto"/>
        </w:rPr>
      </w:pPr>
    </w:p>
    <w:p>
      <w:pPr>
        <w:jc w:val="both"/>
        <w:ind w:firstLine="1164"/>
        <w:spacing w:after="0" w:line="281" w:lineRule="auto"/>
        <w:tabs>
          <w:tab w:leader="none" w:pos="1746"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The Committee may require each person receiving Shares in connection with any Award under the Plan to represent and agree with the Company in writing that such person is acquiring such Shares for investment without a view to the distribution thereof, and/or provide such other representations and agreements as the Committee may prescribe. The Committee, in its absolute discretion, may impose such restrictions on the ownership and transferability of the Shares purchasable or otherwise receivable by any person under any Award as it deems appropriate. Any such restrictions shall be set forth in the applicable Award Agreement, and the certificates evidencing such shares may include any legend that the Committee deems appropriate to reflect any such restrictions.</w:t>
      </w:r>
    </w:p>
    <w:p>
      <w:pPr>
        <w:spacing w:after="0" w:line="153" w:lineRule="exact"/>
        <w:rPr>
          <w:rFonts w:ascii="Arial" w:cs="Arial" w:eastAsia="Arial" w:hAnsi="Arial"/>
          <w:sz w:val="15"/>
          <w:szCs w:val="15"/>
          <w:color w:val="auto"/>
        </w:rPr>
      </w:pPr>
    </w:p>
    <w:p>
      <w:pPr>
        <w:jc w:val="both"/>
        <w:ind w:firstLine="1164"/>
        <w:spacing w:after="0" w:line="262" w:lineRule="auto"/>
        <w:tabs>
          <w:tab w:leader="none" w:pos="177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An Award and any Shares received upon the exercise or payment of an Award shall be subject to such other transfer and/or ownership restrictions and/or legending requirements under the Company’s Articles of Association and/or as the Committee may establish in its discretion and may be referred to on the certificates evidencing such Shares, including restrictions under applicable securities laws, under the requirements of any stock exchange or market upon which such Shares are then listed and/or traded, and under any blue sky or state securities laws applicable to such Shares.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297" w:name="page298"/>
    <w:bookmarkEnd w:id="297"/>
    <w:p>
      <w:pPr>
        <w:jc w:val="both"/>
        <w:ind w:firstLine="581"/>
        <w:spacing w:after="0" w:line="267"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u w:val="single" w:color="auto"/>
          <w:color w:val="auto"/>
        </w:rPr>
        <w:t>Participants Deemed to Accept Plan</w:t>
      </w:r>
      <w:r>
        <w:rPr>
          <w:rFonts w:ascii="Arial" w:cs="Arial" w:eastAsia="Arial" w:hAnsi="Arial"/>
          <w:sz w:val="16"/>
          <w:szCs w:val="16"/>
          <w:color w:val="auto"/>
        </w:rPr>
        <w:t>. By accepting any benefit under the Plan, each Participant and each person claiming under or through any such Participant shall be conclusively deemed to have indicated their acceptance and ratification of, and consent to, all of the terms and conditions of the Plan and any action taken under the Plan by the Board, the Committee or the Company, in any case in accordance with the terms and conditions of the Plan.</w:t>
      </w:r>
    </w:p>
    <w:p>
      <w:pPr>
        <w:spacing w:after="0" w:line="161"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all determinations made and actions taken pursuant hereto and, except as provided below or in an applicable subplan, each Award Agreement to a Participant shall be governed by the laws of the State of Israel, excluding any conflicts or choice of law rule or principle that might otherwise refer construction or interpretation of the Plan to the substantive law of another jurisdiction. Unless otherwise provided in the Award Agreement, Participants are deemed to submit to the exclusive jurisdiction and venue of the competent courts of Tel-Aviv-Jaffa, Israel, to resolve any and all issues that may arise out of or relate to the Plan or any related Award Agreement.</w:t>
      </w:r>
    </w:p>
    <w:p>
      <w:pPr>
        <w:spacing w:after="0" w:line="170"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18.12. </w:t>
      </w:r>
      <w:r>
        <w:rPr>
          <w:rFonts w:ascii="Arial" w:cs="Arial" w:eastAsia="Arial" w:hAnsi="Arial"/>
          <w:sz w:val="16"/>
          <w:szCs w:val="16"/>
          <w:u w:val="single" w:color="auto"/>
          <w:color w:val="auto"/>
        </w:rPr>
        <w:t>Plan Unfunded</w:t>
      </w:r>
      <w:r>
        <w:rPr>
          <w:rFonts w:ascii="Arial" w:cs="Arial" w:eastAsia="Arial" w:hAnsi="Arial"/>
          <w:sz w:val="16"/>
          <w:szCs w:val="16"/>
          <w:color w:val="auto"/>
        </w:rPr>
        <w:t>. The Plan shall be unfunded. The Company shall not be required to establish any special or separate fund or to make any other segregation of assets to assure the issuance of Shares or the payment of cash upon exercise or payment of any Award. Proceeds from the sale of Shares pursuant to Options or other Awards granted under the Plan shall constitute general funds of the Company.</w:t>
      </w:r>
    </w:p>
    <w:p>
      <w:pPr>
        <w:spacing w:after="0" w:line="16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18.13. </w:t>
      </w:r>
      <w:r>
        <w:rPr>
          <w:rFonts w:ascii="Arial" w:cs="Arial" w:eastAsia="Arial" w:hAnsi="Arial"/>
          <w:sz w:val="16"/>
          <w:szCs w:val="16"/>
          <w:u w:val="single" w:color="auto"/>
          <w:color w:val="auto"/>
        </w:rPr>
        <w:t>Administration Costs</w:t>
      </w:r>
      <w:r>
        <w:rPr>
          <w:rFonts w:ascii="Arial" w:cs="Arial" w:eastAsia="Arial" w:hAnsi="Arial"/>
          <w:sz w:val="16"/>
          <w:szCs w:val="16"/>
          <w:color w:val="auto"/>
        </w:rPr>
        <w:t>. The Company shall bear all costs and expenses incurred in administering the Plan, including expenses of issuing Shares pursuant to any Options or other Awards granted hereunder.</w:t>
      </w:r>
    </w:p>
    <w:p>
      <w:pPr>
        <w:spacing w:after="0" w:line="151" w:lineRule="exact"/>
        <w:rPr>
          <w:sz w:val="20"/>
          <w:szCs w:val="20"/>
          <w:color w:val="auto"/>
        </w:rPr>
      </w:pPr>
    </w:p>
    <w:p>
      <w:pPr>
        <w:jc w:val="both"/>
        <w:ind w:firstLine="581"/>
        <w:spacing w:after="0" w:line="281" w:lineRule="auto"/>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Uncertificated Shares</w:t>
      </w:r>
      <w:r>
        <w:rPr>
          <w:rFonts w:ascii="Arial" w:cs="Arial" w:eastAsia="Arial" w:hAnsi="Arial"/>
          <w:sz w:val="16"/>
          <w:szCs w:val="16"/>
          <w:color w:val="auto"/>
        </w:rPr>
        <w:t>. To the extent that the Plan provides for issuance of certificates to reflect the transfer of Shares, the transfer of such Shares may nevertheless be effected on a noncertificated basis, to the extent not prohibited by applicable law or the rules of any stock exchange.</w:t>
      </w:r>
    </w:p>
    <w:p>
      <w:pPr>
        <w:spacing w:after="0" w:line="151"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18.15. </w:t>
      </w:r>
      <w:r>
        <w:rPr>
          <w:rFonts w:ascii="Arial" w:cs="Arial" w:eastAsia="Arial" w:hAnsi="Arial"/>
          <w:sz w:val="16"/>
          <w:szCs w:val="16"/>
          <w:u w:val="single" w:color="auto"/>
          <w:color w:val="auto"/>
        </w:rPr>
        <w:t>No Fractional Shares</w:t>
      </w:r>
      <w:r>
        <w:rPr>
          <w:rFonts w:ascii="Arial" w:cs="Arial" w:eastAsia="Arial" w:hAnsi="Arial"/>
          <w:sz w:val="16"/>
          <w:szCs w:val="16"/>
          <w:color w:val="auto"/>
        </w:rPr>
        <w:t>. An Option or other Award shall not be exercisable with respect to a fractional Share or the lesser of fifty (50) shares or the full number of Shares then subject to the Option or other Award. No fractional Shares shall be issued upon the exercise or payment of an Option or other Award and any such fractions shall be rounded to the nearest whole number.</w:t>
      </w:r>
    </w:p>
    <w:p>
      <w:pPr>
        <w:spacing w:after="0" w:line="161"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 xml:space="preserve">18.16. </w:t>
      </w:r>
      <w:r>
        <w:rPr>
          <w:rFonts w:ascii="Arial" w:cs="Arial" w:eastAsia="Arial" w:hAnsi="Arial"/>
          <w:sz w:val="16"/>
          <w:szCs w:val="16"/>
          <w:u w:val="single" w:color="auto"/>
          <w:color w:val="auto"/>
        </w:rPr>
        <w:t>Right of Offset</w:t>
      </w:r>
      <w:r>
        <w:rPr>
          <w:rFonts w:ascii="Arial" w:cs="Arial" w:eastAsia="Arial" w:hAnsi="Arial"/>
          <w:sz w:val="16"/>
          <w:szCs w:val="16"/>
          <w:color w:val="auto"/>
        </w:rPr>
        <w:t>. The Company and any Affiliate shall have the right to offset against the obligations to make payment or issue any Shares to any Participant under the Plan, any outstanding amounts (including travel and entertainment advance balances, loans, tax withholding amounts paid by the employer or amounts repayable to the Company or any Affiliate pursuant to tax equalization, housing, automobile or other employee programs) such Participant then owes to the Company or any Affiliate and any amounts the Committee otherwise deems appropriate pursuant to any tax equalization policy or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98" w:name="page299"/>
    <w:bookmarkEnd w:id="298"/>
    <w:p>
      <w:pPr>
        <w:jc w:val="both"/>
        <w:ind w:firstLine="581"/>
        <w:spacing w:after="0" w:line="262" w:lineRule="auto"/>
        <w:rPr>
          <w:sz w:val="20"/>
          <w:szCs w:val="20"/>
          <w:color w:val="auto"/>
        </w:rPr>
      </w:pPr>
      <w:r>
        <w:rPr>
          <w:rFonts w:ascii="Arial" w:cs="Arial" w:eastAsia="Arial" w:hAnsi="Arial"/>
          <w:sz w:val="16"/>
          <w:szCs w:val="16"/>
          <w:color w:val="auto"/>
        </w:rPr>
        <w:t xml:space="preserve">18.17. </w:t>
      </w:r>
      <w:r>
        <w:rPr>
          <w:rFonts w:ascii="Arial" w:cs="Arial" w:eastAsia="Arial" w:hAnsi="Arial"/>
          <w:sz w:val="16"/>
          <w:szCs w:val="16"/>
          <w:u w:val="single" w:color="auto"/>
          <w:color w:val="auto"/>
        </w:rPr>
        <w:t>Participants</w:t>
      </w:r>
      <w:r>
        <w:rPr>
          <w:rFonts w:ascii="Arial" w:cs="Arial" w:eastAsia="Arial" w:hAnsi="Arial"/>
          <w:sz w:val="16"/>
          <w:szCs w:val="16"/>
          <w:color w:val="auto"/>
        </w:rPr>
        <w:t>. Notwithstanding any provision of the Plan to the contrary, in order to comply or facilitate compliance with the laws or practices, avoid onerous regulatory filings or other compliance requirements, avoid tax consequences or achieve favorable tax treatment for Participants, the Company or an Affiliate, in countries in which the Company and/or any Affiliate operates or has Employees, Non-Employee Directors or Consultants, the Committee, in its sole discretion, shall have the power and authority to:</w:t>
      </w:r>
    </w:p>
    <w:p>
      <w:pPr>
        <w:spacing w:after="0" w:line="166" w:lineRule="exact"/>
        <w:rPr>
          <w:sz w:val="20"/>
          <w:szCs w:val="20"/>
          <w:color w:val="auto"/>
        </w:rPr>
      </w:pPr>
    </w:p>
    <w:p>
      <w:pPr>
        <w:ind w:left="1160" w:hanging="577"/>
        <w:spacing w:after="0"/>
        <w:tabs>
          <w:tab w:leader="none" w:pos="11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Determine which Affiliates shall be covered by the Plan;</w:t>
      </w:r>
    </w:p>
    <w:p>
      <w:pPr>
        <w:spacing w:after="0" w:line="203" w:lineRule="exact"/>
        <w:rPr>
          <w:rFonts w:ascii="Arial" w:cs="Arial" w:eastAsia="Arial" w:hAnsi="Arial"/>
          <w:sz w:val="16"/>
          <w:szCs w:val="16"/>
          <w:color w:val="auto"/>
        </w:rPr>
      </w:pPr>
    </w:p>
    <w:p>
      <w:pPr>
        <w:ind w:left="1160" w:hanging="577"/>
        <w:spacing w:after="0"/>
        <w:tabs>
          <w:tab w:leader="none" w:pos="11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Determine which Employees, Non-Employee Directors and/or Consultants are eligible to participate in the Plan;</w:t>
      </w:r>
    </w:p>
    <w:p>
      <w:pPr>
        <w:spacing w:after="0" w:line="203" w:lineRule="exact"/>
        <w:rPr>
          <w:rFonts w:ascii="Arial" w:cs="Arial" w:eastAsia="Arial" w:hAnsi="Arial"/>
          <w:sz w:val="16"/>
          <w:szCs w:val="16"/>
          <w:color w:val="auto"/>
        </w:rPr>
      </w:pPr>
    </w:p>
    <w:p>
      <w:pPr>
        <w:jc w:val="both"/>
        <w:ind w:left="1160" w:hanging="577"/>
        <w:spacing w:after="0" w:line="267" w:lineRule="auto"/>
        <w:tabs>
          <w:tab w:leader="none" w:pos="11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Grant Awards (including substitutes for Awards), and modify the terms and conditions of any Awards, on such terms and conditions as the Committee determines necessary or appropriate to permit participation in the Plan by individuals otherwise eligible to so participate, or otherwise to comply with applicable laws or conform to applicable requirements or practices of the applicable jurisdictions;</w:t>
      </w:r>
    </w:p>
    <w:p>
      <w:pPr>
        <w:spacing w:after="0" w:line="161" w:lineRule="exact"/>
        <w:rPr>
          <w:rFonts w:ascii="Arial" w:cs="Arial" w:eastAsia="Arial" w:hAnsi="Arial"/>
          <w:sz w:val="16"/>
          <w:szCs w:val="16"/>
          <w:color w:val="auto"/>
        </w:rPr>
      </w:pPr>
    </w:p>
    <w:p>
      <w:pPr>
        <w:jc w:val="both"/>
        <w:ind w:left="1160" w:hanging="577"/>
        <w:spacing w:after="0" w:line="278" w:lineRule="auto"/>
        <w:tabs>
          <w:tab w:leader="none" w:pos="116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Establish Subplans or supplements to or alternative versions of the Plan, Awards, or Award Agreements, or alternative methods of exercise, forms of payment or settlement, as the Committee deems necessary or desirable to comply with the laws of, or to accommodate the laws, regulations, tax or accounting effectiveness, accounting principles, foreign exchange rules, or customs of, foreign jurisdictions whose citizens or residents may be granted Awards. The Committee may impose any limitations and restrictions that it deems necessary to comply with the laws of such foreign jurisdictions and modify the terms and conditions of any Award granted to Participants outside the United States. Any subplans and modifications to Plan terms and procedures established under this Section 18.17 by the Committee shall be attached to the Plan as appendices; and</w:t>
      </w:r>
    </w:p>
    <w:p>
      <w:pPr>
        <w:spacing w:after="0" w:line="157" w:lineRule="exact"/>
        <w:rPr>
          <w:rFonts w:ascii="Arial" w:cs="Arial" w:eastAsia="Arial" w:hAnsi="Arial"/>
          <w:sz w:val="15"/>
          <w:szCs w:val="15"/>
          <w:color w:val="auto"/>
        </w:rPr>
      </w:pPr>
    </w:p>
    <w:p>
      <w:pPr>
        <w:ind w:left="1160" w:hanging="577"/>
        <w:spacing w:after="0" w:line="281" w:lineRule="auto"/>
        <w:tabs>
          <w:tab w:leader="none" w:pos="11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Take any action, before or after an Award is made, that the Committee, in its discretion, deems advisable to obtain approval from any regulatory agency or comply with any necessary local government regulatory exemptions or approvals.</w:t>
      </w:r>
    </w:p>
    <w:p>
      <w:pPr>
        <w:spacing w:after="0" w:line="150" w:lineRule="exact"/>
        <w:rPr>
          <w:rFonts w:ascii="Arial" w:cs="Arial" w:eastAsia="Arial" w:hAnsi="Arial"/>
          <w:sz w:val="16"/>
          <w:szCs w:val="16"/>
          <w:color w:val="auto"/>
        </w:rPr>
      </w:pPr>
    </w:p>
    <w:p>
      <w:pPr>
        <w:ind w:left="51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6"/>
          <w:szCs w:val="16"/>
          <w:b w:val="1"/>
          <w:bCs w:val="1"/>
          <w:u w:val="single" w:color="auto"/>
          <w:color w:val="auto"/>
        </w:rPr>
        <w:t>APPENDIX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TO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KORNIT DIGITAL LTD.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2015 INCENTIVE COMPENSATION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ISRAEL</w:t>
      </w:r>
    </w:p>
    <w:p>
      <w:pPr>
        <w:spacing w:after="0" w:line="204" w:lineRule="exact"/>
        <w:rPr>
          <w:sz w:val="20"/>
          <w:szCs w:val="20"/>
          <w:color w:val="auto"/>
        </w:rPr>
      </w:pPr>
    </w:p>
    <w:p>
      <w:pPr>
        <w:ind w:left="580" w:hanging="579"/>
        <w:spacing w:after="0"/>
        <w:tabs>
          <w:tab w:leader="none" w:pos="580"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08"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This appendix (this “</w:t>
      </w:r>
      <w:r>
        <w:rPr>
          <w:rFonts w:ascii="Arial" w:cs="Arial" w:eastAsia="Arial" w:hAnsi="Arial"/>
          <w:sz w:val="16"/>
          <w:szCs w:val="16"/>
          <w:u w:val="single" w:color="auto"/>
          <w:color w:val="auto"/>
        </w:rPr>
        <w:t>Appendix</w:t>
      </w:r>
      <w:r>
        <w:rPr>
          <w:rFonts w:ascii="Arial" w:cs="Arial" w:eastAsia="Arial" w:hAnsi="Arial"/>
          <w:sz w:val="16"/>
          <w:szCs w:val="16"/>
          <w:color w:val="auto"/>
        </w:rPr>
        <w:t>”) shall apply only to Israeli Participants (as defined below). The provisions specified hereunder shall form an integral part of the Kornit Digital Ltd. 2015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which applies to the issuance of Awards to employees, directors, consultants and service providers of Kornit Digital Ltd. (the “</w:t>
      </w:r>
      <w:r>
        <w:rPr>
          <w:rFonts w:ascii="Arial" w:cs="Arial" w:eastAsia="Arial" w:hAnsi="Arial"/>
          <w:sz w:val="16"/>
          <w:szCs w:val="16"/>
          <w:u w:val="single" w:color="auto"/>
          <w:color w:val="auto"/>
        </w:rPr>
        <w:t>Company</w:t>
      </w:r>
      <w:r>
        <w:rPr>
          <w:rFonts w:ascii="Arial" w:cs="Arial" w:eastAsia="Arial" w:hAnsi="Arial"/>
          <w:sz w:val="16"/>
          <w:szCs w:val="16"/>
          <w:color w:val="auto"/>
        </w:rPr>
        <w:t>”) or its Affiliates.</w:t>
      </w:r>
    </w:p>
    <w:p>
      <w:pPr>
        <w:spacing w:after="0" w:line="161"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This Appendix is effective with respect to Awards granted as of 30 days from the date it was submitted with the ITA and shall comply with Section 102 (as defined below).</w:t>
      </w:r>
    </w:p>
    <w:p>
      <w:pPr>
        <w:spacing w:after="0" w:line="151" w:lineRule="exact"/>
        <w:rPr>
          <w:sz w:val="20"/>
          <w:szCs w:val="20"/>
          <w:color w:val="auto"/>
        </w:rPr>
      </w:pPr>
    </w:p>
    <w:p>
      <w:pPr>
        <w:jc w:val="both"/>
        <w:ind w:left="580" w:hanging="580"/>
        <w:spacing w:after="0" w:line="292" w:lineRule="auto"/>
        <w:tabs>
          <w:tab w:leader="none" w:pos="5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5"/>
          <w:szCs w:val="15"/>
          <w:color w:val="auto"/>
        </w:rPr>
        <w:t>This Appendix is to be read as a continuation of the Plan and only modifies Awards granted to Israeli Participants (as defined below) so that they comply with the requirements set by the Israeli law in general, and in particular with the provisions of Section 102 (as specified herein), as may be amended or replaced from time to time. For the avoidance of doubt, this Appendix does not add to or modify the Plan in respect of any other category of Participants.</w:t>
      </w:r>
    </w:p>
    <w:p>
      <w:pPr>
        <w:spacing w:after="0" w:line="146" w:lineRule="exact"/>
        <w:rPr>
          <w:sz w:val="20"/>
          <w:szCs w:val="20"/>
          <w:color w:val="auto"/>
        </w:rPr>
      </w:pPr>
    </w:p>
    <w:p>
      <w:pPr>
        <w:jc w:val="both"/>
        <w:ind w:left="580" w:hanging="580"/>
        <w:spacing w:after="0" w:line="316" w:lineRule="auto"/>
        <w:tabs>
          <w:tab w:leader="none" w:pos="5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5"/>
          <w:szCs w:val="15"/>
          <w:color w:val="auto"/>
        </w:rPr>
        <w:t>The Plan and this Appendix are complementary to each other and shall be deemed as one. Subject to Section 1.3 above, in any case of contradiction, whether explicit or implied, between any definitions and/or provisions of this Appendix and the Plan, the definitions and/or provisions set out in this Appendix shall prevail.</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color w:val="auto"/>
        </w:rPr>
        <w:t>Any capitalized terms not specifically defined in this Appendix shall be construed according to the interpretation given to it in the Plan.</w:t>
      </w:r>
    </w:p>
    <w:p>
      <w:pPr>
        <w:spacing w:after="0" w:line="200" w:lineRule="exact"/>
        <w:rPr>
          <w:sz w:val="20"/>
          <w:szCs w:val="20"/>
          <w:color w:val="auto"/>
        </w:rPr>
      </w:pPr>
    </w:p>
    <w:p>
      <w:pPr>
        <w:ind w:left="580" w:hanging="579"/>
        <w:spacing w:after="0"/>
        <w:tabs>
          <w:tab w:leader="none" w:pos="580"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any “employing company” within the meaning of Section 102(a) of the Ordinance.</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Approved 102 Award</w:t>
      </w:r>
      <w:r>
        <w:rPr>
          <w:rFonts w:ascii="Arial" w:cs="Arial" w:eastAsia="Arial" w:hAnsi="Arial"/>
          <w:sz w:val="14"/>
          <w:szCs w:val="14"/>
          <w:color w:val="auto"/>
        </w:rPr>
        <w:t>” means an Award granted pursuant to Section 102(b) of the Ordinance and held in trust by a Trustee for the benefit of the Employee.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300" w:name="page301"/>
    <w:bookmarkEnd w:id="300"/>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Capital Gain Award (CGA)</w:t>
      </w:r>
      <w:r>
        <w:rPr>
          <w:rFonts w:ascii="Arial" w:cs="Arial" w:eastAsia="Arial" w:hAnsi="Arial"/>
          <w:sz w:val="16"/>
          <w:szCs w:val="16"/>
          <w:color w:val="auto"/>
        </w:rPr>
        <w:t>” means an Approved 102 Award elected and designated by the Company to qualify under the capital gain tax treatment in accordance with the provisions of Section 102(b)(2) of the Ordinance.</w:t>
      </w:r>
    </w:p>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Controlling Shareholder</w:t>
      </w:r>
      <w:r>
        <w:rPr>
          <w:rFonts w:ascii="Arial" w:cs="Arial" w:eastAsia="Arial" w:hAnsi="Arial"/>
          <w:sz w:val="14"/>
          <w:szCs w:val="14"/>
          <w:color w:val="auto"/>
        </w:rPr>
        <w:t>” shall have the meaning ascribed to it in Section 102 of the Ordinance.</w:t>
      </w:r>
    </w:p>
    <w:p>
      <w:pPr>
        <w:spacing w:after="0" w:line="204"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 Israeli Participant who is employed by the Company or its Affiliates, including an individual who is serving as an “office holder” as defined in the Israeli Companies Law, 1999, as amended from time to time, but excluding any Controlling Shareholder.</w:t>
      </w:r>
    </w:p>
    <w:p>
      <w:pPr>
        <w:spacing w:after="0" w:line="151"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Israeli Participant</w:t>
      </w:r>
      <w:r>
        <w:rPr>
          <w:rFonts w:ascii="Arial" w:cs="Arial" w:eastAsia="Arial" w:hAnsi="Arial"/>
          <w:sz w:val="16"/>
          <w:szCs w:val="16"/>
          <w:color w:val="auto"/>
        </w:rPr>
        <w:t>” means a person who is a resident of the state of Israel or who is deemed to be a resident of the state of Israel for Israeli tax purposes, and receives or holds an Award under the Plan and this Appendix.</w:t>
      </w:r>
    </w:p>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ITA</w:t>
      </w:r>
      <w:r>
        <w:rPr>
          <w:rFonts w:ascii="Arial" w:cs="Arial" w:eastAsia="Arial" w:hAnsi="Arial"/>
          <w:sz w:val="15"/>
          <w:szCs w:val="15"/>
          <w:color w:val="auto"/>
        </w:rPr>
        <w:t>” means the Israeli Tax Authority.</w:t>
      </w:r>
    </w:p>
    <w:p>
      <w:pPr>
        <w:spacing w:after="0" w:line="204"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Ordinary Income Award (OIA)</w:t>
      </w:r>
      <w:r>
        <w:rPr>
          <w:rFonts w:ascii="Arial" w:cs="Arial" w:eastAsia="Arial" w:hAnsi="Arial"/>
          <w:sz w:val="16"/>
          <w:szCs w:val="16"/>
          <w:color w:val="auto"/>
        </w:rPr>
        <w:t>” means an Approved 102 Award elected and designated by the Company to qualify under the ordinary income tax treatment in accordance with the provisions of Section 102(b)(1) of the Ordinance.</w:t>
      </w:r>
    </w:p>
    <w:p>
      <w:pPr>
        <w:spacing w:after="0" w:line="151"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102 Award</w:t>
      </w:r>
      <w:r>
        <w:rPr>
          <w:rFonts w:ascii="Arial" w:cs="Arial" w:eastAsia="Arial" w:hAnsi="Arial"/>
          <w:sz w:val="16"/>
          <w:szCs w:val="16"/>
          <w:color w:val="auto"/>
        </w:rPr>
        <w:t>” means any Award granted to Employees pursuant to Section 102 of the Ordinance and any other rulings, procedures and clarifications promulgated thereunder or issued by the ITA.</w:t>
      </w:r>
    </w:p>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3(i) Award</w:t>
      </w:r>
      <w:r>
        <w:rPr>
          <w:rFonts w:ascii="Arial" w:cs="Arial" w:eastAsia="Arial" w:hAnsi="Arial"/>
          <w:sz w:val="14"/>
          <w:szCs w:val="14"/>
          <w:color w:val="auto"/>
        </w:rPr>
        <w:t>” means an Award granted pursuant to Section 3(i) of the Ordinance to any person who is a Non- Employee.</w:t>
      </w:r>
    </w:p>
    <w:p>
      <w:pPr>
        <w:spacing w:after="0" w:line="204"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Israeli Award Agreement</w:t>
      </w:r>
      <w:r>
        <w:rPr>
          <w:rFonts w:ascii="Arial" w:cs="Arial" w:eastAsia="Arial" w:hAnsi="Arial"/>
          <w:sz w:val="16"/>
          <w:szCs w:val="16"/>
          <w:color w:val="auto"/>
        </w:rPr>
        <w:t>” means, notwithstanding Section 2.4 of the Plan, for the purpose of this Appendix, a written agreement entered into and signed by the Company and an Israeli Participant that sets out the terms and conditions of an Award.</w:t>
      </w:r>
    </w:p>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Non-Employee</w:t>
      </w:r>
      <w:r>
        <w:rPr>
          <w:rFonts w:ascii="Arial" w:cs="Arial" w:eastAsia="Arial" w:hAnsi="Arial"/>
          <w:sz w:val="14"/>
          <w:szCs w:val="14"/>
          <w:color w:val="auto"/>
        </w:rPr>
        <w:t>” means an Israeli Participant who is a consultant, adviser, service provider, Controlling Shareholder or any other person who is not an Employee.</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Ordinance</w:t>
      </w:r>
      <w:r>
        <w:rPr>
          <w:rFonts w:ascii="Arial" w:cs="Arial" w:eastAsia="Arial" w:hAnsi="Arial"/>
          <w:sz w:val="14"/>
          <w:szCs w:val="14"/>
          <w:color w:val="auto"/>
        </w:rPr>
        <w:t>” means the Israeli Income Tax Ordinance [New Version] 1961 as now in effect or as hereafter amended.</w:t>
      </w:r>
    </w:p>
    <w:p>
      <w:pPr>
        <w:spacing w:after="0" w:line="204"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Section 102</w:t>
      </w:r>
      <w:r>
        <w:rPr>
          <w:rFonts w:ascii="Arial" w:cs="Arial" w:eastAsia="Arial" w:hAnsi="Arial"/>
          <w:sz w:val="16"/>
          <w:szCs w:val="16"/>
          <w:color w:val="auto"/>
        </w:rPr>
        <w:t>” means section 102 of the Ordinance, the Income Tax Rules (Tax Relief for Issuance of Shares to Employees), 2003, and any other rules, regulations, orders or procedures promulgated thereunder as now in effect or as hereafter amended.</w:t>
      </w:r>
    </w:p>
    <w:p>
      <w:pPr>
        <w:spacing w:after="0" w:line="151"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any person appointed by the Company to serve as a trustee and approved by the ITA, all in accordance with the provisions of Section 102(a) of the Ordinance.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01" w:name="page302"/>
    <w:bookmarkEnd w:id="301"/>
    <w:p>
      <w:pPr>
        <w:spacing w:after="0"/>
        <w:tabs>
          <w:tab w:leader="none" w:pos="560" w:val="left"/>
        </w:tabs>
        <w:rPr>
          <w:sz w:val="20"/>
          <w:szCs w:val="20"/>
          <w:color w:val="auto"/>
        </w:rPr>
      </w:pPr>
      <w:r>
        <w:rPr>
          <w:rFonts w:ascii="Arial" w:cs="Arial" w:eastAsia="Arial" w:hAnsi="Arial"/>
          <w:sz w:val="16"/>
          <w:szCs w:val="16"/>
          <w:color w:val="auto"/>
        </w:rPr>
        <w:t>2.17.</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Unapproved 102 Award</w:t>
      </w:r>
      <w:r>
        <w:rPr>
          <w:rFonts w:ascii="Arial" w:cs="Arial" w:eastAsia="Arial" w:hAnsi="Arial"/>
          <w:sz w:val="14"/>
          <w:szCs w:val="14"/>
          <w:color w:val="auto"/>
        </w:rPr>
        <w:t>” means an Award granted pursuant to Section 102(c) of the Ordinance and not held in trust by a Trustee.</w:t>
      </w:r>
    </w:p>
    <w:p>
      <w:pPr>
        <w:spacing w:after="0" w:line="200" w:lineRule="exact"/>
        <w:rPr>
          <w:sz w:val="20"/>
          <w:szCs w:val="20"/>
          <w:color w:val="auto"/>
        </w:rPr>
      </w:pPr>
    </w:p>
    <w:p>
      <w:pPr>
        <w:ind w:left="580" w:hanging="579"/>
        <w:spacing w:after="0"/>
        <w:tabs>
          <w:tab w:leader="none" w:pos="580"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ISSUANCE OF AWARDS</w:t>
      </w:r>
    </w:p>
    <w:p>
      <w:pPr>
        <w:spacing w:after="0" w:line="208"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 xml:space="preserve">Notwithstanding Article V of the Plan and in addition thereto, any Israeli Participants eligible for participation in the Plan and this Appendix as Israeli Participants shall include any Employee and/or Non-Employee of the Company or of any of the Company’s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Employees may only be granted 102 Awards; and (ii) Non-Employees and/or Controlling Shareholders may only be granted 3(i) Awards.</w:t>
      </w:r>
    </w:p>
    <w:p>
      <w:pPr>
        <w:spacing w:after="0" w:line="16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The Company may designate Awards granted to Employees pursuant to Section 102 as Unapproved 102 Awards or Approved 102 Awards.</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The grant of Approved 102 Awards shall be made under this Appendix, and shall be conditioned upon the approval of this Appendix by the ITA.</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5"/>
          <w:szCs w:val="15"/>
          <w:color w:val="auto"/>
        </w:rPr>
        <w:t>Approved 102 Awards may either be classified as Capital Gain Awards (“</w:t>
      </w:r>
      <w:r>
        <w:rPr>
          <w:rFonts w:ascii="Arial" w:cs="Arial" w:eastAsia="Arial" w:hAnsi="Arial"/>
          <w:sz w:val="15"/>
          <w:szCs w:val="15"/>
          <w:u w:val="single" w:color="auto"/>
          <w:color w:val="auto"/>
        </w:rPr>
        <w:t>CGAs</w:t>
      </w:r>
      <w:r>
        <w:rPr>
          <w:rFonts w:ascii="Arial" w:cs="Arial" w:eastAsia="Arial" w:hAnsi="Arial"/>
          <w:sz w:val="15"/>
          <w:szCs w:val="15"/>
          <w:color w:val="auto"/>
        </w:rPr>
        <w:t>”) or Ordinary Income Awards (“</w:t>
      </w:r>
      <w:r>
        <w:rPr>
          <w:rFonts w:ascii="Arial" w:cs="Arial" w:eastAsia="Arial" w:hAnsi="Arial"/>
          <w:sz w:val="15"/>
          <w:szCs w:val="15"/>
          <w:u w:val="single" w:color="auto"/>
          <w:color w:val="auto"/>
        </w:rPr>
        <w:t>OIAs</w:t>
      </w:r>
      <w:r>
        <w:rPr>
          <w:rFonts w:ascii="Arial" w:cs="Arial" w:eastAsia="Arial" w:hAnsi="Arial"/>
          <w:sz w:val="15"/>
          <w:szCs w:val="15"/>
          <w:color w:val="auto"/>
        </w:rPr>
        <w:t>”).</w:t>
      </w:r>
    </w:p>
    <w:p>
      <w:pPr>
        <w:spacing w:after="0" w:line="204" w:lineRule="exact"/>
        <w:rPr>
          <w:sz w:val="20"/>
          <w:szCs w:val="20"/>
          <w:color w:val="auto"/>
        </w:rPr>
      </w:pPr>
    </w:p>
    <w:p>
      <w:pPr>
        <w:jc w:val="both"/>
        <w:ind w:left="580" w:hanging="580"/>
        <w:spacing w:after="0" w:line="278" w:lineRule="auto"/>
        <w:tabs>
          <w:tab w:leader="none" w:pos="56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5"/>
          <w:szCs w:val="15"/>
          <w:color w:val="auto"/>
        </w:rPr>
        <w:t>No Approved 102 Awards may be granted under this Appendix to any eligible Employee, unless and until, the Company’s election of the type of Approved 102 Awards as CGA or OIA granted to Employees (the “</w:t>
      </w:r>
      <w:r>
        <w:rPr>
          <w:rFonts w:ascii="Arial" w:cs="Arial" w:eastAsia="Arial" w:hAnsi="Arial"/>
          <w:sz w:val="15"/>
          <w:szCs w:val="15"/>
          <w:u w:val="single" w:color="auto"/>
          <w:color w:val="auto"/>
        </w:rPr>
        <w:t>Election</w:t>
      </w:r>
      <w:r>
        <w:rPr>
          <w:rFonts w:ascii="Arial" w:cs="Arial" w:eastAsia="Arial" w:hAnsi="Arial"/>
          <w:sz w:val="15"/>
          <w:szCs w:val="15"/>
          <w:color w:val="auto"/>
        </w:rPr>
        <w:t xml:space="preserve">”), is appropriately filed with the ITA. Such Election shall become effective beginning the first date of grant of an Approved 102 Award under this Appendix and shall remain in effect until the end of the year following the year during which the Company first granted Approved 102 Awards. The Election shall obligate the Company to grant </w:t>
      </w:r>
      <w:r>
        <w:rPr>
          <w:rFonts w:ascii="Arial" w:cs="Arial" w:eastAsia="Arial" w:hAnsi="Arial"/>
          <w:sz w:val="15"/>
          <w:szCs w:val="15"/>
          <w:i w:val="1"/>
          <w:iCs w:val="1"/>
          <w:color w:val="auto"/>
        </w:rPr>
        <w:t>only</w:t>
      </w:r>
      <w:r>
        <w:rPr>
          <w:rFonts w:ascii="Arial" w:cs="Arial" w:eastAsia="Arial" w:hAnsi="Arial"/>
          <w:sz w:val="15"/>
          <w:szCs w:val="15"/>
          <w:color w:val="auto"/>
        </w:rPr>
        <w:t xml:space="preserve"> the type of Approved 102 Award it has elected, and shall apply to all Israeli Participants who were granted Approved 102 Awards during the period indicated herein, all in accordance with the provisions of Section 102(g) of the Ordinance. For the avoidance of doubt, such Election shall not prevent the Company from granting Unapproved 102 Awards simultaneously.</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4"/>
          <w:szCs w:val="14"/>
          <w:color w:val="auto"/>
        </w:rPr>
        <w:t>All Approved 102 Awards must be held in trust by a Trustee, as described in Section 4 below.</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color w:val="auto"/>
        </w:rPr>
        <w:t>For the avoidance of doubt, the designation of Unapproved 102 Awards and Approved 102 Awards shall be subject to the terms and conditions set forth in Section</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102.</w:t>
      </w:r>
    </w:p>
    <w:p>
      <w:pPr>
        <w:spacing w:after="0" w:line="188" w:lineRule="exact"/>
        <w:rPr>
          <w:sz w:val="20"/>
          <w:szCs w:val="20"/>
          <w:color w:val="auto"/>
        </w:rPr>
      </w:pPr>
    </w:p>
    <w:p>
      <w:pPr>
        <w:ind w:left="580" w:hanging="579"/>
        <w:spacing w:after="0"/>
        <w:tabs>
          <w:tab w:leader="none" w:pos="580"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TRUSTEE</w:t>
      </w:r>
    </w:p>
    <w:p>
      <w:pPr>
        <w:spacing w:after="0" w:line="208"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terms and conditions applicable to the trust relating to Section 102 shall be set forth in an agreement signed by the Company and the Trustee (the “</w:t>
      </w:r>
      <w:r>
        <w:rPr>
          <w:rFonts w:ascii="Arial" w:cs="Arial" w:eastAsia="Arial" w:hAnsi="Arial"/>
          <w:sz w:val="16"/>
          <w:szCs w:val="16"/>
          <w:u w:val="single" w:color="auto"/>
          <w:color w:val="auto"/>
        </w:rPr>
        <w:t>Trust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302" w:name="page303"/>
    <w:bookmarkEnd w:id="302"/>
    <w:p>
      <w:pPr>
        <w:jc w:val="both"/>
        <w:ind w:left="580" w:hanging="580"/>
        <w:spacing w:after="0" w:line="259" w:lineRule="auto"/>
        <w:tabs>
          <w:tab w:leader="none" w:pos="5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Approved 102 Awards which shall be granted under this Appendix and/or any Shares allocated or issued upon exercise or vesting of such Approved 102 Awards and/or other rights granted thereunder and/or shares received subsequently following any realization of rights, including without limitation bonus shares, shall be allocated or issued to the Trustee and held for the benefit of the Employee for no less than such period of time as required by Section 102 (the “</w:t>
      </w:r>
      <w:r>
        <w:rPr>
          <w:rFonts w:ascii="Arial" w:cs="Arial" w:eastAsia="Arial" w:hAnsi="Arial"/>
          <w:sz w:val="16"/>
          <w:szCs w:val="16"/>
          <w:u w:val="single" w:color="auto"/>
          <w:color w:val="auto"/>
        </w:rPr>
        <w:t>Holding Period</w:t>
      </w:r>
      <w:r>
        <w:rPr>
          <w:rFonts w:ascii="Arial" w:cs="Arial" w:eastAsia="Arial" w:hAnsi="Arial"/>
          <w:sz w:val="16"/>
          <w:szCs w:val="16"/>
          <w:color w:val="auto"/>
        </w:rPr>
        <w:t>”). In case the requirements for Approved 102 Awards are not met, then the Approved 102 Awards shall be regarded as Unapproved 102 Awards, all in accordance with the provisions of Section 102.</w:t>
      </w:r>
    </w:p>
    <w:p>
      <w:pPr>
        <w:spacing w:after="0" w:line="170"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Notwithstanding anything to the contrary, the Trustee shall not release any Shares allocated or issued upon exercise or vesting of Approved 102 Awards prior to the full payment of the Employee’s tax liabilities, if any, arising from Approved 102 Awards which were granted to him/her and/or any Shares allocated or issued upon exercise or vesting of such Awards.</w:t>
      </w:r>
    </w:p>
    <w:p>
      <w:pPr>
        <w:spacing w:after="0" w:line="161" w:lineRule="exact"/>
        <w:rPr>
          <w:sz w:val="20"/>
          <w:szCs w:val="20"/>
          <w:color w:val="auto"/>
        </w:rPr>
      </w:pPr>
    </w:p>
    <w:p>
      <w:pPr>
        <w:jc w:val="both"/>
        <w:ind w:left="580" w:hanging="580"/>
        <w:spacing w:after="0" w:line="256" w:lineRule="auto"/>
        <w:tabs>
          <w:tab w:leader="none" w:pos="5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 xml:space="preserve">With respect to any Approved 102 Award, subject to the provisions of Section 102, an Israeli Participant shall not sell or release from trust any Share received upon the exercise or vesting of an Approved 102 Award and/or any rights granted thereunder and/or share received subsequently following any realization of rights, including without limitation, bonus shares, until the lapse of the Holding Period required under Section 102. Notwithstanding the above, if any such sale or release occurs during the Holding Period, the sanctions under Section 102 shall apply to and shall be borne solely by such Israeli Participant. Subject to the foregoing, the Trustee may, pursuant to a written or electronic request from the Participant, release and transfer such Shares to a designated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both of the following conditions have been fulfilled prior to such release or transfer: (i) payment has been made to the ITA of all taxes required to be paid upon the release and transfer of the Shares, and confirmation of such payment has been received by the Trustee and (ii) the Trustee has confirmed with the Company that all requirements for such release and transfer have been fulfilled according to the terms of the Company’s corporate documents, the Plan, the Israeli Award Agreement and any Applicable Law.</w:t>
      </w:r>
    </w:p>
    <w:p>
      <w:pPr>
        <w:spacing w:after="0" w:line="172"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Upon receipt of any Approved 102 Award, if requested to do so by the Company. Affiliate or the Trustee, the Employee will sign an undertaking to release the Trustee from any liability in respect of any action or decision duly taken and bona fide executed in relation with this Appendix, or any Approved 102 Award or Share granted to him thereunder.</w:t>
      </w:r>
    </w:p>
    <w:p>
      <w:pPr>
        <w:spacing w:after="0" w:line="161" w:lineRule="exact"/>
        <w:rPr>
          <w:sz w:val="20"/>
          <w:szCs w:val="20"/>
          <w:color w:val="auto"/>
        </w:rPr>
      </w:pPr>
    </w:p>
    <w:p>
      <w:pPr>
        <w:jc w:val="both"/>
        <w:ind w:left="580" w:hanging="568"/>
        <w:spacing w:after="0" w:line="281" w:lineRule="auto"/>
        <w:tabs>
          <w:tab w:leader="none" w:pos="56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Without derogating from the provisions of Article XVI of the Plan, the provisions of Section 16.1 of the Plan shall apply also to the Trustee. Accordingly, Trustee shall also have withholding rights as further described in Section 16.1 of the Plan.</w:t>
      </w:r>
    </w:p>
    <w:p>
      <w:pPr>
        <w:spacing w:after="0" w:line="151" w:lineRule="exact"/>
        <w:rPr>
          <w:sz w:val="20"/>
          <w:szCs w:val="20"/>
          <w:color w:val="auto"/>
        </w:rPr>
      </w:pPr>
    </w:p>
    <w:p>
      <w:pPr>
        <w:jc w:val="both"/>
        <w:ind w:left="580" w:right="40" w:hanging="568"/>
        <w:spacing w:after="0" w:line="262" w:lineRule="auto"/>
        <w:tabs>
          <w:tab w:leader="none" w:pos="56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6"/>
          <w:szCs w:val="16"/>
          <w:color w:val="auto"/>
        </w:rPr>
        <w:t>In the case of 102 Awards, the Trustee shall have no rights as a shareholder of the Company with respect to the Shares covered by such Award until the Trustee becomes the record holder for such Shares for the Participant’s benefit, and the Israeli Participant shall have no rights as a shareholder of the Company with respect to the Shares covered by the Award until the date of the release of such Shares from the Trustee to the Israeli Participant and the transfer of record ownership of such Shares to the Israeli Participant.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03" w:name="page304"/>
    <w:bookmarkEnd w:id="303"/>
    <w:p>
      <w:pPr>
        <w:ind w:left="580" w:hanging="579"/>
        <w:spacing w:after="0"/>
        <w:tabs>
          <w:tab w:leader="none" w:pos="580"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THE AWARDS</w:t>
      </w:r>
    </w:p>
    <w:p>
      <w:pPr>
        <w:spacing w:after="0" w:line="208" w:lineRule="exact"/>
        <w:rPr>
          <w:sz w:val="20"/>
          <w:szCs w:val="20"/>
          <w:color w:val="auto"/>
        </w:rPr>
      </w:pPr>
    </w:p>
    <w:p>
      <w:pPr>
        <w:jc w:val="both"/>
        <w:ind w:firstLine="581"/>
        <w:spacing w:after="0" w:line="285" w:lineRule="auto"/>
        <w:rPr>
          <w:sz w:val="20"/>
          <w:szCs w:val="20"/>
          <w:color w:val="auto"/>
        </w:rPr>
      </w:pPr>
      <w:r>
        <w:rPr>
          <w:rFonts w:ascii="Arial" w:cs="Arial" w:eastAsia="Arial" w:hAnsi="Arial"/>
          <w:sz w:val="15"/>
          <w:szCs w:val="15"/>
          <w:color w:val="auto"/>
        </w:rPr>
        <w:t xml:space="preserve">Notwithstanding anything to the contrary in the Plan and in addition thereto, the terms and conditions upon which the Awards shall be issued and exercised or vest, as applicable, shall be as specified in the Israeli Award Agreement to be executed pursuant to the Plan and to this Appendix. Each Israeli Award Agreement shall be subject to Section 102 or Section 3(i) of the Ordinance, as applicable, and shall state, </w:t>
      </w:r>
      <w:r>
        <w:rPr>
          <w:rFonts w:ascii="Arial" w:cs="Arial" w:eastAsia="Arial" w:hAnsi="Arial"/>
          <w:sz w:val="15"/>
          <w:szCs w:val="15"/>
          <w:u w:val="single" w:color="auto"/>
          <w:color w:val="auto"/>
        </w:rPr>
        <w:t>inter alia</w:t>
      </w:r>
      <w:r>
        <w:rPr>
          <w:rFonts w:ascii="Arial" w:cs="Arial" w:eastAsia="Arial" w:hAnsi="Arial"/>
          <w:sz w:val="15"/>
          <w:szCs w:val="15"/>
          <w:color w:val="auto"/>
        </w:rPr>
        <w:t>, the number of Shares to which the Award relates, the type of Award granted thereunder (whether a CGA, OIA, Unapproved 102 Award or a 3(i) Award), and any applicable vesting provisions and exercise price that may be payable.</w:t>
      </w:r>
    </w:p>
    <w:p>
      <w:pPr>
        <w:spacing w:after="0" w:line="146" w:lineRule="exact"/>
        <w:rPr>
          <w:sz w:val="20"/>
          <w:szCs w:val="20"/>
          <w:color w:val="auto"/>
        </w:rPr>
      </w:pPr>
    </w:p>
    <w:p>
      <w:pPr>
        <w:ind w:left="580" w:hanging="579"/>
        <w:spacing w:after="0"/>
        <w:tabs>
          <w:tab w:leader="none" w:pos="580"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FAIR MARKET VALUE</w:t>
      </w:r>
    </w:p>
    <w:p>
      <w:pPr>
        <w:spacing w:after="0" w:line="208"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6"/>
          <w:szCs w:val="16"/>
          <w:color w:val="auto"/>
        </w:rPr>
        <w:t>Without derogating from Section 2.21 of the Plan and solely for the purpose of determining the tax liability pursuant to Section 102(b)(3) of the Ordinance, if at the date of grant of any CGA, the Company’s Shares are listed on any established stock exchange or a national market system or if the Company’s Shares will be registered for trading within ninety (90) days following the date of grant of the CGAs,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66" w:lineRule="exact"/>
        <w:rPr>
          <w:sz w:val="20"/>
          <w:szCs w:val="20"/>
          <w:color w:val="auto"/>
        </w:rPr>
      </w:pPr>
    </w:p>
    <w:p>
      <w:pPr>
        <w:ind w:left="580" w:hanging="579"/>
        <w:spacing w:after="0"/>
        <w:tabs>
          <w:tab w:leader="none" w:pos="580"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t>EXERCISE OF AWARDS THAT ARE OPTIONS TO PURCHASE SHARES</w:t>
      </w:r>
    </w:p>
    <w:p>
      <w:pPr>
        <w:spacing w:after="0" w:line="208" w:lineRule="exact"/>
        <w:rPr>
          <w:sz w:val="20"/>
          <w:szCs w:val="20"/>
          <w:color w:val="auto"/>
        </w:rPr>
      </w:pPr>
    </w:p>
    <w:p>
      <w:pPr>
        <w:jc w:val="both"/>
        <w:ind w:firstLine="581"/>
        <w:spacing w:after="0" w:line="278" w:lineRule="auto"/>
        <w:rPr>
          <w:sz w:val="20"/>
          <w:szCs w:val="20"/>
          <w:color w:val="auto"/>
        </w:rPr>
      </w:pPr>
      <w:r>
        <w:rPr>
          <w:rFonts w:ascii="Arial" w:cs="Arial" w:eastAsia="Arial" w:hAnsi="Arial"/>
          <w:sz w:val="15"/>
          <w:szCs w:val="15"/>
          <w:color w:val="auto"/>
        </w:rPr>
        <w:t>Awards that represent options to purchase Shares shall be exercised by the Israeli Participant by giving a written or electronic notice to the Company and/or to any third party designated by the Company (the “</w:t>
      </w:r>
      <w:r>
        <w:rPr>
          <w:rFonts w:ascii="Arial" w:cs="Arial" w:eastAsia="Arial" w:hAnsi="Arial"/>
          <w:sz w:val="15"/>
          <w:szCs w:val="15"/>
          <w:u w:val="single" w:color="auto"/>
          <w:color w:val="auto"/>
        </w:rPr>
        <w:t>Representative</w:t>
      </w:r>
      <w:r>
        <w:rPr>
          <w:rFonts w:ascii="Arial" w:cs="Arial" w:eastAsia="Arial" w:hAnsi="Arial"/>
          <w:sz w:val="15"/>
          <w:szCs w:val="15"/>
          <w:color w:val="auto"/>
        </w:rPr>
        <w:t>”),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Shares with respect to which the Award is being exercised, at the Company’s or the Representative’s principal office. The notice shall specify the number of Shares with respect to which the Award is being exercised. Notwithstanding the provisions of Section 6.5 and 6.6 of the Plan, “net exercise” will only be available to Israeli Participants if a ruling is obtained from the ITA permitting such “net exercise.”</w:t>
      </w:r>
    </w:p>
    <w:p>
      <w:pPr>
        <w:spacing w:after="0" w:line="154" w:lineRule="exact"/>
        <w:rPr>
          <w:sz w:val="20"/>
          <w:szCs w:val="20"/>
          <w:color w:val="auto"/>
        </w:rPr>
      </w:pPr>
    </w:p>
    <w:p>
      <w:pPr>
        <w:ind w:left="580" w:hanging="579"/>
        <w:spacing w:after="0"/>
        <w:tabs>
          <w:tab w:leader="none" w:pos="580"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ASSIGNABILITY AND SALE OF AWARDS</w:t>
      </w:r>
    </w:p>
    <w:p>
      <w:pPr>
        <w:spacing w:after="0" w:line="208"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Notwithstanding any other provision of the Plan, no Award or any right with respect thereto, or purchasable hereunder, whether fully paid or not, shall be assignable, transferable or given as collateral or any right with respect to them given to any third party whatsoever, and during the lifetime of the Israeli Participant each and all of such Israeli Participant’s rights with respect to an Award shall belong only to the Israeli Participant.</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such action made directly or indirectly, for an immediate validation or for a future one, shall be void.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304" w:name="page305"/>
    <w:bookmarkEnd w:id="304"/>
    <w:p>
      <w:pPr>
        <w:jc w:val="both"/>
        <w:ind w:left="580" w:hanging="580"/>
        <w:spacing w:after="0" w:line="322" w:lineRule="auto"/>
        <w:tabs>
          <w:tab w:leader="none" w:pos="56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color w:val="auto"/>
        </w:rPr>
        <w:t xml:space="preserve">As long as Awards or Shares purchased or issued hereunder are held by the Trustee on behalf of the Israeli Participant, all rights of the Israeli Participant over the Awards and/or Shares are personal, cannot be transferred, assigned, pledged or mortgaged, other than by will or laws of descent and distribution,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transferee thereof shall be subject to the provisions of Section 102 as would have been applicable to the deceased Participant were he or she to have survived.</w:t>
      </w:r>
    </w:p>
    <w:p>
      <w:pPr>
        <w:spacing w:after="0" w:line="123" w:lineRule="exact"/>
        <w:rPr>
          <w:sz w:val="20"/>
          <w:szCs w:val="20"/>
          <w:color w:val="auto"/>
        </w:rPr>
      </w:pPr>
    </w:p>
    <w:p>
      <w:pPr>
        <w:ind w:left="580" w:hanging="579"/>
        <w:spacing w:after="0"/>
        <w:tabs>
          <w:tab w:leader="none" w:pos="580"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INTEGRATION OF SECTION 102 AND TAX ASSESSING OFFICER’S PERMIT</w:t>
      </w:r>
    </w:p>
    <w:p>
      <w:pPr>
        <w:spacing w:after="0" w:line="208"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color w:val="auto"/>
        </w:rPr>
        <w:t>With regards to Approved 102 Awards, the provisions of the Plan and/or this Appendix and/or the Israeli Award Agreement shall be subject to the provisions of Section 102 and the Tax Assessing Officer’s permit and/or any pre-rulings obtained from the ITA, and the said provisions, permit and/or pre-rulings shall be deemed an integral part of the Plan and of this Appendix and of the Israeli Award Agreement.</w:t>
      </w:r>
    </w:p>
    <w:p>
      <w:pPr>
        <w:spacing w:after="0" w:line="161"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Any provision of Section 102 and/or the said permit and/or pre-rulings which is necessary in order to receive and/or to keep any tax benefit pursuant to Section 102, which is not expressly specified in the Plan or this Appendix or the Israeli Award Agreement, shall be considered binding upon the Company and the Israeli Participants.</w:t>
      </w:r>
    </w:p>
    <w:p>
      <w:pPr>
        <w:spacing w:after="0" w:line="157" w:lineRule="exact"/>
        <w:rPr>
          <w:sz w:val="20"/>
          <w:szCs w:val="20"/>
          <w:color w:val="auto"/>
        </w:rPr>
      </w:pPr>
    </w:p>
    <w:p>
      <w:pPr>
        <w:ind w:left="580" w:hanging="579"/>
        <w:spacing w:after="0"/>
        <w:tabs>
          <w:tab w:leader="none" w:pos="580"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DIVIDEND</w:t>
      </w:r>
    </w:p>
    <w:p>
      <w:pPr>
        <w:spacing w:after="0" w:line="208" w:lineRule="exact"/>
        <w:rPr>
          <w:sz w:val="20"/>
          <w:szCs w:val="20"/>
          <w:color w:val="auto"/>
        </w:rPr>
      </w:pPr>
    </w:p>
    <w:p>
      <w:pPr>
        <w:jc w:val="both"/>
        <w:ind w:firstLine="581"/>
        <w:spacing w:after="0" w:line="259" w:lineRule="auto"/>
        <w:rPr>
          <w:sz w:val="20"/>
          <w:szCs w:val="20"/>
          <w:color w:val="auto"/>
        </w:rPr>
      </w:pPr>
      <w:r>
        <w:rPr>
          <w:rFonts w:ascii="Arial" w:cs="Arial" w:eastAsia="Arial" w:hAnsi="Arial"/>
          <w:sz w:val="16"/>
          <w:szCs w:val="16"/>
          <w:color w:val="auto"/>
        </w:rPr>
        <w:t>Notwithstanding anything to the contrary in the Plan and solely for the purpose of Awards granted under this Appendix, with respect to all Shares (but excluding, for avoidance of any doubt, any unexercised Awards) allocated or issued upon the exercise or vesting of Awards purchased or received, as applicable, by the Israeli Participant and held by the Israeli Participant or by the Trustee, as the case may be, the Israeli Participant shall be entitled to receive dividends, if any, in accordance with the quantity of such Shares, subject to the provisions of the Company’s Articles of Association (and all amendments thereto) and subject to any applicable taxation on distribution of dividends, and when applicable subject to the provisions of Section 102.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05" w:name="page306"/>
    <w:bookmarkEnd w:id="305"/>
    <w:p>
      <w:pPr>
        <w:ind w:left="580" w:hanging="579"/>
        <w:spacing w:after="0"/>
        <w:tabs>
          <w:tab w:leader="none" w:pos="580" w:val="left"/>
        </w:tabs>
        <w:numPr>
          <w:ilvl w:val="0"/>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VOTING RIGHTS</w:t>
      </w:r>
    </w:p>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Subject to Sections 6.7, 7.8, 8.7 and 9.4 of the Plan, so long as any Shares issued to the Trustee on behalf of an Israeli Participant, under this Appendix, to the extent Trustee decides in its sole discretion to vote such Shares, then unless the Trustee is directed otherwise by the Board, such Shares shall be voted in the same proportion as the result of the shareholder vote at the shareholders meeting or written consent in respect of which the Shares held by the Trustee are being voted. However, the Trustee shall not be obligated to exercise such voting rights or notify the Israeli Participant of any meeting of the Company’s shareholders.</w:t>
      </w:r>
    </w:p>
    <w:p>
      <w:pPr>
        <w:spacing w:after="0" w:line="146" w:lineRule="exact"/>
        <w:rPr>
          <w:sz w:val="20"/>
          <w:szCs w:val="20"/>
          <w:color w:val="auto"/>
        </w:rPr>
      </w:pPr>
    </w:p>
    <w:p>
      <w:pPr>
        <w:ind w:left="580" w:hanging="579"/>
        <w:spacing w:after="0"/>
        <w:tabs>
          <w:tab w:leader="none" w:pos="580"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color w:val="auto"/>
        </w:rPr>
        <w:t>TAX CONSEQUENCES</w:t>
      </w:r>
    </w:p>
    <w:p>
      <w:pPr>
        <w:spacing w:after="0" w:line="208" w:lineRule="exact"/>
        <w:rPr>
          <w:sz w:val="20"/>
          <w:szCs w:val="20"/>
          <w:color w:val="auto"/>
        </w:rPr>
      </w:pPr>
    </w:p>
    <w:p>
      <w:pPr>
        <w:jc w:val="both"/>
        <w:ind w:left="580" w:hanging="580"/>
        <w:spacing w:after="0" w:line="257" w:lineRule="auto"/>
        <w:tabs>
          <w:tab w:leader="none" w:pos="56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Notwithstanding anything to the contrary in Article XVI of the Plan and solely for the purpose of Awards granted under this Appendix, any tax consequences arising from the grant, exercise or vesting of any Award, from the payment for Shares covered thereby or from any other event or act (of the Company, and/or its Affiliates, and the Trustee or the Israeli Participant), hereunder, shall be borne solely by the Israeli Participant. The Company and/or its Affiliates, and/or the Trustee shall withhold taxes according to the requirements under Applicable Law, including withholding taxes at source. Furthermore, the Israeli Participant hereby agrees to indemnify the Company and/or its Affiliates and/or the Trustee and hold them harmless against and from any and all liability for any such tax or interest or penalty or indexation thereon, including without limitation, liabilities relating to the necessity to withhold, or to have withheld, any such tax from any payment made to the Israeli Participant.</w:t>
      </w:r>
    </w:p>
    <w:p>
      <w:pPr>
        <w:spacing w:after="0" w:line="171"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The Company and/or, when applicable, the Trustee shall not be required to release any share certificate to a Israeli Participant until all required payments have been fully made.</w:t>
      </w:r>
    </w:p>
    <w:p>
      <w:pPr>
        <w:spacing w:after="0" w:line="151"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With respect to Unapproved 102 Award, if the Israeli Participant ceases to be employed by the Company or any Affiliate, the Israeli Participant shall extend to the Company and/or its Affiliate a security or guarantee for the payment of tax due at the time of sale of Shares, all in accordance with the provisions of Section 102 and the rules, regulation or orders promulgated thereunder.</w:t>
      </w:r>
    </w:p>
    <w:p>
      <w:pPr>
        <w:spacing w:after="0" w:line="161"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Each Participant agrees to, and undertakes to comply with, any ruling, settlement, closing agreement or other similar agreement or arrangement with any tax authority in connection with the foregoing which is approved by the Company.</w:t>
      </w:r>
    </w:p>
    <w:p>
      <w:pPr>
        <w:spacing w:after="0" w:line="147" w:lineRule="exact"/>
        <w:rPr>
          <w:sz w:val="20"/>
          <w:szCs w:val="20"/>
          <w:color w:val="auto"/>
        </w:rPr>
      </w:pPr>
    </w:p>
    <w:p>
      <w:pPr>
        <w:ind w:left="580" w:hanging="579"/>
        <w:spacing w:after="0"/>
        <w:tabs>
          <w:tab w:leader="none" w:pos="580"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ISRAELI PARTICIPANT'S UNDERTAKINGS</w:t>
      </w:r>
    </w:p>
    <w:p>
      <w:pPr>
        <w:spacing w:after="0" w:line="208" w:lineRule="exact"/>
        <w:rPr>
          <w:sz w:val="20"/>
          <w:szCs w:val="20"/>
          <w:color w:val="auto"/>
        </w:rPr>
      </w:pPr>
    </w:p>
    <w:p>
      <w:pPr>
        <w:jc w:val="both"/>
        <w:ind w:firstLine="581"/>
        <w:spacing w:after="0" w:line="258" w:lineRule="auto"/>
        <w:rPr>
          <w:sz w:val="20"/>
          <w:szCs w:val="20"/>
          <w:color w:val="auto"/>
        </w:rPr>
      </w:pPr>
      <w:r>
        <w:rPr>
          <w:rFonts w:ascii="Arial" w:cs="Arial" w:eastAsia="Arial" w:hAnsi="Arial"/>
          <w:sz w:val="16"/>
          <w:szCs w:val="16"/>
          <w:color w:val="auto"/>
        </w:rPr>
        <w:t>By receiving Awards under the Plan and this Appendix, the Israeli Participant (1) agrees and acknowledges that he or she has received and read the Plan, this Appendix and the Israeli Award Agreement; (2) undertakes to comply with all the provisions set forth in: Section 102 (including provisions regarding the applicable Tax Track that the Company has selected) or Section 3(i), as applicable, the Plan, this Appendix, the Israeli Award Agreement and the Trust Agreement; and (3) if the Awards are granted under Section 102, the Israeli Participant undertakes, subject to the provisions of Section 102, not to sell or release the Shares from trust before the end of the Holding Period. The Israeli Participant agrees to execute any and all documents that the Company and/or its Affiliates and/or the Trustee may reasonably determine to be necessary in order to comply with the Ordinance, ruling or guidelines and rules issued by the ITA.</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306" w:name="page307"/>
    <w:bookmarkEnd w:id="306"/>
    <w:p>
      <w:pPr>
        <w:ind w:left="580" w:hanging="579"/>
        <w:spacing w:after="0"/>
        <w:tabs>
          <w:tab w:leader="none" w:pos="580" w:val="left"/>
        </w:tabs>
        <w:numPr>
          <w:ilvl w:val="0"/>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TERM OF PLAN AND APPENDIX</w:t>
      </w:r>
    </w:p>
    <w:p>
      <w:pPr>
        <w:spacing w:after="0" w:line="208"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Notwithstanding anything to the contrary in Article XV of the Plan and in addition thereto, the Company shall obtain all approvals for the adoption of this Appendix or for any amendment to this Appendix as are necessary to comply with (i) any Applicable Law, including without limitation U.S. securities laws and the securities laws of any other jurisdiction applicable to Awards granted to Israeli Participant under this Appendix, (ii) any national securities exchange on which the Shares are traded, and (iii) any applicable rules and regulations promulgated by the U.S. Securities and Exchange Commission.</w:t>
      </w:r>
    </w:p>
    <w:p>
      <w:pPr>
        <w:spacing w:after="0" w:line="162" w:lineRule="exact"/>
        <w:rPr>
          <w:sz w:val="20"/>
          <w:szCs w:val="20"/>
          <w:color w:val="auto"/>
        </w:rPr>
      </w:pPr>
    </w:p>
    <w:p>
      <w:pPr>
        <w:ind w:left="580" w:hanging="579"/>
        <w:spacing w:after="0"/>
        <w:tabs>
          <w:tab w:leader="none" w:pos="580" w:val="left"/>
        </w:tabs>
        <w:numPr>
          <w:ilvl w:val="0"/>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NO PAYMENT FOR RESTRICTED STOCK UNITS</w:t>
      </w:r>
    </w:p>
    <w:p>
      <w:pPr>
        <w:spacing w:after="0" w:line="208" w:lineRule="exact"/>
        <w:rPr>
          <w:sz w:val="20"/>
          <w:szCs w:val="20"/>
          <w:color w:val="auto"/>
        </w:rPr>
      </w:pPr>
    </w:p>
    <w:p>
      <w:pPr>
        <w:ind w:firstLine="581"/>
        <w:spacing w:after="0" w:line="281" w:lineRule="auto"/>
        <w:rPr>
          <w:sz w:val="20"/>
          <w:szCs w:val="20"/>
          <w:color w:val="auto"/>
        </w:rPr>
      </w:pPr>
      <w:r>
        <w:rPr>
          <w:rFonts w:ascii="Arial" w:cs="Arial" w:eastAsia="Arial" w:hAnsi="Arial"/>
          <w:sz w:val="16"/>
          <w:szCs w:val="16"/>
          <w:color w:val="auto"/>
        </w:rPr>
        <w:t>Other than the par value of any Shares issuable upon settlement of a Restricted Share Unit, no payment of cash by a Participant shall be required as consideration for Restricted Share Units.</w:t>
      </w:r>
    </w:p>
    <w:p>
      <w:pPr>
        <w:spacing w:after="0" w:line="147" w:lineRule="exact"/>
        <w:rPr>
          <w:sz w:val="20"/>
          <w:szCs w:val="20"/>
          <w:color w:val="auto"/>
        </w:rPr>
      </w:pPr>
    </w:p>
    <w:p>
      <w:pPr>
        <w:ind w:left="580" w:hanging="579"/>
        <w:spacing w:after="0"/>
        <w:tabs>
          <w:tab w:leader="none" w:pos="580"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NO PAYMENTS IN CASH</w:t>
      </w:r>
    </w:p>
    <w:p>
      <w:pPr>
        <w:spacing w:after="0" w:line="208" w:lineRule="exact"/>
        <w:rPr>
          <w:sz w:val="20"/>
          <w:szCs w:val="20"/>
          <w:color w:val="auto"/>
        </w:rPr>
      </w:pPr>
    </w:p>
    <w:p>
      <w:pPr>
        <w:ind w:firstLine="581"/>
        <w:spacing w:after="0" w:line="281" w:lineRule="auto"/>
        <w:rPr>
          <w:sz w:val="20"/>
          <w:szCs w:val="20"/>
          <w:color w:val="auto"/>
        </w:rPr>
      </w:pPr>
      <w:r>
        <w:rPr>
          <w:rFonts w:ascii="Arial" w:cs="Arial" w:eastAsia="Arial" w:hAnsi="Arial"/>
          <w:sz w:val="16"/>
          <w:szCs w:val="16"/>
          <w:color w:val="auto"/>
        </w:rPr>
        <w:t>Notwithstanding Sections 4.3(iii), 8.5. 9.1, 9.3 or any other provision of the Plan, no Share-based Award will be settled in cash unless Israeli law is amended to allow such settlement.</w:t>
      </w:r>
    </w:p>
    <w:p>
      <w:pPr>
        <w:spacing w:after="0" w:line="151" w:lineRule="exact"/>
        <w:rPr>
          <w:sz w:val="20"/>
          <w:szCs w:val="20"/>
          <w:color w:val="auto"/>
        </w:rPr>
      </w:pPr>
    </w:p>
    <w:p>
      <w:pPr>
        <w:ind w:left="5040"/>
        <w:spacing w:after="0"/>
        <w:tabs>
          <w:tab w:leader="none" w:pos="5600" w:val="left"/>
          <w:tab w:leader="none" w:pos="61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6"/>
          <w:szCs w:val="16"/>
          <w:b w:val="1"/>
          <w:bCs w:val="1"/>
          <w:u w:val="single" w:color="auto"/>
          <w:color w:val="auto"/>
        </w:rPr>
        <w:t>APPENDIX B</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TO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KORNIT DIGITAL LTD.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2015 INCENTIVE COMPENSATION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UNITED STATES</w:t>
      </w:r>
    </w:p>
    <w:p>
      <w:pPr>
        <w:spacing w:after="0" w:line="204" w:lineRule="exact"/>
        <w:rPr>
          <w:sz w:val="20"/>
          <w:szCs w:val="20"/>
          <w:color w:val="auto"/>
        </w:rPr>
      </w:pPr>
    </w:p>
    <w:p>
      <w:pPr>
        <w:ind w:left="580" w:hanging="579"/>
        <w:spacing w:after="0"/>
        <w:tabs>
          <w:tab w:leader="none" w:pos="580"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SPECIAL PROVISIONS FOR U.S. TAXPAYERS</w:t>
      </w:r>
    </w:p>
    <w:p>
      <w:pPr>
        <w:spacing w:after="0" w:line="208"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This Appendix (this “</w:t>
      </w:r>
      <w:r>
        <w:rPr>
          <w:rFonts w:ascii="Arial" w:cs="Arial" w:eastAsia="Arial" w:hAnsi="Arial"/>
          <w:sz w:val="16"/>
          <w:szCs w:val="16"/>
          <w:u w:val="single" w:color="auto"/>
          <w:color w:val="auto"/>
        </w:rPr>
        <w:t>Appendix</w:t>
      </w:r>
      <w:r>
        <w:rPr>
          <w:rFonts w:ascii="Arial" w:cs="Arial" w:eastAsia="Arial" w:hAnsi="Arial"/>
          <w:sz w:val="16"/>
          <w:szCs w:val="16"/>
          <w:color w:val="auto"/>
        </w:rPr>
        <w:t>”) to the Kornit Digital Ltd. 2015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was adopted by the Board pursuant to Section 18.17 of the Plan. This Appendix shall become effective on the Effective Date.</w:t>
      </w:r>
    </w:p>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The provisions of this Appendix apply only to Participants who are subject to U.S. federal income tax (any such Participant, a “</w:t>
      </w:r>
      <w:r>
        <w:rPr>
          <w:rFonts w:ascii="Arial" w:cs="Arial" w:eastAsia="Arial" w:hAnsi="Arial"/>
          <w:sz w:val="14"/>
          <w:szCs w:val="14"/>
          <w:u w:val="single" w:color="auto"/>
          <w:color w:val="auto"/>
        </w:rPr>
        <w:t>U.S. Taxpayer</w:t>
      </w:r>
      <w:r>
        <w:rPr>
          <w:rFonts w:ascii="Arial" w:cs="Arial" w:eastAsia="Arial" w:hAnsi="Arial"/>
          <w:sz w:val="14"/>
          <w:szCs w:val="14"/>
          <w:color w:val="auto"/>
        </w:rPr>
        <w:t>”).</w:t>
      </w:r>
    </w:p>
    <w:p>
      <w:pPr>
        <w:spacing w:after="0" w:line="204" w:lineRule="exact"/>
        <w:rPr>
          <w:sz w:val="20"/>
          <w:szCs w:val="20"/>
          <w:color w:val="auto"/>
        </w:rPr>
      </w:pPr>
    </w:p>
    <w:p>
      <w:pPr>
        <w:jc w:val="both"/>
        <w:ind w:left="580" w:hanging="580"/>
        <w:spacing w:after="0" w:line="285" w:lineRule="auto"/>
        <w:tabs>
          <w:tab w:leader="none" w:pos="5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5"/>
          <w:szCs w:val="15"/>
          <w:color w:val="auto"/>
        </w:rPr>
        <w:t>This Appendix is to be read as a continuation of the Plan and only applies with respect to Options and other Awards granted under the Plan to U.S. Taxpayers. The purpose of this Appendix is to establish certain rules and limitations applicable to Options and other Awards that may be granted or issued under the Plan to U.S. Taxpayers from time to time, in compliance with applicable tax, securities and other applicable laws currently in force. For the avoidance of doubt, this Appendix does not add to or modify the Plan in respect of any other category of Israeli Participants (as defined in Appendix A to the Plan).</w:t>
      </w:r>
    </w:p>
    <w:p>
      <w:pPr>
        <w:spacing w:after="0" w:line="150" w:lineRule="exact"/>
        <w:rPr>
          <w:sz w:val="20"/>
          <w:szCs w:val="20"/>
          <w:color w:val="auto"/>
        </w:rPr>
      </w:pPr>
    </w:p>
    <w:p>
      <w:pPr>
        <w:jc w:val="both"/>
        <w:ind w:left="580" w:hanging="580"/>
        <w:spacing w:after="0" w:line="316" w:lineRule="auto"/>
        <w:tabs>
          <w:tab w:leader="none" w:pos="5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5"/>
          <w:szCs w:val="15"/>
          <w:color w:val="auto"/>
        </w:rPr>
        <w:t>The Plan and this Appendix are complementary to each other and shall be deemed as one. Subject to Section 1.3 of this Appendix, in any case of contradiction, whether explicit or implied, between any definitions and/or provisions of this Appendix and the Plan, the provisions set out in this Appendix shall prevail.</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color w:val="auto"/>
        </w:rPr>
        <w:t>Section references in this Appendix shall refer to Sections of the Plan, unless expressly indicated otherwise.</w:t>
      </w:r>
    </w:p>
    <w:p>
      <w:pPr>
        <w:spacing w:after="0" w:line="200" w:lineRule="exact"/>
        <w:rPr>
          <w:sz w:val="20"/>
          <w:szCs w:val="20"/>
          <w:color w:val="auto"/>
        </w:rPr>
      </w:pPr>
    </w:p>
    <w:p>
      <w:pPr>
        <w:ind w:left="580" w:hanging="579"/>
        <w:spacing w:after="0"/>
        <w:tabs>
          <w:tab w:leader="none" w:pos="580"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8" w:lineRule="exact"/>
        <w:rPr>
          <w:sz w:val="20"/>
          <w:szCs w:val="20"/>
          <w:color w:val="auto"/>
        </w:rPr>
      </w:pPr>
    </w:p>
    <w:p>
      <w:pPr>
        <w:jc w:val="both"/>
        <w:ind w:firstLine="581"/>
        <w:spacing w:after="0" w:line="267" w:lineRule="auto"/>
        <w:rPr>
          <w:sz w:val="20"/>
          <w:szCs w:val="20"/>
          <w:color w:val="auto"/>
        </w:rPr>
      </w:pPr>
      <w:r>
        <w:rPr>
          <w:rFonts w:ascii="Arial" w:cs="Arial" w:eastAsia="Arial" w:hAnsi="Arial"/>
          <w:sz w:val="16"/>
          <w:szCs w:val="16"/>
          <w:color w:val="auto"/>
        </w:rPr>
        <w:t xml:space="preserve">Capitalized terms not otherwise defined herein shall have the meaning assigned to them in the Plan. The following additional definitions will apply to grants made pursuant to this Appendix,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such definitions are provided for in the Plan and this Appendix, the definitions in this Appendix shall apply to Awards granted to U.S. Taxpayers: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1" w:right="299" w:bottom="1440" w:gutter="0" w:footer="0" w:header="0"/>
        </w:sectPr>
      </w:pPr>
    </w:p>
    <w:bookmarkStart w:id="308" w:name="page309"/>
    <w:bookmarkEnd w:id="308"/>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United States Internal Revenue Code of 1986, as it may be amended from time to time, including rules and regulations promulgated thereunder and successor provisions and rules and regulations thereto.</w:t>
      </w:r>
    </w:p>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Disability</w:t>
      </w:r>
      <w:r>
        <w:rPr>
          <w:rFonts w:ascii="Arial" w:cs="Arial" w:eastAsia="Arial" w:hAnsi="Arial"/>
          <w:sz w:val="14"/>
          <w:szCs w:val="14"/>
          <w:color w:val="auto"/>
        </w:rPr>
        <w:t>” means for purposes of any ISO, a “permanent and total disability” as defined in Section 22(e)(3) of the Code.</w:t>
      </w:r>
    </w:p>
    <w:p>
      <w:pPr>
        <w:spacing w:after="0" w:line="204"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has the meaning assigned to such term in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Committee shall determine Fair Market Value in a manner that satisfies the applicable requirements of Code Sections 409A and 422.</w:t>
      </w:r>
    </w:p>
    <w:p>
      <w:pPr>
        <w:spacing w:after="0" w:line="151"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or “</w:t>
      </w:r>
      <w:r>
        <w:rPr>
          <w:rFonts w:ascii="Arial" w:cs="Arial" w:eastAsia="Arial" w:hAnsi="Arial"/>
          <w:sz w:val="16"/>
          <w:szCs w:val="16"/>
          <w:u w:val="single" w:color="auto"/>
          <w:color w:val="auto"/>
        </w:rPr>
        <w:t>ISO</w:t>
      </w:r>
      <w:r>
        <w:rPr>
          <w:rFonts w:ascii="Arial" w:cs="Arial" w:eastAsia="Arial" w:hAnsi="Arial"/>
          <w:sz w:val="16"/>
          <w:szCs w:val="16"/>
          <w:color w:val="auto"/>
        </w:rPr>
        <w:t>” means a right to purchase Shares under the Plan in accordance with the terms and conditions set forth in Article VI of the Plan and which is designated as an Incentive Stock Option and which is intended to meet the requirements of Section 422 of the Code.</w:t>
      </w:r>
    </w:p>
    <w:p>
      <w:pPr>
        <w:spacing w:after="0" w:line="151"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or “</w:t>
      </w:r>
      <w:r>
        <w:rPr>
          <w:rFonts w:ascii="Arial" w:cs="Arial" w:eastAsia="Arial" w:hAnsi="Arial"/>
          <w:sz w:val="16"/>
          <w:szCs w:val="16"/>
          <w:u w:val="single" w:color="auto"/>
          <w:color w:val="auto"/>
        </w:rPr>
        <w:t>NQSO</w:t>
      </w:r>
      <w:r>
        <w:rPr>
          <w:rFonts w:ascii="Arial" w:cs="Arial" w:eastAsia="Arial" w:hAnsi="Arial"/>
          <w:sz w:val="16"/>
          <w:szCs w:val="16"/>
          <w:color w:val="auto"/>
        </w:rPr>
        <w:t>” means a right to purchase Shares under the Plan in accordance with the terms and conditions set forth in Article VI of the Plan and which is not intended to meet the requirements of Section 422 of the Code or otherwise does not meet such requirements.</w:t>
      </w:r>
    </w:p>
    <w:p>
      <w:pPr>
        <w:spacing w:after="0" w:line="151" w:lineRule="exact"/>
        <w:rPr>
          <w:sz w:val="20"/>
          <w:szCs w:val="20"/>
          <w:color w:val="auto"/>
        </w:rPr>
      </w:pPr>
    </w:p>
    <w:p>
      <w:pPr>
        <w:ind w:left="580" w:hanging="580"/>
        <w:spacing w:after="0" w:line="281" w:lineRule="auto"/>
        <w:tabs>
          <w:tab w:leader="none" w:pos="56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present or future corporation which is or would be a “subsidiary corporation” of the Company as the term is defined in Section 424(f) of the Code.</w:t>
      </w:r>
    </w:p>
    <w:p>
      <w:pPr>
        <w:spacing w:after="0" w:line="147" w:lineRule="exact"/>
        <w:rPr>
          <w:sz w:val="20"/>
          <w:szCs w:val="20"/>
          <w:color w:val="auto"/>
        </w:rPr>
      </w:pPr>
    </w:p>
    <w:p>
      <w:pPr>
        <w:ind w:left="580" w:hanging="579"/>
        <w:spacing w:after="0"/>
        <w:tabs>
          <w:tab w:leader="none" w:pos="580"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OPTIONS</w:t>
      </w:r>
    </w:p>
    <w:p>
      <w:pPr>
        <w:spacing w:after="0" w:line="208"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Any Substitute Awards granted under the Plan shall be subject to compliance with the ISO rules under Code Section 422 and the nonqualified deferred compensation rules under Code Section 409A, where applicable.</w:t>
      </w:r>
    </w:p>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The provisions of Section 4.2 of the Plan shall, in the case of ISOs, be subject to any limitations applicable thereto under the Code.</w:t>
      </w:r>
    </w:p>
    <w:p>
      <w:pPr>
        <w:spacing w:after="0" w:line="204"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The total number of Shares that may be delivered pursuant to Incentive Stock Options granted under the Plan shall be the number of Shares determined in accordance with Section 4.1 of the Plan, as adjusted pursuant to Section 4.2 of the Plan, but without application of Section 4.2(d).</w:t>
      </w:r>
    </w:p>
    <w:p>
      <w:pPr>
        <w:spacing w:after="0" w:line="151"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The Committee shall determine any adjustment, substitution or change pursuant to Section 4.3 of the Plan after taking into account, among other things, to the extent applicable, the provisions of the Code applicable to Incentive Stock Options and the provisions of Section 409A of the Code.</w:t>
      </w:r>
    </w:p>
    <w:p>
      <w:pPr>
        <w:spacing w:after="0" w:line="151"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6"/>
          <w:szCs w:val="16"/>
          <w:color w:val="auto"/>
        </w:rPr>
        <w:t>Each Award Agreement relating to an Option shall specify whether such Option is intended to be an ISO or an NQSO. To the extent that any Option granted to a U.S. Taxpayer does not qualify as an ISO (whether because of its provisions or the time or manner of its exercise or otherwise), such Option, or the portion thereof which does not so qualify, shall constitute a separate NQSO.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09" w:name="page310"/>
    <w:bookmarkEnd w:id="309"/>
    <w:p>
      <w:pPr>
        <w:spacing w:after="0"/>
        <w:tabs>
          <w:tab w:leader="none" w:pos="560" w:val="left"/>
        </w:tabs>
        <w:rPr>
          <w:sz w:val="20"/>
          <w:szCs w:val="20"/>
          <w:color w:val="auto"/>
        </w:rPr>
      </w:pPr>
      <w:r>
        <w:rPr>
          <w:rFonts w:ascii="Arial" w:cs="Arial" w:eastAsia="Arial" w:hAnsi="Arial"/>
          <w:sz w:val="32"/>
          <w:szCs w:val="32"/>
          <w:color w:val="auto"/>
          <w:vertAlign w:val="superscript"/>
        </w:rPr>
        <w:t>3.6.</w:t>
      </w:r>
      <w:r>
        <w:rPr>
          <w:sz w:val="20"/>
          <w:szCs w:val="20"/>
          <w:color w:val="auto"/>
        </w:rPr>
        <w:tab/>
      </w:r>
      <w:r>
        <w:rPr>
          <w:rFonts w:ascii="Arial" w:cs="Arial" w:eastAsia="Arial" w:hAnsi="Arial"/>
          <w:sz w:val="14"/>
          <w:szCs w:val="14"/>
          <w:color w:val="auto"/>
        </w:rPr>
        <w:t>No ISO shall be exercisable later than the tenth (10</w:t>
      </w:r>
      <w:r>
        <w:rPr>
          <w:rFonts w:ascii="Arial" w:cs="Arial" w:eastAsia="Arial" w:hAnsi="Arial"/>
          <w:sz w:val="22"/>
          <w:szCs w:val="22"/>
          <w:color w:val="auto"/>
          <w:vertAlign w:val="superscript"/>
        </w:rPr>
        <w:t>th</w:t>
      </w:r>
      <w:r>
        <w:rPr>
          <w:rFonts w:ascii="Arial" w:cs="Arial" w:eastAsia="Arial" w:hAnsi="Arial"/>
          <w:sz w:val="14"/>
          <w:szCs w:val="14"/>
          <w:color w:val="auto"/>
        </w:rPr>
        <w:t>) anniversary of its date of grant.</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color w:val="auto"/>
        </w:rPr>
        <w:t>The last sentence of Section 6.5 shall not apply to ISOs.</w:t>
      </w:r>
    </w:p>
    <w:p>
      <w:pPr>
        <w:spacing w:after="0" w:line="204"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6"/>
          <w:szCs w:val="16"/>
          <w:color w:val="auto"/>
        </w:rPr>
        <w:t>The right to make a payment of the Option Price of an Incentive Stock Option in the form of already owned Shares, under Section 6.6(a) of the Plan, may be authorized only as of the grant date of such Incentive Stock Option.</w:t>
      </w:r>
    </w:p>
    <w:p>
      <w:pPr>
        <w:spacing w:after="0" w:line="151" w:lineRule="exact"/>
        <w:rPr>
          <w:sz w:val="20"/>
          <w:szCs w:val="20"/>
          <w:color w:val="auto"/>
        </w:rPr>
      </w:pPr>
    </w:p>
    <w:p>
      <w:pPr>
        <w:jc w:val="both"/>
        <w:ind w:left="580" w:hanging="580"/>
        <w:spacing w:after="0" w:line="262" w:lineRule="auto"/>
        <w:tabs>
          <w:tab w:leader="none" w:pos="56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6"/>
          <w:szCs w:val="16"/>
          <w:color w:val="auto"/>
        </w:rPr>
        <w:t>No ISO shall be granted to any individual otherwise eligible to participate in the Plan who is not an Employee of the Company or a Subsidiary on the date of granting of such Option. Any ISO granted under the Plan shall contain such terms and conditions, consistent with the Plan, as the Committee may determine to be necessary to qualify such Option as an “incentive stock option” under Section 422 of the Code. Any ISO granted under the Plan may be modified by the Committee to disqualify such Option from treatment as an “incentive stock option” under Section 422 of the Code.</w:t>
      </w:r>
    </w:p>
    <w:p>
      <w:pPr>
        <w:spacing w:after="0" w:line="166" w:lineRule="exact"/>
        <w:rPr>
          <w:sz w:val="20"/>
          <w:szCs w:val="20"/>
          <w:color w:val="auto"/>
        </w:rPr>
      </w:pPr>
    </w:p>
    <w:p>
      <w:pPr>
        <w:jc w:val="both"/>
        <w:ind w:left="580" w:hanging="580"/>
        <w:spacing w:after="0" w:line="258" w:lineRule="auto"/>
        <w:tabs>
          <w:tab w:leader="none" w:pos="560"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6"/>
          <w:szCs w:val="16"/>
          <w:color w:val="auto"/>
        </w:rPr>
        <w:t>Notwithstanding any intent to grant ISOs, an Option granted under the Plan will not be considered an ISO to the extent that it, together with any other “incentive stock options” (within the meaning of Section 422 of the Code, but without regard to subsection (d) of such Section) under the Plan and any other “incentive stock option” plans of the Company, any Subsidiary and any “parent corporation” of the Company within the meaning of Section 424(e) of the Code, are exercisable for the first time by any Participant during any calendar year with respect to Shares having an aggregate Fair Market Value in excess of $100,000 (or such other limit as may be required by the Code) as of the time the Option with respect to such Shares is granted. The rule set forth in the preceding sentence shall be applied by taking Options into account in the order in which they were granted.</w:t>
      </w:r>
    </w:p>
    <w:p>
      <w:pPr>
        <w:spacing w:after="0" w:line="170"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No ISO shall be granted to an individual otherwise eligible to participate in the Plan who owns (within the meaning of Section 424(d) of the Code), at the time the Option is granted, more than ten percent (10%) of the total combined voting power of all classes of stock of the Company or a Subsidiary or any “parent corporation” of the Company within the meaning of Section 424(e) of the Code. This restriction does not apply if at the time such ISO is granted the Option Price of the ISO is at least 110% of the Fair Market Value of a Share on the date such ISO is granted, and the ISO by its terms is not exercisable after the expiration of five years from such date of grant.</w:t>
      </w:r>
    </w:p>
    <w:p>
      <w:pPr>
        <w:spacing w:after="0" w:line="170" w:lineRule="exact"/>
        <w:rPr>
          <w:sz w:val="20"/>
          <w:szCs w:val="20"/>
          <w:color w:val="auto"/>
        </w:rPr>
      </w:pPr>
    </w:p>
    <w:p>
      <w:pPr>
        <w:jc w:val="both"/>
        <w:ind w:left="580" w:hanging="580"/>
        <w:spacing w:after="0" w:line="285" w:lineRule="auto"/>
        <w:tabs>
          <w:tab w:leader="none" w:pos="5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5"/>
          <w:szCs w:val="15"/>
          <w:color w:val="auto"/>
        </w:rPr>
        <w:t>Notwithstanding any other provision of the Plan to the contrary, with respect to a Tandem SAR granted in connection with an ISO: (i) the Tandem SAR will expire no later than the expiration of the related ISO; (ii) the value of the payment with respect to the Tandem SAR may not exceed the difference between the Fair Market Value of the Shares subject to the related ISO at the time the Tandem SAR is exercised and the Option Price of the related ISO; and (iii) the Tandem SAR may be exercised only when the Fair Market Value of the Shares subject to the ISO exceeds the Option Price of the ISO.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0" w:name="page311"/>
    <w:bookmarkEnd w:id="310"/>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6"/>
          <w:szCs w:val="16"/>
          <w:color w:val="auto"/>
        </w:rPr>
        <w:t>No ISO or Tandem SAR granted in connection with an ISO may be sold, transferred, pledged, assigned, or otherwise alienated or hypothecated, other than by will or by the laws of descent and distribution or in accordance with Section 12.2 of the Plan. Further, all ISOs and Tandem SARs granted in connection with ISOs granted to a Participant shall be exercisable during his or her lifetime only by such Participant.</w:t>
      </w:r>
    </w:p>
    <w:p>
      <w:pPr>
        <w:spacing w:after="0" w:line="161"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5"/>
          <w:szCs w:val="15"/>
          <w:color w:val="auto"/>
        </w:rPr>
        <w:t>The Committee may require a Participant to give prompt written notice to the Company concerning any disposition of Shares received upon the exercise of an ISO within: (i) two (2) years from the date of granting such ISO to such Participant or (ii) one (1) year from the transfer of such Shares to such Participant or (iii) such other period as the Committee may from time to time determine. The Committee may direct that a Participant with respect to an ISO undertake in the applicable Award Agreement to give such written notice described in the preceding sentence, at such time and containing such information as the Committee may prescribe, and/or that the certificates evidencing Shares acquired by exercise of an ISO refer to such requirement to give such notice.</w:t>
      </w:r>
    </w:p>
    <w:p>
      <w:pPr>
        <w:spacing w:after="0" w:line="149" w:lineRule="exact"/>
        <w:rPr>
          <w:sz w:val="20"/>
          <w:szCs w:val="20"/>
          <w:color w:val="auto"/>
        </w:rPr>
      </w:pPr>
    </w:p>
    <w:p>
      <w:pPr>
        <w:ind w:left="580" w:hanging="579"/>
        <w:spacing w:after="0"/>
        <w:tabs>
          <w:tab w:leader="none" w:pos="580" w:val="left"/>
        </w:tabs>
        <w:numPr>
          <w:ilvl w:val="0"/>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GRANT DATE FAIR MARKET OPTION PRICE AND GRANT PRICE</w:t>
      </w:r>
    </w:p>
    <w:p>
      <w:pPr>
        <w:spacing w:after="0" w:line="207" w:lineRule="exact"/>
        <w:rPr>
          <w:rFonts w:ascii="Arial" w:cs="Arial" w:eastAsia="Arial" w:hAnsi="Arial"/>
          <w:sz w:val="16"/>
          <w:szCs w:val="16"/>
          <w:b w:val="1"/>
          <w:bCs w:val="1"/>
          <w:color w:val="auto"/>
        </w:rPr>
      </w:pPr>
    </w:p>
    <w:p>
      <w:pPr>
        <w:ind w:left="58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No Option or SAR shall be granted pursuant to this Appendix unless the Option Price of such Option or the Grant Price of such SAR, as the case may be, shall be not less than one hundred percent (100%) of the Fair Market Value of a Share on the Grant Date of such Option or SAR.</w:t>
      </w:r>
    </w:p>
    <w:p>
      <w:pPr>
        <w:spacing w:after="0" w:line="146" w:lineRule="exact"/>
        <w:rPr>
          <w:rFonts w:ascii="Arial" w:cs="Arial" w:eastAsia="Arial" w:hAnsi="Arial"/>
          <w:sz w:val="16"/>
          <w:szCs w:val="16"/>
          <w:b w:val="1"/>
          <w:bCs w:val="1"/>
          <w:color w:val="auto"/>
        </w:rPr>
      </w:pPr>
    </w:p>
    <w:p>
      <w:pPr>
        <w:ind w:left="580" w:hanging="579"/>
        <w:spacing w:after="0"/>
        <w:tabs>
          <w:tab w:leader="none" w:pos="580" w:val="left"/>
        </w:tabs>
        <w:numPr>
          <w:ilvl w:val="0"/>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DEFERRED COMPENSATION</w:t>
      </w:r>
    </w:p>
    <w:p>
      <w:pPr>
        <w:spacing w:after="0" w:line="208" w:lineRule="exact"/>
        <w:rPr>
          <w:sz w:val="20"/>
          <w:szCs w:val="20"/>
          <w:color w:val="auto"/>
        </w:rPr>
      </w:pPr>
    </w:p>
    <w:p>
      <w:pPr>
        <w:jc w:val="both"/>
        <w:ind w:left="580" w:hanging="580"/>
        <w:spacing w:after="0" w:line="267"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It is the intention of the Company that no Award shall be deferred compensation subject to Code Section 409A unless and to the extent that the Committee specifically determines otherwise as provided in Section 5.2 of this Appendix, and the Plan and the terms and conditions of all Awards shall be interpreted and administered accordingly</w:t>
      </w:r>
    </w:p>
    <w:p>
      <w:pPr>
        <w:spacing w:after="0" w:line="161" w:lineRule="exact"/>
        <w:rPr>
          <w:sz w:val="20"/>
          <w:szCs w:val="20"/>
          <w:color w:val="auto"/>
        </w:rPr>
      </w:pPr>
    </w:p>
    <w:p>
      <w:pPr>
        <w:jc w:val="both"/>
        <w:ind w:left="580" w:hanging="580"/>
        <w:spacing w:after="0" w:line="262" w:lineRule="auto"/>
        <w:tabs>
          <w:tab w:leader="none" w:pos="56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The terms and conditions governing any Awards that the Committee determines will be subject to Section 409A of the Code, including any rules for payment or elective or mandatory deferral of the payment or delivery of Shares or cash pursuant thereto, and any rules regarding treatment of such Awards in the event of a Change of Control, shall be set forth in the applicable Award Agreement and shall be intended to comply in all respects with Section 409A of the Code, and the Plan and the terms and conditions of such Awards shall be interpreted and administered accordingly.</w:t>
      </w:r>
    </w:p>
    <w:p>
      <w:pPr>
        <w:spacing w:after="0" w:line="166"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The Committee shall not extend the period to exercise an Option or Share Appreciation Right to the extent that such extension would cause the Option or Share Appreciation Right to become subject to Code Section 409A.</w:t>
      </w:r>
    </w:p>
    <w:p>
      <w:pPr>
        <w:spacing w:after="0" w:line="151"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No Dividend Equivalents shall relate to Shares underlying an Option or SAR unless such Dividend Equivalent rights are explicitly set forth as a separate arrangement and do not cause any such Option or SAR to be subject to Code Section 409A.</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1" w:name="page312"/>
    <w:bookmarkEnd w:id="311"/>
    <w:p>
      <w:pPr>
        <w:jc w:val="both"/>
        <w:ind w:left="580" w:hanging="580"/>
        <w:spacing w:after="0" w:line="256" w:lineRule="auto"/>
        <w:tabs>
          <w:tab w:leader="none" w:pos="56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color w:val="auto"/>
        </w:rPr>
        <w:t xml:space="preserve">The Company shall have complete discretion to interpret and construe the Plan and any Award Agreement in any manner that establishes an exemption from (or compliance with) the requirements of Code Section 409A. If for any reason, such as imprecision in drafting, any provision of the Plan and/or any Award Agreement does not accurately reflect its intended establishment of an exemption from (or compliance with) Code Section 409A, as demonstrated by consistent interpretations or other evidence of intent, such provision shall be considered ambiguous as to its exemption from (or compliance with) Code Section 409A and shall be interpreted by the Company in a manner consistent with such intent, as determined in the discretion of the Company. If, notwithstanding the foregoing provisions of this Section 5.5, any provision of the Plan or any Award Agreement would cause a Participant to incur any additional tax or interest under Code Section 409A, the Company shall reform such provision in a manner intended to avoid the incurrence by such Participant of any such additional tax or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maintain, to the extent reasonably practicable, the original intent and economic benefit to the Participant of the applicable provision without violating the provisions of Code Section 409A.</w:t>
      </w:r>
    </w:p>
    <w:p>
      <w:pPr>
        <w:spacing w:after="0" w:line="172" w:lineRule="exact"/>
        <w:rPr>
          <w:sz w:val="20"/>
          <w:szCs w:val="20"/>
          <w:color w:val="auto"/>
        </w:rPr>
      </w:pPr>
    </w:p>
    <w:p>
      <w:pPr>
        <w:jc w:val="both"/>
        <w:ind w:left="580" w:hanging="580"/>
        <w:spacing w:after="0" w:line="257" w:lineRule="auto"/>
        <w:tabs>
          <w:tab w:leader="none" w:pos="56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Notwithstanding the provisions of Section 4.3 to the contrary, (1) any adjustments made pursuant to Section 4.3 to Awards that are considered “deferred compensation” subject to Section 409A of the Code shall be made in compliance with the requirements of Section 409A of the Code; (2) any adjustments made pursuant to Section 4.3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 and (3) in any event, neither the Committee nor the Board shall have any authority to make any adjustments, substitutions or changes pursuant to Section 4.3 to the extent the existence of such authority would cause an Award that is not intended to be subject to Section 409A of the Code at the Grant Date thereof to be subject to Section 409A of the Code.</w:t>
      </w:r>
    </w:p>
    <w:p>
      <w:pPr>
        <w:spacing w:after="0" w:line="171" w:lineRule="exact"/>
        <w:rPr>
          <w:sz w:val="20"/>
          <w:szCs w:val="20"/>
          <w:color w:val="auto"/>
        </w:rPr>
      </w:pPr>
    </w:p>
    <w:p>
      <w:pPr>
        <w:jc w:val="both"/>
        <w:ind w:left="580" w:hanging="580"/>
        <w:spacing w:after="0" w:line="281" w:lineRule="auto"/>
        <w:tabs>
          <w:tab w:leader="none" w:pos="56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If any Award is subject to Section 409A of the Code, the provisions of Article XIV shall be applicable to such Award only to the extent specifically provided in the Award Agreement and permitted pursuant to Section 5.2 of this Appendix.</w:t>
      </w:r>
    </w:p>
    <w:p>
      <w:pPr>
        <w:spacing w:after="0" w:line="147" w:lineRule="exact"/>
        <w:rPr>
          <w:sz w:val="20"/>
          <w:szCs w:val="20"/>
          <w:color w:val="auto"/>
        </w:rPr>
      </w:pPr>
    </w:p>
    <w:p>
      <w:pPr>
        <w:ind w:left="580" w:hanging="579"/>
        <w:spacing w:after="0"/>
        <w:tabs>
          <w:tab w:leader="none" w:pos="580" w:val="left"/>
        </w:tabs>
        <w:numPr>
          <w:ilvl w:val="0"/>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t>SECTION 83(B) ELECTION</w:t>
      </w:r>
    </w:p>
    <w:p>
      <w:pPr>
        <w:spacing w:after="0" w:line="208"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6"/>
          <w:szCs w:val="16"/>
          <w:color w:val="auto"/>
        </w:rPr>
        <w:t>If a Participant makes an election under Section 83(b) of the Code to be taxed with respect to an Award as of the date of transfer of Shares rather than as of the date or dates upon which the Participant would otherwise be taxable under Section 83(a) of the Code, such Participant shall deliver a copy of such election to the Company prior to filing such election with the United States Internal Revenue Service. Neither the Company nor any Affiliate shall have any liability or responsibility relating to or arising out of the filing or not filing of any such election or any defects in its construction.</w:t>
      </w:r>
    </w:p>
    <w:p>
      <w:pPr>
        <w:spacing w:after="0" w:line="162" w:lineRule="exact"/>
        <w:rPr>
          <w:sz w:val="20"/>
          <w:szCs w:val="20"/>
          <w:color w:val="auto"/>
        </w:rPr>
      </w:pPr>
    </w:p>
    <w:p>
      <w:pPr>
        <w:ind w:left="580" w:hanging="579"/>
        <w:spacing w:after="0"/>
        <w:tabs>
          <w:tab w:leader="none" w:pos="580"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p>
    <w:p>
      <w:pPr>
        <w:spacing w:after="0" w:line="208" w:lineRule="exact"/>
        <w:rPr>
          <w:sz w:val="20"/>
          <w:szCs w:val="20"/>
          <w:color w:val="auto"/>
        </w:rPr>
      </w:pPr>
    </w:p>
    <w:p>
      <w:pPr>
        <w:ind w:firstLine="581"/>
        <w:spacing w:after="0" w:line="281" w:lineRule="auto"/>
        <w:rPr>
          <w:sz w:val="20"/>
          <w:szCs w:val="20"/>
          <w:color w:val="auto"/>
        </w:rPr>
      </w:pPr>
      <w:r>
        <w:rPr>
          <w:rFonts w:ascii="Arial" w:cs="Arial" w:eastAsia="Arial" w:hAnsi="Arial"/>
          <w:sz w:val="16"/>
          <w:szCs w:val="16"/>
          <w:color w:val="auto"/>
        </w:rPr>
        <w:t xml:space="preserve">The Committee shall determine any adjustment pursuant to Section 4.3: (i) after taking into account, among other things, to the extent applicable, the provisions of the Code applicable to Incentive Stock Options and (ii) subject to Section 5.6 of this </w:t>
      </w:r>
      <w:r>
        <w:rPr>
          <w:rFonts w:ascii="Arial" w:cs="Arial" w:eastAsia="Arial" w:hAnsi="Arial"/>
          <w:sz w:val="16"/>
          <w:szCs w:val="16"/>
          <w:u w:val="single" w:color="auto"/>
          <w:color w:val="auto"/>
        </w:rPr>
        <w:t>Appendix</w:t>
      </w:r>
      <w:r>
        <w:rPr>
          <w:rFonts w:ascii="Arial" w:cs="Arial" w:eastAsia="Arial" w:hAnsi="Arial"/>
          <w:sz w:val="16"/>
          <w:szCs w:val="16"/>
          <w:color w:val="auto"/>
        </w:rPr>
        <w:t>.</w:t>
      </w:r>
    </w:p>
    <w:p>
      <w:pPr>
        <w:spacing w:after="0" w:line="151" w:lineRule="exact"/>
        <w:rPr>
          <w:sz w:val="20"/>
          <w:szCs w:val="20"/>
          <w:color w:val="auto"/>
        </w:rPr>
      </w:pPr>
    </w:p>
    <w:p>
      <w:pPr>
        <w:ind w:left="5080"/>
        <w:spacing w:after="0"/>
        <w:tabs>
          <w:tab w:leader="none" w:pos="5600" w:val="left"/>
          <w:tab w:leader="none" w:pos="6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312" w:name="page313"/>
    <w:bookmarkEnd w:id="312"/>
    <w:p>
      <w:pPr>
        <w:jc w:val="right"/>
        <w:spacing w:after="0"/>
        <w:rPr>
          <w:sz w:val="20"/>
          <w:szCs w:val="20"/>
          <w:color w:val="auto"/>
        </w:rPr>
      </w:pPr>
      <w:r>
        <w:rPr>
          <w:rFonts w:ascii="Arial" w:cs="Arial" w:eastAsia="Arial" w:hAnsi="Arial"/>
          <w:sz w:val="16"/>
          <w:szCs w:val="16"/>
          <w:b w:val="1"/>
          <w:bCs w:val="1"/>
          <w:color w:val="auto"/>
        </w:rPr>
        <w:t>Exhibit 10.22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2015 EMPLOYEE SHARE PURCHASE PLAN</w:t>
      </w:r>
    </w:p>
    <w:p>
      <w:pPr>
        <w:spacing w:after="0" w:line="192" w:lineRule="exact"/>
        <w:rPr>
          <w:sz w:val="20"/>
          <w:szCs w:val="20"/>
          <w:color w:val="auto"/>
        </w:rPr>
      </w:pPr>
    </w:p>
    <w:p>
      <w:pPr>
        <w:jc w:val="both"/>
        <w:ind w:firstLine="1164"/>
        <w:spacing w:after="0" w:line="262" w:lineRule="auto"/>
        <w:tabs>
          <w:tab w:leader="none" w:pos="1817"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xml:space="preserve">. The purpose of the Plan is to provide incentive for present and future eligible Employees to acquire equity interests (or increase existing equity interests) in the Company through the purchase of Shares. It is the Company’s intention that the Plan qualify as an “employee share purchase plan” under Section 423 of the Code, and, accordingly, the provisions of the Plan shall be administered, interpreted and construed in a manner consistent with the requirements of that section of the Code, except to the extent provided pursuant to </w:t>
      </w:r>
      <w:r>
        <w:rPr>
          <w:rFonts w:ascii="Arial" w:cs="Arial" w:eastAsia="Arial" w:hAnsi="Arial"/>
          <w:sz w:val="16"/>
          <w:szCs w:val="16"/>
          <w:u w:val="single" w:color="auto"/>
          <w:color w:val="auto"/>
        </w:rPr>
        <w:t>Section 16(n)</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1760" w:hanging="596"/>
        <w:spacing w:after="0"/>
        <w:tabs>
          <w:tab w:leader="none" w:pos="1760"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04" w:lineRule="exact"/>
        <w:rPr>
          <w:sz w:val="20"/>
          <w:szCs w:val="20"/>
          <w:color w:val="auto"/>
        </w:rPr>
      </w:pPr>
    </w:p>
    <w:p>
      <w:pPr>
        <w:ind w:firstLine="1164"/>
        <w:spacing w:after="0" w:line="281" w:lineRule="auto"/>
        <w:tabs>
          <w:tab w:leader="none" w:pos="196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Exchange</w:t>
      </w:r>
      <w:r>
        <w:rPr>
          <w:rFonts w:ascii="Arial" w:cs="Arial" w:eastAsia="Arial" w:hAnsi="Arial"/>
          <w:sz w:val="16"/>
          <w:szCs w:val="16"/>
          <w:color w:val="auto"/>
        </w:rPr>
        <w:t>” means the Nasdaq Global Market or such other securities exchange or inter-dealer quotation system as may at the applicable time be the principal market for the Shares.</w:t>
      </w:r>
    </w:p>
    <w:p>
      <w:pPr>
        <w:spacing w:after="0" w:line="150" w:lineRule="exact"/>
        <w:rPr>
          <w:rFonts w:ascii="Arial" w:cs="Arial" w:eastAsia="Arial" w:hAnsi="Arial"/>
          <w:sz w:val="16"/>
          <w:szCs w:val="16"/>
          <w:color w:val="auto"/>
        </w:rPr>
      </w:pPr>
    </w:p>
    <w:p>
      <w:pPr>
        <w:ind w:left="1760" w:hanging="596"/>
        <w:spacing w:after="0"/>
        <w:tabs>
          <w:tab w:leader="none" w:pos="17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Percentage</w:t>
      </w:r>
      <w:r>
        <w:rPr>
          <w:rFonts w:ascii="Arial" w:cs="Arial" w:eastAsia="Arial" w:hAnsi="Arial"/>
          <w:sz w:val="15"/>
          <w:szCs w:val="15"/>
          <w:color w:val="auto"/>
        </w:rPr>
        <w:t xml:space="preserve">” means the percentage specified in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subject to adjustment by the Committee as provided in </w:t>
      </w:r>
      <w:r>
        <w:rPr>
          <w:rFonts w:ascii="Arial" w:cs="Arial" w:eastAsia="Arial" w:hAnsi="Arial"/>
          <w:sz w:val="15"/>
          <w:szCs w:val="15"/>
          <w:u w:val="single" w:color="auto"/>
          <w:color w:val="auto"/>
        </w:rPr>
        <w:t>Section 6(b)</w:t>
      </w:r>
      <w:r>
        <w:rPr>
          <w:rFonts w:ascii="Arial" w:cs="Arial" w:eastAsia="Arial" w:hAnsi="Arial"/>
          <w:sz w:val="15"/>
          <w:szCs w:val="15"/>
          <w:color w:val="auto"/>
        </w:rPr>
        <w:t>.</w:t>
      </w:r>
    </w:p>
    <w:p>
      <w:pPr>
        <w:spacing w:after="0" w:line="215" w:lineRule="exact"/>
        <w:rPr>
          <w:rFonts w:ascii="Arial" w:cs="Arial" w:eastAsia="Arial" w:hAnsi="Arial"/>
          <w:sz w:val="15"/>
          <w:szCs w:val="15"/>
          <w:color w:val="auto"/>
        </w:rPr>
      </w:pPr>
    </w:p>
    <w:p>
      <w:pPr>
        <w:ind w:left="1740" w:hanging="576"/>
        <w:spacing w:after="0"/>
        <w:tabs>
          <w:tab w:leader="none" w:pos="17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03" w:lineRule="exact"/>
        <w:rPr>
          <w:rFonts w:ascii="Arial" w:cs="Arial" w:eastAsia="Arial" w:hAnsi="Arial"/>
          <w:sz w:val="16"/>
          <w:szCs w:val="16"/>
          <w:color w:val="auto"/>
        </w:rPr>
      </w:pPr>
    </w:p>
    <w:p>
      <w:pPr>
        <w:ind w:left="1760" w:hanging="596"/>
        <w:spacing w:after="0"/>
        <w:tabs>
          <w:tab w:leader="none" w:pos="176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United States Internal Revenue Code of 1986, as amended, and any successor thereto.</w:t>
      </w:r>
    </w:p>
    <w:p>
      <w:pPr>
        <w:spacing w:after="0" w:line="203" w:lineRule="exact"/>
        <w:rPr>
          <w:rFonts w:ascii="Arial" w:cs="Arial" w:eastAsia="Arial" w:hAnsi="Arial"/>
          <w:sz w:val="16"/>
          <w:szCs w:val="16"/>
          <w:color w:val="auto"/>
        </w:rPr>
      </w:pPr>
    </w:p>
    <w:p>
      <w:pPr>
        <w:ind w:left="1780" w:hanging="616"/>
        <w:spacing w:after="0"/>
        <w:tabs>
          <w:tab w:leader="none" w:pos="1780" w:val="left"/>
        </w:tabs>
        <w:numPr>
          <w:ilvl w:val="0"/>
          <w:numId w:val="3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Committee</w:t>
      </w:r>
      <w:r>
        <w:rPr>
          <w:rFonts w:ascii="Arial" w:cs="Arial" w:eastAsia="Arial" w:hAnsi="Arial"/>
          <w:sz w:val="14"/>
          <w:szCs w:val="14"/>
          <w:color w:val="auto"/>
        </w:rPr>
        <w:t xml:space="preserve">” means the committee appointed by the Board to administer the Plan as described in </w:t>
      </w:r>
      <w:r>
        <w:rPr>
          <w:rFonts w:ascii="Arial" w:cs="Arial" w:eastAsia="Arial" w:hAnsi="Arial"/>
          <w:sz w:val="14"/>
          <w:szCs w:val="14"/>
          <w:u w:val="single" w:color="auto"/>
          <w:color w:val="auto"/>
        </w:rPr>
        <w:t>Section 14</w:t>
      </w:r>
      <w:r>
        <w:rPr>
          <w:rFonts w:ascii="Arial" w:cs="Arial" w:eastAsia="Arial" w:hAnsi="Arial"/>
          <w:sz w:val="14"/>
          <w:szCs w:val="14"/>
          <w:color w:val="auto"/>
        </w:rPr>
        <w:t xml:space="preserve"> or, in the absence of a committee, the</w:t>
      </w:r>
    </w:p>
    <w:p>
      <w:pPr>
        <w:spacing w:after="0" w:line="4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Board.</w:t>
      </w:r>
    </w:p>
    <w:p>
      <w:pPr>
        <w:spacing w:after="0" w:line="191" w:lineRule="exact"/>
        <w:rPr>
          <w:rFonts w:ascii="Arial" w:cs="Arial" w:eastAsia="Arial" w:hAnsi="Arial"/>
          <w:sz w:val="14"/>
          <w:szCs w:val="14"/>
          <w:color w:val="auto"/>
        </w:rPr>
      </w:pPr>
    </w:p>
    <w:p>
      <w:pPr>
        <w:ind w:left="1760" w:hanging="596"/>
        <w:spacing w:after="0"/>
        <w:tabs>
          <w:tab w:leader="none" w:pos="176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Kornit Digital Ltd., an Israeli company, or any successor thereto.</w:t>
      </w:r>
    </w:p>
    <w:p>
      <w:pPr>
        <w:spacing w:after="0" w:line="203" w:lineRule="exact"/>
        <w:rPr>
          <w:rFonts w:ascii="Arial" w:cs="Arial" w:eastAsia="Arial" w:hAnsi="Arial"/>
          <w:sz w:val="16"/>
          <w:szCs w:val="16"/>
          <w:color w:val="auto"/>
        </w:rPr>
      </w:pPr>
    </w:p>
    <w:p>
      <w:pPr>
        <w:ind w:left="1760" w:hanging="596"/>
        <w:spacing w:after="0"/>
        <w:tabs>
          <w:tab w:leader="none" w:pos="176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Transaction</w:t>
      </w:r>
      <w:r>
        <w:rPr>
          <w:rFonts w:ascii="Arial" w:cs="Arial" w:eastAsia="Arial" w:hAnsi="Arial"/>
          <w:sz w:val="16"/>
          <w:szCs w:val="16"/>
          <w:color w:val="auto"/>
        </w:rPr>
        <w:t xml:space="preserve">” has the meaning given such term in </w:t>
      </w:r>
      <w:r>
        <w:rPr>
          <w:rFonts w:ascii="Arial" w:cs="Arial" w:eastAsia="Arial" w:hAnsi="Arial"/>
          <w:sz w:val="16"/>
          <w:szCs w:val="16"/>
          <w:u w:val="single" w:color="auto"/>
          <w:color w:val="auto"/>
        </w:rPr>
        <w:t>Section 13(b)(iii)</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firstLine="1164"/>
        <w:spacing w:after="0" w:line="257" w:lineRule="auto"/>
        <w:tabs>
          <w:tab w:leader="none" w:pos="1948"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with respect to each Participant for each pay period: base salary, wages, overtime, and shift premium paid to such Participant by the Company or a Designated Subsidiary. Except as otherwise determined by the Committee, “Compensation” does not include: (i) any amounts contributed by the Company or a Designated Subsidiary to any pension plan, (ii) any automobile, relocation or housing allowances, or reimbursement for any expenses, including automobile, relocation or housing expenses, (iii) any amounts paid as a bonus, including a starting bonus, referral fee, annual bonus, relocation bonus, or sales incentives or commissions, (iv) any amounts realized from the vesting or exercise of any stock options, equity awards or incentive awards, (v) any amounts paid by the Company or a Designated Subsidiary for other fringe benefits, such as health and welfare, hospitalization and group life insurance benefits, disability pay, or perquisites, or paid in lieu of such benefits, or (vi) other similar forms of extraordinary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362585</wp:posOffset>
            </wp:positionV>
            <wp:extent cx="718375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313" w:name="page314"/>
    <w:bookmarkEnd w:id="313"/>
    <w:p>
      <w:pPr>
        <w:ind w:firstLine="1164"/>
        <w:spacing w:after="0" w:line="281" w:lineRule="auto"/>
        <w:tabs>
          <w:tab w:leader="none" w:pos="179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Subsidiaries</w:t>
      </w:r>
      <w:r>
        <w:rPr>
          <w:rFonts w:ascii="Arial" w:cs="Arial" w:eastAsia="Arial" w:hAnsi="Arial"/>
          <w:sz w:val="16"/>
          <w:szCs w:val="16"/>
          <w:color w:val="auto"/>
        </w:rPr>
        <w:t>” means the Subsidiaries (if any) whose employees have been designated by the Board in writing from time to time in its discretion as eligible to participate in the Plan.</w:t>
      </w:r>
    </w:p>
    <w:p>
      <w:pPr>
        <w:spacing w:after="0" w:line="150" w:lineRule="exact"/>
        <w:rPr>
          <w:rFonts w:ascii="Arial" w:cs="Arial" w:eastAsia="Arial" w:hAnsi="Arial"/>
          <w:sz w:val="16"/>
          <w:szCs w:val="16"/>
          <w:color w:val="auto"/>
        </w:rPr>
      </w:pPr>
    </w:p>
    <w:p>
      <w:pPr>
        <w:ind w:left="1720" w:hanging="556"/>
        <w:spacing w:after="0"/>
        <w:tabs>
          <w:tab w:leader="none" w:pos="172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described in </w:t>
      </w:r>
      <w:r>
        <w:rPr>
          <w:rFonts w:ascii="Arial" w:cs="Arial" w:eastAsia="Arial" w:hAnsi="Arial"/>
          <w:sz w:val="16"/>
          <w:szCs w:val="16"/>
          <w:u w:val="single" w:color="auto"/>
          <w:color w:val="auto"/>
        </w:rPr>
        <w:t>Section 16(m)</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firstLine="1164"/>
        <w:spacing w:after="0" w:line="281" w:lineRule="auto"/>
        <w:tabs>
          <w:tab w:leader="none" w:pos="175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individual designated as an employee of the Company or a Designated Subsidiary on the payroll records thereof. Employee status shall be determined consistent with Treasury Regulation section 1.421-1(h), or its successor provision.</w:t>
      </w:r>
    </w:p>
    <w:p>
      <w:pPr>
        <w:spacing w:after="0" w:line="150" w:lineRule="exact"/>
        <w:rPr>
          <w:rFonts w:ascii="Arial" w:cs="Arial" w:eastAsia="Arial" w:hAnsi="Arial"/>
          <w:sz w:val="16"/>
          <w:szCs w:val="16"/>
          <w:color w:val="auto"/>
        </w:rPr>
      </w:pPr>
    </w:p>
    <w:p>
      <w:pPr>
        <w:ind w:left="1720" w:hanging="556"/>
        <w:spacing w:after="0"/>
        <w:tabs>
          <w:tab w:leader="none" w:pos="172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Entry Date</w:t>
      </w:r>
      <w:r>
        <w:rPr>
          <w:rFonts w:ascii="Arial" w:cs="Arial" w:eastAsia="Arial" w:hAnsi="Arial"/>
          <w:sz w:val="16"/>
          <w:szCs w:val="16"/>
          <w:color w:val="auto"/>
        </w:rPr>
        <w:t>” means the first day of each Exercise Period.</w:t>
      </w:r>
    </w:p>
    <w:p>
      <w:pPr>
        <w:spacing w:after="0" w:line="203" w:lineRule="exact"/>
        <w:rPr>
          <w:rFonts w:ascii="Arial" w:cs="Arial" w:eastAsia="Arial" w:hAnsi="Arial"/>
          <w:sz w:val="16"/>
          <w:szCs w:val="16"/>
          <w:color w:val="auto"/>
        </w:rPr>
      </w:pPr>
    </w:p>
    <w:p>
      <w:pPr>
        <w:ind w:left="1800" w:hanging="636"/>
        <w:spacing w:after="0"/>
        <w:tabs>
          <w:tab w:leader="none" w:pos="180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ESPP Brokerage Account</w:t>
      </w:r>
      <w:r>
        <w:rPr>
          <w:rFonts w:ascii="Arial" w:cs="Arial" w:eastAsia="Arial" w:hAnsi="Arial"/>
          <w:sz w:val="16"/>
          <w:szCs w:val="16"/>
          <w:color w:val="auto"/>
        </w:rPr>
        <w:t xml:space="preserve">” has the meaning given such term in </w:t>
      </w:r>
      <w:r>
        <w:rPr>
          <w:rFonts w:ascii="Arial" w:cs="Arial" w:eastAsia="Arial" w:hAnsi="Arial"/>
          <w:sz w:val="16"/>
          <w:szCs w:val="16"/>
          <w:u w:val="single" w:color="auto"/>
          <w:color w:val="auto"/>
        </w:rPr>
        <w:t>Section 9(a)</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left="1760" w:hanging="596"/>
        <w:spacing w:after="0"/>
        <w:tabs>
          <w:tab w:leader="none" w:pos="176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means the last day of each Exercise Period.</w:t>
      </w:r>
    </w:p>
    <w:p>
      <w:pPr>
        <w:spacing w:after="0" w:line="203" w:lineRule="exact"/>
        <w:rPr>
          <w:rFonts w:ascii="Arial" w:cs="Arial" w:eastAsia="Arial" w:hAnsi="Arial"/>
          <w:sz w:val="16"/>
          <w:szCs w:val="16"/>
          <w:color w:val="auto"/>
        </w:rPr>
      </w:pPr>
    </w:p>
    <w:p>
      <w:pPr>
        <w:jc w:val="both"/>
        <w:ind w:firstLine="1164"/>
        <w:spacing w:after="0" w:line="267" w:lineRule="auto"/>
        <w:tabs>
          <w:tab w:leader="none" w:pos="175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Period</w:t>
      </w:r>
      <w:r>
        <w:rPr>
          <w:rFonts w:ascii="Arial" w:cs="Arial" w:eastAsia="Arial" w:hAnsi="Arial"/>
          <w:sz w:val="16"/>
          <w:szCs w:val="16"/>
          <w:color w:val="auto"/>
        </w:rPr>
        <w:t xml:space="preserve">” means, subject to adjustment as provided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the approximately six (6) month period beginning on each: (i) March 1 of each year and ending the last day of August of such year, or (ii) September 1 of each year and ending on the last day of February of the following year, until the Plan terminates;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Exercise Period shall begin on March 1, 2015.</w:t>
      </w:r>
    </w:p>
    <w:p>
      <w:pPr>
        <w:spacing w:after="0" w:line="161" w:lineRule="exact"/>
        <w:rPr>
          <w:rFonts w:ascii="Arial" w:cs="Arial" w:eastAsia="Arial" w:hAnsi="Arial"/>
          <w:sz w:val="16"/>
          <w:szCs w:val="16"/>
          <w:color w:val="auto"/>
        </w:rPr>
      </w:pPr>
    </w:p>
    <w:p>
      <w:pPr>
        <w:ind w:left="1760" w:hanging="596"/>
        <w:spacing w:after="0"/>
        <w:tabs>
          <w:tab w:leader="none" w:pos="176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means the price per Share offered in a given Exercise Period determined as provided in </w:t>
      </w:r>
      <w:r>
        <w:rPr>
          <w:rFonts w:ascii="Arial" w:cs="Arial" w:eastAsia="Arial" w:hAnsi="Arial"/>
          <w:sz w:val="16"/>
          <w:szCs w:val="16"/>
          <w:u w:val="single" w:color="auto"/>
          <w:color w:val="auto"/>
        </w:rPr>
        <w:t>Section 6(b)</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firstLine="1164"/>
        <w:spacing w:after="0" w:line="285" w:lineRule="auto"/>
        <w:tabs>
          <w:tab w:leader="none" w:pos="182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if the Shares are listed on a national securities exchange, as of any given date, the closing price for a Share on such date on the Applicable Exchange, or if Shares were not traded on the Applicable Exchange on such measurement date, then on the closest preceding date on which Shares are so traded, all as reported by such source as the Committee may select. If the Shares are not listed on a national securities exchange, the Fair Market Value of a Share shall mean the amount determined by the Board in good faith, and in a manner consistent with Section 423 of the Code to be the fair market value of a Share.</w:t>
      </w:r>
    </w:p>
    <w:p>
      <w:pPr>
        <w:spacing w:after="0" w:line="149" w:lineRule="exact"/>
        <w:rPr>
          <w:rFonts w:ascii="Arial" w:cs="Arial" w:eastAsia="Arial" w:hAnsi="Arial"/>
          <w:sz w:val="15"/>
          <w:szCs w:val="15"/>
          <w:color w:val="auto"/>
        </w:rPr>
      </w:pPr>
    </w:p>
    <w:p>
      <w:pPr>
        <w:ind w:firstLine="1164"/>
        <w:spacing w:after="0" w:line="281" w:lineRule="auto"/>
        <w:tabs>
          <w:tab w:leader="none" w:pos="188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means an Employee who is eligible to participate in the Plan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who has elected to participate in the Plan by enrolling online as provided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w:t>
      </w:r>
    </w:p>
    <w:p>
      <w:pPr>
        <w:spacing w:after="0" w:line="150" w:lineRule="exact"/>
        <w:rPr>
          <w:rFonts w:ascii="Arial" w:cs="Arial" w:eastAsia="Arial" w:hAnsi="Arial"/>
          <w:sz w:val="16"/>
          <w:szCs w:val="16"/>
          <w:color w:val="auto"/>
        </w:rPr>
      </w:pPr>
    </w:p>
    <w:p>
      <w:pPr>
        <w:ind w:left="1740" w:hanging="576"/>
        <w:spacing w:after="0"/>
        <w:tabs>
          <w:tab w:leader="none" w:pos="17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Kornit Digital Ltd. 2015 Employee Share Purchase Plan, as in effect from time to time.</w:t>
      </w:r>
    </w:p>
    <w:p>
      <w:pPr>
        <w:spacing w:after="0" w:line="203" w:lineRule="exact"/>
        <w:rPr>
          <w:rFonts w:ascii="Arial" w:cs="Arial" w:eastAsia="Arial" w:hAnsi="Arial"/>
          <w:sz w:val="16"/>
          <w:szCs w:val="16"/>
          <w:color w:val="auto"/>
        </w:rPr>
      </w:pPr>
    </w:p>
    <w:p>
      <w:pPr>
        <w:ind w:firstLine="1164"/>
        <w:spacing w:after="0" w:line="281" w:lineRule="auto"/>
        <w:tabs>
          <w:tab w:leader="none" w:pos="180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Contributions</w:t>
      </w:r>
      <w:r>
        <w:rPr>
          <w:rFonts w:ascii="Arial" w:cs="Arial" w:eastAsia="Arial" w:hAnsi="Arial"/>
          <w:sz w:val="16"/>
          <w:szCs w:val="16"/>
          <w:color w:val="auto"/>
        </w:rPr>
        <w:t xml:space="preserve">” means, with respect to each Participant, the after-tax payroll deductions withheld from the Compensation of the Participant and contributed to the Plan for the Participant as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w:t>
      </w:r>
    </w:p>
    <w:p>
      <w:pPr>
        <w:spacing w:after="0" w:line="150" w:lineRule="exact"/>
        <w:rPr>
          <w:rFonts w:ascii="Arial" w:cs="Arial" w:eastAsia="Arial" w:hAnsi="Arial"/>
          <w:sz w:val="16"/>
          <w:szCs w:val="16"/>
          <w:color w:val="auto"/>
        </w:rPr>
      </w:pPr>
    </w:p>
    <w:p>
      <w:pPr>
        <w:ind w:firstLine="1164"/>
        <w:spacing w:after="0" w:line="281" w:lineRule="auto"/>
        <w:tabs>
          <w:tab w:leader="none" w:pos="1876"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means an ordinary share, par value NIS 0.01 per share, of the Company (including any new, additional or different stock or securities resulting from any change in capitalization pursuant to </w:t>
      </w:r>
      <w:r>
        <w:rPr>
          <w:rFonts w:ascii="Arial" w:cs="Arial" w:eastAsia="Arial" w:hAnsi="Arial"/>
          <w:sz w:val="16"/>
          <w:szCs w:val="16"/>
          <w:u w:val="single" w:color="auto"/>
          <w:color w:val="auto"/>
        </w:rPr>
        <w:t>Section 13(b)</w:t>
      </w:r>
      <w:r>
        <w:rPr>
          <w:rFonts w:ascii="Arial" w:cs="Arial" w:eastAsia="Arial" w:hAnsi="Arial"/>
          <w:sz w:val="16"/>
          <w:szCs w:val="16"/>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4" w:name="page315"/>
    <w:bookmarkEnd w:id="314"/>
    <w:p>
      <w:pPr>
        <w:ind w:firstLine="1164"/>
        <w:spacing w:after="0" w:line="281" w:lineRule="auto"/>
        <w:tabs>
          <w:tab w:leader="none" w:pos="181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of which the Company owns, directly or indirectly, 50% or more of the total combined voting power of all classes of stock, and that otherwise qualifies as a “subsidiary corporation” within the meaning of Section 424(f) of the Code.</w:t>
      </w:r>
    </w:p>
    <w:p>
      <w:pPr>
        <w:spacing w:after="0" w:line="150" w:lineRule="exact"/>
        <w:rPr>
          <w:rFonts w:ascii="Arial" w:cs="Arial" w:eastAsia="Arial" w:hAnsi="Arial"/>
          <w:sz w:val="16"/>
          <w:szCs w:val="16"/>
          <w:color w:val="auto"/>
        </w:rPr>
      </w:pPr>
    </w:p>
    <w:p>
      <w:pPr>
        <w:jc w:val="both"/>
        <w:ind w:firstLine="1164"/>
        <w:spacing w:after="0" w:line="258" w:lineRule="auto"/>
        <w:tabs>
          <w:tab w:leader="none" w:pos="1815" w:val="left"/>
        </w:tabs>
        <w:numPr>
          <w:ilvl w:val="0"/>
          <w:numId w:val="319"/>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u w:val="single" w:color="auto"/>
          <w:color w:val="auto"/>
        </w:rPr>
        <w:t>Terminating Event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Participant ceases to be an Employee under any circumstances;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the Plan,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Participant’s status as an Employee shall be considered to be continuing intact while such Participant is on military leave, sick leave, or other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leave of absence approved by the Committee or the Participant’s supervisor;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period of leave of absence exceeds three (3) months, and the Participant’s right to reemployment is not provided either by statute or by contract, the Participant’s status as an Employee shall be deemed to have terminated on the first day immediately following such three (3)-month period. A transfer of a Participant’s employment between or among the Company and/or Designated Subsidiaries shall not be considered a Terminating Event.</w:t>
      </w:r>
    </w:p>
    <w:p>
      <w:pPr>
        <w:spacing w:after="0" w:line="170" w:lineRule="exact"/>
        <w:rPr>
          <w:sz w:val="20"/>
          <w:szCs w:val="20"/>
          <w:color w:val="auto"/>
        </w:rPr>
      </w:pPr>
    </w:p>
    <w:p>
      <w:pPr>
        <w:ind w:left="1760" w:hanging="596"/>
        <w:spacing w:after="0"/>
        <w:tabs>
          <w:tab w:leader="none" w:pos="176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w:t>
      </w:r>
    </w:p>
    <w:p>
      <w:pPr>
        <w:spacing w:after="0" w:line="204" w:lineRule="exact"/>
        <w:rPr>
          <w:sz w:val="20"/>
          <w:szCs w:val="20"/>
          <w:color w:val="auto"/>
        </w:rPr>
      </w:pPr>
    </w:p>
    <w:p>
      <w:pPr>
        <w:ind w:left="1740" w:hanging="576"/>
        <w:spacing w:after="0"/>
        <w:tabs>
          <w:tab w:leader="none" w:pos="174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Except as otherwise provided herein, all Employees shall be eligible to participate in the Plan.</w:t>
      </w:r>
    </w:p>
    <w:p>
      <w:pPr>
        <w:spacing w:after="0" w:line="203" w:lineRule="exact"/>
        <w:rPr>
          <w:rFonts w:ascii="Arial" w:cs="Arial" w:eastAsia="Arial" w:hAnsi="Arial"/>
          <w:sz w:val="16"/>
          <w:szCs w:val="16"/>
          <w:color w:val="auto"/>
        </w:rPr>
      </w:pPr>
    </w:p>
    <w:p>
      <w:pPr>
        <w:jc w:val="both"/>
        <w:ind w:firstLine="1164"/>
        <w:spacing w:after="0" w:line="267" w:lineRule="auto"/>
        <w:tabs>
          <w:tab w:leader="none" w:pos="1876"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Exclusion</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3(a)</w:t>
      </w:r>
      <w:r>
        <w:rPr>
          <w:rFonts w:ascii="Arial" w:cs="Arial" w:eastAsia="Arial" w:hAnsi="Arial"/>
          <w:sz w:val="16"/>
          <w:szCs w:val="16"/>
          <w:color w:val="auto"/>
        </w:rPr>
        <w:t>, to the extent not inconsistent with the requirements of Section 423 of the Code, an Employee shall not be eligible to participate in an Exercise Period if, as of the Entry Date of such Exercise Period: (i) such Employee’s customary employment is twenty (20) hours or less per week, or (ii) such Employee’s customary employment is for not more than 5 months in any calendar year.</w:t>
      </w:r>
    </w:p>
    <w:p>
      <w:pPr>
        <w:spacing w:after="0" w:line="161" w:lineRule="exact"/>
        <w:rPr>
          <w:sz w:val="20"/>
          <w:szCs w:val="20"/>
          <w:color w:val="auto"/>
        </w:rPr>
      </w:pPr>
    </w:p>
    <w:p>
      <w:pPr>
        <w:ind w:left="1760" w:hanging="596"/>
        <w:spacing w:after="0"/>
        <w:tabs>
          <w:tab w:leader="none" w:pos="1760"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Exercise Periods</w:t>
      </w:r>
      <w:r>
        <w:rPr>
          <w:rFonts w:ascii="Arial" w:cs="Arial" w:eastAsia="Arial" w:hAnsi="Arial"/>
          <w:sz w:val="16"/>
          <w:szCs w:val="16"/>
          <w:color w:val="auto"/>
        </w:rPr>
        <w:t>.</w:t>
      </w:r>
    </w:p>
    <w:p>
      <w:pPr>
        <w:spacing w:after="0" w:line="204" w:lineRule="exact"/>
        <w:rPr>
          <w:sz w:val="20"/>
          <w:szCs w:val="20"/>
          <w:color w:val="auto"/>
        </w:rPr>
      </w:pPr>
    </w:p>
    <w:p>
      <w:pPr>
        <w:ind w:left="1740" w:hanging="576"/>
        <w:spacing w:after="0"/>
        <w:tabs>
          <w:tab w:leader="none" w:pos="1740"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Plan shall generally be implemented by a series of Exercise Periods, each of which lasts approximately six (6) months.</w:t>
      </w:r>
    </w:p>
    <w:p>
      <w:pPr>
        <w:spacing w:after="0" w:line="203" w:lineRule="exact"/>
        <w:rPr>
          <w:rFonts w:ascii="Arial" w:cs="Arial" w:eastAsia="Arial" w:hAnsi="Arial"/>
          <w:sz w:val="16"/>
          <w:szCs w:val="16"/>
          <w:color w:val="auto"/>
        </w:rPr>
      </w:pPr>
    </w:p>
    <w:p>
      <w:pPr>
        <w:jc w:val="both"/>
        <w:ind w:firstLine="1164"/>
        <w:spacing w:after="0" w:line="262" w:lineRule="auto"/>
        <w:tabs>
          <w:tab w:leader="none" w:pos="1864"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Changes by Committee</w:t>
      </w:r>
      <w:r>
        <w:rPr>
          <w:rFonts w:ascii="Arial" w:cs="Arial" w:eastAsia="Arial" w:hAnsi="Arial"/>
          <w:sz w:val="16"/>
          <w:szCs w:val="16"/>
          <w:color w:val="auto"/>
        </w:rPr>
        <w:t xml:space="preserve">. The Committee shall have the authority to make changes to the occurrence, duration and/or the frequency of Exercise Periods with respect to future Exercise Periods if any such change is announced prior to the scheduled beginning of the first Exercise Period to be affected,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duration of an Exercise Period may not exceed five (5) years from the Entry Date (or the expiration of such other applicable period specified under Section 423(b)(7) of the Code (or any successor provision of the Code thereto)).</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5" w:name="page316"/>
    <w:bookmarkEnd w:id="315"/>
    <w:p>
      <w:pPr>
        <w:jc w:val="both"/>
        <w:ind w:firstLine="1164"/>
        <w:spacing w:after="0" w:line="292" w:lineRule="auto"/>
        <w:tabs>
          <w:tab w:leader="none" w:pos="1865" w:val="left"/>
        </w:tabs>
        <w:numPr>
          <w:ilvl w:val="0"/>
          <w:numId w:val="324"/>
        </w:numPr>
        <w:rPr>
          <w:rFonts w:ascii="Arial" w:cs="Arial" w:eastAsia="Arial" w:hAnsi="Arial"/>
          <w:sz w:val="15"/>
          <w:szCs w:val="15"/>
          <w:color w:val="auto"/>
        </w:rPr>
      </w:pPr>
      <w:r>
        <w:rPr>
          <w:rFonts w:ascii="Arial" w:cs="Arial" w:eastAsia="Arial" w:hAnsi="Arial"/>
          <w:sz w:val="15"/>
          <w:szCs w:val="15"/>
          <w:u w:val="single" w:color="auto"/>
          <w:color w:val="auto"/>
        </w:rPr>
        <w:t>Participation.</w:t>
      </w:r>
      <w:r>
        <w:rPr>
          <w:rFonts w:ascii="Arial" w:cs="Arial" w:eastAsia="Arial" w:hAnsi="Arial"/>
          <w:sz w:val="15"/>
          <w:szCs w:val="15"/>
          <w:color w:val="auto"/>
        </w:rPr>
        <w:t xml:space="preserve"> Employees meeting the eligibility requirements of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hereof may elect to participate in the Plan commencing on any Entry Date for the applicable Exercise Period by enrolling online in the manner and through the website designated by the Company during the period beginning on the First Enrollment Date and ending at 5:30 pm Israeli time on the Last Enrollment Date that corresponds to the applicable Exercise Period set forth below:</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40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Exercise Period</w:t>
            </w:r>
          </w:p>
        </w:tc>
        <w:tc>
          <w:tcPr>
            <w:tcW w:w="220" w:type="dxa"/>
            <w:vAlign w:val="bottom"/>
          </w:tcPr>
          <w:p>
            <w:pPr>
              <w:spacing w:after="0"/>
              <w:rPr>
                <w:sz w:val="17"/>
                <w:szCs w:val="17"/>
                <w:color w:val="auto"/>
              </w:rPr>
            </w:pPr>
          </w:p>
        </w:tc>
        <w:tc>
          <w:tcPr>
            <w:tcW w:w="28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First Enrollment Date</w:t>
            </w:r>
          </w:p>
        </w:tc>
        <w:tc>
          <w:tcPr>
            <w:tcW w:w="200" w:type="dxa"/>
            <w:vAlign w:val="bottom"/>
          </w:tcPr>
          <w:p>
            <w:pPr>
              <w:spacing w:after="0"/>
              <w:rPr>
                <w:sz w:val="17"/>
                <w:szCs w:val="17"/>
                <w:color w:val="auto"/>
              </w:rPr>
            </w:pPr>
          </w:p>
        </w:tc>
        <w:tc>
          <w:tcPr>
            <w:tcW w:w="28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Last Enrollment Date</w:t>
            </w:r>
          </w:p>
        </w:tc>
      </w:tr>
      <w:tr>
        <w:trPr>
          <w:trHeight w:val="379"/>
        </w:trPr>
        <w:tc>
          <w:tcPr>
            <w:tcW w:w="4300" w:type="dxa"/>
            <w:vAlign w:val="bottom"/>
            <w:gridSpan w:val="2"/>
          </w:tcPr>
          <w:p>
            <w:pPr>
              <w:spacing w:after="0"/>
              <w:rPr>
                <w:sz w:val="20"/>
                <w:szCs w:val="20"/>
                <w:color w:val="auto"/>
              </w:rPr>
            </w:pPr>
            <w:r>
              <w:rPr>
                <w:rFonts w:ascii="Arial" w:cs="Arial" w:eastAsia="Arial" w:hAnsi="Arial"/>
                <w:sz w:val="16"/>
                <w:szCs w:val="16"/>
                <w:color w:val="auto"/>
              </w:rPr>
              <w:t>March 1 – August 31</w:t>
            </w:r>
          </w:p>
        </w:tc>
        <w:tc>
          <w:tcPr>
            <w:tcW w:w="2840" w:type="dxa"/>
            <w:vAlign w:val="bottom"/>
          </w:tcPr>
          <w:p>
            <w:pPr>
              <w:spacing w:after="0"/>
              <w:rPr>
                <w:sz w:val="20"/>
                <w:szCs w:val="20"/>
                <w:color w:val="auto"/>
              </w:rPr>
            </w:pPr>
            <w:r>
              <w:rPr>
                <w:rFonts w:ascii="Arial" w:cs="Arial" w:eastAsia="Arial" w:hAnsi="Arial"/>
                <w:sz w:val="16"/>
                <w:szCs w:val="16"/>
                <w:color w:val="auto"/>
              </w:rPr>
              <w:t>February 1</w:t>
            </w:r>
          </w:p>
        </w:tc>
        <w:tc>
          <w:tcPr>
            <w:tcW w:w="3040" w:type="dxa"/>
            <w:vAlign w:val="bottom"/>
            <w:gridSpan w:val="2"/>
          </w:tcPr>
          <w:p>
            <w:pPr>
              <w:ind w:left="200"/>
              <w:spacing w:after="0"/>
              <w:rPr>
                <w:sz w:val="20"/>
                <w:szCs w:val="20"/>
                <w:color w:val="auto"/>
              </w:rPr>
            </w:pPr>
            <w:r>
              <w:rPr>
                <w:rFonts w:ascii="Arial" w:cs="Arial" w:eastAsia="Arial" w:hAnsi="Arial"/>
                <w:sz w:val="16"/>
                <w:szCs w:val="16"/>
                <w:color w:val="auto"/>
              </w:rPr>
              <w:t>February 21</w:t>
            </w:r>
          </w:p>
        </w:tc>
      </w:tr>
      <w:tr>
        <w:trPr>
          <w:trHeight w:val="388"/>
        </w:trPr>
        <w:tc>
          <w:tcPr>
            <w:tcW w:w="4300" w:type="dxa"/>
            <w:vAlign w:val="bottom"/>
            <w:gridSpan w:val="2"/>
          </w:tcPr>
          <w:p>
            <w:pPr>
              <w:spacing w:after="0"/>
              <w:rPr>
                <w:sz w:val="20"/>
                <w:szCs w:val="20"/>
                <w:color w:val="auto"/>
              </w:rPr>
            </w:pPr>
            <w:r>
              <w:rPr>
                <w:rFonts w:ascii="Arial" w:cs="Arial" w:eastAsia="Arial" w:hAnsi="Arial"/>
                <w:sz w:val="16"/>
                <w:szCs w:val="16"/>
                <w:color w:val="auto"/>
              </w:rPr>
              <w:t>September 1 – February 28 or 29</w:t>
            </w:r>
          </w:p>
        </w:tc>
        <w:tc>
          <w:tcPr>
            <w:tcW w:w="2840" w:type="dxa"/>
            <w:vAlign w:val="bottom"/>
          </w:tcPr>
          <w:p>
            <w:pPr>
              <w:spacing w:after="0"/>
              <w:rPr>
                <w:sz w:val="20"/>
                <w:szCs w:val="20"/>
                <w:color w:val="auto"/>
              </w:rPr>
            </w:pPr>
            <w:r>
              <w:rPr>
                <w:rFonts w:ascii="Arial" w:cs="Arial" w:eastAsia="Arial" w:hAnsi="Arial"/>
                <w:sz w:val="16"/>
                <w:szCs w:val="16"/>
                <w:color w:val="auto"/>
              </w:rPr>
              <w:t>August 1</w:t>
            </w:r>
          </w:p>
        </w:tc>
        <w:tc>
          <w:tcPr>
            <w:tcW w:w="3040" w:type="dxa"/>
            <w:vAlign w:val="bottom"/>
            <w:gridSpan w:val="2"/>
          </w:tcPr>
          <w:p>
            <w:pPr>
              <w:ind w:left="200"/>
              <w:spacing w:after="0"/>
              <w:rPr>
                <w:sz w:val="20"/>
                <w:szCs w:val="20"/>
                <w:color w:val="auto"/>
              </w:rPr>
            </w:pPr>
            <w:r>
              <w:rPr>
                <w:rFonts w:ascii="Arial" w:cs="Arial" w:eastAsia="Arial" w:hAnsi="Arial"/>
                <w:sz w:val="16"/>
                <w:szCs w:val="16"/>
                <w:color w:val="auto"/>
              </w:rPr>
              <w:t>August 24</w:t>
            </w:r>
          </w:p>
        </w:tc>
      </w:tr>
    </w:tbl>
    <w:p>
      <w:pPr>
        <w:spacing w:after="0" w:line="182" w:lineRule="exact"/>
        <w:rPr>
          <w:sz w:val="20"/>
          <w:szCs w:val="20"/>
          <w:color w:val="auto"/>
        </w:rPr>
      </w:pPr>
    </w:p>
    <w:p>
      <w:pPr>
        <w:jc w:val="both"/>
        <w:ind w:firstLine="1"/>
        <w:spacing w:after="0" w:line="297" w:lineRule="auto"/>
        <w:tabs>
          <w:tab w:leader="none" w:pos="85"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before the Entry Date for any such Exercise Period, the Committee may prescribe with respect to Employees generally any alternative enrollment period for such Exercise Period. Notwithstanding the foregoing, eligible Employees who are citizens or residents of a non-U.S. jurisdiction may be excluded from the Plan if</w:t>
      </w:r>
    </w:p>
    <w:p>
      <w:pPr>
        <w:spacing w:after="0" w:line="1"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6"/>
          <w:szCs w:val="16"/>
          <w:color w:val="auto"/>
        </w:rPr>
        <w:t>(a) the grant of an option under the Plan or any offering to a citizen or resident of the non-U.S. jurisdiction is prohibited under the laws of such jurisdiction, or (b) compliance with the laws of the non-U.S. jurisdiction would cause the Plan or the offering to violate the requirements of Section 423 of the Code, in each case, to the extent allowed under Section 423 of the Code.</w:t>
      </w:r>
    </w:p>
    <w:p>
      <w:pPr>
        <w:spacing w:after="0" w:line="167" w:lineRule="exact"/>
        <w:rPr>
          <w:rFonts w:ascii="Arial" w:cs="Arial" w:eastAsia="Arial" w:hAnsi="Arial"/>
          <w:sz w:val="14"/>
          <w:szCs w:val="14"/>
          <w:color w:val="auto"/>
        </w:rPr>
      </w:pPr>
    </w:p>
    <w:p>
      <w:pPr>
        <w:ind w:left="1760" w:hanging="596"/>
        <w:spacing w:after="0"/>
        <w:tabs>
          <w:tab w:leader="none" w:pos="1760"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276" w:lineRule="auto"/>
        <w:tabs>
          <w:tab w:leader="none" w:pos="1746"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Shares Subject to Option</w:t>
      </w:r>
      <w:r>
        <w:rPr>
          <w:rFonts w:ascii="Arial" w:cs="Arial" w:eastAsia="Arial" w:hAnsi="Arial"/>
          <w:sz w:val="15"/>
          <w:szCs w:val="15"/>
          <w:color w:val="auto"/>
        </w:rPr>
        <w:t xml:space="preserve">. On a Participant’s Entry Date, subject to the limitations set forth in </w:t>
      </w:r>
      <w:r>
        <w:rPr>
          <w:rFonts w:ascii="Arial" w:cs="Arial" w:eastAsia="Arial" w:hAnsi="Arial"/>
          <w:sz w:val="15"/>
          <w:szCs w:val="15"/>
          <w:u w:val="single" w:color="auto"/>
          <w:color w:val="auto"/>
        </w:rPr>
        <w:t>Section 6(c)</w:t>
      </w:r>
      <w:r>
        <w:rPr>
          <w:rFonts w:ascii="Arial" w:cs="Arial" w:eastAsia="Arial" w:hAnsi="Arial"/>
          <w:sz w:val="15"/>
          <w:szCs w:val="15"/>
          <w:color w:val="auto"/>
        </w:rPr>
        <w:t xml:space="preserve">, the Participant shall be granted an option to purchase on the subsequent Exercise Date (at the Exercise Price determined as provided in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below) up to a number of Shares determined by dividing such Participant’s Plan Contributions accumulated during the current Exercise Period prior to such Exercise Date and retained in the Participant’s account as of such Exercise Date by the Exercise Price;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maximum number of Shares a Participant may purchase during any Exercise Period shall be that whole number of Shares determined by dividing $25,000 by the Fair Market Value of a Share on the Entry Date of such Exercise Period;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such maximum number of Shares may instead be established by the Committee as a fixed number or a different predetermined formula with respect to any Exercise Period prior to the Entry Date thereof. All Participants granted options pursuant to an Exercise Period shall have the same rights and privileges within the meaning of Section 423(b)(5) of the Code. No fractional Shares shall be issued or otherwise transferred upon the exercise of an option under the Plan.</w:t>
      </w:r>
    </w:p>
    <w:p>
      <w:pPr>
        <w:spacing w:after="0" w:line="157" w:lineRule="exact"/>
        <w:rPr>
          <w:rFonts w:ascii="Arial" w:cs="Arial" w:eastAsia="Arial" w:hAnsi="Arial"/>
          <w:sz w:val="15"/>
          <w:szCs w:val="15"/>
          <w:color w:val="auto"/>
        </w:rPr>
      </w:pPr>
    </w:p>
    <w:p>
      <w:pPr>
        <w:jc w:val="both"/>
        <w:ind w:firstLine="1164"/>
        <w:spacing w:after="0" w:line="262" w:lineRule="auto"/>
        <w:tabs>
          <w:tab w:leader="none" w:pos="1864"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Exercise Price offered to each Participant in a given Exercise Period shall be the Applicable Percentage of the Fair Market Value of a Share on the Entry Date or the Exercise Date, whichever is lower. The Applicable Percentage with respect to each Exercise Period shall be 85% unless and until such Applicable Percentage is increased by the Committee, in its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increase in the Applicable Percentage with respect to a given Exercise Period must be established prior to the commencement of the enrollment process for such Exercise Period.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6" w:name="page317"/>
    <w:bookmarkEnd w:id="316"/>
    <w:p>
      <w:pPr>
        <w:jc w:val="both"/>
        <w:ind w:firstLine="1164"/>
        <w:spacing w:after="0" w:line="275" w:lineRule="auto"/>
        <w:tabs>
          <w:tab w:leader="none" w:pos="1746"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Limitations on Options that may be Granted</w:t>
      </w:r>
      <w:r>
        <w:rPr>
          <w:rFonts w:ascii="Arial" w:cs="Arial" w:eastAsia="Arial" w:hAnsi="Arial"/>
          <w:sz w:val="15"/>
          <w:szCs w:val="15"/>
          <w:color w:val="auto"/>
        </w:rPr>
        <w:t xml:space="preserve">. Notwithstanding any provision of the Plan to the contrary, (i) no Employee may participate in the Plan if such Employee, immediately after the applicable Entry Date, would be deemed for purposes of Section 423(b)(3) of the Code to possess five percent (5%) or more of the total combined voting power or value of all classes of shares of the Company or of any Subsidiary or of any other related corporation for purposes of Section 423 of the Code, and (ii) no Participant shall be granted an option under the Plan which permits his or her right to purchase Shares under the Plan to accrue at a rate which, when aggregated with such Participant’s rights to purchase shares under all other employee share purchase plans of the Company and any Subsidiary, and any other related corporation for purposes of Section 423 of the Code, which are intended to qualify under Section 423 of the Code, exceeds $25,000 in Fair Market Value (or such other limit, if any, as may be imposed by the Code) for each calendar year in which such option is outstanding at any time. For purposes of clause (ii) of the preceding sentence, the Fair Market Value of Shares purchased with respect to a given Exercise Period shall be determined as of the Entry Date for such Exercise Period. The limitations set forth in this </w:t>
      </w:r>
      <w:r>
        <w:rPr>
          <w:rFonts w:ascii="Arial" w:cs="Arial" w:eastAsia="Arial" w:hAnsi="Arial"/>
          <w:sz w:val="15"/>
          <w:szCs w:val="15"/>
          <w:u w:val="single" w:color="auto"/>
          <w:color w:val="auto"/>
        </w:rPr>
        <w:t>Section 6(c)</w:t>
      </w:r>
      <w:r>
        <w:rPr>
          <w:rFonts w:ascii="Arial" w:cs="Arial" w:eastAsia="Arial" w:hAnsi="Arial"/>
          <w:sz w:val="15"/>
          <w:szCs w:val="15"/>
          <w:color w:val="auto"/>
        </w:rPr>
        <w:t xml:space="preserve"> shall be applied in conformance with applicable regulations under Section 423(b)(8) of the Code.</w:t>
      </w:r>
    </w:p>
    <w:p>
      <w:pPr>
        <w:spacing w:after="0" w:line="159" w:lineRule="exact"/>
        <w:rPr>
          <w:rFonts w:ascii="Arial" w:cs="Arial" w:eastAsia="Arial" w:hAnsi="Arial"/>
          <w:sz w:val="15"/>
          <w:szCs w:val="15"/>
          <w:color w:val="auto"/>
        </w:rPr>
      </w:pPr>
    </w:p>
    <w:p>
      <w:pPr>
        <w:jc w:val="both"/>
        <w:ind w:firstLine="1164"/>
        <w:spacing w:after="0" w:line="262" w:lineRule="auto"/>
        <w:tabs>
          <w:tab w:leader="none" w:pos="1767"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No Rights as Shareholder</w:t>
      </w:r>
      <w:r>
        <w:rPr>
          <w:rFonts w:ascii="Arial" w:cs="Arial" w:eastAsia="Arial" w:hAnsi="Arial"/>
          <w:sz w:val="16"/>
          <w:szCs w:val="16"/>
          <w:color w:val="auto"/>
        </w:rPr>
        <w:t>. Until a Participant’s option has been exercised in accordance with the provisions of the Plan and Shares subject to his or her option have actually been issued to such Participant or to an appointed nominee, such Participant shall (i) have no voting, dividend or other rights and/or privileges of a shareholder of the Company in respect of shares purchasable upon exercise of any part of such option, and (ii) shall not be deemed to be a class of shareholders or creditors of the Company under applicable law, including Sections 350 and 351 of the Israeli Companies Law - 1999.</w:t>
      </w:r>
    </w:p>
    <w:p>
      <w:pPr>
        <w:spacing w:after="0" w:line="165" w:lineRule="exact"/>
        <w:rPr>
          <w:rFonts w:ascii="Arial" w:cs="Arial" w:eastAsia="Arial" w:hAnsi="Arial"/>
          <w:sz w:val="16"/>
          <w:szCs w:val="16"/>
          <w:color w:val="auto"/>
        </w:rPr>
      </w:pPr>
    </w:p>
    <w:p>
      <w:pPr>
        <w:jc w:val="both"/>
        <w:ind w:firstLine="1164"/>
        <w:spacing w:after="0" w:line="281" w:lineRule="auto"/>
        <w:tabs>
          <w:tab w:leader="none" w:pos="1915"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Bookkeeping Accounts Maintained</w:t>
      </w:r>
      <w:r>
        <w:rPr>
          <w:rFonts w:ascii="Arial" w:cs="Arial" w:eastAsia="Arial" w:hAnsi="Arial"/>
          <w:sz w:val="15"/>
          <w:szCs w:val="15"/>
          <w:color w:val="auto"/>
        </w:rPr>
        <w:t>. Individual bookkeeping accounts shall be maintained for each Participant. All Plan Contributions from a Participant’s Compensation shall be credited to such Participant’s Plan account. However, all Plan Contributions made for a Participant shall be deposited in the Company’s or a Designated Subsidiary’s general corporate accounts, and no interest shall accrue or be credited with respect to a Participant’s Plan Contributions. All Plan Contributions received or held by the Company or a Designated Subsidiary may be used by the Company or such Designated Subsidiary for any corporate purpose, and neither the Company nor such Designated Subsidiary shall be obligated to segregate or otherwise set apart such Plan Contributions from any other corporate funds.</w:t>
      </w:r>
    </w:p>
    <w:p>
      <w:pPr>
        <w:spacing w:after="0" w:line="153" w:lineRule="exact"/>
        <w:rPr>
          <w:sz w:val="20"/>
          <w:szCs w:val="20"/>
          <w:color w:val="auto"/>
        </w:rPr>
      </w:pPr>
    </w:p>
    <w:p>
      <w:pPr>
        <w:ind w:left="1760" w:hanging="596"/>
        <w:spacing w:after="0"/>
        <w:tabs>
          <w:tab w:leader="none" w:pos="1760"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Plan Contributions</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267" w:lineRule="auto"/>
        <w:tabs>
          <w:tab w:leader="none" w:pos="1770"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Contribution by Payroll Deduction</w:t>
      </w:r>
      <w:r>
        <w:rPr>
          <w:rFonts w:ascii="Arial" w:cs="Arial" w:eastAsia="Arial" w:hAnsi="Arial"/>
          <w:sz w:val="16"/>
          <w:szCs w:val="16"/>
          <w:color w:val="auto"/>
        </w:rPr>
        <w:t>. All contributions to the Plan shall be made only by after-tax payroll deductions by the Company or Designated Subsidiary in a manner consistent with the provisions of Section 423 of the Code or any successor thereto. Unless otherwise determined by the Committee, all such contributions shall be paid in United States dollars.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7" w:name="page318"/>
    <w:bookmarkEnd w:id="317"/>
    <w:p>
      <w:pPr>
        <w:jc w:val="both"/>
        <w:ind w:firstLine="1164"/>
        <w:spacing w:after="0" w:line="281" w:lineRule="auto"/>
        <w:tabs>
          <w:tab w:leader="none" w:pos="1767"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t>Payroll Deduction Election</w:t>
      </w:r>
      <w:r>
        <w:rPr>
          <w:rFonts w:ascii="Arial" w:cs="Arial" w:eastAsia="Arial" w:hAnsi="Arial"/>
          <w:sz w:val="15"/>
          <w:szCs w:val="15"/>
          <w:color w:val="auto"/>
        </w:rPr>
        <w:t xml:space="preserve">. At the time a Participant enrolls online with respect to an Exercise Period in accordance with </w:t>
      </w:r>
      <w:r>
        <w:rPr>
          <w:rFonts w:ascii="Arial" w:cs="Arial" w:eastAsia="Arial" w:hAnsi="Arial"/>
          <w:sz w:val="15"/>
          <w:szCs w:val="15"/>
          <w:u w:val="single" w:color="auto"/>
          <w:color w:val="auto"/>
        </w:rPr>
        <w:t>Section 5</w:t>
      </w:r>
      <w:r>
        <w:rPr>
          <w:rFonts w:ascii="Arial" w:cs="Arial" w:eastAsia="Arial" w:hAnsi="Arial"/>
          <w:sz w:val="15"/>
          <w:szCs w:val="15"/>
          <w:color w:val="auto"/>
        </w:rPr>
        <w:t>, the Participant shall authorize payroll deductions from his or her Compensation to be made on each payroll date during the portion of the Exercise Period that he or she is a Participant in an amount not less than 1% and not more than 15% of the Participant’s Compensation on each payroll date during the portion of the Exercise Period that he or she is a Participant, subject to any limitations and restrictions pertaining to payroll deductions pursuant to applicable law. The amount of payroll deductions must be a whole percentage (e.g., 1%, 2%, 3%, etc.) of the Participant’s Compensation. The amount of payroll deductions may be adjusted to the extent required by applicable law.</w:t>
      </w:r>
    </w:p>
    <w:p>
      <w:pPr>
        <w:spacing w:after="0" w:line="153" w:lineRule="exact"/>
        <w:rPr>
          <w:rFonts w:ascii="Arial" w:cs="Arial" w:eastAsia="Arial" w:hAnsi="Arial"/>
          <w:sz w:val="15"/>
          <w:szCs w:val="15"/>
          <w:color w:val="auto"/>
        </w:rPr>
      </w:pPr>
    </w:p>
    <w:p>
      <w:pPr>
        <w:jc w:val="both"/>
        <w:ind w:firstLine="1164"/>
        <w:spacing w:after="0" w:line="292" w:lineRule="auto"/>
        <w:tabs>
          <w:tab w:leader="none" w:pos="1939"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t>Commencement of Payroll Deductions</w:t>
      </w:r>
      <w:r>
        <w:rPr>
          <w:rFonts w:ascii="Arial" w:cs="Arial" w:eastAsia="Arial" w:hAnsi="Arial"/>
          <w:sz w:val="15"/>
          <w:szCs w:val="15"/>
          <w:color w:val="auto"/>
        </w:rPr>
        <w:t xml:space="preserve">. Except as otherwise determined by the Committee under rules applicable to all Participants, payroll deductions shall commence with the earliest administratively practicable pay date on or after the Entry Date with respect to which the Participant enrolls online in accordance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or is deemed to have elected continued participation in the Plan with respect to succeeding Exercise Periods in accordance with </w:t>
      </w:r>
      <w:r>
        <w:rPr>
          <w:rFonts w:ascii="Arial" w:cs="Arial" w:eastAsia="Arial" w:hAnsi="Arial"/>
          <w:sz w:val="15"/>
          <w:szCs w:val="15"/>
          <w:u w:val="single" w:color="auto"/>
          <w:color w:val="auto"/>
        </w:rPr>
        <w:t>Section 7(d)</w:t>
      </w:r>
      <w:r>
        <w:rPr>
          <w:rFonts w:ascii="Arial" w:cs="Arial" w:eastAsia="Arial" w:hAnsi="Arial"/>
          <w:sz w:val="15"/>
          <w:szCs w:val="15"/>
          <w:color w:val="auto"/>
        </w:rPr>
        <w:t>.</w:t>
      </w:r>
    </w:p>
    <w:p>
      <w:pPr>
        <w:spacing w:after="0" w:line="145" w:lineRule="exact"/>
        <w:rPr>
          <w:rFonts w:ascii="Arial" w:cs="Arial" w:eastAsia="Arial" w:hAnsi="Arial"/>
          <w:sz w:val="15"/>
          <w:szCs w:val="15"/>
          <w:color w:val="auto"/>
        </w:rPr>
      </w:pPr>
    </w:p>
    <w:p>
      <w:pPr>
        <w:jc w:val="both"/>
        <w:ind w:firstLine="1164"/>
        <w:spacing w:after="0" w:line="258" w:lineRule="auto"/>
        <w:tabs>
          <w:tab w:leader="none" w:pos="1767"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Automatic Continuation of Payroll Deductions for Succeeding Exercise Periods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12(a)</w:t>
      </w:r>
      <w:r>
        <w:rPr>
          <w:rFonts w:ascii="Arial" w:cs="Arial" w:eastAsia="Arial" w:hAnsi="Arial"/>
          <w:sz w:val="16"/>
          <w:szCs w:val="16"/>
          <w:color w:val="auto"/>
        </w:rPr>
        <w:t>, with respect to each succeeding Exercise Period, a Participant shall be deemed (i) to have elected to participate in such immediately succeeding Exercise Period (and, for purposes of such Exercise Period, the Participant’s “</w:t>
      </w:r>
      <w:r>
        <w:rPr>
          <w:rFonts w:ascii="Arial" w:cs="Arial" w:eastAsia="Arial" w:hAnsi="Arial"/>
          <w:sz w:val="16"/>
          <w:szCs w:val="16"/>
          <w:u w:val="single" w:color="auto"/>
          <w:color w:val="auto"/>
        </w:rPr>
        <w:t>Entry Date</w:t>
      </w:r>
      <w:r>
        <w:rPr>
          <w:rFonts w:ascii="Arial" w:cs="Arial" w:eastAsia="Arial" w:hAnsi="Arial"/>
          <w:sz w:val="16"/>
          <w:szCs w:val="16"/>
          <w:color w:val="auto"/>
        </w:rPr>
        <w:t xml:space="preserve">” shall be the first day of such succeeding Exercise Period), and (ii) to have authorized the same payroll deduction for such immediately succeeding Exercise Period as was in effect for the Participant immediately prior to the commencement of such succeeding Exercise Period, unless such Participant elects otherwise prior to the Entry Date of such succeeding Exercise Period, in accordance with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below or such Participant withdraws from the Plan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w:t>
      </w:r>
    </w:p>
    <w:p>
      <w:pPr>
        <w:spacing w:after="0" w:line="169" w:lineRule="exact"/>
        <w:rPr>
          <w:rFonts w:ascii="Arial" w:cs="Arial" w:eastAsia="Arial" w:hAnsi="Arial"/>
          <w:sz w:val="16"/>
          <w:szCs w:val="16"/>
          <w:color w:val="auto"/>
        </w:rPr>
      </w:pPr>
    </w:p>
    <w:p>
      <w:pPr>
        <w:jc w:val="both"/>
        <w:ind w:firstLine="1164"/>
        <w:spacing w:after="0" w:line="311" w:lineRule="auto"/>
        <w:tabs>
          <w:tab w:leader="none" w:pos="1867" w:val="left"/>
        </w:tabs>
        <w:numPr>
          <w:ilvl w:val="0"/>
          <w:numId w:val="330"/>
        </w:numPr>
        <w:rPr>
          <w:rFonts w:ascii="Arial" w:cs="Arial" w:eastAsia="Arial" w:hAnsi="Arial"/>
          <w:sz w:val="14"/>
          <w:szCs w:val="14"/>
          <w:color w:val="auto"/>
        </w:rPr>
      </w:pPr>
      <w:r>
        <w:rPr>
          <w:rFonts w:ascii="Arial" w:cs="Arial" w:eastAsia="Arial" w:hAnsi="Arial"/>
          <w:sz w:val="14"/>
          <w:szCs w:val="14"/>
          <w:u w:val="single" w:color="auto"/>
          <w:color w:val="auto"/>
        </w:rPr>
        <w:t>Change of Payroll Deduction Election</w:t>
      </w:r>
      <w:r>
        <w:rPr>
          <w:rFonts w:ascii="Arial" w:cs="Arial" w:eastAsia="Arial" w:hAnsi="Arial"/>
          <w:sz w:val="14"/>
          <w:szCs w:val="14"/>
          <w:color w:val="auto"/>
        </w:rPr>
        <w:t xml:space="preserve">. A Participant may not decrease or increase the rate of his or her payroll deductions during an Exercise Period. Using the online authorization process designated for this purpose by the Company in accordance with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above authorizing a change in the rate of payroll deductions, a Participant may decrease or increase the rate of his or her payroll deductions (within the limitations of </w:t>
      </w:r>
      <w:r>
        <w:rPr>
          <w:rFonts w:ascii="Arial" w:cs="Arial" w:eastAsia="Arial" w:hAnsi="Arial"/>
          <w:sz w:val="14"/>
          <w:szCs w:val="14"/>
          <w:u w:val="single" w:color="auto"/>
          <w:color w:val="auto"/>
        </w:rPr>
        <w:t>Section 7(b)</w:t>
      </w:r>
      <w:r>
        <w:rPr>
          <w:rFonts w:ascii="Arial" w:cs="Arial" w:eastAsia="Arial" w:hAnsi="Arial"/>
          <w:sz w:val="14"/>
          <w:szCs w:val="14"/>
          <w:color w:val="auto"/>
        </w:rPr>
        <w:t xml:space="preserve"> above) commencing with the first Exercise Period that begins after the date of such online authorization. Additionally, a Participant may withdraw from an Exercise Period as provided in </w:t>
      </w:r>
      <w:r>
        <w:rPr>
          <w:rFonts w:ascii="Arial" w:cs="Arial" w:eastAsia="Arial" w:hAnsi="Arial"/>
          <w:sz w:val="14"/>
          <w:szCs w:val="14"/>
          <w:u w:val="single" w:color="auto"/>
          <w:color w:val="auto"/>
        </w:rPr>
        <w:t>Section 12(a)</w:t>
      </w:r>
      <w:r>
        <w:rPr>
          <w:rFonts w:ascii="Arial" w:cs="Arial" w:eastAsia="Arial" w:hAnsi="Arial"/>
          <w:sz w:val="14"/>
          <w:szCs w:val="14"/>
          <w:color w:val="auto"/>
        </w:rPr>
        <w:t xml:space="preserve"> hereof.</w:t>
      </w:r>
    </w:p>
    <w:p>
      <w:pPr>
        <w:spacing w:after="0" w:line="134" w:lineRule="exact"/>
        <w:rPr>
          <w:rFonts w:ascii="Arial" w:cs="Arial" w:eastAsia="Arial" w:hAnsi="Arial"/>
          <w:sz w:val="14"/>
          <w:szCs w:val="14"/>
          <w:color w:val="auto"/>
        </w:rPr>
      </w:pPr>
    </w:p>
    <w:p>
      <w:pPr>
        <w:jc w:val="both"/>
        <w:ind w:firstLine="1164"/>
        <w:spacing w:after="0" w:line="262" w:lineRule="auto"/>
        <w:tabs>
          <w:tab w:leader="none" w:pos="1740"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Automatic Changes in Payroll Deduction</w:t>
      </w:r>
      <w:r>
        <w:rPr>
          <w:rFonts w:ascii="Arial" w:cs="Arial" w:eastAsia="Arial" w:hAnsi="Arial"/>
          <w:sz w:val="16"/>
          <w:szCs w:val="16"/>
          <w:color w:val="auto"/>
        </w:rPr>
        <w:t xml:space="preserve">. The Company may decrease a Participant’s rate of payroll deductions, but not below zero percent, at any time during an Exercise Period to the extent necessary to comply with Section 423(b)(8) of the Code or any other applicable law or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Payroll deductions shall recommence at the rate provided in the Participant’s online enrollment at the beginning of the first Exercise Period beginning in the following calendar year, unless the Participant’s participation in the Plan terminates as provided in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66" w:lineRule="exact"/>
        <w:rPr>
          <w:sz w:val="20"/>
          <w:szCs w:val="20"/>
          <w:color w:val="auto"/>
        </w:rPr>
      </w:pPr>
    </w:p>
    <w:p>
      <w:pPr>
        <w:ind w:left="1760" w:hanging="596"/>
        <w:spacing w:after="0"/>
        <w:tabs>
          <w:tab w:leader="none" w:pos="1760"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Exercise of Options and Purchase of Shares</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262" w:lineRule="auto"/>
        <w:tabs>
          <w:tab w:leader="none" w:pos="1746"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xml:space="preserve">. On each Exercise Date, the option for the purchase of Shares of each Participant who has not withdrawn from the Plan shall be automatically exercised to purchase the number of whole Shares determined by dividing (i) the total amount of the accumulated Plan Contributions then credited to the Participant’s account under the Plan during the Exercise Period and not previously applied toward the purchase of Shares by (ii) the Exercise Price, subject to the limitations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and any other limitation in the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8" w:name="page319"/>
    <w:bookmarkEnd w:id="318"/>
    <w:p>
      <w:pPr>
        <w:jc w:val="both"/>
        <w:ind w:firstLine="1164"/>
        <w:spacing w:after="0" w:line="322" w:lineRule="auto"/>
        <w:tabs>
          <w:tab w:leader="none" w:pos="1815" w:val="left"/>
        </w:tabs>
        <w:numPr>
          <w:ilvl w:val="0"/>
          <w:numId w:val="333"/>
        </w:numPr>
        <w:rPr>
          <w:rFonts w:ascii="Arial" w:cs="Arial" w:eastAsia="Arial" w:hAnsi="Arial"/>
          <w:sz w:val="14"/>
          <w:szCs w:val="14"/>
          <w:color w:val="auto"/>
        </w:rPr>
      </w:pPr>
      <w:r>
        <w:rPr>
          <w:rFonts w:ascii="Arial" w:cs="Arial" w:eastAsia="Arial" w:hAnsi="Arial"/>
          <w:sz w:val="14"/>
          <w:szCs w:val="14"/>
          <w:u w:val="single" w:color="auto"/>
          <w:color w:val="auto"/>
        </w:rPr>
        <w:t>Pro Rata Allocation of Shares</w:t>
      </w:r>
      <w:r>
        <w:rPr>
          <w:rFonts w:ascii="Arial" w:cs="Arial" w:eastAsia="Arial" w:hAnsi="Arial"/>
          <w:sz w:val="14"/>
          <w:szCs w:val="14"/>
          <w:color w:val="auto"/>
        </w:rPr>
        <w:t xml:space="preserve">. If the aggregate number of Shares to be purchased by all Participants in the Plan on an Exercise Date exceeds the number of Shares available as provided in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the Company shall make a </w:t>
      </w:r>
      <w:r>
        <w:rPr>
          <w:rFonts w:ascii="Arial" w:cs="Arial" w:eastAsia="Arial" w:hAnsi="Arial"/>
          <w:sz w:val="14"/>
          <w:szCs w:val="14"/>
          <w:u w:val="single" w:color="auto"/>
          <w:color w:val="auto"/>
        </w:rPr>
        <w:t>pro rata</w:t>
      </w:r>
      <w:r>
        <w:rPr>
          <w:rFonts w:ascii="Arial" w:cs="Arial" w:eastAsia="Arial" w:hAnsi="Arial"/>
          <w:sz w:val="14"/>
          <w:szCs w:val="14"/>
          <w:color w:val="auto"/>
        </w:rPr>
        <w:t xml:space="preserve"> allocation of the remaining Shares in as uniform a manner as practicable and as the Company determines to be equitable. Any fractional Share resulting from such </w:t>
      </w:r>
      <w:r>
        <w:rPr>
          <w:rFonts w:ascii="Arial" w:cs="Arial" w:eastAsia="Arial" w:hAnsi="Arial"/>
          <w:sz w:val="14"/>
          <w:szCs w:val="14"/>
          <w:u w:val="single" w:color="auto"/>
          <w:color w:val="auto"/>
        </w:rPr>
        <w:t>pro rata</w:t>
      </w:r>
      <w:r>
        <w:rPr>
          <w:rFonts w:ascii="Arial" w:cs="Arial" w:eastAsia="Arial" w:hAnsi="Arial"/>
          <w:sz w:val="14"/>
          <w:szCs w:val="14"/>
          <w:color w:val="auto"/>
        </w:rPr>
        <w:t xml:space="preserve"> allocation to any Participant shall be disregarded and shall not be issued.</w:t>
      </w:r>
    </w:p>
    <w:p>
      <w:pPr>
        <w:spacing w:after="0" w:line="127" w:lineRule="exact"/>
        <w:rPr>
          <w:rFonts w:ascii="Arial" w:cs="Arial" w:eastAsia="Arial" w:hAnsi="Arial"/>
          <w:sz w:val="14"/>
          <w:szCs w:val="14"/>
          <w:color w:val="auto"/>
        </w:rPr>
      </w:pPr>
    </w:p>
    <w:p>
      <w:pPr>
        <w:jc w:val="both"/>
        <w:ind w:firstLine="1164"/>
        <w:spacing w:after="0" w:line="262" w:lineRule="auto"/>
        <w:tabs>
          <w:tab w:leader="none" w:pos="1891"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xml:space="preserve">. As soon as practicable after each Exercise Date, the Company shall arrange the delivery of the Shares purchased by each Participant on such Exercise Date to a broker designated by the Company that will hold such Shares for the benefit of each such Participant;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arrange the delivery to a Participant of a certificate representing such Shares. Shares to be delivered to a Participant under the Plan shall be registered in the name of the Participant.</w:t>
      </w:r>
    </w:p>
    <w:p>
      <w:pPr>
        <w:spacing w:after="0" w:line="165" w:lineRule="exact"/>
        <w:rPr>
          <w:rFonts w:ascii="Arial" w:cs="Arial" w:eastAsia="Arial" w:hAnsi="Arial"/>
          <w:sz w:val="16"/>
          <w:szCs w:val="16"/>
          <w:color w:val="auto"/>
        </w:rPr>
      </w:pPr>
    </w:p>
    <w:p>
      <w:pPr>
        <w:jc w:val="both"/>
        <w:ind w:firstLine="1164"/>
        <w:spacing w:after="0" w:line="285" w:lineRule="auto"/>
        <w:tabs>
          <w:tab w:leader="none" w:pos="1961"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Return of Cash Balance</w:t>
      </w:r>
      <w:r>
        <w:rPr>
          <w:rFonts w:ascii="Arial" w:cs="Arial" w:eastAsia="Arial" w:hAnsi="Arial"/>
          <w:sz w:val="15"/>
          <w:szCs w:val="15"/>
          <w:color w:val="auto"/>
        </w:rPr>
        <w:t>. Any cash balance remaining in a Participant’s Plan account following any Exercise Date shall be refunded to the Participant as soon as practicable after such Exercise Date. However, if the cash balance to be returned to a Participant pursuant to the preceding sentence is less than the amount that would have been necessary to purchase an additional whole Share on such Exercise Date, the Company may arrange for the cash balance to be retained in the Participant’s Plan account and applied toward the purchase of Shares in the subsequent Exercise Period, as the case may be.</w:t>
      </w:r>
    </w:p>
    <w:p>
      <w:pPr>
        <w:spacing w:after="0" w:line="149" w:lineRule="exact"/>
        <w:rPr>
          <w:rFonts w:ascii="Arial" w:cs="Arial" w:eastAsia="Arial" w:hAnsi="Arial"/>
          <w:sz w:val="15"/>
          <w:szCs w:val="15"/>
          <w:color w:val="auto"/>
        </w:rPr>
      </w:pPr>
    </w:p>
    <w:p>
      <w:pPr>
        <w:jc w:val="both"/>
        <w:ind w:firstLine="1164"/>
        <w:spacing w:after="0" w:line="255" w:lineRule="auto"/>
        <w:tabs>
          <w:tab w:leader="none" w:pos="1746"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Any tax consequences arising from participation in the Plan, the issuance, sale or disposition of Shares or from any other event or act (including, without limitation, by the Company, and/or any Designated Subsidiary or any Participant) hereunder shall be borne solely by the relevant Participant. Without derogating from the generality of the foregoing, at the time a Participant’s option is granted or exercised, in whole or in part, or at the time a Participant disposes of some or all of the Shares he or she purchases under the Plan, the Participant shall make adequate provision for the federal, state, local, Israeli and other non-United States tax withholding obligations, if any, of the Company and/or the applicable Designated Subsidiary which arise upon grant or exercise of such option or upon such disposition of Shares, respectively. The Company and/or the applicable Designated Subsidiary may, but shall not be obligated to, withhold from the Participant’s compensation the amount necessary to meet such withholding obligations as it may deem necessary or appropriate. Furthermore, by receiving any benefit under the Plan, a Participant shall be deemed to agree to indemnify the Company and the Designated Subsidiaries and hold them harmless against and from any and all liability for any such tax or interest or penalty thereon, including without limitation liabilities relating to the necessity to withhold, or to have withheld, any such tax from any payment or distribution made to such Participant.</w:t>
      </w:r>
    </w:p>
    <w:p>
      <w:pPr>
        <w:spacing w:after="0" w:line="176" w:lineRule="exact"/>
        <w:rPr>
          <w:rFonts w:ascii="Arial" w:cs="Arial" w:eastAsia="Arial" w:hAnsi="Arial"/>
          <w:sz w:val="16"/>
          <w:szCs w:val="16"/>
          <w:color w:val="auto"/>
        </w:rPr>
      </w:pPr>
    </w:p>
    <w:p>
      <w:pPr>
        <w:ind w:firstLine="1164"/>
        <w:spacing w:after="0" w:line="281" w:lineRule="auto"/>
        <w:tabs>
          <w:tab w:leader="none" w:pos="1752"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Expiration of Option</w:t>
      </w:r>
      <w:r>
        <w:rPr>
          <w:rFonts w:ascii="Arial" w:cs="Arial" w:eastAsia="Arial" w:hAnsi="Arial"/>
          <w:sz w:val="16"/>
          <w:szCs w:val="16"/>
          <w:color w:val="auto"/>
        </w:rPr>
        <w:t>. Any portion of a Participant’s option remaining unexercised after the end of the Exercise Period to which such option relates shall expire immediately upon the end of such Exercise Period.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19" w:name="page320"/>
    <w:bookmarkEnd w:id="319"/>
    <w:p>
      <w:pPr>
        <w:jc w:val="both"/>
        <w:ind w:firstLine="1164"/>
        <w:spacing w:after="0" w:line="259" w:lineRule="auto"/>
        <w:tabs>
          <w:tab w:leader="none" w:pos="1827"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Provision of Reports to Participants</w:t>
      </w:r>
      <w:r>
        <w:rPr>
          <w:rFonts w:ascii="Arial" w:cs="Arial" w:eastAsia="Arial" w:hAnsi="Arial"/>
          <w:sz w:val="16"/>
          <w:szCs w:val="16"/>
          <w:color w:val="auto"/>
        </w:rPr>
        <w:t xml:space="preserve">. Unless otherwise determined by the Committee, each Participant who has exercised all or part of his or her option under the Plan shall receive, as soon as practicable after the Exercise Date, a report of such Participant’s Plan account setting forth the total Plan Contributions accumulated prior to such exercise, the number of Shares purchased, the Exercise Price for such Shares, the date of purchase and the cash balance, if any, remaining immediately after such purchase that is to be refunded or retained in the Participant’s Plan account pursuant to </w:t>
      </w:r>
      <w:r>
        <w:rPr>
          <w:rFonts w:ascii="Arial" w:cs="Arial" w:eastAsia="Arial" w:hAnsi="Arial"/>
          <w:sz w:val="16"/>
          <w:szCs w:val="16"/>
          <w:u w:val="single" w:color="auto"/>
          <w:color w:val="auto"/>
        </w:rPr>
        <w:t>Section 8(d)</w:t>
      </w:r>
      <w:r>
        <w:rPr>
          <w:rFonts w:ascii="Arial" w:cs="Arial" w:eastAsia="Arial" w:hAnsi="Arial"/>
          <w:sz w:val="16"/>
          <w:szCs w:val="16"/>
          <w:color w:val="auto"/>
        </w:rPr>
        <w:t>. The report pursuant to this Section may be delivered in such form and by such means, including by electronic transmission, as the Company may determine.</w:t>
      </w:r>
    </w:p>
    <w:p>
      <w:pPr>
        <w:spacing w:after="0" w:line="170" w:lineRule="exact"/>
        <w:rPr>
          <w:sz w:val="20"/>
          <w:szCs w:val="20"/>
          <w:color w:val="auto"/>
        </w:rPr>
      </w:pPr>
    </w:p>
    <w:p>
      <w:pPr>
        <w:ind w:left="1760" w:hanging="596"/>
        <w:spacing w:after="0"/>
        <w:tabs>
          <w:tab w:leader="none" w:pos="1760"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ESPP Brokerage Account; Disqualifying Disposition</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259" w:lineRule="auto"/>
        <w:tabs>
          <w:tab w:leader="none" w:pos="1782"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Deposit of Shares into ESPP Brokerage Account</w:t>
      </w:r>
      <w:r>
        <w:rPr>
          <w:rFonts w:ascii="Arial" w:cs="Arial" w:eastAsia="Arial" w:hAnsi="Arial"/>
          <w:sz w:val="16"/>
          <w:szCs w:val="16"/>
          <w:color w:val="auto"/>
        </w:rPr>
        <w:t>. Notwithstanding any other provisions of the Plan to the contrary, the Company may require that the Shares purchased on behalf of each Participant under the Plan shall be deposited directly into a brokerage account which the Company may establish for the Participant at a Company-designated brokerage firm (such an account, the “</w:t>
      </w:r>
      <w:r>
        <w:rPr>
          <w:rFonts w:ascii="Arial" w:cs="Arial" w:eastAsia="Arial" w:hAnsi="Arial"/>
          <w:sz w:val="16"/>
          <w:szCs w:val="16"/>
          <w:u w:val="single" w:color="auto"/>
          <w:color w:val="auto"/>
        </w:rPr>
        <w:t>ESPP Brokerage Account</w:t>
      </w:r>
      <w:r>
        <w:rPr>
          <w:rFonts w:ascii="Arial" w:cs="Arial" w:eastAsia="Arial" w:hAnsi="Arial"/>
          <w:sz w:val="16"/>
          <w:szCs w:val="16"/>
          <w:color w:val="auto"/>
        </w:rPr>
        <w:t>”). A Participant may sell Shares held in his or her ESPP Brokerage Account at any time, but in the absence of any such sale, the Participant shall be required to hold such shares in the ESPP Brokerage Account until expiration of the holdings periods specified by Section 423(a)(1) of the Code applicable to such Shares.</w:t>
      </w:r>
    </w:p>
    <w:p>
      <w:pPr>
        <w:spacing w:after="0" w:line="170" w:lineRule="exact"/>
        <w:rPr>
          <w:rFonts w:ascii="Arial" w:cs="Arial" w:eastAsia="Arial" w:hAnsi="Arial"/>
          <w:sz w:val="16"/>
          <w:szCs w:val="16"/>
          <w:color w:val="auto"/>
        </w:rPr>
      </w:pPr>
    </w:p>
    <w:p>
      <w:pPr>
        <w:ind w:firstLine="1164"/>
        <w:spacing w:after="0" w:line="316" w:lineRule="auto"/>
        <w:tabs>
          <w:tab w:leader="none" w:pos="1803" w:val="left"/>
        </w:tabs>
        <w:numPr>
          <w:ilvl w:val="0"/>
          <w:numId w:val="336"/>
        </w:numPr>
        <w:rPr>
          <w:rFonts w:ascii="Arial" w:cs="Arial" w:eastAsia="Arial" w:hAnsi="Arial"/>
          <w:sz w:val="15"/>
          <w:szCs w:val="15"/>
          <w:color w:val="auto"/>
        </w:rPr>
      </w:pPr>
      <w:r>
        <w:rPr>
          <w:rFonts w:ascii="Arial" w:cs="Arial" w:eastAsia="Arial" w:hAnsi="Arial"/>
          <w:sz w:val="15"/>
          <w:szCs w:val="15"/>
          <w:u w:val="single" w:color="auto"/>
          <w:color w:val="auto"/>
        </w:rPr>
        <w:t>Participant Required to Report Disqualifying Disposition</w:t>
      </w:r>
      <w:r>
        <w:rPr>
          <w:rFonts w:ascii="Arial" w:cs="Arial" w:eastAsia="Arial" w:hAnsi="Arial"/>
          <w:sz w:val="15"/>
          <w:szCs w:val="15"/>
          <w:color w:val="auto"/>
        </w:rPr>
        <w:t>. A Participant shall be required to report in writing to the Company (or a person or firm designated by the Committee) any disposition of Shares purchased under the Plan prior to the expiration of the holding periods specified by Section 423(a)(1) of the Code.</w:t>
      </w:r>
    </w:p>
    <w:p>
      <w:pPr>
        <w:spacing w:after="0" w:line="127" w:lineRule="exact"/>
        <w:rPr>
          <w:sz w:val="20"/>
          <w:szCs w:val="20"/>
          <w:color w:val="auto"/>
        </w:rPr>
      </w:pPr>
    </w:p>
    <w:p>
      <w:pPr>
        <w:ind w:left="1760" w:hanging="596"/>
        <w:spacing w:after="0"/>
        <w:tabs>
          <w:tab w:leader="none" w:pos="1760"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262" w:lineRule="auto"/>
        <w:tabs>
          <w:tab w:leader="none" w:pos="1891"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Unless otherwise determined by the Committee, a Participant may file with the Company (or a person or firm designated by the Committee) a written designation (in a form acceptable to the Committee) of a beneficiary who is to receive any Shares and/or cash, if any, otherwise deliverable from the Participant’s Plan account and/or ESPP Brokerage Account in the event of the Participant’s death prior to delivery to the Participant thereof, to the extent permitted and recognized by applicable law.</w:t>
      </w:r>
    </w:p>
    <w:p>
      <w:pPr>
        <w:spacing w:after="0" w:line="165" w:lineRule="exact"/>
        <w:rPr>
          <w:rFonts w:ascii="Arial" w:cs="Arial" w:eastAsia="Arial" w:hAnsi="Arial"/>
          <w:sz w:val="16"/>
          <w:szCs w:val="16"/>
          <w:color w:val="auto"/>
        </w:rPr>
      </w:pPr>
    </w:p>
    <w:p>
      <w:pPr>
        <w:jc w:val="both"/>
        <w:ind w:firstLine="1164"/>
        <w:spacing w:after="0" w:line="257" w:lineRule="auto"/>
        <w:tabs>
          <w:tab w:leader="none" w:pos="1767"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Change of Designation; Absence of Designated Beneficiary</w:t>
      </w:r>
      <w:r>
        <w:rPr>
          <w:rFonts w:ascii="Arial" w:cs="Arial" w:eastAsia="Arial" w:hAnsi="Arial"/>
          <w:sz w:val="16"/>
          <w:szCs w:val="16"/>
          <w:color w:val="auto"/>
        </w:rPr>
        <w:t>. A Participant’s beneficiary designation may be changed by the Participant at any time in the manner designated by the Company (or a person or firm designated by the Committee). In the event of the death of a Participant and in the absence of a beneficiary validly designated under the Plan in accordance with applicable law who is living at the time of such Participant’s death, the Company (or a person or firm designated by the Committee) shall deliver such Shares and/or cash to the executor or administrator of the estate of the Participant, or if no such executor or administrator has been appointed (to the knowledge of the Company), the Company (or a person or firm designated by the Committee),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0" w:name="page321"/>
    <w:bookmarkEnd w:id="320"/>
    <w:p>
      <w:pPr>
        <w:jc w:val="both"/>
        <w:ind w:firstLine="1164"/>
        <w:spacing w:after="0" w:line="262" w:lineRule="auto"/>
        <w:tabs>
          <w:tab w:leader="none" w:pos="1843"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Neither Plan Contributions credited to a Participant’s account nor any option or rights to exercise any option or receive Shares under the Plan may be assigned, transferred, pledged or otherwise disposed of in any way (other than by will or the laws of descent and distribution, or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Any attempted such assignment, transfer, pledge or other disposition shall be without effect, except that the Company may treat such act as an election to withdraw in accordance with </w:t>
      </w:r>
      <w:r>
        <w:rPr>
          <w:rFonts w:ascii="Arial" w:cs="Arial" w:eastAsia="Arial" w:hAnsi="Arial"/>
          <w:sz w:val="16"/>
          <w:szCs w:val="16"/>
          <w:u w:val="single" w:color="auto"/>
          <w:color w:val="auto"/>
        </w:rPr>
        <w:t>Section 12(a)</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1760" w:hanging="596"/>
        <w:spacing w:after="0"/>
        <w:tabs>
          <w:tab w:leader="none" w:pos="1760"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Withdrawal; Terminating Event</w:t>
      </w:r>
      <w:r>
        <w:rPr>
          <w:rFonts w:ascii="Arial" w:cs="Arial" w:eastAsia="Arial" w:hAnsi="Arial"/>
          <w:sz w:val="16"/>
          <w:szCs w:val="16"/>
          <w:color w:val="auto"/>
        </w:rPr>
        <w:t>.</w:t>
      </w:r>
    </w:p>
    <w:p>
      <w:pPr>
        <w:spacing w:after="0" w:line="204" w:lineRule="exact"/>
        <w:rPr>
          <w:sz w:val="20"/>
          <w:szCs w:val="20"/>
          <w:color w:val="auto"/>
        </w:rPr>
      </w:pPr>
    </w:p>
    <w:p>
      <w:pPr>
        <w:ind w:firstLine="1164"/>
        <w:spacing w:after="0" w:line="316" w:lineRule="auto"/>
        <w:tabs>
          <w:tab w:leader="none" w:pos="1915" w:val="left"/>
        </w:tabs>
        <w:numPr>
          <w:ilvl w:val="0"/>
          <w:numId w:val="340"/>
        </w:numPr>
        <w:rPr>
          <w:rFonts w:ascii="Arial" w:cs="Arial" w:eastAsia="Arial" w:hAnsi="Arial"/>
          <w:sz w:val="15"/>
          <w:szCs w:val="15"/>
          <w:color w:val="auto"/>
        </w:rPr>
      </w:pPr>
      <w:r>
        <w:rPr>
          <w:rFonts w:ascii="Arial" w:cs="Arial" w:eastAsia="Arial" w:hAnsi="Arial"/>
          <w:sz w:val="15"/>
          <w:szCs w:val="15"/>
          <w:u w:val="single" w:color="auto"/>
          <w:color w:val="auto"/>
        </w:rPr>
        <w:t>Withdrawal</w:t>
      </w:r>
      <w:r>
        <w:rPr>
          <w:rFonts w:ascii="Arial" w:cs="Arial" w:eastAsia="Arial" w:hAnsi="Arial"/>
          <w:sz w:val="15"/>
          <w:szCs w:val="15"/>
          <w:color w:val="auto"/>
        </w:rPr>
        <w:t>. A Participant may withdraw from an Exercise Period at any time by giving written notice to the Company (or a person or firm designated by the Committee) not later than 5:30 pm Pacific time on the last withdrawal date that corresponds to the applicable Exercise Date set forth below:</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40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Exercise Period</w:t>
            </w:r>
          </w:p>
        </w:tc>
        <w:tc>
          <w:tcPr>
            <w:tcW w:w="220" w:type="dxa"/>
            <w:vAlign w:val="bottom"/>
          </w:tcPr>
          <w:p>
            <w:pPr>
              <w:spacing w:after="0"/>
              <w:rPr>
                <w:sz w:val="17"/>
                <w:szCs w:val="17"/>
                <w:color w:val="auto"/>
              </w:rPr>
            </w:pPr>
          </w:p>
        </w:tc>
        <w:tc>
          <w:tcPr>
            <w:tcW w:w="284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Exercise Date</w:t>
            </w:r>
          </w:p>
        </w:tc>
        <w:tc>
          <w:tcPr>
            <w:tcW w:w="200" w:type="dxa"/>
            <w:vAlign w:val="bottom"/>
          </w:tcPr>
          <w:p>
            <w:pPr>
              <w:spacing w:after="0"/>
              <w:rPr>
                <w:sz w:val="17"/>
                <w:szCs w:val="17"/>
                <w:color w:val="auto"/>
              </w:rPr>
            </w:pPr>
          </w:p>
        </w:tc>
        <w:tc>
          <w:tcPr>
            <w:tcW w:w="28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Last Withdrawal Date</w:t>
            </w:r>
          </w:p>
        </w:tc>
      </w:tr>
      <w:tr>
        <w:trPr>
          <w:trHeight w:val="379"/>
        </w:trPr>
        <w:tc>
          <w:tcPr>
            <w:tcW w:w="4300" w:type="dxa"/>
            <w:vAlign w:val="bottom"/>
            <w:gridSpan w:val="2"/>
          </w:tcPr>
          <w:p>
            <w:pPr>
              <w:spacing w:after="0"/>
              <w:rPr>
                <w:sz w:val="20"/>
                <w:szCs w:val="20"/>
                <w:color w:val="auto"/>
              </w:rPr>
            </w:pPr>
            <w:r>
              <w:rPr>
                <w:rFonts w:ascii="Arial" w:cs="Arial" w:eastAsia="Arial" w:hAnsi="Arial"/>
                <w:sz w:val="16"/>
                <w:szCs w:val="16"/>
                <w:color w:val="auto"/>
              </w:rPr>
              <w:t>March 1 – August 31</w:t>
            </w:r>
          </w:p>
        </w:tc>
        <w:tc>
          <w:tcPr>
            <w:tcW w:w="2840" w:type="dxa"/>
            <w:vAlign w:val="bottom"/>
          </w:tcPr>
          <w:p>
            <w:pPr>
              <w:spacing w:after="0"/>
              <w:rPr>
                <w:sz w:val="20"/>
                <w:szCs w:val="20"/>
                <w:color w:val="auto"/>
              </w:rPr>
            </w:pPr>
            <w:r>
              <w:rPr>
                <w:rFonts w:ascii="Arial" w:cs="Arial" w:eastAsia="Arial" w:hAnsi="Arial"/>
                <w:sz w:val="16"/>
                <w:szCs w:val="16"/>
                <w:color w:val="auto"/>
              </w:rPr>
              <w:t>Last day of August</w:t>
            </w:r>
          </w:p>
        </w:tc>
        <w:tc>
          <w:tcPr>
            <w:tcW w:w="3040" w:type="dxa"/>
            <w:vAlign w:val="bottom"/>
            <w:gridSpan w:val="2"/>
          </w:tcPr>
          <w:p>
            <w:pPr>
              <w:ind w:left="200"/>
              <w:spacing w:after="0"/>
              <w:rPr>
                <w:sz w:val="20"/>
                <w:szCs w:val="20"/>
                <w:color w:val="auto"/>
              </w:rPr>
            </w:pPr>
            <w:r>
              <w:rPr>
                <w:rFonts w:ascii="Arial" w:cs="Arial" w:eastAsia="Arial" w:hAnsi="Arial"/>
                <w:sz w:val="16"/>
                <w:szCs w:val="16"/>
                <w:color w:val="auto"/>
              </w:rPr>
              <w:t>August 24</w:t>
            </w:r>
          </w:p>
        </w:tc>
      </w:tr>
      <w:tr>
        <w:trPr>
          <w:trHeight w:val="388"/>
        </w:trPr>
        <w:tc>
          <w:tcPr>
            <w:tcW w:w="4300" w:type="dxa"/>
            <w:vAlign w:val="bottom"/>
            <w:gridSpan w:val="2"/>
          </w:tcPr>
          <w:p>
            <w:pPr>
              <w:spacing w:after="0"/>
              <w:rPr>
                <w:sz w:val="20"/>
                <w:szCs w:val="20"/>
                <w:color w:val="auto"/>
              </w:rPr>
            </w:pPr>
            <w:r>
              <w:rPr>
                <w:rFonts w:ascii="Arial" w:cs="Arial" w:eastAsia="Arial" w:hAnsi="Arial"/>
                <w:sz w:val="16"/>
                <w:szCs w:val="16"/>
                <w:color w:val="auto"/>
              </w:rPr>
              <w:t>September 1 – February 28 or 29</w:t>
            </w:r>
          </w:p>
        </w:tc>
        <w:tc>
          <w:tcPr>
            <w:tcW w:w="2840" w:type="dxa"/>
            <w:vAlign w:val="bottom"/>
          </w:tcPr>
          <w:p>
            <w:pPr>
              <w:spacing w:after="0"/>
              <w:rPr>
                <w:sz w:val="20"/>
                <w:szCs w:val="20"/>
                <w:color w:val="auto"/>
              </w:rPr>
            </w:pPr>
            <w:r>
              <w:rPr>
                <w:rFonts w:ascii="Arial" w:cs="Arial" w:eastAsia="Arial" w:hAnsi="Arial"/>
                <w:sz w:val="16"/>
                <w:szCs w:val="16"/>
                <w:color w:val="auto"/>
              </w:rPr>
              <w:t>Last day of February</w:t>
            </w:r>
          </w:p>
        </w:tc>
        <w:tc>
          <w:tcPr>
            <w:tcW w:w="3040" w:type="dxa"/>
            <w:vAlign w:val="bottom"/>
            <w:gridSpan w:val="2"/>
          </w:tcPr>
          <w:p>
            <w:pPr>
              <w:ind w:left="200"/>
              <w:spacing w:after="0"/>
              <w:rPr>
                <w:sz w:val="20"/>
                <w:szCs w:val="20"/>
                <w:color w:val="auto"/>
              </w:rPr>
            </w:pPr>
            <w:r>
              <w:rPr>
                <w:rFonts w:ascii="Arial" w:cs="Arial" w:eastAsia="Arial" w:hAnsi="Arial"/>
                <w:sz w:val="16"/>
                <w:szCs w:val="16"/>
                <w:color w:val="auto"/>
              </w:rPr>
              <w:t>February 21</w:t>
            </w:r>
          </w:p>
        </w:tc>
      </w:tr>
    </w:tbl>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Payroll deductions, if any have been authorized, shall cease as soon as administratively practicable after receipt by the Company of the Participant’s notice of withdrawal, in a form as prescribed by the Committee, and, subject to administrative practicability, no further purchases shall be made for the Participant’s account. All Plan Contributions credited to such Participant’s account, if any, and not yet used to purchase Shares, shall be returned to the Participant as soon as administratively practicable after receipt of the Participant’s notice of withdrawal. Such Participant’s unexercised options to purchase Shares pursuant to the Plan shall be automatically terminated. Payroll deductions will not resume on behalf of a Participant who has withdrawn from the Plan (a “</w:t>
      </w:r>
      <w:r>
        <w:rPr>
          <w:rFonts w:ascii="Arial" w:cs="Arial" w:eastAsia="Arial" w:hAnsi="Arial"/>
          <w:sz w:val="15"/>
          <w:szCs w:val="15"/>
          <w:u w:val="single" w:color="auto"/>
          <w:color w:val="auto"/>
        </w:rPr>
        <w:t>Former Participant</w:t>
      </w:r>
      <w:r>
        <w:rPr>
          <w:rFonts w:ascii="Arial" w:cs="Arial" w:eastAsia="Arial" w:hAnsi="Arial"/>
          <w:sz w:val="15"/>
          <w:szCs w:val="15"/>
          <w:color w:val="auto"/>
        </w:rPr>
        <w:t xml:space="preserve">”) unless the Former Participant enrolls in a subsequent Exercise Period in accordance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and subject to the restriction provided in </w:t>
      </w:r>
      <w:r>
        <w:rPr>
          <w:rFonts w:ascii="Arial" w:cs="Arial" w:eastAsia="Arial" w:hAnsi="Arial"/>
          <w:sz w:val="15"/>
          <w:szCs w:val="15"/>
          <w:u w:val="single" w:color="auto"/>
          <w:color w:val="auto"/>
        </w:rPr>
        <w:t>Section 12(b)</w:t>
      </w:r>
      <w:r>
        <w:rPr>
          <w:rFonts w:ascii="Arial" w:cs="Arial" w:eastAsia="Arial" w:hAnsi="Arial"/>
          <w:sz w:val="15"/>
          <w:szCs w:val="15"/>
          <w:color w:val="auto"/>
        </w:rPr>
        <w:t>, below.</w:t>
      </w:r>
    </w:p>
    <w:p>
      <w:pPr>
        <w:spacing w:after="0" w:line="158" w:lineRule="exact"/>
        <w:rPr>
          <w:sz w:val="20"/>
          <w:szCs w:val="20"/>
          <w:color w:val="auto"/>
        </w:rPr>
      </w:pPr>
    </w:p>
    <w:p>
      <w:pPr>
        <w:jc w:val="both"/>
        <w:ind w:firstLine="1164"/>
        <w:spacing w:after="0" w:line="267" w:lineRule="auto"/>
        <w:tabs>
          <w:tab w:leader="none" w:pos="1900"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Effect of Withdrawal on Subsequent Participation</w:t>
      </w:r>
      <w:r>
        <w:rPr>
          <w:rFonts w:ascii="Arial" w:cs="Arial" w:eastAsia="Arial" w:hAnsi="Arial"/>
          <w:sz w:val="16"/>
          <w:szCs w:val="16"/>
          <w:color w:val="auto"/>
        </w:rPr>
        <w:t xml:space="preserve">. A Former Participant who has withdrawn from the Plan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shall be eligible to participate in the Plan at the beginning of the next Exercise Period following the date the Former Participant withdrew, and the Former Participant must submit a new online enrollment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in order to again become a Participant.</w:t>
      </w:r>
    </w:p>
    <w:p>
      <w:pPr>
        <w:spacing w:after="0" w:line="161" w:lineRule="exact"/>
        <w:rPr>
          <w:rFonts w:ascii="Arial" w:cs="Arial" w:eastAsia="Arial" w:hAnsi="Arial"/>
          <w:sz w:val="16"/>
          <w:szCs w:val="16"/>
          <w:color w:val="auto"/>
        </w:rPr>
      </w:pPr>
    </w:p>
    <w:p>
      <w:pPr>
        <w:jc w:val="both"/>
        <w:ind w:firstLine="1164"/>
        <w:spacing w:after="0" w:line="259" w:lineRule="auto"/>
        <w:tabs>
          <w:tab w:leader="none" w:pos="1794"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Terminating Event</w:t>
      </w:r>
      <w:r>
        <w:rPr>
          <w:rFonts w:ascii="Arial" w:cs="Arial" w:eastAsia="Arial" w:hAnsi="Arial"/>
          <w:sz w:val="16"/>
          <w:szCs w:val="16"/>
          <w:color w:val="auto"/>
        </w:rPr>
        <w:t>. If a Participant has a Terminating Event, (i) such individual may not make further Plan Contributions, (ii) any amount of cash then credited to his or her Plan account shall be promptly returned to such individual following the date of such Terminating Event and (iii) all Shares held in such Participant’s ESPP Brokerage Account shall continue to be held in such ESPP Brokerage Account unless the individual sells or transfers such Shares. For the avoidance of doubt, in the event that the employment of a Participant is transferred, and such Participant becomes an employee of a Subsidiary that is not a Designated Subsidiary of the Plan, such Participant shall have Terminating Event.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1" w:name="page322"/>
    <w:bookmarkEnd w:id="321"/>
    <w:p>
      <w:pPr>
        <w:ind w:left="1760" w:hanging="596"/>
        <w:spacing w:after="0"/>
        <w:tabs>
          <w:tab w:leader="none" w:pos="1760"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Shares Issuable under the Plan</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300" w:lineRule="auto"/>
        <w:tabs>
          <w:tab w:leader="none" w:pos="1818" w:val="left"/>
        </w:tabs>
        <w:numPr>
          <w:ilvl w:val="0"/>
          <w:numId w:val="343"/>
        </w:numPr>
        <w:rPr>
          <w:rFonts w:ascii="Arial" w:cs="Arial" w:eastAsia="Arial" w:hAnsi="Arial"/>
          <w:sz w:val="14"/>
          <w:szCs w:val="14"/>
          <w:color w:val="auto"/>
        </w:rPr>
      </w:pPr>
      <w:r>
        <w:rPr>
          <w:rFonts w:ascii="Arial" w:cs="Arial" w:eastAsia="Arial" w:hAnsi="Arial"/>
          <w:sz w:val="14"/>
          <w:szCs w:val="14"/>
          <w:u w:val="single" w:color="auto"/>
          <w:color w:val="auto"/>
        </w:rPr>
        <w:t>Number of Shares</w:t>
      </w:r>
      <w:r>
        <w:rPr>
          <w:rFonts w:ascii="Arial" w:cs="Arial" w:eastAsia="Arial" w:hAnsi="Arial"/>
          <w:sz w:val="14"/>
          <w:szCs w:val="14"/>
          <w:color w:val="auto"/>
        </w:rPr>
        <w:t xml:space="preserve">. Subject to adjustment as provided in </w:t>
      </w:r>
      <w:r>
        <w:rPr>
          <w:rFonts w:ascii="Arial" w:cs="Arial" w:eastAsia="Arial" w:hAnsi="Arial"/>
          <w:sz w:val="14"/>
          <w:szCs w:val="14"/>
          <w:u w:val="single" w:color="auto"/>
          <w:color w:val="auto"/>
        </w:rPr>
        <w:t>Section 13(b)</w:t>
      </w:r>
      <w:r>
        <w:rPr>
          <w:rFonts w:ascii="Arial" w:cs="Arial" w:eastAsia="Arial" w:hAnsi="Arial"/>
          <w:sz w:val="14"/>
          <w:szCs w:val="14"/>
          <w:color w:val="auto"/>
        </w:rPr>
        <w:t xml:space="preserve">, the maximum number of Shares that may be issued under the Plan in the aggregate shall be the sum of (i) 242,425 Shares;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 on January 1 of each calendar year during the term of the Plan a number of Shares equal to the lesser of: (x) 655,310, (y) 1% of the total number of Shares outstanding on December 31 of the immediately preceding calendar year, and (z) an amount determined by the Board if so determined prior to the January 1 on which the increase would occur. Such Shares issuable under the Plan may be authorized and unissued shares (which will not be subject to preemptive rights), Shares held in treasury by the Company, Shares purchased on the open market or by private purchase or any combination of the foregoing. Any Shares issued under the Plan shall reduce on a Share-for-Share basis the number of Shares available for subsequent issuance under the Plan. If an outstanding option under the Plan for any reason expires or is terminated or cancelled, the Shares allocable to the unexercised portion of such option shall again be available for issuance under the Plan.</w:t>
      </w:r>
    </w:p>
    <w:p>
      <w:pPr>
        <w:spacing w:after="0" w:line="141" w:lineRule="exact"/>
        <w:rPr>
          <w:rFonts w:ascii="Arial" w:cs="Arial" w:eastAsia="Arial" w:hAnsi="Arial"/>
          <w:sz w:val="14"/>
          <w:szCs w:val="14"/>
          <w:color w:val="auto"/>
        </w:rPr>
      </w:pPr>
    </w:p>
    <w:p>
      <w:pPr>
        <w:ind w:left="1760" w:hanging="596"/>
        <w:spacing w:after="0"/>
        <w:tabs>
          <w:tab w:leader="none" w:pos="1760"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 Company Transactions</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305" w:lineRule="auto"/>
        <w:tabs>
          <w:tab w:leader="none" w:pos="1807" w:val="left"/>
        </w:tabs>
        <w:numPr>
          <w:ilvl w:val="0"/>
          <w:numId w:val="344"/>
        </w:numPr>
        <w:rPr>
          <w:rFonts w:ascii="Arial" w:cs="Arial" w:eastAsia="Arial" w:hAnsi="Arial"/>
          <w:sz w:val="14"/>
          <w:szCs w:val="14"/>
          <w:color w:val="auto"/>
        </w:rPr>
      </w:pPr>
      <w:r>
        <w:rPr>
          <w:rFonts w:ascii="Arial" w:cs="Arial" w:eastAsia="Arial" w:hAnsi="Arial"/>
          <w:sz w:val="14"/>
          <w:szCs w:val="14"/>
          <w:color w:val="auto"/>
        </w:rPr>
        <w:t>If the outstanding Shares are increased or decreased, or are changed into or are exchanged for a different number or kind of shares, including as a result of one or more mergers, reorganizations, restructurings, recapitalizations, reclassifications, shares splits, reverse shares splits, share dividends or the like, or there occurs a separation, spin-off or other distribution of shares or property (including any extraordinary dividend, but excluding any ordinary dividends) affecting the Company, then appropriate adjustments shall be made to the number and/or kind of shares available for issuance in the aggregate under the Plan and under each outstanding option under the Plan and to the Exercise Price thereof, in each case as determined by the Committee, in its discretion, and the Committee’s determination shall be conclusive.</w:t>
      </w:r>
    </w:p>
    <w:p>
      <w:pPr>
        <w:spacing w:after="0" w:line="139" w:lineRule="exact"/>
        <w:rPr>
          <w:rFonts w:ascii="Arial" w:cs="Arial" w:eastAsia="Arial" w:hAnsi="Arial"/>
          <w:sz w:val="14"/>
          <w:szCs w:val="14"/>
          <w:color w:val="auto"/>
        </w:rPr>
      </w:pPr>
    </w:p>
    <w:p>
      <w:pPr>
        <w:jc w:val="both"/>
        <w:ind w:firstLine="1164"/>
        <w:spacing w:after="0" w:line="267" w:lineRule="auto"/>
        <w:tabs>
          <w:tab w:leader="none" w:pos="1904"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 the event of any proposed dissolution or liquidation of the Company, immediately prior to the consummation of such proposed action, any outstanding Exercise Period will terminate, and any Shares held in ESPP Brokerage Accounts, and all Plan Contributions credited to Participant Plan accounts and not used to purchase Shares, shall be distributed to each applicable Participant, unless otherwise provided by the Committee.</w:t>
      </w:r>
    </w:p>
    <w:p>
      <w:pPr>
        <w:spacing w:after="0" w:line="161" w:lineRule="exact"/>
        <w:rPr>
          <w:rFonts w:ascii="Arial" w:cs="Arial" w:eastAsia="Arial" w:hAnsi="Arial"/>
          <w:sz w:val="16"/>
          <w:szCs w:val="16"/>
          <w:color w:val="auto"/>
        </w:rPr>
      </w:pPr>
    </w:p>
    <w:p>
      <w:pPr>
        <w:jc w:val="both"/>
        <w:ind w:firstLine="1164"/>
        <w:spacing w:after="0" w:line="267" w:lineRule="auto"/>
        <w:tabs>
          <w:tab w:leader="none" w:pos="178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 the event of sale of all or substantially all of the Company’s assets, or a merger, amalgamation, consolidation, acquisition or sale or exchange of shares or similar event affecting the Company (each, a “</w:t>
      </w:r>
      <w:r>
        <w:rPr>
          <w:rFonts w:ascii="Arial" w:cs="Arial" w:eastAsia="Arial" w:hAnsi="Arial"/>
          <w:sz w:val="16"/>
          <w:szCs w:val="16"/>
          <w:u w:val="single" w:color="auto"/>
          <w:color w:val="auto"/>
        </w:rPr>
        <w:t>Company Transaction</w:t>
      </w:r>
      <w:r>
        <w:rPr>
          <w:rFonts w:ascii="Arial" w:cs="Arial" w:eastAsia="Arial" w:hAnsi="Arial"/>
          <w:sz w:val="16"/>
          <w:szCs w:val="16"/>
          <w:color w:val="auto"/>
        </w:rPr>
        <w:t>”), then, as determined by the Committee, in its discretion, which determination shall be conclusive, either: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6" w:right="299" w:bottom="1440" w:gutter="0" w:footer="0" w:header="0"/>
        </w:sectPr>
      </w:pPr>
    </w:p>
    <w:bookmarkStart w:id="322" w:name="page323"/>
    <w:bookmarkEnd w:id="322"/>
    <w:p>
      <w:pPr>
        <w:jc w:val="both"/>
        <w:ind w:left="1160" w:firstLine="586"/>
        <w:spacing w:after="0" w:line="272" w:lineRule="auto"/>
        <w:tabs>
          <w:tab w:leader="none" w:pos="2434" w:val="left"/>
        </w:tabs>
        <w:numPr>
          <w:ilvl w:val="1"/>
          <w:numId w:val="345"/>
        </w:numPr>
        <w:rPr>
          <w:rFonts w:ascii="Arial" w:cs="Arial" w:eastAsia="Arial" w:hAnsi="Arial"/>
          <w:sz w:val="15"/>
          <w:szCs w:val="15"/>
          <w:color w:val="auto"/>
        </w:rPr>
      </w:pPr>
      <w:r>
        <w:rPr>
          <w:rFonts w:ascii="Arial" w:cs="Arial" w:eastAsia="Arial" w:hAnsi="Arial"/>
          <w:sz w:val="15"/>
          <w:szCs w:val="15"/>
          <w:color w:val="auto"/>
        </w:rPr>
        <w:t>each option under the Plan shall be assumed or an equivalent option shall be substituted by the Company’s successor corporation or a parent corporation (as defined in Section 424(e) of the Code) of such successor corporation, unless the Committee determines, in the exercise of its discretion, and in lieu of such assumption or substitution, to shorten the Exercise Period then in progress by setting a new Exercise Date (the “</w:t>
      </w:r>
      <w:r>
        <w:rPr>
          <w:rFonts w:ascii="Arial" w:cs="Arial" w:eastAsia="Arial" w:hAnsi="Arial"/>
          <w:sz w:val="15"/>
          <w:szCs w:val="15"/>
          <w:u w:val="single" w:color="auto"/>
          <w:color w:val="auto"/>
        </w:rPr>
        <w:t>New Exercise</w:t>
      </w:r>
      <w:r>
        <w:rPr>
          <w:rFonts w:ascii="Arial" w:cs="Arial" w:eastAsia="Arial" w:hAnsi="Arial"/>
          <w:sz w:val="15"/>
          <w:szCs w:val="15"/>
          <w:color w:val="auto"/>
        </w:rPr>
        <w:t xml:space="preserve"> </w:t>
      </w:r>
      <w:r>
        <w:rPr>
          <w:rFonts w:ascii="Arial" w:cs="Arial" w:eastAsia="Arial" w:hAnsi="Arial"/>
          <w:sz w:val="15"/>
          <w:szCs w:val="15"/>
          <w:u w:val="single" w:color="auto"/>
          <w:color w:val="auto"/>
        </w:rPr>
        <w:t>Date</w:t>
      </w:r>
      <w:r>
        <w:rPr>
          <w:rFonts w:ascii="Arial" w:cs="Arial" w:eastAsia="Arial" w:hAnsi="Arial"/>
          <w:sz w:val="15"/>
          <w:szCs w:val="15"/>
          <w:color w:val="auto"/>
        </w:rPr>
        <w:t xml:space="preserve">”). If the Committee shortens the Exercise Period then in progress in lieu of assumption or substitution in the event of a Company Transaction, the Company shall notify each Participant in writing, prior to the New Exercise Date, that the Exercise Date for such Participant’s option has been changed to the New Exercise Date, and that such Participant’s option will be exercised automatically on the New Exercise Date, unless prior to such date the Participant has withdrawn from the Plan as provided in </w:t>
      </w:r>
      <w:r>
        <w:rPr>
          <w:rFonts w:ascii="Arial" w:cs="Arial" w:eastAsia="Arial" w:hAnsi="Arial"/>
          <w:sz w:val="15"/>
          <w:szCs w:val="15"/>
          <w:u w:val="single" w:color="auto"/>
          <w:color w:val="auto"/>
        </w:rPr>
        <w:t>Section 12(a)</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13(b)</w:t>
      </w:r>
      <w:r>
        <w:rPr>
          <w:rFonts w:ascii="Arial" w:cs="Arial" w:eastAsia="Arial" w:hAnsi="Arial"/>
          <w:sz w:val="15"/>
          <w:szCs w:val="15"/>
          <w:color w:val="auto"/>
        </w:rPr>
        <w:t xml:space="preserve">, an option granted under the Plan shall be deemed to have been assumed if, following the Company Transaction, the option confers the right to purchase, for each Share subject to the option immediately prior to the Company Transaction, the consideration (whether shares, cash or other securities or property) received in the Company Transaction by holders of Shares for each Share held on the effective date of the Company Transaction (and if such holders were offered a choice of consideration, the type of consideration chosen by the holders of a majority of the outstanding Shares); </w:t>
      </w:r>
      <w:r>
        <w:rPr>
          <w:rFonts w:ascii="Arial" w:cs="Arial" w:eastAsia="Arial" w:hAnsi="Arial"/>
          <w:sz w:val="15"/>
          <w:szCs w:val="15"/>
          <w:u w:val="single" w:color="auto"/>
          <w:color w:val="auto"/>
        </w:rPr>
        <w:t>provided</w:t>
      </w:r>
      <w:r>
        <w:rPr>
          <w:rFonts w:ascii="Arial" w:cs="Arial" w:eastAsia="Arial" w:hAnsi="Arial"/>
          <w:sz w:val="15"/>
          <w:szCs w:val="15"/>
          <w:color w:val="auto"/>
        </w:rPr>
        <w:t>, that if the consideration received in the Company Transaction was not solely common stock or Shares of the successor corporation or its parent corporation (as defined in Section 424(e) of the Code), the Committee may, with the consent of the successor corporation, provide for the consideration to be received upon exercise of the option to be solely common stock of the successor corporation or its parent corporation equal in fair market value to the per share consideration received by the holders of Shares in the Company Transaction; or</w:t>
      </w:r>
    </w:p>
    <w:p>
      <w:pPr>
        <w:spacing w:after="0" w:line="168" w:lineRule="exact"/>
        <w:rPr>
          <w:rFonts w:ascii="Arial" w:cs="Arial" w:eastAsia="Arial" w:hAnsi="Arial"/>
          <w:sz w:val="15"/>
          <w:szCs w:val="15"/>
          <w:color w:val="auto"/>
        </w:rPr>
      </w:pPr>
    </w:p>
    <w:p>
      <w:pPr>
        <w:ind w:left="1160" w:firstLine="586"/>
        <w:spacing w:after="0" w:line="281" w:lineRule="auto"/>
        <w:tabs>
          <w:tab w:leader="none" w:pos="2451" w:val="left"/>
        </w:tabs>
        <w:numPr>
          <w:ilvl w:val="1"/>
          <w:numId w:val="345"/>
        </w:numPr>
        <w:rPr>
          <w:rFonts w:ascii="Arial" w:cs="Arial" w:eastAsia="Arial" w:hAnsi="Arial"/>
          <w:sz w:val="16"/>
          <w:szCs w:val="16"/>
          <w:color w:val="auto"/>
        </w:rPr>
      </w:pPr>
      <w:r>
        <w:rPr>
          <w:rFonts w:ascii="Arial" w:cs="Arial" w:eastAsia="Arial" w:hAnsi="Arial"/>
          <w:sz w:val="16"/>
          <w:szCs w:val="16"/>
          <w:color w:val="auto"/>
        </w:rPr>
        <w:t>the Plan shall terminate and any Shares held in ESPP Brokerage Accounts and all the Plan Contributions credited to Participant Plan accounts and not yet used to purchase Shares, shall be distributed to each applicable Participant.</w:t>
      </w:r>
    </w:p>
    <w:p>
      <w:pPr>
        <w:spacing w:after="0" w:line="150" w:lineRule="exact"/>
        <w:rPr>
          <w:rFonts w:ascii="Arial" w:cs="Arial" w:eastAsia="Arial" w:hAnsi="Arial"/>
          <w:sz w:val="16"/>
          <w:szCs w:val="16"/>
          <w:color w:val="auto"/>
        </w:rPr>
      </w:pPr>
    </w:p>
    <w:p>
      <w:pPr>
        <w:jc w:val="both"/>
        <w:ind w:firstLine="1164"/>
        <w:spacing w:after="0" w:line="267" w:lineRule="auto"/>
        <w:tabs>
          <w:tab w:leader="none" w:pos="180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In all cases, the Committee shall have discretion to exercise any of the powers and authority provided under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the Committee’s actions hereunder shall be final and binding on all Participants. No fractional shares shall be issued under the Plan pursuant to any adjustment authorized under the provisions of this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161" w:lineRule="exact"/>
        <w:rPr>
          <w:sz w:val="20"/>
          <w:szCs w:val="20"/>
          <w:color w:val="auto"/>
        </w:rPr>
      </w:pPr>
    </w:p>
    <w:p>
      <w:pPr>
        <w:jc w:val="both"/>
        <w:ind w:firstLine="1164"/>
        <w:spacing w:after="0" w:line="273" w:lineRule="auto"/>
        <w:tabs>
          <w:tab w:leader="none" w:pos="1889" w:val="left"/>
        </w:tabs>
        <w:numPr>
          <w:ilvl w:val="0"/>
          <w:numId w:val="347"/>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xml:space="preserve">. The Plan shall be administered by the Committee. The Committee shall have all authority that may be necessary or helpful to enable it to discharge its responsibilities with respect to the Plan. Without limiting the generality of the foregoing sentences of this </w:t>
      </w:r>
      <w:r>
        <w:rPr>
          <w:rFonts w:ascii="Arial" w:cs="Arial" w:eastAsia="Arial" w:hAnsi="Arial"/>
          <w:sz w:val="15"/>
          <w:szCs w:val="15"/>
          <w:u w:val="single" w:color="auto"/>
          <w:color w:val="auto"/>
        </w:rPr>
        <w:t>Section 14</w:t>
      </w:r>
      <w:r>
        <w:rPr>
          <w:rFonts w:ascii="Arial" w:cs="Arial" w:eastAsia="Arial" w:hAnsi="Arial"/>
          <w:sz w:val="15"/>
          <w:szCs w:val="15"/>
          <w:color w:val="auto"/>
        </w:rPr>
        <w:t>, subject to the express provisions of the Plan, the Committee shall have full and exclusive discretionary authority to interpret and construe any and all provisions of the Plan and any agreements, forms, and instruments relating to the Plan; prescribe the forms and manner of any agreements, forms, and instruments, and all online enrollment, designation or communication, relating to the Plan; determine eligibility to participate in the Plan; adopt rules and regulations for administering the Plan; adjudicate and determine all disputes arising under or in connection with the Plan; determine whether a particular item is included in “Compensation”; establish the exchange ratio applicable to amounts withheld in a currency other than United States dollars, retain and engage such third parties as it shall determine to assist with the administration of the Plan and make all other determinations necessary or advisable for the administration of the Plan. All decisions, actions and determinations by the Committee with respect to the Plan; any agreement, form or instrument relating to the Plan; or any operation or administration of the Plan shall be final, conclusive and binding on all persons. Subject to applicable laws, rules, and regulations, the Committee may, in its discretion, from time to time, delegate all or any part of its responsibilities and powers under the Plan to any employee or group of employees of the Company or any Subsidiary, and revoke any such delegation. Notwithstanding the foregoing, the Board, in its absolute discretion, may at any time and from time to time exercise any and all rights, duties and responsibilities of the Committee under the Plan, including, but not limited to, establishing procedures to be followed by the Committee.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3" w:name="page324"/>
    <w:bookmarkEnd w:id="323"/>
    <w:p>
      <w:pPr>
        <w:ind w:left="1760" w:hanging="596"/>
        <w:spacing w:after="0"/>
        <w:tabs>
          <w:tab w:leader="none" w:pos="1760"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Amendment, Suspension, and Termination of the Plan</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258" w:lineRule="auto"/>
        <w:tabs>
          <w:tab w:leader="none" w:pos="1907"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Amendment of the Plan</w:t>
      </w:r>
      <w:r>
        <w:rPr>
          <w:rFonts w:ascii="Arial" w:cs="Arial" w:eastAsia="Arial" w:hAnsi="Arial"/>
          <w:sz w:val="16"/>
          <w:szCs w:val="16"/>
          <w:color w:val="auto"/>
        </w:rPr>
        <w:t xml:space="preserve">. The Board or the Committee may at any time, or from time to time, amend the Plan in any respect;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except as otherwise provided by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13(b)</w:t>
      </w:r>
      <w:r>
        <w:rPr>
          <w:rFonts w:ascii="Arial" w:cs="Arial" w:eastAsia="Arial" w:hAnsi="Arial"/>
          <w:sz w:val="16"/>
          <w:szCs w:val="16"/>
          <w:color w:val="auto"/>
        </w:rPr>
        <w:t>, or to comply with any applicable law, regulation or rule, no such amendment may make any change in any option theretofore granted which materially adversely affects the previously accrued rights of any Participant with respect to any such option without such Participant’s consent, and (ii) the Plan shall not be amended in any way that will cause options issued under the Plan to fail to meet the requirements for employee share purchase plans as defined in Section 423 of the Code or any successor thereto. To the extent necessary to comply with Section 423 of the Code, or any other applicable law, regulation or rule, the Company shall obtain shareholder approval of any such amendment.</w:t>
      </w:r>
    </w:p>
    <w:p>
      <w:pPr>
        <w:spacing w:after="0" w:line="169" w:lineRule="exact"/>
        <w:rPr>
          <w:rFonts w:ascii="Arial" w:cs="Arial" w:eastAsia="Arial" w:hAnsi="Arial"/>
          <w:sz w:val="16"/>
          <w:szCs w:val="16"/>
          <w:color w:val="auto"/>
        </w:rPr>
      </w:pPr>
    </w:p>
    <w:p>
      <w:pPr>
        <w:jc w:val="both"/>
        <w:ind w:firstLine="1164"/>
        <w:spacing w:after="0" w:line="259" w:lineRule="auto"/>
        <w:tabs>
          <w:tab w:leader="none" w:pos="1839"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Suspension of the Plan</w:t>
      </w:r>
      <w:r>
        <w:rPr>
          <w:rFonts w:ascii="Arial" w:cs="Arial" w:eastAsia="Arial" w:hAnsi="Arial"/>
          <w:sz w:val="16"/>
          <w:szCs w:val="16"/>
          <w:color w:val="auto"/>
        </w:rPr>
        <w:t xml:space="preserve">. The Board or the Committee may, at any time, suspend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provide notice to the Participants prior to the effectiveness of such suspension. The Board or the Committee may resume the operation of the Plan following any such suspension;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provide notice to the Participants prior to the date of termination of the suspension period. A Participant shall remain a Participant in the Plan during any suspension period (unless he or she withdraws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however no options shall be granted or exercised, and no payroll deductions shall be made in respect of any Participant during the suspension period.</w:t>
      </w:r>
    </w:p>
    <w:p>
      <w:pPr>
        <w:spacing w:after="0" w:line="170" w:lineRule="exact"/>
        <w:rPr>
          <w:rFonts w:ascii="Arial" w:cs="Arial" w:eastAsia="Arial" w:hAnsi="Arial"/>
          <w:sz w:val="16"/>
          <w:szCs w:val="16"/>
          <w:color w:val="auto"/>
        </w:rPr>
      </w:pPr>
    </w:p>
    <w:p>
      <w:pPr>
        <w:ind w:left="1740" w:hanging="576"/>
        <w:spacing w:after="0"/>
        <w:tabs>
          <w:tab w:leader="none" w:pos="1740"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Termination of the Plan</w:t>
      </w:r>
      <w:r>
        <w:rPr>
          <w:rFonts w:ascii="Arial" w:cs="Arial" w:eastAsia="Arial" w:hAnsi="Arial"/>
          <w:sz w:val="16"/>
          <w:szCs w:val="16"/>
          <w:color w:val="auto"/>
        </w:rPr>
        <w:t>. The Plan and all rights of Participants hereunder shall terminate on the earliest of:</w:t>
      </w:r>
    </w:p>
    <w:p>
      <w:pPr>
        <w:spacing w:after="0" w:line="204" w:lineRule="exact"/>
        <w:rPr>
          <w:sz w:val="20"/>
          <w:szCs w:val="20"/>
          <w:color w:val="auto"/>
        </w:rPr>
      </w:pPr>
    </w:p>
    <w:p>
      <w:pPr>
        <w:ind w:left="580" w:firstLine="584"/>
        <w:spacing w:after="0" w:line="281" w:lineRule="auto"/>
        <w:tabs>
          <w:tab w:leader="none" w:pos="179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the Exercise Date at which Participants become entitled to purchase a number of Shares greater than the number of Shares remaining available for issuance under the Plan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1760" w:hanging="596"/>
        <w:spacing w:after="0"/>
        <w:tabs>
          <w:tab w:leader="none" w:pos="176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such date as is determined by the Board in its sole discretion; or</w:t>
      </w:r>
    </w:p>
    <w:p>
      <w:pPr>
        <w:spacing w:after="0" w:line="203" w:lineRule="exact"/>
        <w:rPr>
          <w:rFonts w:ascii="Arial" w:cs="Arial" w:eastAsia="Arial" w:hAnsi="Arial"/>
          <w:sz w:val="16"/>
          <w:szCs w:val="16"/>
          <w:color w:val="auto"/>
        </w:rPr>
      </w:pPr>
    </w:p>
    <w:p>
      <w:pPr>
        <w:ind w:left="1760" w:hanging="596"/>
        <w:spacing w:after="0"/>
        <w:tabs>
          <w:tab w:leader="none" w:pos="176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last Exercise Date immediately preceding the tenth (10th) anniversary of the Effective Date.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Notwithstanding the foregoing to the contrary, (i) the Board may at any time, with notice to Participants, terminate an Exercise Period then in progress and provide, in its discretion, that the outstanding balance of Plan Contributions credited to Participant Plan accounts and not yet used to purchase Shares shall either be (x) used to purchase Shares on an early Exercise Date established by the Board, or (y) distributed to the applicable Participants, and (ii) upon any termination of the Plan, any Exercise Period then in progress shall be treated as may be determined by the Board in accordance with clause (i) of this sentence, and any Shares held in ESPP Brokerage Accounts shall be distributed to the applicable Participants.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4" w:name="page325"/>
    <w:bookmarkEnd w:id="324"/>
    <w:p>
      <w:pPr>
        <w:ind w:left="1760" w:hanging="596"/>
        <w:spacing w:after="0"/>
        <w:tabs>
          <w:tab w:leader="none" w:pos="1760"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4" w:lineRule="exact"/>
        <w:rPr>
          <w:sz w:val="20"/>
          <w:szCs w:val="20"/>
          <w:color w:val="auto"/>
        </w:rPr>
      </w:pPr>
    </w:p>
    <w:p>
      <w:pPr>
        <w:jc w:val="both"/>
        <w:ind w:firstLine="1164"/>
        <w:spacing w:after="0" w:line="267" w:lineRule="auto"/>
        <w:tabs>
          <w:tab w:leader="none" w:pos="1798"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in writing and shall be deemed to have been duly given when received in the form specified by the Company at the location, or by the person or agent, designated by the Company for the receipt thereof.</w:t>
      </w:r>
    </w:p>
    <w:p>
      <w:pPr>
        <w:spacing w:after="0" w:line="161" w:lineRule="exact"/>
        <w:rPr>
          <w:rFonts w:ascii="Arial" w:cs="Arial" w:eastAsia="Arial" w:hAnsi="Arial"/>
          <w:sz w:val="16"/>
          <w:szCs w:val="16"/>
          <w:color w:val="auto"/>
        </w:rPr>
      </w:pPr>
    </w:p>
    <w:p>
      <w:pPr>
        <w:ind w:firstLine="1164"/>
        <w:spacing w:after="0" w:line="316" w:lineRule="auto"/>
        <w:tabs>
          <w:tab w:leader="none" w:pos="1803" w:val="left"/>
        </w:tabs>
        <w:numPr>
          <w:ilvl w:val="0"/>
          <w:numId w:val="352"/>
        </w:numPr>
        <w:rPr>
          <w:rFonts w:ascii="Arial" w:cs="Arial" w:eastAsia="Arial" w:hAnsi="Arial"/>
          <w:sz w:val="15"/>
          <w:szCs w:val="15"/>
          <w:color w:val="auto"/>
        </w:rPr>
      </w:pPr>
      <w:r>
        <w:rPr>
          <w:rFonts w:ascii="Arial" w:cs="Arial" w:eastAsia="Arial" w:hAnsi="Arial"/>
          <w:sz w:val="15"/>
          <w:szCs w:val="15"/>
          <w:u w:val="single" w:color="auto"/>
          <w:color w:val="auto"/>
        </w:rPr>
        <w:t>Expenses of the Plan</w:t>
      </w:r>
      <w:r>
        <w:rPr>
          <w:rFonts w:ascii="Arial" w:cs="Arial" w:eastAsia="Arial" w:hAnsi="Arial"/>
          <w:sz w:val="15"/>
          <w:szCs w:val="15"/>
          <w:color w:val="auto"/>
        </w:rPr>
        <w:t>. All costs and expenses incurred in administering the Plan shall be paid by the Company or a Designated Subsidiary, except that any stamp duties or transfer taxes applicable to participation in the Plan may be charged to the account of such Participant by the Company.</w:t>
      </w:r>
    </w:p>
    <w:p>
      <w:pPr>
        <w:spacing w:after="0" w:line="127" w:lineRule="exact"/>
        <w:rPr>
          <w:rFonts w:ascii="Arial" w:cs="Arial" w:eastAsia="Arial" w:hAnsi="Arial"/>
          <w:sz w:val="15"/>
          <w:szCs w:val="15"/>
          <w:color w:val="auto"/>
        </w:rPr>
      </w:pPr>
    </w:p>
    <w:p>
      <w:pPr>
        <w:ind w:left="1740" w:hanging="576"/>
        <w:spacing w:after="0"/>
        <w:tabs>
          <w:tab w:leader="none" w:pos="1740"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Rights of Participants</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left="580" w:firstLine="1166"/>
        <w:spacing w:after="0" w:line="257" w:lineRule="auto"/>
        <w:tabs>
          <w:tab w:leader="none" w:pos="2359"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t>Rights or Claims</w:t>
      </w:r>
      <w:r>
        <w:rPr>
          <w:rFonts w:ascii="Arial" w:cs="Arial" w:eastAsia="Arial" w:hAnsi="Arial"/>
          <w:sz w:val="16"/>
          <w:szCs w:val="16"/>
          <w:color w:val="auto"/>
        </w:rPr>
        <w:t>. No person shall have any rights or claims under the Plan except in accordance with the provisions of the Plan and any applicable agreement thereunder. The liability of the Company or any Designated Subsidiary under the Plan is limited to the obligations expressly set forth in the Plan, and no term or provision of the Plan may be construed to impose any further or additional duties, obligations, or costs on the Company, any Designated Subsidiary or any other affiliate thereof or the Board or the Committee not expressly set forth in the Plan. The grant of any option under the Plan shall not confer any rights upon the Participant holding such option other than such terms, and subject to such conditions, as are specified in the Plan as being applicable to such option, or to all options. Without limiting the generality of the foregoing, neither the existence of the Plan nor anything contained in the Plan or in any agreement thereunder shall be deemed to:</w:t>
      </w:r>
    </w:p>
    <w:p>
      <w:pPr>
        <w:spacing w:after="0" w:line="171" w:lineRule="exact"/>
        <w:rPr>
          <w:sz w:val="20"/>
          <w:szCs w:val="20"/>
          <w:color w:val="auto"/>
        </w:rPr>
      </w:pPr>
    </w:p>
    <w:p>
      <w:pPr>
        <w:ind w:left="2320" w:hanging="574"/>
        <w:spacing w:after="0" w:line="281" w:lineRule="auto"/>
        <w:tabs>
          <w:tab w:leader="none" w:pos="232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give any Participant the right to be retained in the service of the Company or any Designated Subsidiary, whether in any particular position, at any particular rate of compensation, for any particular period of time or otherwise;</w:t>
      </w:r>
    </w:p>
    <w:p>
      <w:pPr>
        <w:spacing w:after="0" w:line="150" w:lineRule="exact"/>
        <w:rPr>
          <w:rFonts w:ascii="Arial" w:cs="Arial" w:eastAsia="Arial" w:hAnsi="Arial"/>
          <w:sz w:val="16"/>
          <w:szCs w:val="16"/>
          <w:color w:val="auto"/>
        </w:rPr>
      </w:pPr>
    </w:p>
    <w:p>
      <w:pPr>
        <w:ind w:left="2320" w:hanging="574"/>
        <w:spacing w:after="0" w:line="281" w:lineRule="auto"/>
        <w:tabs>
          <w:tab w:leader="none" w:pos="232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restrict in any way the right of the Company or any Designated Subsidiary to terminate, change or modify any Participant’s employment at any time with or without cause;</w:t>
      </w:r>
    </w:p>
    <w:p>
      <w:pPr>
        <w:spacing w:after="0" w:line="150" w:lineRule="exact"/>
        <w:rPr>
          <w:rFonts w:ascii="Arial" w:cs="Arial" w:eastAsia="Arial" w:hAnsi="Arial"/>
          <w:sz w:val="16"/>
          <w:szCs w:val="16"/>
          <w:color w:val="auto"/>
        </w:rPr>
      </w:pPr>
    </w:p>
    <w:p>
      <w:pPr>
        <w:ind w:left="2320" w:hanging="574"/>
        <w:spacing w:after="0" w:line="281" w:lineRule="auto"/>
        <w:tabs>
          <w:tab w:leader="none" w:pos="232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constitute a contract of employment between the Company or any Designated Subsidiary and any Employee, nor shall it constitute a right to remain in the employ of the Company or any Designated Subsidiary;</w:t>
      </w:r>
    </w:p>
    <w:p>
      <w:pPr>
        <w:spacing w:after="0" w:line="150" w:lineRule="exact"/>
        <w:rPr>
          <w:rFonts w:ascii="Arial" w:cs="Arial" w:eastAsia="Arial" w:hAnsi="Arial"/>
          <w:sz w:val="16"/>
          <w:szCs w:val="16"/>
          <w:color w:val="auto"/>
        </w:rPr>
      </w:pPr>
    </w:p>
    <w:p>
      <w:pPr>
        <w:jc w:val="both"/>
        <w:ind w:left="2320" w:hanging="574"/>
        <w:spacing w:after="0" w:line="262" w:lineRule="auto"/>
        <w:tabs>
          <w:tab w:leader="none" w:pos="232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give any Employee the right to receive any bonus, whether payable in cash or in Shares, or in any combination thereof, from the Company and/or a Designated Subsidiary, nor be construed as limiting in any way the right of the Company and/or a Designated Subsidiary to determine, in its discretion, whether or not it shall pay any Employee bonuses, and, if so paid, the amount thereof and the manner of such payment; 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5" w:name="page326"/>
    <w:bookmarkEnd w:id="325"/>
    <w:p>
      <w:pPr>
        <w:ind w:left="2320" w:hanging="574"/>
        <w:spacing w:after="0" w:line="281" w:lineRule="auto"/>
        <w:tabs>
          <w:tab w:leader="none" w:pos="232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give any Employee any rights whatsoever with respect to any Share options except as specifically provided in the Plan and any applicable agreement thereunder.</w:t>
      </w:r>
    </w:p>
    <w:p>
      <w:pPr>
        <w:spacing w:after="0" w:line="151" w:lineRule="exact"/>
        <w:rPr>
          <w:sz w:val="20"/>
          <w:szCs w:val="20"/>
          <w:color w:val="auto"/>
        </w:rPr>
      </w:pPr>
    </w:p>
    <w:p>
      <w:pPr>
        <w:ind w:left="580" w:firstLine="1166"/>
        <w:spacing w:after="0" w:line="281" w:lineRule="auto"/>
        <w:tabs>
          <w:tab w:leader="none" w:pos="2408"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Options</w:t>
      </w:r>
      <w:r>
        <w:rPr>
          <w:rFonts w:ascii="Arial" w:cs="Arial" w:eastAsia="Arial" w:hAnsi="Arial"/>
          <w:sz w:val="16"/>
          <w:szCs w:val="16"/>
          <w:color w:val="auto"/>
        </w:rPr>
        <w:t>. Notwithstanding any other provision of the Plan, a Participant’s right or entitlement to purchase any Shares under the Plan shall only result from continued employment with the Company or any Designated Subsidiary.</w:t>
      </w:r>
    </w:p>
    <w:p>
      <w:pPr>
        <w:spacing w:after="0" w:line="150" w:lineRule="exact"/>
        <w:rPr>
          <w:rFonts w:ascii="Arial" w:cs="Arial" w:eastAsia="Arial" w:hAnsi="Arial"/>
          <w:sz w:val="16"/>
          <w:szCs w:val="16"/>
          <w:color w:val="auto"/>
        </w:rPr>
      </w:pPr>
    </w:p>
    <w:p>
      <w:pPr>
        <w:jc w:val="both"/>
        <w:ind w:left="580" w:firstLine="1166"/>
        <w:spacing w:after="0" w:line="256" w:lineRule="auto"/>
        <w:tabs>
          <w:tab w:leader="none" w:pos="2534"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No Effects on Benefits; No Damages</w:t>
      </w:r>
      <w:r>
        <w:rPr>
          <w:rFonts w:ascii="Arial" w:cs="Arial" w:eastAsia="Arial" w:hAnsi="Arial"/>
          <w:sz w:val="16"/>
          <w:szCs w:val="16"/>
          <w:color w:val="auto"/>
        </w:rPr>
        <w:t>. Any compensation received by a Participant under an option is not part of any (1) normal or expected compensation or salary for any purpose, as an employee or otherwise; (2) termination, indemnity, severance, resignation, redundancy, end of service payments; (3) bonuses; (4) long-service awards; (5) pension or retirement benefits or (6) similar payments under any laws, plans, contracts, policies, programs, arrangements or otherwise, in each case, otherwise payable or provided to such Participant. A Participant shall, by participating in the Plan, waive any and all rights to compensation or damages in consequence of termination of employment of such Participant for any reason whatsoever, whether lawfully or otherwise, insofar as those rights arise or may arise from such Participant ceasing to have rights under the Plan as a result of such termination of employment, or from the loss or diminution in value of such rights or entitlements, including by reason of the operation of the terms of the Plan or the provisions of any statute or law relating to taxation. No claim or entitlement to compensation or damages arises from the termination of the Plan or diminution in value of any option or Shares purchased under the Plan.</w:t>
      </w:r>
    </w:p>
    <w:p>
      <w:pPr>
        <w:spacing w:after="0" w:line="171" w:lineRule="exact"/>
        <w:rPr>
          <w:rFonts w:ascii="Arial" w:cs="Arial" w:eastAsia="Arial" w:hAnsi="Arial"/>
          <w:sz w:val="16"/>
          <w:szCs w:val="16"/>
          <w:color w:val="auto"/>
        </w:rPr>
      </w:pPr>
    </w:p>
    <w:p>
      <w:pPr>
        <w:jc w:val="both"/>
        <w:ind w:left="580" w:firstLine="1166"/>
        <w:spacing w:after="0" w:line="292" w:lineRule="auto"/>
        <w:tabs>
          <w:tab w:leader="none" w:pos="2351" w:val="left"/>
        </w:tabs>
        <w:numPr>
          <w:ilvl w:val="1"/>
          <w:numId w:val="355"/>
        </w:numPr>
        <w:rPr>
          <w:rFonts w:ascii="Arial" w:cs="Arial" w:eastAsia="Arial" w:hAnsi="Arial"/>
          <w:sz w:val="15"/>
          <w:szCs w:val="15"/>
          <w:color w:val="auto"/>
        </w:rPr>
      </w:pPr>
      <w:r>
        <w:rPr>
          <w:rFonts w:ascii="Arial" w:cs="Arial" w:eastAsia="Arial" w:hAnsi="Arial"/>
          <w:sz w:val="15"/>
          <w:szCs w:val="15"/>
          <w:u w:val="single" w:color="auto"/>
          <w:color w:val="auto"/>
        </w:rPr>
        <w:t>No Effect on Other Plans</w:t>
      </w:r>
      <w:r>
        <w:rPr>
          <w:rFonts w:ascii="Arial" w:cs="Arial" w:eastAsia="Arial" w:hAnsi="Arial"/>
          <w:sz w:val="15"/>
          <w:szCs w:val="15"/>
          <w:color w:val="auto"/>
        </w:rPr>
        <w:t>. Neither the adoption of the Plan nor anything contained herein shall affect any other compensation or incentive plans or arrangements of the Company or any Designated Subsidiary, or prevent or limit the right of the Company or any Designated Subsidiary to establish any other forms of incentives or compensation for their employees or grant or assume options or other rights otherwise than under the Plan.</w:t>
      </w:r>
    </w:p>
    <w:p>
      <w:pPr>
        <w:spacing w:after="0" w:line="145" w:lineRule="exact"/>
        <w:rPr>
          <w:rFonts w:ascii="Arial" w:cs="Arial" w:eastAsia="Arial" w:hAnsi="Arial"/>
          <w:sz w:val="15"/>
          <w:szCs w:val="15"/>
          <w:color w:val="auto"/>
        </w:rPr>
      </w:pPr>
    </w:p>
    <w:p>
      <w:pPr>
        <w:jc w:val="both"/>
        <w:ind w:firstLine="1164"/>
        <w:spacing w:after="0" w:line="292" w:lineRule="auto"/>
        <w:tabs>
          <w:tab w:leader="none" w:pos="1755" w:val="left"/>
        </w:tabs>
        <w:numPr>
          <w:ilvl w:val="0"/>
          <w:numId w:val="356"/>
        </w:numPr>
        <w:rPr>
          <w:rFonts w:ascii="Arial" w:cs="Arial" w:eastAsia="Arial" w:hAnsi="Arial"/>
          <w:sz w:val="15"/>
          <w:szCs w:val="15"/>
          <w:color w:val="auto"/>
        </w:rPr>
      </w:pPr>
      <w:r>
        <w:rPr>
          <w:rFonts w:ascii="Arial" w:cs="Arial" w:eastAsia="Arial" w:hAnsi="Arial"/>
          <w:sz w:val="15"/>
          <w:szCs w:val="15"/>
          <w:u w:val="single" w:color="auto"/>
          <w:color w:val="auto"/>
        </w:rPr>
        <w:t>Participants Deemed to Accept Plan</w:t>
      </w:r>
      <w:r>
        <w:rPr>
          <w:rFonts w:ascii="Arial" w:cs="Arial" w:eastAsia="Arial" w:hAnsi="Arial"/>
          <w:sz w:val="15"/>
          <w:szCs w:val="15"/>
          <w:color w:val="auto"/>
        </w:rPr>
        <w:t>. By accepting any benefit under the Plan, each Participant and each person claiming under or through any such Participant shall be conclusively deemed to have indicated their acceptance and ratification of, and consent to, all of the terms and conditions of the Plan and any action taken under the Plan by the Board, the Committee or the Company, in any case in accordance with the terms and conditions of the Plan.</w:t>
      </w:r>
    </w:p>
    <w:p>
      <w:pPr>
        <w:spacing w:after="0" w:line="145" w:lineRule="exact"/>
        <w:rPr>
          <w:rFonts w:ascii="Arial" w:cs="Arial" w:eastAsia="Arial" w:hAnsi="Arial"/>
          <w:sz w:val="15"/>
          <w:szCs w:val="15"/>
          <w:color w:val="auto"/>
        </w:rPr>
      </w:pPr>
    </w:p>
    <w:p>
      <w:pPr>
        <w:jc w:val="both"/>
        <w:ind w:firstLine="1164"/>
        <w:spacing w:after="0" w:line="305" w:lineRule="auto"/>
        <w:tabs>
          <w:tab w:leader="none" w:pos="1806" w:val="left"/>
        </w:tabs>
        <w:numPr>
          <w:ilvl w:val="0"/>
          <w:numId w:val="356"/>
        </w:numPr>
        <w:rPr>
          <w:rFonts w:ascii="Arial" w:cs="Arial" w:eastAsia="Arial" w:hAnsi="Arial"/>
          <w:sz w:val="14"/>
          <w:szCs w:val="14"/>
          <w:color w:val="auto"/>
        </w:rPr>
      </w:pPr>
      <w:r>
        <w:rPr>
          <w:rFonts w:ascii="Arial" w:cs="Arial" w:eastAsia="Arial" w:hAnsi="Arial"/>
          <w:sz w:val="14"/>
          <w:szCs w:val="14"/>
          <w:u w:val="single" w:color="auto"/>
          <w:color w:val="auto"/>
        </w:rPr>
        <w:t>Uncertificated Shares</w:t>
      </w:r>
      <w:r>
        <w:rPr>
          <w:rFonts w:ascii="Arial" w:cs="Arial" w:eastAsia="Arial" w:hAnsi="Arial"/>
          <w:sz w:val="14"/>
          <w:szCs w:val="14"/>
          <w:color w:val="auto"/>
        </w:rPr>
        <w:t>. To the extent that the Plan provides for issuance of certificates to reflect the transfer of Shares, the transfer of such Shares may nevertheless be effected on an uncertificated basis, to the extent not prohibited by applicable law or the rules of any stock exchange. Notwithstanding any contrary Plan provisions prescribing the manner and form in which share certificates may be issued and/or Shares may be held by or on behalf of Participants, the Company and any affiliate thereof shall have the right to make such alternative arrangements as they may, in their discretion, determine, and which may include the transfer of Shares and/or the issue of share certificates to any nominee or trust or other third party arrangement established for the benefit in whole or in part of Participants.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6" w:name="page327"/>
    <w:bookmarkEnd w:id="326"/>
    <w:p>
      <w:pPr>
        <w:jc w:val="both"/>
        <w:ind w:firstLine="1164"/>
        <w:spacing w:after="0" w:line="267" w:lineRule="auto"/>
        <w:tabs>
          <w:tab w:leader="none" w:pos="1764"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Plan shall be governed by the laws of the State of Israel, excluding any conflicts or choice of law rule or principle that might otherwise refer construction or interpretation of the Plan to the substantive law of another jurisdiction. Participants are deemed to submit to the exclusive jurisdiction and venue of the courts in Tel-Aviv, Israel, to resolve any and all issues that may arise out of or relate to the Plan or any related document.</w:t>
      </w:r>
    </w:p>
    <w:p>
      <w:pPr>
        <w:spacing w:after="0" w:line="161" w:lineRule="exact"/>
        <w:rPr>
          <w:rFonts w:ascii="Arial" w:cs="Arial" w:eastAsia="Arial" w:hAnsi="Arial"/>
          <w:sz w:val="16"/>
          <w:szCs w:val="16"/>
          <w:color w:val="auto"/>
        </w:rPr>
      </w:pPr>
    </w:p>
    <w:p>
      <w:pPr>
        <w:jc w:val="both"/>
        <w:ind w:firstLine="1164"/>
        <w:spacing w:after="0" w:line="259" w:lineRule="auto"/>
        <w:tabs>
          <w:tab w:leader="none" w:pos="1803"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No Constraint on Corporate Action</w:t>
      </w:r>
      <w:r>
        <w:rPr>
          <w:rFonts w:ascii="Arial" w:cs="Arial" w:eastAsia="Arial" w:hAnsi="Arial"/>
          <w:sz w:val="16"/>
          <w:szCs w:val="16"/>
          <w:color w:val="auto"/>
        </w:rPr>
        <w:t>. Nothing contained in the Plan shall be construed to prevent the Company or any Designated Subsidiary from taking any corporate action (including the Company’s right or power to make adjustments, reclassifications, reorganizations or changes of its capital or business structure, or to merge or consolidate, or dissolve, liquidate, sell, or transfer all or any part of its business or assets) which is deemed by it to be appropriate, or in its best interest, whether or not such action would have an adverse effect on the Plan, or any rights awarded Participants under the Plan. No employee, beneficiary, or other person, shall have any claim against the Company or any Designated Subsidiary as a result of any such action.</w:t>
      </w:r>
    </w:p>
    <w:p>
      <w:pPr>
        <w:spacing w:after="0" w:line="170" w:lineRule="exact"/>
        <w:rPr>
          <w:rFonts w:ascii="Arial" w:cs="Arial" w:eastAsia="Arial" w:hAnsi="Arial"/>
          <w:sz w:val="16"/>
          <w:szCs w:val="16"/>
          <w:color w:val="auto"/>
        </w:rPr>
      </w:pPr>
    </w:p>
    <w:p>
      <w:pPr>
        <w:ind w:firstLine="1164"/>
        <w:spacing w:after="0" w:line="281" w:lineRule="auto"/>
        <w:tabs>
          <w:tab w:leader="none" w:pos="1779"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Section 16</w:t>
      </w:r>
      <w:r>
        <w:rPr>
          <w:rFonts w:ascii="Arial" w:cs="Arial" w:eastAsia="Arial" w:hAnsi="Arial"/>
          <w:sz w:val="16"/>
          <w:szCs w:val="16"/>
          <w:color w:val="auto"/>
        </w:rPr>
        <w:t>. The provisions and operation of the Plan are intended to result in no transaction under the Plan being subject to (and not exempt from) the rules of Section 16 of the Securities Exchange Act of 1934, as amended, to the extent such rules are or become applicable to the Company.</w:t>
      </w:r>
    </w:p>
    <w:p>
      <w:pPr>
        <w:spacing w:after="0" w:line="150" w:lineRule="exact"/>
        <w:rPr>
          <w:rFonts w:ascii="Arial" w:cs="Arial" w:eastAsia="Arial" w:hAnsi="Arial"/>
          <w:sz w:val="16"/>
          <w:szCs w:val="16"/>
          <w:color w:val="auto"/>
        </w:rPr>
      </w:pPr>
    </w:p>
    <w:p>
      <w:pPr>
        <w:ind w:left="1760" w:hanging="596"/>
        <w:spacing w:after="0"/>
        <w:tabs>
          <w:tab w:leader="none" w:pos="1760"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Requirements of Law; Limitations on Awards</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left="580" w:firstLine="1166"/>
        <w:spacing w:after="0" w:line="267" w:lineRule="auto"/>
        <w:tabs>
          <w:tab w:leader="none" w:pos="2389" w:val="left"/>
        </w:tabs>
        <w:numPr>
          <w:ilvl w:val="1"/>
          <w:numId w:val="357"/>
        </w:numPr>
        <w:rPr>
          <w:rFonts w:ascii="Arial" w:cs="Arial" w:eastAsia="Arial" w:hAnsi="Arial"/>
          <w:sz w:val="16"/>
          <w:szCs w:val="16"/>
          <w:color w:val="auto"/>
        </w:rPr>
      </w:pPr>
      <w:r>
        <w:rPr>
          <w:rFonts w:ascii="Arial" w:cs="Arial" w:eastAsia="Arial" w:hAnsi="Arial"/>
          <w:sz w:val="16"/>
          <w:szCs w:val="16"/>
          <w:color w:val="auto"/>
        </w:rPr>
        <w:t>The Plan, the granting, acceptance and exercise of options and the issuance of Shares under the Plan and the Company’s obligation to sell and deliver Shares upon the exercise of options to purchase Shares shall be subject to all applicable laws, rules, and regulations, and to such approvals by any governmental agencies or national securities exchanges as may be required.</w:t>
      </w:r>
    </w:p>
    <w:p>
      <w:pPr>
        <w:spacing w:after="0" w:line="161" w:lineRule="exact"/>
        <w:rPr>
          <w:rFonts w:ascii="Arial" w:cs="Arial" w:eastAsia="Arial" w:hAnsi="Arial"/>
          <w:sz w:val="16"/>
          <w:szCs w:val="16"/>
          <w:color w:val="auto"/>
        </w:rPr>
      </w:pPr>
    </w:p>
    <w:p>
      <w:pPr>
        <w:jc w:val="both"/>
        <w:ind w:left="580" w:firstLine="1166"/>
        <w:spacing w:after="0" w:line="281" w:lineRule="auto"/>
        <w:tabs>
          <w:tab w:leader="none" w:pos="2533" w:val="left"/>
        </w:tabs>
        <w:numPr>
          <w:ilvl w:val="1"/>
          <w:numId w:val="357"/>
        </w:numPr>
        <w:rPr>
          <w:rFonts w:ascii="Arial" w:cs="Arial" w:eastAsia="Arial" w:hAnsi="Arial"/>
          <w:sz w:val="15"/>
          <w:szCs w:val="15"/>
          <w:color w:val="auto"/>
        </w:rPr>
      </w:pPr>
      <w:r>
        <w:rPr>
          <w:rFonts w:ascii="Arial" w:cs="Arial" w:eastAsia="Arial" w:hAnsi="Arial"/>
          <w:sz w:val="15"/>
          <w:szCs w:val="15"/>
          <w:color w:val="auto"/>
        </w:rPr>
        <w:t>If at any time the Committee shall determine, in its discretion, that the listing, registration and/or qualification of Shares upon any securities exchange or under any state, Federal or non-United States law, or the consent or approval of any governmental regulatory body, is necessary or desirable as a condition of, or in connection with, the sale or purchase of Shares hereunder, the Company shall have no obligation to allow the grant or exercise of any option under the Plan, or to issue or deliver evidence of title for Shares issued under the Plan, in whole or in part, unless and until such listing, registration, qualification, consent and/or approval shall have been effected or obtained, or otherwise provided for, free of any conditions not acceptable to the Committee.</w:t>
      </w:r>
    </w:p>
    <w:p>
      <w:pPr>
        <w:spacing w:after="0" w:line="153" w:lineRule="exact"/>
        <w:rPr>
          <w:rFonts w:ascii="Arial" w:cs="Arial" w:eastAsia="Arial" w:hAnsi="Arial"/>
          <w:sz w:val="15"/>
          <w:szCs w:val="15"/>
          <w:color w:val="auto"/>
        </w:rPr>
      </w:pPr>
    </w:p>
    <w:p>
      <w:pPr>
        <w:jc w:val="both"/>
        <w:ind w:left="580" w:firstLine="1166"/>
        <w:spacing w:after="0" w:line="278" w:lineRule="auto"/>
        <w:tabs>
          <w:tab w:leader="none" w:pos="2374" w:val="left"/>
        </w:tabs>
        <w:numPr>
          <w:ilvl w:val="1"/>
          <w:numId w:val="357"/>
        </w:numPr>
        <w:rPr>
          <w:rFonts w:ascii="Arial" w:cs="Arial" w:eastAsia="Arial" w:hAnsi="Arial"/>
          <w:sz w:val="15"/>
          <w:szCs w:val="15"/>
          <w:color w:val="auto"/>
        </w:rPr>
      </w:pPr>
      <w:r>
        <w:rPr>
          <w:rFonts w:ascii="Arial" w:cs="Arial" w:eastAsia="Arial" w:hAnsi="Arial"/>
          <w:sz w:val="15"/>
          <w:szCs w:val="15"/>
          <w:color w:val="auto"/>
        </w:rPr>
        <w:t>If at any time counsel to the Company shall be of the opinion that any sale or delivery of Shares pursuant to an option is or may be in the circumstances unlawful or result in the imposition of excise taxes on the Company, any Designated Subsidiary or any affiliate respectively thereof under the statutes, rules or regulations of any applicable jurisdiction, the Company shall have no obligation to make such sale or delivery, or to make any application or to effect or to maintain any qualification or registration under the United States Securities Act of 1933, as amended, or otherwise with respect to Shares or options, and the right to exercise any option under the Plan shall be suspended until, in the opinion of such counsel, such sale or delivery shall be lawful or will not result in the imposition of excise taxes on the Company, any Designated Subsidiary or any such affiliate.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7" w:name="page328"/>
    <w:bookmarkEnd w:id="327"/>
    <w:p>
      <w:pPr>
        <w:jc w:val="both"/>
        <w:ind w:left="580" w:firstLine="1166"/>
        <w:spacing w:after="0" w:line="267" w:lineRule="auto"/>
        <w:tabs>
          <w:tab w:leader="none" w:pos="2390"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Upon termination of any period of suspension under </w:t>
      </w:r>
      <w:r>
        <w:rPr>
          <w:rFonts w:ascii="Arial" w:cs="Arial" w:eastAsia="Arial" w:hAnsi="Arial"/>
          <w:sz w:val="16"/>
          <w:szCs w:val="16"/>
          <w:u w:val="single" w:color="auto"/>
          <w:color w:val="auto"/>
        </w:rPr>
        <w:t>Section 16(i)(iii)</w:t>
      </w:r>
      <w:r>
        <w:rPr>
          <w:rFonts w:ascii="Arial" w:cs="Arial" w:eastAsia="Arial" w:hAnsi="Arial"/>
          <w:sz w:val="16"/>
          <w:szCs w:val="16"/>
          <w:color w:val="auto"/>
        </w:rPr>
        <w:t>, any option affected by such suspension which shall not then have expired or terminated shall be reinstated as to all Shares available before such suspension and as to the Shares which would otherwise have become available during the period of such suspension, but no suspension shall extend the term of any option.</w:t>
      </w:r>
    </w:p>
    <w:p>
      <w:pPr>
        <w:spacing w:after="0" w:line="161" w:lineRule="exact"/>
        <w:rPr>
          <w:rFonts w:ascii="Arial" w:cs="Arial" w:eastAsia="Arial" w:hAnsi="Arial"/>
          <w:sz w:val="16"/>
          <w:szCs w:val="16"/>
          <w:color w:val="auto"/>
        </w:rPr>
      </w:pPr>
    </w:p>
    <w:p>
      <w:pPr>
        <w:jc w:val="both"/>
        <w:ind w:left="580" w:firstLine="1166"/>
        <w:spacing w:after="0" w:line="305" w:lineRule="auto"/>
        <w:tabs>
          <w:tab w:leader="none" w:pos="2414" w:val="left"/>
        </w:tabs>
        <w:numPr>
          <w:ilvl w:val="1"/>
          <w:numId w:val="358"/>
        </w:numPr>
        <w:rPr>
          <w:rFonts w:ascii="Arial" w:cs="Arial" w:eastAsia="Arial" w:hAnsi="Arial"/>
          <w:sz w:val="14"/>
          <w:szCs w:val="14"/>
          <w:color w:val="auto"/>
        </w:rPr>
      </w:pPr>
      <w:r>
        <w:rPr>
          <w:rFonts w:ascii="Arial" w:cs="Arial" w:eastAsia="Arial" w:hAnsi="Arial"/>
          <w:sz w:val="14"/>
          <w:szCs w:val="14"/>
          <w:color w:val="auto"/>
        </w:rPr>
        <w:t>The Committee may require each person receiving Shares in connection with any option under the Plan to represent and agree with the Company in writing that such person is acquiring such Shares for investment without a view to the distribution thereof, and/or provide such other representations and agreements as the Committee may prescribe. The Committee, in its absolute discretion, may impose such restrictions on the ownership and transferability of the Shares purchasable or otherwise receivable by any person under any option as it deems appropriate. Any such restrictions may be set forth in the applicable agreement, and the certificates evidencing such shares may include any legend that the Committee deems appropriate to reflect any such restrictions.</w:t>
      </w:r>
    </w:p>
    <w:p>
      <w:pPr>
        <w:spacing w:after="0" w:line="139" w:lineRule="exact"/>
        <w:rPr>
          <w:rFonts w:ascii="Arial" w:cs="Arial" w:eastAsia="Arial" w:hAnsi="Arial"/>
          <w:sz w:val="14"/>
          <w:szCs w:val="14"/>
          <w:color w:val="auto"/>
        </w:rPr>
      </w:pPr>
    </w:p>
    <w:p>
      <w:pPr>
        <w:jc w:val="both"/>
        <w:ind w:firstLine="1164"/>
        <w:spacing w:after="0" w:line="285" w:lineRule="auto"/>
        <w:tabs>
          <w:tab w:leader="none" w:pos="1771" w:val="left"/>
        </w:tabs>
        <w:numPr>
          <w:ilvl w:val="0"/>
          <w:numId w:val="359"/>
        </w:numPr>
        <w:rPr>
          <w:rFonts w:ascii="Arial" w:cs="Arial" w:eastAsia="Arial" w:hAnsi="Arial"/>
          <w:sz w:val="15"/>
          <w:szCs w:val="15"/>
          <w:color w:val="auto"/>
        </w:rPr>
      </w:pPr>
      <w:r>
        <w:rPr>
          <w:rFonts w:ascii="Arial" w:cs="Arial" w:eastAsia="Arial" w:hAnsi="Arial"/>
          <w:sz w:val="15"/>
          <w:szCs w:val="15"/>
          <w:u w:val="single" w:color="auto"/>
          <w:color w:val="auto"/>
        </w:rPr>
        <w:t>Data Protection</w:t>
      </w:r>
      <w:r>
        <w:rPr>
          <w:rFonts w:ascii="Arial" w:cs="Arial" w:eastAsia="Arial" w:hAnsi="Arial"/>
          <w:sz w:val="15"/>
          <w:szCs w:val="15"/>
          <w:color w:val="auto"/>
        </w:rPr>
        <w:t>. By participating in the Plan, each Participant consents to the collection, processing, transmission and storage by the Company and any Designated Subsidiary, in any form whatsoever, of any data of a professional or personal nature which is necessary for the purposes of administering the Plan. The Company and any Designated Subsidiary may share such information with any affiliate thereof, any trustee, its registrars, brokers, other third-party administrator or any person who obtains control of the Company or any Designated Subsidiary or any affiliate respectively thereof, or any division respectively thereof.</w:t>
      </w:r>
    </w:p>
    <w:p>
      <w:pPr>
        <w:spacing w:after="0" w:line="149" w:lineRule="exact"/>
        <w:rPr>
          <w:rFonts w:ascii="Arial" w:cs="Arial" w:eastAsia="Arial" w:hAnsi="Arial"/>
          <w:sz w:val="15"/>
          <w:szCs w:val="15"/>
          <w:color w:val="auto"/>
        </w:rPr>
      </w:pPr>
    </w:p>
    <w:p>
      <w:pPr>
        <w:jc w:val="both"/>
        <w:ind w:firstLine="1164"/>
        <w:spacing w:after="0" w:line="267" w:lineRule="auto"/>
        <w:tabs>
          <w:tab w:leader="none" w:pos="1900"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Any reference in the Plan or any related agreement to an agreement, document, statement, instrument or notice, whether written or otherwise, will include any agreement, document, statement, instrument or notice delivered electronically, filed publicly at www.sec.gov (or any successor website thereto) or posted on the Company’s intranet.</w:t>
      </w:r>
    </w:p>
    <w:p>
      <w:pPr>
        <w:spacing w:after="0" w:line="161" w:lineRule="exact"/>
        <w:rPr>
          <w:rFonts w:ascii="Arial" w:cs="Arial" w:eastAsia="Arial" w:hAnsi="Arial"/>
          <w:sz w:val="16"/>
          <w:szCs w:val="16"/>
          <w:color w:val="auto"/>
        </w:rPr>
      </w:pPr>
    </w:p>
    <w:p>
      <w:pPr>
        <w:jc w:val="both"/>
        <w:ind w:firstLine="1164"/>
        <w:spacing w:after="0" w:line="259" w:lineRule="auto"/>
        <w:tabs>
          <w:tab w:leader="none" w:pos="1807"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Drafting Context; Captions</w:t>
      </w:r>
      <w:r>
        <w:rPr>
          <w:rFonts w:ascii="Arial" w:cs="Arial" w:eastAsia="Arial" w:hAnsi="Arial"/>
          <w:sz w:val="16"/>
          <w:szCs w:val="16"/>
          <w:color w:val="auto"/>
        </w:rPr>
        <w:t>. Except where otherwise indicated by the context, any masculine term used herein also shall include the feminine; the plural shall include the singular and the singular shall include the plural. The word “Section” herein shall refer to provisions of the Plan, unless expressly indicated otherwise. The words “include,” “includes,” and “including” herein shall be deemed to be followed by “without limitation” whether or not they are in fact followed by such words or words of similar import, unless the context otherwise requires. The headings and captions appearing herein are inserted only as a matter of convenience. They do not define, limit, construe, or describe the scope or intent of the provisions of the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8" w:name="page329"/>
    <w:bookmarkEnd w:id="328"/>
    <w:p>
      <w:pPr>
        <w:jc w:val="both"/>
        <w:ind w:firstLine="1164"/>
        <w:spacing w:after="0" w:line="267" w:lineRule="auto"/>
        <w:tabs>
          <w:tab w:leader="none" w:pos="1848"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Following adoption of the Plan by the Board, the Plan shall become effective upon the date on which the Plan is approved by the shareholders of the Company who are present and/or represented at an annual or special meeting of shareholders where a quorum is present, which approval occurs within the period ending twelve (12) months before or after the date the Plan is adopted by the Board.</w:t>
      </w:r>
    </w:p>
    <w:p>
      <w:pPr>
        <w:spacing w:after="0" w:line="161" w:lineRule="exact"/>
        <w:rPr>
          <w:rFonts w:ascii="Arial" w:cs="Arial" w:eastAsia="Arial" w:hAnsi="Arial"/>
          <w:sz w:val="16"/>
          <w:szCs w:val="16"/>
          <w:color w:val="auto"/>
        </w:rPr>
      </w:pPr>
    </w:p>
    <w:p>
      <w:pPr>
        <w:ind w:left="1760" w:hanging="596"/>
        <w:spacing w:after="0"/>
        <w:tabs>
          <w:tab w:leader="none" w:pos="1760"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Rules for Israeli and Other Jurisdictions</w:t>
      </w:r>
      <w:r>
        <w:rPr>
          <w:rFonts w:ascii="Arial" w:cs="Arial" w:eastAsia="Arial" w:hAnsi="Arial"/>
          <w:sz w:val="16"/>
          <w:szCs w:val="16"/>
          <w:color w:val="auto"/>
        </w:rPr>
        <w:t>.</w:t>
      </w:r>
    </w:p>
    <w:p>
      <w:pPr>
        <w:spacing w:after="0" w:line="204" w:lineRule="exact"/>
        <w:rPr>
          <w:sz w:val="20"/>
          <w:szCs w:val="20"/>
          <w:color w:val="auto"/>
        </w:rPr>
      </w:pPr>
    </w:p>
    <w:p>
      <w:pPr>
        <w:jc w:val="both"/>
        <w:ind w:left="580" w:firstLine="584"/>
        <w:spacing w:after="0" w:line="258" w:lineRule="auto"/>
        <w:tabs>
          <w:tab w:leader="none" w:pos="1829" w:val="left"/>
        </w:tabs>
        <w:numPr>
          <w:ilvl w:val="0"/>
          <w:numId w:val="361"/>
        </w:numPr>
        <w:rPr>
          <w:rFonts w:ascii="Arial" w:cs="Arial" w:eastAsia="Arial" w:hAnsi="Arial"/>
          <w:sz w:val="16"/>
          <w:szCs w:val="16"/>
          <w:color w:val="auto"/>
        </w:rPr>
      </w:pPr>
      <w:r>
        <w:rPr>
          <w:rFonts w:ascii="Arial" w:cs="Arial" w:eastAsia="Arial" w:hAnsi="Arial"/>
          <w:sz w:val="16"/>
          <w:szCs w:val="16"/>
          <w:color w:val="auto"/>
        </w:rPr>
        <w:t>With respect to Employees employed in Israel, the Plan may qualify, in the discretion of the Company, under any tax route of Section 102 of the Israeli Tax Ordinance (as amended) or under any tax ruling given in this matter by the Israeli tax authorities (if any). Notwithstanding any other provision of the Plan, the grant of options and issuance of Shares hereunder is subject to any rules, regulations and limitations of applicable law resulting from the tax route elected by the Company or as promulgated by such tax ruling (if any). As a condition for grant of options and issuance of Shares hereunder, a Participant shall execute any document and assume any obligation required by the Company in order to comply with such rules, regulations and limitations, including any trust arrangement (if applicable).</w:t>
      </w:r>
    </w:p>
    <w:p>
      <w:pPr>
        <w:spacing w:after="0" w:line="169" w:lineRule="exact"/>
        <w:rPr>
          <w:rFonts w:ascii="Arial" w:cs="Arial" w:eastAsia="Arial" w:hAnsi="Arial"/>
          <w:sz w:val="16"/>
          <w:szCs w:val="16"/>
          <w:color w:val="auto"/>
        </w:rPr>
      </w:pPr>
    </w:p>
    <w:p>
      <w:pPr>
        <w:jc w:val="both"/>
        <w:ind w:left="580" w:firstLine="584"/>
        <w:spacing w:after="0" w:line="258" w:lineRule="auto"/>
        <w:tabs>
          <w:tab w:leader="none" w:pos="1767"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Committee may adopt rules or procedures relating to the operation and administration of the Plan to accommodate the specific requirements of local laws and procedures. Without limiting the generality of the foregoing, the Committee is specifically authorized, in its discretion, to adopt rules and procedures regarding handling of payroll deductions, payment of interest, conversion of local currency, payroll tax, withholding procedures and handling of share certificates which vary with local requirements. The Committee may also adopt sub-plans applicable to particular Designated Subsidiaries, locations or classes of Employees. The rules of any such sub-plans shall take precedence over other provisions of the Plan, but unless otherwise superseded by the terms of such sub-plan, the provisions of the Plan shall govern the operation of such sub-plan.</w:t>
      </w:r>
    </w:p>
    <w:p>
      <w:pPr>
        <w:spacing w:after="0" w:line="169" w:lineRule="exact"/>
        <w:rPr>
          <w:rFonts w:ascii="Arial" w:cs="Arial" w:eastAsia="Arial" w:hAnsi="Arial"/>
          <w:sz w:val="16"/>
          <w:szCs w:val="16"/>
          <w:color w:val="auto"/>
        </w:rPr>
      </w:pPr>
    </w:p>
    <w:p>
      <w:pPr>
        <w:ind w:left="580" w:firstLine="584"/>
        <w:spacing w:after="0" w:line="355" w:lineRule="auto"/>
        <w:tabs>
          <w:tab w:leader="none" w:pos="1776" w:val="left"/>
        </w:tabs>
        <w:numPr>
          <w:ilvl w:val="0"/>
          <w:numId w:val="361"/>
        </w:numPr>
        <w:rPr>
          <w:rFonts w:ascii="Arial" w:cs="Arial" w:eastAsia="Arial" w:hAnsi="Arial"/>
          <w:sz w:val="14"/>
          <w:szCs w:val="14"/>
          <w:color w:val="auto"/>
        </w:rPr>
      </w:pPr>
      <w:r>
        <w:rPr>
          <w:rFonts w:ascii="Arial" w:cs="Arial" w:eastAsia="Arial" w:hAnsi="Arial"/>
          <w:sz w:val="14"/>
          <w:szCs w:val="14"/>
          <w:color w:val="auto"/>
        </w:rPr>
        <w:t xml:space="preserve">Any grant of options or sub-plan to which this </w:t>
      </w:r>
      <w:r>
        <w:rPr>
          <w:rFonts w:ascii="Arial" w:cs="Arial" w:eastAsia="Arial" w:hAnsi="Arial"/>
          <w:sz w:val="14"/>
          <w:szCs w:val="14"/>
          <w:u w:val="single" w:color="auto"/>
          <w:color w:val="auto"/>
        </w:rPr>
        <w:t>Section 16(n)</w:t>
      </w:r>
      <w:r>
        <w:rPr>
          <w:rFonts w:ascii="Arial" w:cs="Arial" w:eastAsia="Arial" w:hAnsi="Arial"/>
          <w:sz w:val="14"/>
          <w:szCs w:val="14"/>
          <w:color w:val="auto"/>
        </w:rPr>
        <w:t xml:space="preserve"> applies shall constitute a separate offering for purposes of Code Section 423 and shall be administered, interpreted and construed in a manner consistent with the intended qualification of the remainder of the Plan under Section 423 of the Code.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8375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83755" cy="7620"/>
                    </a:xfrm>
                    <a:prstGeom prst="rect">
                      <a:avLst/>
                    </a:prstGeom>
                    <a:noFill/>
                  </pic:spPr>
                </pic:pic>
              </a:graphicData>
            </a:graphic>
          </wp:anchor>
        </w:drawing>
      </w:r>
    </w:p>
    <w:p>
      <w:pPr>
        <w:sectPr>
          <w:pgSz w:w="11900" w:h="16838" w:orient="portrait"/>
          <w:cols w:equalWidth="0" w:num="1">
            <w:col w:w="11300"/>
          </w:cols>
          <w:pgMar w:left="300" w:top="805" w:right="299" w:bottom="1440" w:gutter="0" w:footer="0" w:header="0"/>
        </w:sectPr>
      </w:pPr>
    </w:p>
    <w:bookmarkStart w:id="329" w:name="page330"/>
    <w:bookmarkEnd w:id="329"/>
    <w:p>
      <w:pPr>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February 25, 2015, (except for Notes 2v, 9, 10, 11i, 15c and 15d, as to which the date is March 18, 2015) in Amendment No. 3 to the Registration Statement (Form F-1 No. 333-202291) and related Prospectus of Kornit Digital Ltd. dated March 18, 2015.</w:t>
      </w:r>
    </w:p>
    <w:p>
      <w:pPr>
        <w:sectPr>
          <w:pgSz w:w="11900" w:h="16838" w:orient="portrait"/>
          <w:cols w:equalWidth="0" w:num="1">
            <w:col w:w="11300"/>
          </w:cols>
          <w:pgMar w:left="300" w:top="123" w:right="2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Tel-Aviv, Israel</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March 18, 2015</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/s/ Kost Forer Gabbay &amp; Kasierer</w:t>
      </w:r>
    </w:p>
    <w:p>
      <w:pPr>
        <w:spacing w:after="0" w:line="22" w:lineRule="exact"/>
        <w:rPr>
          <w:sz w:val="20"/>
          <w:szCs w:val="20"/>
          <w:color w:val="auto"/>
        </w:rPr>
      </w:pPr>
    </w:p>
    <w:p>
      <w:pPr>
        <w:jc w:val="center"/>
        <w:ind w:right="1760"/>
        <w:spacing w:after="0"/>
        <w:rPr>
          <w:sz w:val="20"/>
          <w:szCs w:val="20"/>
          <w:color w:val="auto"/>
        </w:rPr>
      </w:pPr>
      <w:r>
        <w:rPr>
          <w:rFonts w:ascii="Arial" w:cs="Arial" w:eastAsia="Arial" w:hAnsi="Arial"/>
          <w:sz w:val="15"/>
          <w:szCs w:val="15"/>
          <w:color w:val="auto"/>
        </w:rPr>
        <w:t>KOST FORER GABBAY &amp; KASIERER</w:t>
      </w:r>
    </w:p>
    <w:p>
      <w:pPr>
        <w:spacing w:after="0" w:line="21"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A Member of Ernst &amp; Young Global</w:t>
      </w:r>
    </w:p>
    <w:p>
      <w:pPr>
        <w:sectPr>
          <w:pgSz w:w="11900" w:h="16838" w:orient="portrait"/>
          <w:cols w:equalWidth="0" w:num="2">
            <w:col w:w="6140" w:space="720"/>
            <w:col w:w="4440"/>
          </w:cols>
          <w:pgMar w:left="300" w:top="123" w:right="299" w:bottom="1440" w:gutter="0" w:footer="0" w:header="0"/>
          <w:type w:val="continuous"/>
        </w:sectPr>
      </w:pPr>
    </w:p>
    <w:bookmarkStart w:id="330" w:name="page331"/>
    <w:bookmarkEnd w:id="330"/>
    <w:p>
      <w:pPr>
        <w:jc w:val="right"/>
        <w:spacing w:after="0"/>
        <w:rPr>
          <w:sz w:val="20"/>
          <w:szCs w:val="20"/>
          <w:color w:val="auto"/>
        </w:rPr>
      </w:pPr>
      <w:r>
        <w:rPr>
          <w:rFonts w:ascii="Arial" w:cs="Arial" w:eastAsia="Arial" w:hAnsi="Arial"/>
          <w:sz w:val="16"/>
          <w:szCs w:val="16"/>
          <w:b w:val="1"/>
          <w:bCs w:val="1"/>
          <w:color w:val="auto"/>
        </w:rPr>
        <w:t>Exhibit 99.1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385"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5"/>
          <w:szCs w:val="15"/>
          <w:color w:val="auto"/>
        </w:rPr>
        <w:t>KNOW ALL MEN BY THESE PRESENTED, that each director and officer of Kornit Digital Ltd. whose signature appears below hereby appoints Gabi Seligsohn and Guy Avidan, and each of them severally, acting alone and without the other, his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the Registration Statement on Form F-1 of Kornit Digital Ltd. (333-202291), initially filed with the Securities and Exchange Commission on February 25, 2015,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200" w:lineRule="exact"/>
        <w:rPr>
          <w:sz w:val="20"/>
          <w:szCs w:val="20"/>
          <w:color w:val="auto"/>
        </w:rPr>
      </w:pPr>
    </w:p>
    <w:p>
      <w:pPr>
        <w:spacing w:after="0" w:line="347" w:lineRule="exact"/>
        <w:rPr>
          <w:sz w:val="20"/>
          <w:szCs w:val="20"/>
          <w:color w:val="auto"/>
        </w:rPr>
      </w:pPr>
    </w:p>
    <w:tbl>
      <w:tblPr>
        <w:tblLayout w:type="fixed"/>
        <w:tblInd w:w="104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500" w:type="dxa"/>
            <w:vAlign w:val="bottom"/>
          </w:tcPr>
          <w:p>
            <w:pPr>
              <w:jc w:val="center"/>
              <w:spacing w:after="0"/>
              <w:rPr>
                <w:sz w:val="20"/>
                <w:szCs w:val="20"/>
                <w:color w:val="auto"/>
              </w:rPr>
            </w:pPr>
            <w:r>
              <w:rPr>
                <w:rFonts w:ascii="Arial" w:cs="Arial" w:eastAsia="Arial" w:hAnsi="Arial"/>
                <w:sz w:val="15"/>
                <w:szCs w:val="15"/>
                <w:b w:val="1"/>
                <w:bCs w:val="1"/>
                <w:color w:val="auto"/>
                <w:w w:val="92"/>
              </w:rPr>
              <w:t>Date</w:t>
            </w:r>
          </w:p>
        </w:tc>
        <w:tc>
          <w:tcPr>
            <w:tcW w:w="0" w:type="dxa"/>
            <w:vAlign w:val="bottom"/>
          </w:tcPr>
          <w:p>
            <w:pPr>
              <w:spacing w:after="0"/>
              <w:rPr>
                <w:sz w:val="1"/>
                <w:szCs w:val="1"/>
                <w:color w:val="auto"/>
              </w:rPr>
            </w:pPr>
          </w:p>
        </w:tc>
      </w:tr>
      <w:tr>
        <w:trPr>
          <w:trHeight w:val="79"/>
        </w:trPr>
        <w:tc>
          <w:tcPr>
            <w:tcW w:w="1720" w:type="dxa"/>
            <w:vAlign w:val="bottom"/>
            <w:vMerge w:val="restart"/>
          </w:tcPr>
          <w:p>
            <w:pPr>
              <w:jc w:val="center"/>
              <w:ind w:right="419"/>
              <w:spacing w:after="0"/>
              <w:rPr>
                <w:sz w:val="20"/>
                <w:szCs w:val="20"/>
                <w:color w:val="auto"/>
              </w:rPr>
            </w:pPr>
            <w:r>
              <w:rPr>
                <w:rFonts w:ascii="Arial" w:cs="Arial" w:eastAsia="Arial" w:hAnsi="Arial"/>
                <w:sz w:val="16"/>
                <w:szCs w:val="16"/>
                <w:color w:val="auto"/>
                <w:w w:val="93"/>
              </w:rPr>
              <w:t>/s/ Lauri Hanover</w:t>
            </w:r>
          </w:p>
        </w:tc>
        <w:tc>
          <w:tcPr>
            <w:tcW w:w="5040" w:type="dxa"/>
            <w:vAlign w:val="bottom"/>
          </w:tcPr>
          <w:p>
            <w:pPr>
              <w:spacing w:after="0"/>
              <w:rPr>
                <w:sz w:val="6"/>
                <w:szCs w:val="6"/>
                <w:color w:val="auto"/>
              </w:rPr>
            </w:pPr>
          </w:p>
        </w:tc>
        <w:tc>
          <w:tcPr>
            <w:tcW w:w="3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720" w:type="dxa"/>
            <w:vAlign w:val="bottom"/>
            <w:vMerge w:val="continue"/>
          </w:tcPr>
          <w:p>
            <w:pPr>
              <w:spacing w:after="0"/>
              <w:rPr>
                <w:sz w:val="19"/>
                <w:szCs w:val="19"/>
                <w:color w:val="auto"/>
              </w:rPr>
            </w:pPr>
          </w:p>
        </w:tc>
        <w:tc>
          <w:tcPr>
            <w:tcW w:w="5040" w:type="dxa"/>
            <w:vAlign w:val="bottom"/>
          </w:tcPr>
          <w:p>
            <w:pPr>
              <w:spacing w:after="0"/>
              <w:rPr>
                <w:sz w:val="19"/>
                <w:szCs w:val="19"/>
                <w:color w:val="auto"/>
              </w:rPr>
            </w:pPr>
          </w:p>
        </w:tc>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1"/>
              </w:rPr>
              <w:t>March 18, 2015</w:t>
            </w:r>
          </w:p>
        </w:tc>
        <w:tc>
          <w:tcPr>
            <w:tcW w:w="0" w:type="dxa"/>
            <w:vAlign w:val="bottom"/>
          </w:tcPr>
          <w:p>
            <w:pPr>
              <w:spacing w:after="0"/>
              <w:rPr>
                <w:sz w:val="1"/>
                <w:szCs w:val="1"/>
                <w:color w:val="auto"/>
              </w:rPr>
            </w:pPr>
          </w:p>
        </w:tc>
      </w:tr>
      <w:tr>
        <w:trPr>
          <w:trHeight w:val="242"/>
        </w:trPr>
        <w:tc>
          <w:tcPr>
            <w:tcW w:w="1720" w:type="dxa"/>
            <w:vAlign w:val="bottom"/>
          </w:tcPr>
          <w:p>
            <w:pPr>
              <w:jc w:val="center"/>
              <w:ind w:right="439"/>
              <w:spacing w:after="0"/>
              <w:rPr>
                <w:sz w:val="20"/>
                <w:szCs w:val="20"/>
                <w:color w:val="auto"/>
              </w:rPr>
            </w:pPr>
            <w:r>
              <w:rPr>
                <w:rFonts w:ascii="Arial" w:cs="Arial" w:eastAsia="Arial" w:hAnsi="Arial"/>
                <w:sz w:val="16"/>
                <w:szCs w:val="16"/>
                <w:color w:val="auto"/>
                <w:w w:val="95"/>
              </w:rPr>
              <w:t>Lauri Hanover</w:t>
            </w:r>
          </w:p>
        </w:tc>
        <w:tc>
          <w:tcPr>
            <w:tcW w:w="5040" w:type="dxa"/>
            <w:vAlign w:val="bottom"/>
          </w:tcPr>
          <w:p>
            <w:pPr>
              <w:ind w:left="520"/>
              <w:spacing w:after="0"/>
              <w:rPr>
                <w:sz w:val="20"/>
                <w:szCs w:val="20"/>
                <w:color w:val="auto"/>
              </w:rPr>
            </w:pPr>
            <w:r>
              <w:rPr>
                <w:rFonts w:ascii="Arial" w:cs="Arial" w:eastAsia="Arial" w:hAnsi="Arial"/>
                <w:sz w:val="16"/>
                <w:szCs w:val="16"/>
                <w:color w:val="auto"/>
              </w:rPr>
              <w:t>Director</w:t>
            </w: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720" w:type="dxa"/>
            <w:vAlign w:val="bottom"/>
          </w:tcPr>
          <w:p>
            <w:pPr>
              <w:jc w:val="center"/>
              <w:ind w:right="419"/>
              <w:spacing w:after="0"/>
              <w:rPr>
                <w:sz w:val="20"/>
                <w:szCs w:val="20"/>
                <w:color w:val="auto"/>
              </w:rPr>
            </w:pPr>
            <w:r>
              <w:rPr>
                <w:rFonts w:ascii="Arial" w:cs="Arial" w:eastAsia="Arial" w:hAnsi="Arial"/>
                <w:sz w:val="16"/>
                <w:szCs w:val="16"/>
                <w:color w:val="auto"/>
                <w:w w:val="94"/>
              </w:rPr>
              <w:t>/s/ Alon Lumbroso</w:t>
            </w:r>
          </w:p>
        </w:tc>
        <w:tc>
          <w:tcPr>
            <w:tcW w:w="504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1"/>
              </w:rPr>
              <w:t>March 18, 2015</w:t>
            </w:r>
          </w:p>
        </w:tc>
        <w:tc>
          <w:tcPr>
            <w:tcW w:w="0" w:type="dxa"/>
            <w:vAlign w:val="bottom"/>
          </w:tcPr>
          <w:p>
            <w:pPr>
              <w:spacing w:after="0"/>
              <w:rPr>
                <w:sz w:val="1"/>
                <w:szCs w:val="1"/>
                <w:color w:val="auto"/>
              </w:rPr>
            </w:pPr>
          </w:p>
        </w:tc>
      </w:tr>
      <w:tr>
        <w:trPr>
          <w:trHeight w:val="242"/>
        </w:trPr>
        <w:tc>
          <w:tcPr>
            <w:tcW w:w="1720" w:type="dxa"/>
            <w:vAlign w:val="bottom"/>
          </w:tcPr>
          <w:p>
            <w:pPr>
              <w:jc w:val="center"/>
              <w:ind w:right="439"/>
              <w:spacing w:after="0"/>
              <w:rPr>
                <w:sz w:val="20"/>
                <w:szCs w:val="20"/>
                <w:color w:val="auto"/>
              </w:rPr>
            </w:pPr>
            <w:r>
              <w:rPr>
                <w:rFonts w:ascii="Arial" w:cs="Arial" w:eastAsia="Arial" w:hAnsi="Arial"/>
                <w:sz w:val="16"/>
                <w:szCs w:val="16"/>
                <w:color w:val="auto"/>
                <w:w w:val="96"/>
              </w:rPr>
              <w:t>Alon Lumbroso</w:t>
            </w:r>
          </w:p>
        </w:tc>
        <w:tc>
          <w:tcPr>
            <w:tcW w:w="5040" w:type="dxa"/>
            <w:vAlign w:val="bottom"/>
          </w:tcPr>
          <w:p>
            <w:pPr>
              <w:ind w:left="520"/>
              <w:spacing w:after="0"/>
              <w:rPr>
                <w:sz w:val="20"/>
                <w:szCs w:val="20"/>
                <w:color w:val="auto"/>
              </w:rPr>
            </w:pPr>
            <w:r>
              <w:rPr>
                <w:rFonts w:ascii="Arial" w:cs="Arial" w:eastAsia="Arial" w:hAnsi="Arial"/>
                <w:sz w:val="16"/>
                <w:szCs w:val="16"/>
                <w:color w:val="auto"/>
              </w:rPr>
              <w:t>Director</w:t>
            </w: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720" w:type="dxa"/>
            <w:vAlign w:val="bottom"/>
          </w:tcPr>
          <w:p>
            <w:pPr>
              <w:jc w:val="center"/>
              <w:ind w:right="439"/>
              <w:spacing w:after="0"/>
              <w:rPr>
                <w:sz w:val="20"/>
                <w:szCs w:val="20"/>
                <w:color w:val="auto"/>
              </w:rPr>
            </w:pPr>
            <w:r>
              <w:rPr>
                <w:rFonts w:ascii="Arial" w:cs="Arial" w:eastAsia="Arial" w:hAnsi="Arial"/>
                <w:sz w:val="16"/>
                <w:szCs w:val="16"/>
                <w:color w:val="auto"/>
                <w:w w:val="91"/>
              </w:rPr>
              <w:t>/s/ Jerry Mandel</w:t>
            </w:r>
          </w:p>
        </w:tc>
        <w:tc>
          <w:tcPr>
            <w:tcW w:w="504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1"/>
              </w:rPr>
              <w:t>March 18, 2015</w:t>
            </w:r>
          </w:p>
        </w:tc>
        <w:tc>
          <w:tcPr>
            <w:tcW w:w="0" w:type="dxa"/>
            <w:vAlign w:val="bottom"/>
          </w:tcPr>
          <w:p>
            <w:pPr>
              <w:spacing w:after="0"/>
              <w:rPr>
                <w:sz w:val="1"/>
                <w:szCs w:val="1"/>
                <w:color w:val="auto"/>
              </w:rPr>
            </w:pPr>
          </w:p>
        </w:tc>
      </w:tr>
      <w:tr>
        <w:trPr>
          <w:trHeight w:val="242"/>
        </w:trPr>
        <w:tc>
          <w:tcPr>
            <w:tcW w:w="1720" w:type="dxa"/>
            <w:vAlign w:val="bottom"/>
          </w:tcPr>
          <w:p>
            <w:pPr>
              <w:jc w:val="center"/>
              <w:ind w:right="419"/>
              <w:spacing w:after="0"/>
              <w:rPr>
                <w:sz w:val="20"/>
                <w:szCs w:val="20"/>
                <w:color w:val="auto"/>
              </w:rPr>
            </w:pPr>
            <w:r>
              <w:rPr>
                <w:rFonts w:ascii="Arial" w:cs="Arial" w:eastAsia="Arial" w:hAnsi="Arial"/>
                <w:sz w:val="16"/>
                <w:szCs w:val="16"/>
                <w:color w:val="auto"/>
                <w:w w:val="92"/>
              </w:rPr>
              <w:t>Jerry Mandel</w:t>
            </w:r>
          </w:p>
        </w:tc>
        <w:tc>
          <w:tcPr>
            <w:tcW w:w="5040" w:type="dxa"/>
            <w:vAlign w:val="bottom"/>
          </w:tcPr>
          <w:p>
            <w:pPr>
              <w:ind w:left="520"/>
              <w:spacing w:after="0"/>
              <w:rPr>
                <w:sz w:val="20"/>
                <w:szCs w:val="20"/>
                <w:color w:val="auto"/>
              </w:rPr>
            </w:pPr>
            <w:r>
              <w:rPr>
                <w:rFonts w:ascii="Arial" w:cs="Arial" w:eastAsia="Arial" w:hAnsi="Arial"/>
                <w:sz w:val="16"/>
                <w:szCs w:val="16"/>
                <w:color w:val="auto"/>
              </w:rPr>
              <w:t>Director</w:t>
            </w: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720" w:type="dxa"/>
            <w:vAlign w:val="bottom"/>
          </w:tcPr>
          <w:p>
            <w:pPr>
              <w:jc w:val="center"/>
              <w:ind w:right="439"/>
              <w:spacing w:after="0"/>
              <w:rPr>
                <w:sz w:val="20"/>
                <w:szCs w:val="20"/>
                <w:color w:val="auto"/>
              </w:rPr>
            </w:pPr>
            <w:r>
              <w:rPr>
                <w:rFonts w:ascii="Arial" w:cs="Arial" w:eastAsia="Arial" w:hAnsi="Arial"/>
                <w:sz w:val="16"/>
                <w:szCs w:val="16"/>
                <w:color w:val="auto"/>
                <w:w w:val="93"/>
              </w:rPr>
              <w:t>/s/ Dov Ofer</w:t>
            </w:r>
          </w:p>
        </w:tc>
        <w:tc>
          <w:tcPr>
            <w:tcW w:w="5040" w:type="dxa"/>
            <w:vAlign w:val="bottom"/>
          </w:tcPr>
          <w:p>
            <w:pPr>
              <w:spacing w:after="0"/>
              <w:rPr>
                <w:sz w:val="24"/>
                <w:szCs w:val="24"/>
                <w:color w:val="auto"/>
              </w:rPr>
            </w:pPr>
          </w:p>
        </w:tc>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1"/>
              </w:rPr>
              <w:t>March 18, 2015</w:t>
            </w:r>
          </w:p>
        </w:tc>
        <w:tc>
          <w:tcPr>
            <w:tcW w:w="0" w:type="dxa"/>
            <w:vAlign w:val="bottom"/>
          </w:tcPr>
          <w:p>
            <w:pPr>
              <w:spacing w:after="0"/>
              <w:rPr>
                <w:sz w:val="1"/>
                <w:szCs w:val="1"/>
                <w:color w:val="auto"/>
              </w:rPr>
            </w:pPr>
          </w:p>
        </w:tc>
      </w:tr>
      <w:tr>
        <w:trPr>
          <w:trHeight w:val="242"/>
        </w:trPr>
        <w:tc>
          <w:tcPr>
            <w:tcW w:w="1720" w:type="dxa"/>
            <w:vAlign w:val="bottom"/>
          </w:tcPr>
          <w:p>
            <w:pPr>
              <w:jc w:val="center"/>
              <w:ind w:right="439"/>
              <w:spacing w:after="0"/>
              <w:rPr>
                <w:sz w:val="20"/>
                <w:szCs w:val="20"/>
                <w:color w:val="auto"/>
              </w:rPr>
            </w:pPr>
            <w:r>
              <w:rPr>
                <w:rFonts w:ascii="Arial" w:cs="Arial" w:eastAsia="Arial" w:hAnsi="Arial"/>
                <w:sz w:val="16"/>
                <w:szCs w:val="16"/>
                <w:color w:val="auto"/>
                <w:w w:val="93"/>
              </w:rPr>
              <w:t>Dov Ofer</w:t>
            </w:r>
          </w:p>
        </w:tc>
        <w:tc>
          <w:tcPr>
            <w:tcW w:w="5040" w:type="dxa"/>
            <w:vAlign w:val="bottom"/>
          </w:tcPr>
          <w:p>
            <w:pPr>
              <w:ind w:left="520"/>
              <w:spacing w:after="0"/>
              <w:rPr>
                <w:sz w:val="20"/>
                <w:szCs w:val="20"/>
                <w:color w:val="auto"/>
              </w:rPr>
            </w:pPr>
            <w:r>
              <w:rPr>
                <w:rFonts w:ascii="Arial" w:cs="Arial" w:eastAsia="Arial" w:hAnsi="Arial"/>
                <w:sz w:val="16"/>
                <w:szCs w:val="16"/>
                <w:color w:val="auto"/>
              </w:rPr>
              <w:t>Director</w:t>
            </w: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68DB37E"/>
    <w:multiLevelType w:val="hybridMultilevel"/>
    <w:lvl w:ilvl="0">
      <w:lvlJc w:val="left"/>
      <w:lvlText w:val="%1"/>
      <w:numFmt w:val="decimal"/>
      <w:start w:val="1"/>
    </w:lvl>
    <w:lvl w:ilvl="1">
      <w:lvlJc w:val="left"/>
      <w:lvlText w:val="(%2)"/>
      <w:numFmt w:val="decimal"/>
      <w:start w:val="1"/>
    </w:lvl>
  </w:abstractNum>
  <w:abstractNum w:abstractNumId="1">
    <w:nsid w:val="6A3B714C"/>
    <w:multiLevelType w:val="hybridMultilevel"/>
    <w:lvl w:ilvl="0">
      <w:lvlJc w:val="left"/>
      <w:lvlText w:val="(%1)"/>
      <w:numFmt w:val="decimal"/>
      <w:start w:val="3"/>
    </w:lvl>
    <w:lvl w:ilvl="1">
      <w:lvlJc w:val="left"/>
      <w:lvlText w:val="%2"/>
      <w:numFmt w:val="decimal"/>
      <w:start w:val="1"/>
    </w:lvl>
  </w:abstractNum>
  <w:abstractNum w:abstractNumId="2">
    <w:nsid w:val="327B517E"/>
    <w:multiLevelType w:val="hybridMultilevel"/>
    <w:lvl w:ilvl="0">
      <w:lvlJc w:val="left"/>
      <w:lvlText w:val="(%1)"/>
      <w:numFmt w:val="decimal"/>
      <w:start w:val="1"/>
    </w:lvl>
  </w:abstractNum>
  <w:abstractNum w:abstractNumId="3">
    <w:nsid w:val="1F461B51"/>
    <w:multiLevelType w:val="hybridMultilevel"/>
    <w:lvl w:ilvl="0">
      <w:lvlJc w:val="left"/>
      <w:lvlText w:val="•"/>
      <w:numFmt w:val="bullet"/>
      <w:start w:val="1"/>
    </w:lvl>
  </w:abstractNum>
  <w:abstractNum w:abstractNumId="4">
    <w:nsid w:val="29BACF25"/>
    <w:multiLevelType w:val="hybridMultilevel"/>
    <w:lvl w:ilvl="0">
      <w:lvlJc w:val="left"/>
      <w:lvlText w:val="•"/>
      <w:numFmt w:val="bullet"/>
      <w:start w:val="1"/>
    </w:lvl>
  </w:abstractNum>
  <w:abstractNum w:abstractNumId="5">
    <w:nsid w:val="5D5BABB3"/>
    <w:multiLevelType w:val="hybridMultilevel"/>
    <w:lvl w:ilvl="0">
      <w:lvlJc w:val="left"/>
      <w:lvlText w:val="•"/>
      <w:numFmt w:val="bullet"/>
      <w:start w:val="1"/>
    </w:lvl>
  </w:abstractNum>
  <w:abstractNum w:abstractNumId="6">
    <w:nsid w:val="51BF6B48"/>
    <w:multiLevelType w:val="hybridMultilevel"/>
    <w:lvl w:ilvl="0">
      <w:lvlJc w:val="left"/>
      <w:lvlText w:val="•"/>
      <w:numFmt w:val="bullet"/>
      <w:start w:val="1"/>
    </w:lvl>
  </w:abstractNum>
  <w:abstractNum w:abstractNumId="7">
    <w:nsid w:val="7E0F6384"/>
    <w:multiLevelType w:val="hybridMultilevel"/>
    <w:lvl w:ilvl="0">
      <w:lvlJc w:val="left"/>
      <w:lvlText w:val="•"/>
      <w:numFmt w:val="bullet"/>
      <w:start w:val="1"/>
    </w:lvl>
  </w:abstractNum>
  <w:abstractNum w:abstractNumId="8">
    <w:nsid w:val="2B4B8B53"/>
    <w:multiLevelType w:val="hybridMultilevel"/>
    <w:lvl w:ilvl="0">
      <w:lvlJc w:val="left"/>
      <w:lvlText w:val="•"/>
      <w:numFmt w:val="bullet"/>
      <w:start w:val="1"/>
    </w:lvl>
  </w:abstractNum>
  <w:abstractNum w:abstractNumId="9">
    <w:nsid w:val="72E3413A"/>
    <w:multiLevelType w:val="hybridMultilevel"/>
    <w:lvl w:ilvl="0">
      <w:lvlJc w:val="left"/>
      <w:lvlText w:val="•"/>
      <w:numFmt w:val="bullet"/>
      <w:start w:val="1"/>
    </w:lvl>
  </w:abstractNum>
  <w:abstractNum w:abstractNumId="10">
    <w:nsid w:val="116AE494"/>
    <w:multiLevelType w:val="hybridMultilevel"/>
    <w:lvl w:ilvl="0">
      <w:lvlJc w:val="left"/>
      <w:lvlText w:val="%1"/>
      <w:numFmt w:val="decimal"/>
      <w:start w:val="1"/>
    </w:lvl>
    <w:lvl w:ilvl="1">
      <w:lvlJc w:val="left"/>
      <w:lvlText w:val="(%2)"/>
      <w:numFmt w:val="decimal"/>
      <w:start w:val="2"/>
    </w:lvl>
  </w:abstractNum>
  <w:abstractNum w:abstractNumId="11">
    <w:nsid w:val="3494B2FB"/>
    <w:multiLevelType w:val="hybridMultilevel"/>
    <w:lvl w:ilvl="0">
      <w:lvlJc w:val="left"/>
      <w:lvlText w:val="(%1)"/>
      <w:numFmt w:val="decimal"/>
      <w:start w:val="3"/>
    </w:lvl>
    <w:lvl w:ilvl="1">
      <w:lvlJc w:val="left"/>
      <w:lvlText w:val="%2"/>
      <w:numFmt w:val="decimal"/>
      <w:start w:val="1"/>
    </w:lvl>
  </w:abstractNum>
  <w:abstractNum w:abstractNumId="12">
    <w:nsid w:val="B13A31"/>
    <w:multiLevelType w:val="hybridMultilevel"/>
    <w:lvl w:ilvl="0">
      <w:lvlJc w:val="left"/>
      <w:lvlText w:val="•"/>
      <w:numFmt w:val="bullet"/>
      <w:start w:val="1"/>
    </w:lvl>
  </w:abstractNum>
  <w:abstractNum w:abstractNumId="13">
    <w:nsid w:val="64429599"/>
    <w:multiLevelType w:val="hybridMultilevel"/>
    <w:lvl w:ilvl="0">
      <w:lvlJc w:val="left"/>
      <w:lvlText w:val="•"/>
      <w:numFmt w:val="bullet"/>
      <w:start w:val="1"/>
    </w:lvl>
  </w:abstractNum>
  <w:abstractNum w:abstractNumId="14">
    <w:nsid w:val="631F1690"/>
    <w:multiLevelType w:val="hybridMultilevel"/>
    <w:lvl w:ilvl="0">
      <w:lvlJc w:val="left"/>
      <w:lvlText w:val="•"/>
      <w:numFmt w:val="bullet"/>
      <w:start w:val="1"/>
    </w:lvl>
  </w:abstractNum>
  <w:abstractNum w:abstractNumId="15">
    <w:nsid w:val="25973E32"/>
    <w:multiLevelType w:val="hybridMultilevel"/>
    <w:lvl w:ilvl="0">
      <w:lvlJc w:val="left"/>
      <w:lvlText w:val="•"/>
      <w:numFmt w:val="bullet"/>
      <w:start w:val="1"/>
    </w:lvl>
  </w:abstractNum>
  <w:abstractNum w:abstractNumId="16">
    <w:nsid w:val="EAD6F57"/>
    <w:multiLevelType w:val="hybridMultilevel"/>
    <w:lvl w:ilvl="0">
      <w:lvlJc w:val="left"/>
      <w:lvlText w:val="•"/>
      <w:numFmt w:val="bullet"/>
      <w:start w:val="1"/>
    </w:lvl>
  </w:abstractNum>
  <w:abstractNum w:abstractNumId="17">
    <w:nsid w:val="6EC9D844"/>
    <w:multiLevelType w:val="hybridMultilevel"/>
    <w:lvl w:ilvl="0">
      <w:lvlJc w:val="left"/>
      <w:lvlText w:val="•"/>
      <w:numFmt w:val="bullet"/>
      <w:start w:val="1"/>
    </w:lvl>
  </w:abstractNum>
  <w:abstractNum w:abstractNumId="18">
    <w:nsid w:val="5C49EAEE"/>
    <w:multiLevelType w:val="hybridMultilevel"/>
    <w:lvl w:ilvl="0">
      <w:lvlJc w:val="left"/>
      <w:lvlText w:val="•"/>
      <w:numFmt w:val="bullet"/>
      <w:start w:val="1"/>
    </w:lvl>
  </w:abstractNum>
  <w:abstractNum w:abstractNumId="19">
    <w:nsid w:val="64AF49B"/>
    <w:multiLevelType w:val="hybridMultilevel"/>
    <w:lvl w:ilvl="0">
      <w:lvlJc w:val="left"/>
      <w:lvlText w:val="•"/>
      <w:numFmt w:val="bullet"/>
      <w:start w:val="1"/>
    </w:lvl>
  </w:abstractNum>
  <w:abstractNum w:abstractNumId="20">
    <w:nsid w:val="397C46BC"/>
    <w:multiLevelType w:val="hybridMultilevel"/>
    <w:lvl w:ilvl="0">
      <w:lvlJc w:val="left"/>
      <w:lvlText w:val="•"/>
      <w:numFmt w:val="bullet"/>
      <w:start w:val="1"/>
    </w:lvl>
  </w:abstractNum>
  <w:abstractNum w:abstractNumId="21">
    <w:nsid w:val="7E448DE9"/>
    <w:multiLevelType w:val="hybridMultilevel"/>
    <w:lvl w:ilvl="0">
      <w:lvlJc w:val="left"/>
      <w:lvlText w:val="•"/>
      <w:numFmt w:val="bullet"/>
      <w:start w:val="1"/>
    </w:lvl>
  </w:abstractNum>
  <w:abstractNum w:abstractNumId="22">
    <w:nsid w:val="5A9CC3E5"/>
    <w:multiLevelType w:val="hybridMultilevel"/>
    <w:lvl w:ilvl="0">
      <w:lvlJc w:val="left"/>
      <w:lvlText w:val="(%1)"/>
      <w:numFmt w:val="decimal"/>
      <w:start w:val="1"/>
    </w:lvl>
  </w:abstractNum>
  <w:abstractNum w:abstractNumId="23">
    <w:nsid w:val="1AFE3625"/>
    <w:multiLevelType w:val="hybridMultilevel"/>
    <w:lvl w:ilvl="0">
      <w:lvlJc w:val="left"/>
      <w:lvlText w:val="•"/>
      <w:numFmt w:val="bullet"/>
      <w:start w:val="1"/>
    </w:lvl>
  </w:abstractNum>
  <w:abstractNum w:abstractNumId="24">
    <w:nsid w:val="3CA88ECF"/>
    <w:multiLevelType w:val="hybridMultilevel"/>
    <w:lvl w:ilvl="0">
      <w:lvlJc w:val="left"/>
      <w:lvlText w:val="%1"/>
      <w:numFmt w:val="decimal"/>
      <w:start w:val="1"/>
    </w:lvl>
    <w:lvl w:ilvl="1">
      <w:lvlJc w:val="left"/>
      <w:lvlText w:val="(%2)"/>
      <w:numFmt w:val="decimal"/>
      <w:start w:val="2"/>
    </w:lvl>
  </w:abstractNum>
  <w:abstractNum w:abstractNumId="25">
    <w:nsid w:val="6EBE4208"/>
    <w:multiLevelType w:val="hybridMultilevel"/>
    <w:lvl w:ilvl="0">
      <w:lvlJc w:val="left"/>
      <w:lvlText w:val="(%1)"/>
      <w:numFmt w:val="decimal"/>
      <w:start w:val="3"/>
    </w:lvl>
    <w:lvl w:ilvl="1">
      <w:lvlJc w:val="left"/>
      <w:lvlText w:val="%2"/>
      <w:numFmt w:val="decimal"/>
      <w:start w:val="1"/>
    </w:lvl>
  </w:abstractNum>
  <w:abstractNum w:abstractNumId="26">
    <w:nsid w:val="C058DF5"/>
    <w:multiLevelType w:val="hybridMultilevel"/>
    <w:lvl w:ilvl="0">
      <w:lvlJc w:val="left"/>
      <w:lvlText w:val="•"/>
      <w:numFmt w:val="bullet"/>
      <w:start w:val="1"/>
    </w:lvl>
  </w:abstractNum>
  <w:abstractNum w:abstractNumId="27">
    <w:nsid w:val="CBE5BE9"/>
    <w:multiLevelType w:val="hybridMultilevel"/>
    <w:lvl w:ilvl="0">
      <w:lvlJc w:val="left"/>
      <w:lvlText w:val="(%1)"/>
      <w:numFmt w:val="decimal"/>
      <w:start w:val="1"/>
    </w:lvl>
  </w:abstractNum>
  <w:abstractNum w:abstractNumId="28">
    <w:nsid w:val="3102BBE2"/>
    <w:multiLevelType w:val="hybridMultilevel"/>
    <w:lvl w:ilvl="0">
      <w:lvlJc w:val="left"/>
      <w:lvlText w:val="•"/>
      <w:numFmt w:val="bullet"/>
      <w:start w:val="1"/>
    </w:lvl>
  </w:abstractNum>
  <w:abstractNum w:abstractNumId="29">
    <w:nsid w:val="26A02C5E"/>
    <w:multiLevelType w:val="hybridMultilevel"/>
    <w:lvl w:ilvl="0">
      <w:lvlJc w:val="left"/>
      <w:lvlText w:val="•"/>
      <w:numFmt w:val="bullet"/>
      <w:start w:val="1"/>
    </w:lvl>
  </w:abstractNum>
  <w:abstractNum w:abstractNumId="30">
    <w:nsid w:val="541C8153"/>
    <w:multiLevelType w:val="hybridMultilevel"/>
    <w:lvl w:ilvl="0">
      <w:lvlJc w:val="left"/>
      <w:lvlText w:val="•"/>
      <w:numFmt w:val="bullet"/>
      <w:start w:val="1"/>
    </w:lvl>
  </w:abstractNum>
  <w:abstractNum w:abstractNumId="31">
    <w:nsid w:val="67906F60"/>
    <w:multiLevelType w:val="hybridMultilevel"/>
    <w:lvl w:ilvl="0">
      <w:lvlJc w:val="left"/>
      <w:lvlText w:val="•"/>
      <w:numFmt w:val="bullet"/>
      <w:start w:val="1"/>
    </w:lvl>
  </w:abstractNum>
  <w:abstractNum w:abstractNumId="32">
    <w:nsid w:val="10DB9DAA"/>
    <w:multiLevelType w:val="hybridMultilevel"/>
    <w:lvl w:ilvl="0">
      <w:lvlJc w:val="left"/>
      <w:lvlText w:val="•"/>
      <w:numFmt w:val="bullet"/>
      <w:start w:val="1"/>
    </w:lvl>
  </w:abstractNum>
  <w:abstractNum w:abstractNumId="33">
    <w:nsid w:val="697D2D2"/>
    <w:multiLevelType w:val="hybridMultilevel"/>
    <w:lvl w:ilvl="0">
      <w:lvlJc w:val="left"/>
      <w:lvlText w:val="•"/>
      <w:numFmt w:val="bullet"/>
      <w:start w:val="1"/>
    </w:lvl>
  </w:abstractNum>
  <w:abstractNum w:abstractNumId="34">
    <w:nsid w:val="6D68AB2"/>
    <w:multiLevelType w:val="hybridMultilevel"/>
    <w:lvl w:ilvl="0">
      <w:lvlJc w:val="left"/>
      <w:lvlText w:val="•"/>
      <w:numFmt w:val="bullet"/>
      <w:start w:val="1"/>
    </w:lvl>
  </w:abstractNum>
  <w:abstractNum w:abstractNumId="35">
    <w:nsid w:val="3A966CD0"/>
    <w:multiLevelType w:val="hybridMultilevel"/>
    <w:lvl w:ilvl="0">
      <w:lvlJc w:val="left"/>
      <w:lvlText w:val="•"/>
      <w:numFmt w:val="bullet"/>
      <w:start w:val="1"/>
    </w:lvl>
  </w:abstractNum>
  <w:abstractNum w:abstractNumId="36">
    <w:nsid w:val="63F37E85"/>
    <w:multiLevelType w:val="hybridMultilevel"/>
    <w:lvl w:ilvl="0">
      <w:lvlJc w:val="left"/>
      <w:lvlText w:val="•"/>
      <w:numFmt w:val="bullet"/>
      <w:start w:val="1"/>
    </w:lvl>
  </w:abstractNum>
  <w:abstractNum w:abstractNumId="37">
    <w:nsid w:val="5895F5FA"/>
    <w:multiLevelType w:val="hybridMultilevel"/>
    <w:lvl w:ilvl="0">
      <w:lvlJc w:val="left"/>
      <w:lvlText w:val="•"/>
      <w:numFmt w:val="bullet"/>
      <w:start w:val="1"/>
    </w:lvl>
  </w:abstractNum>
  <w:abstractNum w:abstractNumId="38">
    <w:nsid w:val="38A5D054"/>
    <w:multiLevelType w:val="hybridMultilevel"/>
    <w:lvl w:ilvl="0">
      <w:lvlJc w:val="left"/>
      <w:lvlText w:val="•"/>
      <w:numFmt w:val="bullet"/>
      <w:start w:val="1"/>
    </w:lvl>
  </w:abstractNum>
  <w:abstractNum w:abstractNumId="39">
    <w:nsid w:val="F3F09D8"/>
    <w:multiLevelType w:val="hybridMultilevel"/>
    <w:lvl w:ilvl="0">
      <w:lvlJc w:val="left"/>
      <w:lvlText w:val="•"/>
      <w:numFmt w:val="bullet"/>
      <w:start w:val="1"/>
    </w:lvl>
  </w:abstractNum>
  <w:abstractNum w:abstractNumId="40">
    <w:nsid w:val="4B793735"/>
    <w:multiLevelType w:val="hybridMultilevel"/>
    <w:lvl w:ilvl="0">
      <w:lvlJc w:val="left"/>
      <w:lvlText w:val="(%1)"/>
      <w:numFmt w:val="decimal"/>
      <w:start w:val="1"/>
    </w:lvl>
  </w:abstractNum>
  <w:abstractNum w:abstractNumId="41">
    <w:nsid w:val="4A10B4E8"/>
    <w:multiLevelType w:val="hybridMultilevel"/>
    <w:lvl w:ilvl="0">
      <w:lvlJc w:val="left"/>
      <w:lvlText w:val="(%1)"/>
      <w:numFmt w:val="lowerRoman"/>
      <w:start w:val="1"/>
    </w:lvl>
  </w:abstractNum>
  <w:abstractNum w:abstractNumId="42">
    <w:nsid w:val="43D3BCD4"/>
    <w:multiLevelType w:val="hybridMultilevel"/>
    <w:lvl w:ilvl="0">
      <w:lvlJc w:val="left"/>
      <w:lvlText w:val="•"/>
      <w:numFmt w:val="bullet"/>
      <w:start w:val="1"/>
    </w:lvl>
  </w:abstractNum>
  <w:abstractNum w:abstractNumId="43">
    <w:nsid w:val="4C2A7166"/>
    <w:multiLevelType w:val="hybridMultilevel"/>
    <w:lvl w:ilvl="0">
      <w:lvlJc w:val="left"/>
      <w:lvlText w:val="•"/>
      <w:numFmt w:val="bullet"/>
      <w:start w:val="1"/>
    </w:lvl>
  </w:abstractNum>
  <w:abstractNum w:abstractNumId="44">
    <w:nsid w:val="2E534A82"/>
    <w:multiLevelType w:val="hybridMultilevel"/>
    <w:lvl w:ilvl="0">
      <w:lvlJc w:val="left"/>
      <w:lvlText w:val="•"/>
      <w:numFmt w:val="bullet"/>
      <w:start w:val="1"/>
    </w:lvl>
  </w:abstractNum>
  <w:abstractNum w:abstractNumId="45">
    <w:nsid w:val="26F2D364"/>
    <w:multiLevelType w:val="hybridMultilevel"/>
    <w:lvl w:ilvl="0">
      <w:lvlJc w:val="left"/>
      <w:lvlText w:val="•"/>
      <w:numFmt w:val="bullet"/>
      <w:start w:val="1"/>
    </w:lvl>
  </w:abstractNum>
  <w:abstractNum w:abstractNumId="46">
    <w:nsid w:val="71C1AF98"/>
    <w:multiLevelType w:val="hybridMultilevel"/>
    <w:lvl w:ilvl="0">
      <w:lvlJc w:val="left"/>
      <w:lvlText w:val="•"/>
      <w:numFmt w:val="bullet"/>
      <w:start w:val="1"/>
    </w:lvl>
  </w:abstractNum>
  <w:abstractNum w:abstractNumId="47">
    <w:nsid w:val="3D00B9D9"/>
    <w:multiLevelType w:val="hybridMultilevel"/>
    <w:lvl w:ilvl="0">
      <w:lvlJc w:val="left"/>
      <w:lvlText w:val="•"/>
      <w:numFmt w:val="bullet"/>
      <w:start w:val="1"/>
    </w:lvl>
  </w:abstractNum>
  <w:abstractNum w:abstractNumId="48">
    <w:nsid w:val="15BCABA8"/>
    <w:multiLevelType w:val="hybridMultilevel"/>
    <w:lvl w:ilvl="0">
      <w:lvlJc w:val="left"/>
      <w:lvlText w:val="•"/>
      <w:numFmt w:val="bullet"/>
      <w:start w:val="1"/>
    </w:lvl>
  </w:abstractNum>
  <w:abstractNum w:abstractNumId="49">
    <w:nsid w:val="4E0B9A87"/>
    <w:multiLevelType w:val="hybridMultilevel"/>
    <w:lvl w:ilvl="0">
      <w:lvlJc w:val="left"/>
      <w:lvlText w:val="•"/>
      <w:numFmt w:val="bullet"/>
      <w:start w:val="1"/>
    </w:lvl>
  </w:abstractNum>
  <w:abstractNum w:abstractNumId="50">
    <w:nsid w:val="434BAE75"/>
    <w:multiLevelType w:val="hybridMultilevel"/>
    <w:lvl w:ilvl="0">
      <w:lvlJc w:val="left"/>
      <w:lvlText w:val="•"/>
      <w:numFmt w:val="bullet"/>
      <w:start w:val="1"/>
    </w:lvl>
  </w:abstractNum>
  <w:abstractNum w:abstractNumId="51">
    <w:nsid w:val="4F38F265"/>
    <w:multiLevelType w:val="hybridMultilevel"/>
    <w:lvl w:ilvl="0">
      <w:lvlJc w:val="left"/>
      <w:lvlText w:val="•"/>
      <w:numFmt w:val="bullet"/>
      <w:start w:val="1"/>
    </w:lvl>
  </w:abstractNum>
  <w:abstractNum w:abstractNumId="52">
    <w:nsid w:val="4C502870"/>
    <w:multiLevelType w:val="hybridMultilevel"/>
    <w:lvl w:ilvl="0">
      <w:lvlJc w:val="left"/>
      <w:lvlText w:val="•"/>
      <w:numFmt w:val="bullet"/>
      <w:start w:val="1"/>
    </w:lvl>
  </w:abstractNum>
  <w:abstractNum w:abstractNumId="53">
    <w:nsid w:val="1DE8725A"/>
    <w:multiLevelType w:val="hybridMultilevel"/>
    <w:lvl w:ilvl="0">
      <w:lvlJc w:val="left"/>
      <w:lvlText w:val="•"/>
      <w:numFmt w:val="bullet"/>
      <w:start w:val="1"/>
    </w:lvl>
  </w:abstractNum>
  <w:abstractNum w:abstractNumId="54">
    <w:nsid w:val="6A37288A"/>
    <w:multiLevelType w:val="hybridMultilevel"/>
    <w:lvl w:ilvl="0">
      <w:lvlJc w:val="left"/>
      <w:lvlText w:val="•"/>
      <w:numFmt w:val="bullet"/>
      <w:start w:val="1"/>
    </w:lvl>
  </w:abstractNum>
  <w:abstractNum w:abstractNumId="55">
    <w:nsid w:val="8F8B73F"/>
    <w:multiLevelType w:val="hybridMultilevel"/>
    <w:lvl w:ilvl="0">
      <w:lvlJc w:val="left"/>
      <w:lvlText w:val="•"/>
      <w:numFmt w:val="bullet"/>
      <w:start w:val="1"/>
    </w:lvl>
  </w:abstractNum>
  <w:abstractNum w:abstractNumId="56">
    <w:nsid w:val="CA6B462"/>
    <w:multiLevelType w:val="hybridMultilevel"/>
    <w:lvl w:ilvl="0">
      <w:lvlJc w:val="left"/>
      <w:lvlText w:val="•"/>
      <w:numFmt w:val="bullet"/>
      <w:start w:val="1"/>
    </w:lvl>
  </w:abstractNum>
  <w:abstractNum w:abstractNumId="57">
    <w:nsid w:val="763CB680"/>
    <w:multiLevelType w:val="hybridMultilevel"/>
    <w:lvl w:ilvl="0">
      <w:lvlJc w:val="left"/>
      <w:lvlText w:val="(%1)"/>
      <w:numFmt w:val="lowerLetter"/>
      <w:start w:val="3"/>
    </w:lvl>
    <w:lvl w:ilvl="1">
      <w:lvlJc w:val="left"/>
      <w:lvlText w:val="•"/>
      <w:numFmt w:val="bullet"/>
      <w:start w:val="1"/>
    </w:lvl>
  </w:abstractNum>
  <w:abstractNum w:abstractNumId="58">
    <w:nsid w:val="15B71329"/>
    <w:multiLevelType w:val="hybridMultilevel"/>
    <w:lvl w:ilvl="0">
      <w:lvlJc w:val="left"/>
      <w:lvlText w:val="•"/>
      <w:numFmt w:val="bullet"/>
      <w:start w:val="1"/>
    </w:lvl>
  </w:abstractNum>
  <w:abstractNum w:abstractNumId="59">
    <w:nsid w:val="3DA97044"/>
    <w:multiLevelType w:val="hybridMultilevel"/>
    <w:lvl w:ilvl="0">
      <w:lvlJc w:val="left"/>
      <w:lvlText w:val="•"/>
      <w:numFmt w:val="bullet"/>
      <w:start w:val="1"/>
    </w:lvl>
  </w:abstractNum>
  <w:abstractNum w:abstractNumId="60">
    <w:nsid w:val="1CDCE2DE"/>
    <w:multiLevelType w:val="hybridMultilevel"/>
    <w:lvl w:ilvl="0">
      <w:lvlJc w:val="left"/>
      <w:lvlText w:val="•"/>
      <w:numFmt w:val="bullet"/>
      <w:start w:val="1"/>
    </w:lvl>
  </w:abstractNum>
  <w:abstractNum w:abstractNumId="61">
    <w:nsid w:val="69D3947C"/>
    <w:multiLevelType w:val="hybridMultilevel"/>
    <w:lvl w:ilvl="0">
      <w:lvlJc w:val="left"/>
      <w:lvlText w:val="•"/>
      <w:numFmt w:val="bullet"/>
      <w:start w:val="1"/>
    </w:lvl>
  </w:abstractNum>
  <w:abstractNum w:abstractNumId="62">
    <w:nsid w:val="2539DFA5"/>
    <w:multiLevelType w:val="hybridMultilevel"/>
    <w:lvl w:ilvl="0">
      <w:lvlJc w:val="left"/>
      <w:lvlText w:val="•"/>
      <w:numFmt w:val="bullet"/>
      <w:start w:val="1"/>
    </w:lvl>
  </w:abstractNum>
  <w:abstractNum w:abstractNumId="63">
    <w:nsid w:val="2DB88089"/>
    <w:multiLevelType w:val="hybridMultilevel"/>
    <w:lvl w:ilvl="0">
      <w:lvlJc w:val="left"/>
      <w:lvlText w:val="(%1)"/>
      <w:numFmt w:val="lowerRoman"/>
      <w:start w:val="1"/>
    </w:lvl>
  </w:abstractNum>
  <w:abstractNum w:abstractNumId="64">
    <w:nsid w:val="706B674E"/>
    <w:multiLevelType w:val="hybridMultilevel"/>
    <w:lvl w:ilvl="0">
      <w:lvlJc w:val="left"/>
      <w:lvlText w:val="•"/>
      <w:numFmt w:val="bullet"/>
      <w:start w:val="1"/>
    </w:lvl>
  </w:abstractNum>
  <w:abstractNum w:abstractNumId="65">
    <w:nsid w:val="2C106A57"/>
    <w:multiLevelType w:val="hybridMultilevel"/>
    <w:lvl w:ilvl="0">
      <w:lvlJc w:val="left"/>
      <w:lvlText w:val="(%1)"/>
      <w:numFmt w:val="decimal"/>
      <w:start w:val="1"/>
    </w:lvl>
  </w:abstractNum>
  <w:abstractNum w:abstractNumId="66">
    <w:nsid w:val="684EED59"/>
    <w:multiLevelType w:val="hybridMultilevel"/>
    <w:lvl w:ilvl="0">
      <w:lvlJc w:val="left"/>
      <w:lvlText w:val="•"/>
      <w:numFmt w:val="bullet"/>
      <w:start w:val="1"/>
    </w:lvl>
  </w:abstractNum>
  <w:abstractNum w:abstractNumId="67">
    <w:nsid w:val="545EE5D3"/>
    <w:multiLevelType w:val="hybridMultilevel"/>
    <w:lvl w:ilvl="0">
      <w:lvlJc w:val="left"/>
      <w:lvlText w:val="•"/>
      <w:numFmt w:val="bullet"/>
      <w:start w:val="1"/>
    </w:lvl>
  </w:abstractNum>
  <w:abstractNum w:abstractNumId="68">
    <w:nsid w:val="4A66051"/>
    <w:multiLevelType w:val="hybridMultilevel"/>
    <w:lvl w:ilvl="0">
      <w:lvlJc w:val="left"/>
      <w:lvlText w:val="•"/>
      <w:numFmt w:val="bullet"/>
      <w:start w:val="1"/>
    </w:lvl>
  </w:abstractNum>
  <w:abstractNum w:abstractNumId="69">
    <w:nsid w:val="20F4BDAD"/>
    <w:multiLevelType w:val="hybridMultilevel"/>
    <w:lvl w:ilvl="0">
      <w:lvlJc w:val="left"/>
      <w:lvlText w:val="•"/>
      <w:numFmt w:val="bullet"/>
      <w:start w:val="1"/>
    </w:lvl>
  </w:abstractNum>
  <w:abstractNum w:abstractNumId="70">
    <w:nsid w:val="639DEFAC"/>
    <w:multiLevelType w:val="hybridMultilevel"/>
    <w:lvl w:ilvl="0">
      <w:lvlJc w:val="left"/>
      <w:lvlText w:val="•"/>
      <w:numFmt w:val="bullet"/>
      <w:start w:val="1"/>
    </w:lvl>
  </w:abstractNum>
  <w:abstractNum w:abstractNumId="71">
    <w:nsid w:val="501F9786"/>
    <w:multiLevelType w:val="hybridMultilevel"/>
    <w:lvl w:ilvl="0">
      <w:lvlJc w:val="left"/>
      <w:lvlText w:val="•"/>
      <w:numFmt w:val="bullet"/>
      <w:start w:val="1"/>
    </w:lvl>
  </w:abstractNum>
  <w:abstractNum w:abstractNumId="72">
    <w:nsid w:val="6B057295"/>
    <w:multiLevelType w:val="hybridMultilevel"/>
    <w:lvl w:ilvl="0">
      <w:lvlJc w:val="left"/>
      <w:lvlText w:val="•"/>
      <w:numFmt w:val="bullet"/>
      <w:start w:val="1"/>
    </w:lvl>
  </w:abstractNum>
  <w:abstractNum w:abstractNumId="73">
    <w:nsid w:val="2771AC80"/>
    <w:multiLevelType w:val="hybridMultilevel"/>
    <w:lvl w:ilvl="0">
      <w:lvlJc w:val="left"/>
      <w:lvlText w:val="(%1)"/>
      <w:numFmt w:val="lowerRoman"/>
      <w:start w:val="1"/>
    </w:lvl>
  </w:abstractNum>
  <w:abstractNum w:abstractNumId="74">
    <w:nsid w:val="1C4A08EC"/>
    <w:multiLevelType w:val="hybridMultilevel"/>
    <w:lvl w:ilvl="0">
      <w:lvlJc w:val="left"/>
      <w:lvlText w:val="•"/>
      <w:numFmt w:val="bullet"/>
      <w:start w:val="1"/>
    </w:lvl>
  </w:abstractNum>
  <w:abstractNum w:abstractNumId="75">
    <w:nsid w:val="1958BD17"/>
    <w:multiLevelType w:val="hybridMultilevel"/>
    <w:lvl w:ilvl="0">
      <w:lvlJc w:val="left"/>
      <w:lvlText w:val="•"/>
      <w:numFmt w:val="bullet"/>
      <w:start w:val="1"/>
    </w:lvl>
  </w:abstractNum>
  <w:abstractNum w:abstractNumId="76">
    <w:nsid w:val="4E647FE4"/>
    <w:multiLevelType w:val="hybridMultilevel"/>
    <w:lvl w:ilvl="0">
      <w:lvlJc w:val="left"/>
      <w:lvlText w:val="(%1)"/>
      <w:numFmt w:val="decimal"/>
      <w:start w:val="2"/>
    </w:lvl>
  </w:abstractNum>
  <w:abstractNum w:abstractNumId="77">
    <w:nsid w:val="E0BB885"/>
    <w:multiLevelType w:val="hybridMultilevel"/>
    <w:lvl w:ilvl="0">
      <w:lvlJc w:val="left"/>
      <w:lvlText w:val="•"/>
      <w:numFmt w:val="bullet"/>
      <w:start w:val="1"/>
    </w:lvl>
  </w:abstractNum>
  <w:abstractNum w:abstractNumId="78">
    <w:nsid w:val="565976F1"/>
    <w:multiLevelType w:val="hybridMultilevel"/>
    <w:lvl w:ilvl="0">
      <w:lvlJc w:val="left"/>
      <w:lvlText w:val="•"/>
      <w:numFmt w:val="bullet"/>
      <w:start w:val="1"/>
    </w:lvl>
  </w:abstractNum>
  <w:abstractNum w:abstractNumId="79">
    <w:nsid w:val="64212B8C"/>
    <w:multiLevelType w:val="hybridMultilevel"/>
    <w:lvl w:ilvl="0">
      <w:lvlJc w:val="left"/>
      <w:lvlText w:val="•"/>
      <w:numFmt w:val="bullet"/>
      <w:start w:val="1"/>
    </w:lvl>
  </w:abstractNum>
  <w:abstractNum w:abstractNumId="80">
    <w:nsid w:val="5C17530C"/>
    <w:multiLevelType w:val="hybridMultilevel"/>
    <w:lvl w:ilvl="0">
      <w:lvlJc w:val="left"/>
      <w:lvlText w:val="•"/>
      <w:numFmt w:val="bullet"/>
      <w:start w:val="1"/>
    </w:lvl>
  </w:abstractNum>
  <w:abstractNum w:abstractNumId="81">
    <w:nsid w:val="19A52566"/>
    <w:multiLevelType w:val="hybridMultilevel"/>
    <w:lvl w:ilvl="0">
      <w:lvlJc w:val="left"/>
      <w:lvlText w:val="$"/>
      <w:numFmt w:val="bullet"/>
      <w:start w:val="1"/>
    </w:lvl>
  </w:abstractNum>
  <w:abstractNum w:abstractNumId="82">
    <w:nsid w:val="335A1DF1"/>
    <w:multiLevelType w:val="hybridMultilevel"/>
    <w:lvl w:ilvl="0">
      <w:lvlJc w:val="left"/>
      <w:lvlText w:val="$"/>
      <w:numFmt w:val="bullet"/>
      <w:start w:val="1"/>
    </w:lvl>
  </w:abstractNum>
  <w:abstractNum w:abstractNumId="83">
    <w:nsid w:val="28677B7C"/>
    <w:multiLevelType w:val="hybridMultilevel"/>
    <w:lvl w:ilvl="0">
      <w:lvlJc w:val="left"/>
      <w:lvlText w:val="•"/>
      <w:numFmt w:val="bullet"/>
      <w:start w:val="1"/>
    </w:lvl>
  </w:abstractNum>
  <w:abstractNum w:abstractNumId="84">
    <w:nsid w:val="378D97C0"/>
    <w:multiLevelType w:val="hybridMultilevel"/>
    <w:lvl w:ilvl="0">
      <w:lvlJc w:val="left"/>
      <w:lvlText w:val="•"/>
      <w:numFmt w:val="bullet"/>
      <w:start w:val="1"/>
    </w:lvl>
  </w:abstractNum>
  <w:abstractNum w:abstractNumId="85">
    <w:nsid w:val="1D91467C"/>
    <w:multiLevelType w:val="hybridMultilevel"/>
    <w:lvl w:ilvl="0">
      <w:lvlJc w:val="left"/>
      <w:lvlText w:val="%1."/>
      <w:numFmt w:val="lowerLetter"/>
      <w:start w:val="1"/>
    </w:lvl>
  </w:abstractNum>
  <w:abstractNum w:abstractNumId="86">
    <w:nsid w:val="316032BB"/>
    <w:multiLevelType w:val="hybridMultilevel"/>
    <w:lvl w:ilvl="0">
      <w:lvlJc w:val="left"/>
      <w:lvlText w:val="%1."/>
      <w:numFmt w:val="lowerLetter"/>
      <w:start w:val="1"/>
    </w:lvl>
  </w:abstractNum>
  <w:abstractNum w:abstractNumId="87">
    <w:nsid w:val="44344C22"/>
    <w:multiLevelType w:val="hybridMultilevel"/>
    <w:lvl w:ilvl="0">
      <w:lvlJc w:val="left"/>
      <w:lvlText w:val="%1."/>
      <w:numFmt w:val="lowerLetter"/>
      <w:start w:val="3"/>
    </w:lvl>
  </w:abstractNum>
  <w:abstractNum w:abstractNumId="88">
    <w:nsid w:val="13CDFCFC"/>
    <w:multiLevelType w:val="hybridMultilevel"/>
    <w:lvl w:ilvl="0">
      <w:lvlJc w:val="left"/>
      <w:lvlText w:val="%1."/>
      <w:numFmt w:val="lowerLetter"/>
      <w:start w:val="5"/>
    </w:lvl>
  </w:abstractNum>
  <w:abstractNum w:abstractNumId="89">
    <w:nsid w:val="471745E4"/>
    <w:multiLevelType w:val="hybridMultilevel"/>
    <w:lvl w:ilvl="0">
      <w:lvlJc w:val="left"/>
      <w:lvlText w:val="%1."/>
      <w:numFmt w:val="lowerLetter"/>
      <w:start w:val="7"/>
    </w:lvl>
  </w:abstractNum>
  <w:abstractNum w:abstractNumId="90">
    <w:nsid w:val="1DDBC66"/>
    <w:multiLevelType w:val="hybridMultilevel"/>
    <w:lvl w:ilvl="0">
      <w:lvlJc w:val="left"/>
      <w:lvlText w:val="%1."/>
      <w:numFmt w:val="lowerLetter"/>
      <w:start w:val="8"/>
    </w:lvl>
  </w:abstractNum>
  <w:abstractNum w:abstractNumId="91">
    <w:nsid w:val="30AADFDA"/>
    <w:multiLevelType w:val="hybridMultilevel"/>
    <w:lvl w:ilvl="0">
      <w:lvlJc w:val="left"/>
      <w:lvlText w:val="%1."/>
      <w:numFmt w:val="lowerRoman"/>
    </w:lvl>
    <w:lvl w:ilvl="1">
      <w:lvlJc w:val="left"/>
      <w:lvlText w:val="(*)"/>
      <w:numFmt w:val="bullet"/>
      <w:start w:val="1"/>
    </w:lvl>
  </w:abstractNum>
  <w:abstractNum w:abstractNumId="92">
    <w:nsid w:val="30EADA61"/>
    <w:multiLevelType w:val="hybridMultilevel"/>
    <w:lvl w:ilvl="0">
      <w:lvlJc w:val="left"/>
      <w:lvlText w:val="%1."/>
      <w:numFmt w:val="lowerLetter"/>
      <w:start w:val="10"/>
    </w:lvl>
  </w:abstractNum>
  <w:abstractNum w:abstractNumId="93">
    <w:nsid w:val="27179C0B"/>
    <w:multiLevelType w:val="hybridMultilevel"/>
    <w:lvl w:ilvl="0">
      <w:lvlJc w:val="left"/>
      <w:lvlText w:val="%1."/>
      <w:numFmt w:val="lowerLetter"/>
      <w:start w:val="11"/>
    </w:lvl>
  </w:abstractNum>
  <w:abstractNum w:abstractNumId="94">
    <w:nsid w:val="5E636063"/>
    <w:multiLevelType w:val="hybridMultilevel"/>
    <w:lvl w:ilvl="0">
      <w:lvlJc w:val="left"/>
      <w:lvlText w:val="%1."/>
      <w:numFmt w:val="lowerLetter"/>
      <w:start w:val="14"/>
    </w:lvl>
  </w:abstractNum>
  <w:abstractNum w:abstractNumId="95">
    <w:nsid w:val="215641AF"/>
    <w:multiLevelType w:val="hybridMultilevel"/>
    <w:lvl w:ilvl="0">
      <w:lvlJc w:val="left"/>
      <w:lvlText w:val="\emdash "/>
      <w:numFmt w:val="bullet"/>
      <w:start w:val="1"/>
    </w:lvl>
  </w:abstractNum>
  <w:abstractNum w:abstractNumId="96">
    <w:nsid w:val="53280662"/>
    <w:multiLevelType w:val="hybridMultilevel"/>
    <w:lvl w:ilvl="0">
      <w:lvlJc w:val="left"/>
      <w:lvlText w:val="%1."/>
      <w:numFmt w:val="lowerLetter"/>
      <w:start w:val="17"/>
    </w:lvl>
  </w:abstractNum>
  <w:abstractNum w:abstractNumId="97">
    <w:nsid w:val="46B24DBC"/>
    <w:multiLevelType w:val="hybridMultilevel"/>
    <w:lvl w:ilvl="0">
      <w:lvlJc w:val="left"/>
      <w:lvlText w:val="%1."/>
      <w:numFmt w:val="lowerLetter"/>
      <w:start w:val="18"/>
    </w:lvl>
  </w:abstractNum>
  <w:abstractNum w:abstractNumId="98">
    <w:nsid w:val="75B52783"/>
    <w:multiLevelType w:val="hybridMultilevel"/>
    <w:lvl w:ilvl="0">
      <w:lvlJc w:val="left"/>
      <w:lvlText w:val="%1."/>
      <w:numFmt w:val="lowerLetter"/>
      <w:start w:val="20"/>
    </w:lvl>
  </w:abstractNum>
  <w:abstractNum w:abstractNumId="99">
    <w:nsid w:val="57CE66B4"/>
    <w:multiLevelType w:val="hybridMultilevel"/>
    <w:lvl w:ilvl="0">
      <w:lvlJc w:val="left"/>
      <w:lvlText w:val="%1."/>
      <w:numFmt w:val="lowerLetter"/>
      <w:start w:val="23"/>
    </w:lvl>
  </w:abstractNum>
  <w:abstractNum w:abstractNumId="100">
    <w:nsid w:val="67A70B69"/>
    <w:multiLevelType w:val="hybridMultilevel"/>
    <w:lvl w:ilvl="0">
      <w:lvlJc w:val="left"/>
      <w:lvlText w:val="(*)"/>
      <w:numFmt w:val="bullet"/>
      <w:start w:val="1"/>
    </w:lvl>
  </w:abstractNum>
  <w:abstractNum w:abstractNumId="101">
    <w:nsid w:val="5953172F"/>
    <w:multiLevelType w:val="hybridMultilevel"/>
    <w:lvl w:ilvl="0">
      <w:lvlJc w:val="left"/>
      <w:lvlText w:val="%1."/>
      <w:numFmt w:val="lowerLetter"/>
      <w:start w:val="1"/>
    </w:lvl>
  </w:abstractNum>
  <w:abstractNum w:abstractNumId="102">
    <w:nsid w:val="27EDFE3A"/>
    <w:multiLevelType w:val="hybridMultilevel"/>
    <w:lvl w:ilvl="0">
      <w:lvlJc w:val="left"/>
      <w:lvlText w:val="%1."/>
      <w:numFmt w:val="lowerLetter"/>
      <w:start w:val="2"/>
    </w:lvl>
  </w:abstractNum>
  <w:abstractNum w:abstractNumId="103">
    <w:nsid w:val="52AC7DFF"/>
    <w:multiLevelType w:val="hybridMultilevel"/>
    <w:lvl w:ilvl="0">
      <w:lvlJc w:val="left"/>
      <w:lvlText w:val="(%1)"/>
      <w:numFmt w:val="lowerLetter"/>
      <w:start w:val="2"/>
    </w:lvl>
  </w:abstractNum>
  <w:abstractNum w:abstractNumId="104">
    <w:nsid w:val="C4C3AF"/>
    <w:multiLevelType w:val="hybridMultilevel"/>
    <w:lvl w:ilvl="0">
      <w:lvlJc w:val="left"/>
      <w:lvlText w:val="%1."/>
      <w:numFmt w:val="lowerLetter"/>
      <w:start w:val="3"/>
    </w:lvl>
  </w:abstractNum>
  <w:abstractNum w:abstractNumId="105">
    <w:nsid w:val="44380727"/>
    <w:multiLevelType w:val="hybridMultilevel"/>
    <w:lvl w:ilvl="0">
      <w:lvlJc w:val="left"/>
      <w:lvlText w:val="%1."/>
      <w:numFmt w:val="lowerLetter"/>
      <w:start w:val="5"/>
    </w:lvl>
    <w:lvl w:ilvl="1">
      <w:lvlJc w:val="left"/>
      <w:lvlText w:val="%2."/>
      <w:numFmt w:val="decimal"/>
      <w:start w:val="1"/>
    </w:lvl>
  </w:abstractNum>
  <w:abstractNum w:abstractNumId="106">
    <w:nsid w:val="6C053B16"/>
    <w:multiLevelType w:val="hybridMultilevel"/>
    <w:lvl w:ilvl="0">
      <w:lvlJc w:val="left"/>
      <w:lvlText w:val="%1"/>
      <w:numFmt w:val="lowerLetter"/>
      <w:start w:val="1"/>
    </w:lvl>
    <w:lvl w:ilvl="1">
      <w:lvlJc w:val="left"/>
      <w:lvlText w:val="%2."/>
      <w:numFmt w:val="decimal"/>
      <w:start w:val="2"/>
    </w:lvl>
  </w:abstractNum>
  <w:abstractNum w:abstractNumId="107">
    <w:nsid w:val="4F294393"/>
    <w:multiLevelType w:val="hybridMultilevel"/>
    <w:lvl w:ilvl="0">
      <w:lvlJc w:val="left"/>
      <w:lvlText w:val="%1."/>
      <w:numFmt w:val="lowerLetter"/>
      <w:start w:val="6"/>
    </w:lvl>
    <w:lvl w:ilvl="1">
      <w:lvlJc w:val="left"/>
      <w:lvlText w:val="%2"/>
      <w:numFmt w:val="decimal"/>
      <w:start w:val="1"/>
    </w:lvl>
  </w:abstractNum>
  <w:abstractNum w:abstractNumId="108">
    <w:nsid w:val="5243BFAC"/>
    <w:multiLevelType w:val="hybridMultilevel"/>
    <w:lvl w:ilvl="0">
      <w:lvlJc w:val="left"/>
      <w:lvlText w:val="%1."/>
      <w:numFmt w:val="lowerLetter"/>
      <w:start w:val="1"/>
    </w:lvl>
  </w:abstractNum>
  <w:abstractNum w:abstractNumId="109">
    <w:nsid w:val="425EB207"/>
    <w:multiLevelType w:val="hybridMultilevel"/>
    <w:lvl w:ilvl="0">
      <w:lvlJc w:val="left"/>
      <w:lvlText w:val="%1."/>
      <w:numFmt w:val="lowerLetter"/>
      <w:start w:val="3"/>
    </w:lvl>
  </w:abstractNum>
  <w:abstractNum w:abstractNumId="110">
    <w:nsid w:val="334A6F1F"/>
    <w:multiLevelType w:val="hybridMultilevel"/>
    <w:lvl w:ilvl="0">
      <w:lvlJc w:val="left"/>
      <w:lvlText w:val="%1."/>
      <w:numFmt w:val="lowerLetter"/>
      <w:start w:val="5"/>
    </w:lvl>
  </w:abstractNum>
  <w:abstractNum w:abstractNumId="111">
    <w:nsid w:val="2E5B12B8"/>
    <w:multiLevelType w:val="hybridMultilevel"/>
    <w:lvl w:ilvl="0">
      <w:lvlJc w:val="left"/>
      <w:lvlText w:val="%1."/>
      <w:numFmt w:val="lowerLetter"/>
      <w:start w:val="1"/>
    </w:lvl>
  </w:abstractNum>
  <w:abstractNum w:abstractNumId="112">
    <w:nsid w:val="5C03D76D"/>
    <w:multiLevelType w:val="hybridMultilevel"/>
    <w:lvl w:ilvl="0">
      <w:lvlJc w:val="left"/>
      <w:lvlText w:val="(%1)"/>
      <w:numFmt w:val="lowerLetter"/>
      <w:start w:val="1"/>
    </w:lvl>
  </w:abstractNum>
  <w:abstractNum w:abstractNumId="113">
    <w:nsid w:val="66A48D11"/>
    <w:multiLevelType w:val="hybridMultilevel"/>
    <w:lvl w:ilvl="0">
      <w:lvlJc w:val="left"/>
      <w:lvlText w:val="%1."/>
      <w:numFmt w:val="lowerLetter"/>
      <w:start w:val="3"/>
    </w:lvl>
  </w:abstractNum>
  <w:abstractNum w:abstractNumId="114">
    <w:nsid w:val="56C28E34"/>
    <w:multiLevelType w:val="hybridMultilevel"/>
    <w:lvl w:ilvl="0">
      <w:lvlJc w:val="left"/>
      <w:lvlText w:val="%1."/>
      <w:numFmt w:val="lowerLetter"/>
      <w:start w:val="4"/>
    </w:lvl>
  </w:abstractNum>
  <w:abstractNum w:abstractNumId="115">
    <w:nsid w:val="13916F2D"/>
    <w:multiLevelType w:val="hybridMultilevel"/>
    <w:lvl w:ilvl="0">
      <w:lvlJc w:val="left"/>
      <w:lvlText w:val="%1."/>
      <w:numFmt w:val="lowerLetter"/>
      <w:start w:val="5"/>
    </w:lvl>
  </w:abstractNum>
  <w:abstractNum w:abstractNumId="116">
    <w:nsid w:val="435D38D"/>
    <w:multiLevelType w:val="hybridMultilevel"/>
    <w:lvl w:ilvl="0">
      <w:lvlJc w:val="left"/>
      <w:lvlText w:val="%1."/>
      <w:numFmt w:val="lowerLetter"/>
      <w:start w:val="7"/>
    </w:lvl>
  </w:abstractNum>
  <w:abstractNum w:abstractNumId="117">
    <w:nsid w:val="822C0EF"/>
    <w:multiLevelType w:val="hybridMultilevel"/>
    <w:lvl w:ilvl="0">
      <w:lvlJc w:val="left"/>
      <w:lvlText w:val="%1."/>
      <w:numFmt w:val="lowerLetter"/>
      <w:start w:val="8"/>
    </w:lvl>
  </w:abstractNum>
  <w:abstractNum w:abstractNumId="118">
    <w:nsid w:val="57C5BB4F"/>
    <w:multiLevelType w:val="hybridMultilevel"/>
    <w:lvl w:ilvl="0">
      <w:lvlJc w:val="left"/>
      <w:lvlText w:val="%1."/>
      <w:numFmt w:val="lowerRoman"/>
      <w:start w:val="1"/>
    </w:lvl>
  </w:abstractNum>
  <w:abstractNum w:abstractNumId="119">
    <w:nsid w:val="1803D089"/>
    <w:multiLevelType w:val="hybridMultilevel"/>
    <w:lvl w:ilvl="0">
      <w:lvlJc w:val="left"/>
      <w:lvlText w:val="(**)"/>
      <w:numFmt w:val="bullet"/>
      <w:start w:val="1"/>
    </w:lvl>
  </w:abstractNum>
  <w:abstractNum w:abstractNumId="120">
    <w:nsid w:val="4F3A06D4"/>
    <w:multiLevelType w:val="hybridMultilevel"/>
    <w:lvl w:ilvl="0">
      <w:lvlJc w:val="left"/>
      <w:lvlText w:val="%1."/>
      <w:numFmt w:val="lowerLetter"/>
      <w:start w:val="10"/>
    </w:lvl>
  </w:abstractNum>
  <w:abstractNum w:abstractNumId="121">
    <w:nsid w:val="59A377B6"/>
    <w:multiLevelType w:val="hybridMultilevel"/>
    <w:lvl w:ilvl="0">
      <w:lvlJc w:val="left"/>
      <w:lvlText w:val="%1."/>
      <w:numFmt w:val="lowerLetter"/>
      <w:start w:val="1"/>
    </w:lvl>
  </w:abstractNum>
  <w:abstractNum w:abstractNumId="122">
    <w:nsid w:val="48AEB063"/>
    <w:multiLevelType w:val="hybridMultilevel"/>
    <w:lvl w:ilvl="0">
      <w:lvlJc w:val="left"/>
      <w:lvlText w:val="%1."/>
      <w:numFmt w:val="lowerLetter"/>
      <w:start w:val="2"/>
    </w:lvl>
  </w:abstractNum>
  <w:abstractNum w:abstractNumId="123">
    <w:nsid w:val="24E135"/>
    <w:multiLevelType w:val="hybridMultilevel"/>
    <w:lvl w:ilvl="0">
      <w:lvlJc w:val="left"/>
      <w:lvlText w:val="%1."/>
      <w:numFmt w:val="lowerLetter"/>
      <w:start w:val="1"/>
    </w:lvl>
  </w:abstractNum>
  <w:abstractNum w:abstractNumId="124">
    <w:nsid w:val="BB13C1"/>
    <w:multiLevelType w:val="hybridMultilevel"/>
    <w:lvl w:ilvl="0">
      <w:lvlJc w:val="left"/>
      <w:lvlText w:val="%1."/>
      <w:numFmt w:val="lowerLetter"/>
      <w:start w:val="2"/>
    </w:lvl>
  </w:abstractNum>
  <w:abstractNum w:abstractNumId="125">
    <w:nsid w:val="271210C7"/>
    <w:multiLevelType w:val="hybridMultilevel"/>
    <w:lvl w:ilvl="0">
      <w:lvlJc w:val="left"/>
      <w:lvlText w:val="%1."/>
      <w:numFmt w:val="lowerLetter"/>
      <w:start w:val="3"/>
    </w:lvl>
    <w:lvl w:ilvl="1">
      <w:lvlJc w:val="left"/>
      <w:lvlText w:val="%2."/>
      <w:numFmt w:val="lowerLetter"/>
      <w:start w:val="4"/>
    </w:lvl>
    <w:lvl w:ilvl="2">
      <w:lvlJc w:val="left"/>
      <w:lvlText w:val="-"/>
      <w:numFmt w:val="bullet"/>
      <w:start w:val="1"/>
    </w:lvl>
  </w:abstractNum>
  <w:abstractNum w:abstractNumId="126">
    <w:nsid w:val="217B22E4"/>
    <w:multiLevelType w:val="hybridMultilevel"/>
    <w:lvl w:ilvl="0">
      <w:lvlJc w:val="left"/>
      <w:lvlText w:val="•"/>
      <w:numFmt w:val="bullet"/>
      <w:start w:val="1"/>
    </w:lvl>
  </w:abstractNum>
  <w:abstractNum w:abstractNumId="127">
    <w:nsid w:val="53E31A24"/>
    <w:multiLevelType w:val="hybridMultilevel"/>
    <w:lvl w:ilvl="0">
      <w:lvlJc w:val="left"/>
      <w:lvlText w:val="•"/>
      <w:numFmt w:val="bullet"/>
      <w:start w:val="1"/>
    </w:lvl>
  </w:abstractNum>
  <w:abstractNum w:abstractNumId="128">
    <w:nsid w:val="6DC45E83"/>
    <w:multiLevelType w:val="hybridMultilevel"/>
    <w:lvl w:ilvl="0">
      <w:lvlJc w:val="left"/>
      <w:lvlText w:val="•"/>
      <w:numFmt w:val="bullet"/>
      <w:start w:val="1"/>
    </w:lvl>
  </w:abstractNum>
  <w:abstractNum w:abstractNumId="129">
    <w:nsid w:val="17304A67"/>
    <w:multiLevelType w:val="hybridMultilevel"/>
    <w:lvl w:ilvl="0">
      <w:lvlJc w:val="left"/>
      <w:lvlText w:val="•"/>
      <w:numFmt w:val="bullet"/>
      <w:start w:val="1"/>
    </w:lvl>
  </w:abstractNum>
  <w:abstractNum w:abstractNumId="130">
    <w:nsid w:val="2BB180D8"/>
    <w:multiLevelType w:val="hybridMultilevel"/>
    <w:lvl w:ilvl="0">
      <w:lvlJc w:val="left"/>
      <w:lvlText w:val="•"/>
      <w:numFmt w:val="bullet"/>
      <w:start w:val="1"/>
    </w:lvl>
  </w:abstractNum>
  <w:abstractNum w:abstractNumId="131">
    <w:nsid w:val="556B69ED"/>
    <w:multiLevelType w:val="hybridMultilevel"/>
    <w:lvl w:ilvl="0">
      <w:lvlJc w:val="left"/>
      <w:lvlText w:val="(%1)"/>
      <w:numFmt w:val="lowerLetter"/>
      <w:start w:val="1"/>
    </w:lvl>
  </w:abstractNum>
  <w:abstractNum w:abstractNumId="132">
    <w:nsid w:val="70836196"/>
    <w:multiLevelType w:val="hybridMultilevel"/>
    <w:lvl w:ilvl="0">
      <w:lvlJc w:val="left"/>
      <w:lvlText w:val="%1."/>
      <w:numFmt w:val="decimal"/>
      <w:start w:val="1"/>
    </w:lvl>
  </w:abstractNum>
  <w:abstractNum w:abstractNumId="133">
    <w:nsid w:val="539F7F12"/>
    <w:multiLevelType w:val="hybridMultilevel"/>
    <w:lvl w:ilvl="0">
      <w:lvlJc w:val="left"/>
      <w:lvlText w:val="**"/>
      <w:numFmt w:val="bullet"/>
      <w:start w:val="1"/>
    </w:lvl>
  </w:abstractNum>
  <w:abstractNum w:abstractNumId="134">
    <w:nsid w:val="2817E7EC"/>
    <w:multiLevelType w:val="hybridMultilevel"/>
    <w:lvl w:ilvl="0">
      <w:lvlJc w:val="left"/>
      <w:lvlText w:val="†"/>
      <w:numFmt w:val="bullet"/>
      <w:start w:val="1"/>
    </w:lvl>
  </w:abstractNum>
  <w:abstractNum w:abstractNumId="135">
    <w:nsid w:val="71482545"/>
    <w:multiLevelType w:val="hybridMultilevel"/>
    <w:lvl w:ilvl="0">
      <w:lvlJc w:val="left"/>
      <w:lvlText w:val="∞"/>
      <w:numFmt w:val="bullet"/>
      <w:start w:val="1"/>
    </w:lvl>
  </w:abstractNum>
  <w:abstractNum w:abstractNumId="136">
    <w:nsid w:val="17D7863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7">
    <w:nsid w:val="141D23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38">
    <w:nsid w:val="407168D8"/>
    <w:multiLevelType w:val="hybridMultilevel"/>
    <w:lvl w:ilvl="0">
      <w:lvlJc w:val="left"/>
      <w:lvlText w:val="(%1)"/>
      <w:numFmt w:val="lowerRoman"/>
      <w:start w:val="2"/>
    </w:lvl>
  </w:abstractNum>
  <w:abstractNum w:abstractNumId="139">
    <w:nsid w:val="6A1B45E5"/>
    <w:multiLevelType w:val="hybridMultilevel"/>
    <w:lvl w:ilvl="0">
      <w:lvlJc w:val="left"/>
      <w:lvlText w:val="(%1)"/>
      <w:numFmt w:val="lowerLetter"/>
      <w:start w:val="2"/>
    </w:lvl>
  </w:abstractNum>
  <w:abstractNum w:abstractNumId="140">
    <w:nsid w:val="567BD50A"/>
    <w:multiLevelType w:val="hybridMultilevel"/>
    <w:lvl w:ilvl="0">
      <w:lvlJc w:val="left"/>
      <w:lvlText w:val="(%1)"/>
      <w:numFmt w:val="lowerLetter"/>
      <w:start w:val="8"/>
    </w:lvl>
  </w:abstractNum>
  <w:abstractNum w:abstractNumId="141">
    <w:nsid w:val="73BBD7F8"/>
    <w:multiLevelType w:val="hybridMultilevel"/>
    <w:lvl w:ilvl="0">
      <w:lvlJc w:val="left"/>
      <w:lvlText w:val="(%1)"/>
      <w:numFmt w:val="lowerLetter"/>
      <w:start w:val="12"/>
    </w:lvl>
  </w:abstractNum>
  <w:abstractNum w:abstractNumId="142">
    <w:nsid w:val="1876589D"/>
    <w:multiLevelType w:val="hybridMultilevel"/>
    <w:lvl w:ilvl="0">
      <w:lvlJc w:val="left"/>
      <w:lvlText w:val="%1"/>
      <w:numFmt w:val="lowerLetter"/>
      <w:start w:val="1"/>
    </w:lvl>
    <w:lvl w:ilvl="1">
      <w:lvlJc w:val="left"/>
      <w:lvlText w:val="(%2)"/>
      <w:numFmt w:val="lowerLetter"/>
      <w:start w:val="15"/>
    </w:lvl>
  </w:abstractNum>
  <w:abstractNum w:abstractNumId="143">
    <w:nsid w:val="327FAC77"/>
    <w:multiLevelType w:val="hybridMultilevel"/>
    <w:lvl w:ilvl="0">
      <w:lvlJc w:val="left"/>
      <w:lvlText w:val="(%1)"/>
      <w:numFmt w:val="lowerLetter"/>
      <w:start w:val="9"/>
    </w:lvl>
    <w:lvl w:ilvl="1">
      <w:lvlJc w:val="left"/>
      <w:lvlText w:val="(%2)"/>
      <w:numFmt w:val="lowerLetter"/>
      <w:start w:val="18"/>
    </w:lvl>
  </w:abstractNum>
  <w:abstractNum w:abstractNumId="144">
    <w:nsid w:val="5A606509"/>
    <w:multiLevelType w:val="hybridMultilevel"/>
    <w:lvl w:ilvl="0">
      <w:lvlJc w:val="left"/>
      <w:lvlText w:val="(%1)"/>
      <w:numFmt w:val="lowerLetter"/>
      <w:start w:val="19"/>
    </w:lvl>
  </w:abstractNum>
  <w:abstractNum w:abstractNumId="145">
    <w:nsid w:val="6F38E6D1"/>
    <w:multiLevelType w:val="hybridMultilevel"/>
    <w:lvl w:ilvl="0">
      <w:lvlJc w:val="left"/>
      <w:lvlText w:val="(%1)"/>
      <w:numFmt w:val="lowerLetter"/>
      <w:start w:val="24"/>
    </w:lvl>
  </w:abstractNum>
  <w:abstractNum w:abstractNumId="146">
    <w:nsid w:val="46111BA5"/>
    <w:multiLevelType w:val="hybridMultilevel"/>
    <w:lvl w:ilvl="0">
      <w:lvlJc w:val="left"/>
      <w:lvlText w:val="(%1)"/>
      <w:numFmt w:val="lowerLetter"/>
      <w:start w:val="27"/>
    </w:lvl>
  </w:abstractNum>
  <w:abstractNum w:abstractNumId="147">
    <w:nsid w:val="5E963896"/>
    <w:multiLevelType w:val="hybridMultilevel"/>
    <w:lvl w:ilvl="0">
      <w:lvlJc w:val="left"/>
      <w:lvlText w:val="(%1)"/>
      <w:numFmt w:val="lowerLetter"/>
      <w:start w:val="28"/>
    </w:lvl>
  </w:abstractNum>
  <w:abstractNum w:abstractNumId="148">
    <w:nsid w:val="775BA7C1"/>
    <w:multiLevelType w:val="hybridMultilevel"/>
    <w:lvl w:ilvl="0">
      <w:lvlJc w:val="left"/>
      <w:lvlText w:val="(%1)"/>
      <w:numFmt w:val="lowerLetter"/>
      <w:start w:val="33"/>
    </w:lvl>
  </w:abstractNum>
  <w:abstractNum w:abstractNumId="149">
    <w:nsid w:val="1DD6D6F4"/>
    <w:multiLevelType w:val="hybridMultilevel"/>
    <w:lvl w:ilvl="0">
      <w:lvlJc w:val="left"/>
      <w:lvlText w:val="(%1)"/>
      <w:numFmt w:val="lowerLetter"/>
      <w:start w:val="37"/>
    </w:lvl>
  </w:abstractNum>
  <w:abstractNum w:abstractNumId="150">
    <w:nsid w:val="769A091F"/>
    <w:multiLevelType w:val="hybridMultilevel"/>
    <w:lvl w:ilvl="0">
      <w:lvlJc w:val="left"/>
      <w:lvlText w:val="(%1)"/>
      <w:numFmt w:val="lowerLetter"/>
      <w:start w:val="40"/>
    </w:lvl>
  </w:abstractNum>
  <w:abstractNum w:abstractNumId="151">
    <w:nsid w:val="4695AE95"/>
    <w:multiLevelType w:val="hybridMultilevel"/>
    <w:lvl w:ilvl="0">
      <w:lvlJc w:val="left"/>
      <w:lvlText w:val="(%1)"/>
      <w:numFmt w:val="lowerLetter"/>
      <w:start w:val="45"/>
    </w:lvl>
  </w:abstractNum>
  <w:abstractNum w:abstractNumId="152">
    <w:nsid w:val="777A4EAA"/>
    <w:multiLevelType w:val="hybridMultilevel"/>
    <w:lvl w:ilvl="0">
      <w:lvlJc w:val="left"/>
      <w:lvlText w:val="(%1)"/>
      <w:numFmt w:val="lowerLetter"/>
      <w:start w:val="52"/>
    </w:lvl>
  </w:abstractNum>
  <w:abstractNum w:abstractNumId="153">
    <w:nsid w:val="3F48B982"/>
    <w:multiLevelType w:val="hybridMultilevel"/>
    <w:lvl w:ilvl="0">
      <w:lvlJc w:val="left"/>
      <w:lvlText w:val="(%1)"/>
      <w:numFmt w:val="lowerLetter"/>
      <w:start w:val="53"/>
    </w:lvl>
  </w:abstractNum>
  <w:abstractNum w:abstractNumId="154">
    <w:nsid w:val="46BA8FCA"/>
    <w:multiLevelType w:val="hybridMultilevel"/>
    <w:lvl w:ilvl="0">
      <w:lvlJc w:val="left"/>
      <w:lvlText w:val="(%1)"/>
      <w:numFmt w:val="lowerLetter"/>
      <w:start w:val="56"/>
    </w:lvl>
  </w:abstractNum>
  <w:abstractNum w:abstractNumId="155">
    <w:nsid w:val="7835626C"/>
    <w:multiLevelType w:val="hybridMultilevel"/>
    <w:lvl w:ilvl="0">
      <w:lvlJc w:val="left"/>
      <w:lvlText w:val="%1."/>
      <w:numFmt w:val="decimal"/>
      <w:start w:val="2"/>
    </w:lvl>
  </w:abstractNum>
  <w:abstractNum w:abstractNumId="156">
    <w:nsid w:val="665ACA49"/>
    <w:multiLevelType w:val="hybridMultilevel"/>
    <w:lvl w:ilvl="0">
      <w:lvlJc w:val="left"/>
      <w:lvlText w:val="%1."/>
      <w:numFmt w:val="decimal"/>
      <w:start w:val="3"/>
    </w:lvl>
  </w:abstractNum>
  <w:abstractNum w:abstractNumId="157">
    <w:nsid w:val="6835B2AE"/>
    <w:multiLevelType w:val="hybridMultilevel"/>
    <w:lvl w:ilvl="0">
      <w:lvlJc w:val="left"/>
      <w:lvlText w:val="%1."/>
      <w:numFmt w:val="decimal"/>
      <w:start w:val="5"/>
    </w:lvl>
  </w:abstractNum>
  <w:abstractNum w:abstractNumId="158">
    <w:nsid w:val="4C187C90"/>
    <w:multiLevelType w:val="hybridMultilevel"/>
    <w:lvl w:ilvl="0">
      <w:lvlJc w:val="left"/>
      <w:lvlText w:val="(%1)"/>
      <w:numFmt w:val="lowerRoman"/>
      <w:start w:val="1"/>
    </w:lvl>
  </w:abstractNum>
  <w:abstractNum w:abstractNumId="159">
    <w:nsid w:val="541F28CD"/>
    <w:multiLevelType w:val="hybridMultilevel"/>
    <w:lvl w:ilvl="0">
      <w:lvlJc w:val="left"/>
      <w:lvlText w:val="(%1)"/>
      <w:numFmt w:val="lowerRoman"/>
      <w:start w:val="4"/>
    </w:lvl>
  </w:abstractNum>
  <w:abstractNum w:abstractNumId="160">
    <w:nsid w:val="7F65FD16"/>
    <w:multiLevelType w:val="hybridMultilevel"/>
    <w:lvl w:ilvl="0">
      <w:lvlJc w:val="left"/>
      <w:lvlText w:val="%1"/>
      <w:numFmt w:val="upperLetter"/>
      <w:start w:val="1"/>
    </w:lvl>
    <w:lvl w:ilvl="1">
      <w:lvlJc w:val="left"/>
      <w:lvlText w:val="(%2)"/>
      <w:numFmt w:val="lowerRoman"/>
      <w:start w:val="10"/>
    </w:lvl>
  </w:abstractNum>
  <w:abstractNum w:abstractNumId="161">
    <w:nsid w:val="77C9FD68"/>
    <w:multiLevelType w:val="hybridMultilevel"/>
    <w:lvl w:ilvl="0">
      <w:lvlJc w:val="left"/>
      <w:lvlText w:val="(%1)"/>
      <w:numFmt w:val="upperLetter"/>
      <w:start w:val="1"/>
    </w:lvl>
    <w:lvl w:ilvl="1">
      <w:lvlJc w:val="left"/>
      <w:lvlText w:val="(%2)"/>
      <w:numFmt w:val="lowerRoman"/>
      <w:start w:val="11"/>
    </w:lvl>
  </w:abstractNum>
  <w:abstractNum w:abstractNumId="162">
    <w:nsid w:val="298A92BA"/>
    <w:multiLevelType w:val="hybridMultilevel"/>
    <w:lvl w:ilvl="0">
      <w:lvlJc w:val="left"/>
      <w:lvlText w:val="%1"/>
      <w:numFmt w:val="upperLetter"/>
      <w:start w:val="1"/>
    </w:lvl>
    <w:lvl w:ilvl="1">
      <w:lvlJc w:val="left"/>
      <w:lvlText w:val="(%2)"/>
      <w:numFmt w:val="lowerRoman"/>
      <w:start w:val="12"/>
    </w:lvl>
  </w:abstractNum>
  <w:abstractNum w:abstractNumId="163">
    <w:nsid w:val="6FE95EAC"/>
    <w:multiLevelType w:val="hybridMultilevel"/>
    <w:lvl w:ilvl="0">
      <w:lvlJc w:val="left"/>
      <w:lvlText w:val="(%1)"/>
      <w:numFmt w:val="upperLetter"/>
      <w:start w:val="1"/>
    </w:lvl>
    <w:lvl w:ilvl="1">
      <w:lvlJc w:val="left"/>
      <w:lvlText w:val="(%2)"/>
      <w:numFmt w:val="lowerRoman"/>
      <w:start w:val="16"/>
    </w:lvl>
  </w:abstractNum>
  <w:abstractNum w:abstractNumId="164">
    <w:nsid w:val="4B697C7A"/>
    <w:multiLevelType w:val="hybridMultilevel"/>
    <w:lvl w:ilvl="0">
      <w:lvlJc w:val="left"/>
      <w:lvlText w:val="(%1)"/>
      <w:numFmt w:val="lowerLetter"/>
      <w:start w:val="2"/>
    </w:lvl>
    <w:lvl w:ilvl="1">
      <w:lvlJc w:val="left"/>
      <w:lvlText w:val="%2."/>
      <w:numFmt w:val="decimal"/>
      <w:start w:val="6"/>
    </w:lvl>
  </w:abstractNum>
  <w:abstractNum w:abstractNumId="165">
    <w:nsid w:val="51A27AA6"/>
    <w:multiLevelType w:val="hybridMultilevel"/>
    <w:lvl w:ilvl="0">
      <w:lvlJc w:val="left"/>
      <w:lvlText w:val="%1."/>
      <w:numFmt w:val="decimal"/>
      <w:start w:val="7"/>
    </w:lvl>
    <w:lvl w:ilvl="1">
      <w:lvlJc w:val="left"/>
      <w:lvlText w:val="(%2)"/>
      <w:numFmt w:val="lowerLetter"/>
      <w:start w:val="1"/>
    </w:lvl>
  </w:abstractNum>
  <w:abstractNum w:abstractNumId="166">
    <w:nsid w:val="613183F2"/>
    <w:multiLevelType w:val="hybridMultilevel"/>
    <w:lvl w:ilvl="0">
      <w:lvlJc w:val="left"/>
      <w:lvlText w:val="(%1)"/>
      <w:numFmt w:val="lowerLetter"/>
      <w:start w:val="5"/>
    </w:lvl>
  </w:abstractNum>
  <w:abstractNum w:abstractNumId="167">
    <w:nsid w:val="634102B4"/>
    <w:multiLevelType w:val="hybridMultilevel"/>
    <w:lvl w:ilvl="0">
      <w:lvlJc w:val="left"/>
      <w:lvlText w:val="(%1)"/>
      <w:numFmt w:val="lowerLetter"/>
      <w:start w:val="10"/>
    </w:lvl>
  </w:abstractNum>
  <w:abstractNum w:abstractNumId="168">
    <w:nsid w:val="65BF9DA8"/>
    <w:multiLevelType w:val="hybridMultilevel"/>
    <w:lvl w:ilvl="0">
      <w:lvlJc w:val="left"/>
      <w:lvlText w:val="(%1)"/>
      <w:numFmt w:val="lowerRoman"/>
      <w:start w:val="1"/>
    </w:lvl>
  </w:abstractNum>
  <w:abstractNum w:abstractNumId="169">
    <w:nsid w:val="21A2ECCA"/>
    <w:multiLevelType w:val="hybridMultilevel"/>
    <w:lvl w:ilvl="0">
      <w:lvlJc w:val="left"/>
      <w:lvlText w:val="(%1)"/>
      <w:numFmt w:val="lowerLetter"/>
      <w:start w:val="12"/>
    </w:lvl>
  </w:abstractNum>
  <w:abstractNum w:abstractNumId="170">
    <w:nsid w:val="4D5C4899"/>
    <w:multiLevelType w:val="hybridMultilevel"/>
    <w:lvl w:ilvl="0">
      <w:lvlJc w:val="left"/>
      <w:lvlText w:val="(%1)"/>
      <w:numFmt w:val="lowerLetter"/>
      <w:start w:val="16"/>
    </w:lvl>
  </w:abstractNum>
  <w:abstractNum w:abstractNumId="171">
    <w:nsid w:val="3C3B72B2"/>
    <w:multiLevelType w:val="hybridMultilevel"/>
    <w:lvl w:ilvl="0">
      <w:lvlJc w:val="left"/>
      <w:lvlText w:val="%1."/>
      <w:numFmt w:val="decimal"/>
      <w:start w:val="8"/>
    </w:lvl>
    <w:lvl w:ilvl="1">
      <w:lvlJc w:val="left"/>
      <w:lvlText w:val="(%2)"/>
      <w:numFmt w:val="lowerLetter"/>
      <w:start w:val="1"/>
    </w:lvl>
  </w:abstractNum>
  <w:abstractNum w:abstractNumId="172">
    <w:nsid w:val="155EC4C2"/>
    <w:multiLevelType w:val="hybridMultilevel"/>
    <w:lvl w:ilvl="0">
      <w:lvlJc w:val="left"/>
      <w:lvlText w:val="%1"/>
      <w:numFmt w:val="lowerLetter"/>
      <w:start w:val="1"/>
    </w:lvl>
    <w:lvl w:ilvl="1">
      <w:lvlJc w:val="left"/>
      <w:lvlText w:val="(%2)"/>
      <w:numFmt w:val="lowerLetter"/>
      <w:start w:val="2"/>
    </w:lvl>
  </w:abstractNum>
  <w:abstractNum w:abstractNumId="173">
    <w:nsid w:val="65D2A137"/>
    <w:multiLevelType w:val="hybridMultilevel"/>
    <w:lvl w:ilvl="0">
      <w:lvlJc w:val="left"/>
      <w:lvlText w:val="(%1)"/>
      <w:numFmt w:val="lowerLetter"/>
      <w:start w:val="35"/>
    </w:lvl>
    <w:lvl w:ilvl="1">
      <w:lvlJc w:val="left"/>
      <w:lvlText w:val="%2"/>
      <w:numFmt w:val="lowerLetter"/>
      <w:start w:val="1"/>
    </w:lvl>
  </w:abstractNum>
  <w:abstractNum w:abstractNumId="174">
    <w:nsid w:val="6EBB1F2A"/>
    <w:multiLevelType w:val="hybridMultilevel"/>
    <w:lvl w:ilvl="0">
      <w:lvlJc w:val="left"/>
      <w:lvlText w:val="(%1)"/>
      <w:numFmt w:val="lowerLetter"/>
      <w:start w:val="3"/>
    </w:lvl>
  </w:abstractNum>
  <w:abstractNum w:abstractNumId="175">
    <w:nsid w:val="6FBF29CB"/>
    <w:multiLevelType w:val="hybridMultilevel"/>
    <w:lvl w:ilvl="0">
      <w:lvlJc w:val="left"/>
      <w:lvlText w:val="(%1)"/>
      <w:numFmt w:val="lowerLetter"/>
      <w:start w:val="4"/>
    </w:lvl>
  </w:abstractNum>
  <w:abstractNum w:abstractNumId="176">
    <w:nsid w:val="550B8808"/>
    <w:multiLevelType w:val="hybridMultilevel"/>
    <w:lvl w:ilvl="0">
      <w:lvlJc w:val="left"/>
      <w:lvlText w:val="%1"/>
      <w:numFmt w:val="decimal"/>
      <w:start w:val="1"/>
    </w:lvl>
    <w:lvl w:ilvl="1">
      <w:lvlJc w:val="left"/>
      <w:lvlText w:val="(%2)"/>
      <w:numFmt w:val="lowerLetter"/>
      <w:start w:val="5"/>
    </w:lvl>
  </w:abstractNum>
  <w:abstractNum w:abstractNumId="177">
    <w:nsid w:val="34CC3ACF"/>
    <w:multiLevelType w:val="hybridMultilevel"/>
    <w:lvl w:ilvl="0">
      <w:lvlJc w:val="left"/>
      <w:lvlText w:val="%1."/>
      <w:numFmt w:val="decimal"/>
      <w:start w:val="9"/>
    </w:lvl>
    <w:lvl w:ilvl="1">
      <w:lvlJc w:val="left"/>
      <w:lvlText w:val="(%2)"/>
      <w:numFmt w:val="lowerLetter"/>
      <w:start w:val="1"/>
    </w:lvl>
  </w:abstractNum>
  <w:abstractNum w:abstractNumId="178">
    <w:nsid w:val="4E556261"/>
    <w:multiLevelType w:val="hybridMultilevel"/>
    <w:lvl w:ilvl="0">
      <w:lvlJc w:val="left"/>
      <w:lvlText w:val="%1"/>
      <w:numFmt w:val="decimal"/>
      <w:start w:val="1"/>
    </w:lvl>
    <w:lvl w:ilvl="1">
      <w:lvlJc w:val="left"/>
      <w:lvlText w:val="(%2)"/>
      <w:numFmt w:val="lowerLetter"/>
      <w:start w:val="2"/>
    </w:lvl>
  </w:abstractNum>
  <w:abstractNum w:abstractNumId="179">
    <w:nsid w:val="4C672FC9"/>
    <w:multiLevelType w:val="hybridMultilevel"/>
    <w:lvl w:ilvl="0">
      <w:lvlJc w:val="left"/>
      <w:lvlText w:val="%1."/>
      <w:numFmt w:val="decimal"/>
      <w:start w:val="10"/>
    </w:lvl>
    <w:lvl w:ilvl="1">
      <w:lvlJc w:val="left"/>
      <w:lvlText w:val="%2"/>
      <w:numFmt w:val="lowerLetter"/>
      <w:start w:val="1"/>
    </w:lvl>
  </w:abstractNum>
  <w:abstractNum w:abstractNumId="180">
    <w:nsid w:val="52A311C3"/>
    <w:multiLevelType w:val="hybridMultilevel"/>
    <w:lvl w:ilvl="0">
      <w:lvlJc w:val="left"/>
      <w:lvlText w:val="%1."/>
      <w:numFmt w:val="decimal"/>
      <w:start w:val="12"/>
    </w:lvl>
    <w:lvl w:ilvl="1">
      <w:lvlJc w:val="left"/>
      <w:lvlText w:val="(%2)"/>
      <w:numFmt w:val="lowerLetter"/>
      <w:start w:val="1"/>
    </w:lvl>
  </w:abstractNum>
  <w:abstractNum w:abstractNumId="181">
    <w:nsid w:val="44EF6B80"/>
    <w:multiLevelType w:val="hybridMultilevel"/>
    <w:lvl w:ilvl="0">
      <w:lvlJc w:val="left"/>
      <w:lvlText w:val="(%1)"/>
      <w:numFmt w:val="lowerLetter"/>
      <w:start w:val="2"/>
    </w:lvl>
  </w:abstractNum>
  <w:abstractNum w:abstractNumId="182">
    <w:nsid w:val="12FCDE5E"/>
    <w:multiLevelType w:val="hybridMultilevel"/>
    <w:lvl w:ilvl="0">
      <w:lvlJc w:val="left"/>
      <w:lvlText w:val="%1."/>
      <w:numFmt w:val="decimal"/>
      <w:start w:val="15"/>
    </w:lvl>
  </w:abstractNum>
  <w:abstractNum w:abstractNumId="183">
    <w:nsid w:val="4A1D606E"/>
    <w:multiLevelType w:val="hybridMultilevel"/>
    <w:lvl w:ilvl="0">
      <w:lvlJc w:val="left"/>
      <w:lvlText w:val="%1."/>
      <w:numFmt w:val="decimal"/>
      <w:start w:val="20"/>
    </w:lvl>
  </w:abstractNum>
  <w:abstractNum w:abstractNumId="184">
    <w:nsid w:val="4382503"/>
    <w:multiLevelType w:val="hybridMultilevel"/>
    <w:lvl w:ilvl="0">
      <w:lvlJc w:val="left"/>
      <w:lvlText w:val="%1."/>
      <w:numFmt w:val="decimal"/>
      <w:start w:val="1"/>
    </w:lvl>
  </w:abstractNum>
  <w:abstractNum w:abstractNumId="185">
    <w:nsid w:val="59B76E2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86">
    <w:nsid w:val="4252C2DA"/>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7"/>
    </w:lvl>
    <w:lvl w:ilvl="3">
      <w:lvlJc w:val="left"/>
      <w:lvlText w:val="(%4)"/>
      <w:numFmt w:val="lowerLetter"/>
      <w:start w:val="7"/>
    </w:lvl>
  </w:abstractNum>
  <w:abstractNum w:abstractNumId="187">
    <w:nsid w:val="6A92EF4C"/>
    <w:multiLevelType w:val="hybridMultilevel"/>
    <w:lvl w:ilvl="0">
      <w:lvlJc w:val="left"/>
      <w:lvlText w:val="(%1)"/>
      <w:numFmt w:val="lowerRoman"/>
      <w:start w:val="1"/>
    </w:lvl>
  </w:abstractNum>
  <w:abstractNum w:abstractNumId="188">
    <w:nsid w:val="41ED20D7"/>
    <w:multiLevelType w:val="hybridMultilevel"/>
    <w:lvl w:ilvl="0">
      <w:lvlJc w:val="left"/>
      <w:lvlText w:val="%1."/>
      <w:numFmt w:val="decimal"/>
      <w:start w:val="1"/>
    </w:lvl>
    <w:lvl w:ilvl="1">
      <w:lvlJc w:val="left"/>
      <w:lvlText w:val="(%2)"/>
      <w:numFmt w:val="lowerLetter"/>
      <w:start w:val="1"/>
    </w:lvl>
  </w:abstractNum>
  <w:abstractNum w:abstractNumId="189">
    <w:nsid w:val="E6B3F6A"/>
    <w:multiLevelType w:val="hybridMultilevel"/>
    <w:lvl w:ilvl="0">
      <w:lvlJc w:val="left"/>
      <w:lvlText w:val="(%1)"/>
      <w:numFmt w:val="lowerLetter"/>
      <w:start w:val="2"/>
    </w:lvl>
  </w:abstractNum>
  <w:abstractNum w:abstractNumId="190">
    <w:nsid w:val="3EB21819"/>
    <w:multiLevelType w:val="hybridMultilevel"/>
    <w:lvl w:ilvl="0">
      <w:lvlJc w:val="left"/>
      <w:lvlText w:val="(%1)"/>
      <w:numFmt w:val="lowerLetter"/>
      <w:start w:val="3"/>
    </w:lvl>
  </w:abstractNum>
  <w:abstractNum w:abstractNumId="191">
    <w:nsid w:val="41531DED"/>
    <w:multiLevelType w:val="hybridMultilevel"/>
    <w:lvl w:ilvl="0">
      <w:lvlJc w:val="left"/>
      <w:lvlText w:val="%1."/>
      <w:numFmt w:val="decimal"/>
      <w:start w:val="2"/>
    </w:lvl>
  </w:abstractNum>
  <w:abstractNum w:abstractNumId="192">
    <w:nsid w:val="6353CD2"/>
    <w:multiLevelType w:val="hybridMultilevel"/>
    <w:lvl w:ilvl="0">
      <w:lvlJc w:val="left"/>
      <w:lvlText w:val="%1."/>
      <w:numFmt w:val="decimal"/>
      <w:start w:val="3"/>
    </w:lvl>
    <w:lvl w:ilvl="1">
      <w:lvlJc w:val="left"/>
      <w:lvlText w:val="(%2)"/>
      <w:numFmt w:val="lowerLetter"/>
      <w:start w:val="1"/>
    </w:lvl>
  </w:abstractNum>
  <w:abstractNum w:abstractNumId="193">
    <w:nsid w:val="683CAAD3"/>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94">
    <w:nsid w:val="313C7C9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95">
    <w:nsid w:val="519EB94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96">
    <w:nsid w:val="39DF2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7">
    <w:nsid w:val="126E008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8">
    <w:nsid w:val="34DFBC00"/>
    <w:multiLevelType w:val="hybridMultilevel"/>
    <w:lvl w:ilvl="0">
      <w:lvlJc w:val="left"/>
      <w:lvlText w:val="%1."/>
      <w:numFmt w:val="decimal"/>
      <w:start w:val="11"/>
    </w:lvl>
    <w:lvl w:ilvl="1">
      <w:lvlJc w:val="left"/>
      <w:lvlText w:val="(%2)"/>
      <w:numFmt w:val="lowerLetter"/>
      <w:start w:val="1"/>
    </w:lvl>
  </w:abstractNum>
  <w:abstractNum w:abstractNumId="199">
    <w:nsid w:val="1F9EC322"/>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00">
    <w:nsid w:val="3410ED56"/>
    <w:multiLevelType w:val="hybridMultilevel"/>
    <w:lvl w:ilvl="0">
      <w:lvlJc w:val="left"/>
      <w:lvlText w:val="%1"/>
      <w:numFmt w:val="decimal"/>
      <w:start w:val="1"/>
    </w:lvl>
    <w:lvl w:ilvl="1">
      <w:lvlJc w:val="left"/>
      <w:lvlText w:val="(%2)"/>
      <w:numFmt w:val="lowerLetter"/>
      <w:start w:val="4"/>
    </w:lvl>
  </w:abstractNum>
  <w:abstractNum w:abstractNumId="201">
    <w:nsid w:val="23C049A"/>
    <w:multiLevelType w:val="hybridMultilevel"/>
    <w:lvl w:ilvl="0">
      <w:lvlJc w:val="left"/>
      <w:lvlText w:val="%1."/>
      <w:numFmt w:val="decimal"/>
      <w:start w:val="14"/>
    </w:lvl>
    <w:lvl w:ilvl="1">
      <w:lvlJc w:val="left"/>
      <w:lvlText w:val="%2"/>
      <w:numFmt w:val="lowerLetter"/>
      <w:start w:val="1"/>
    </w:lvl>
  </w:abstractNum>
  <w:abstractNum w:abstractNumId="202">
    <w:nsid w:val="5BDA35D4"/>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203">
    <w:nsid w:val="496FB218"/>
    <w:multiLevelType w:val="hybridMultilevel"/>
    <w:lvl w:ilvl="0">
      <w:lvlJc w:val="left"/>
      <w:lvlText w:val="%1"/>
      <w:numFmt w:val="decimal"/>
      <w:start w:val="1"/>
    </w:lvl>
    <w:lvl w:ilvl="1">
      <w:lvlJc w:val="left"/>
      <w:lvlText w:val="(%2)"/>
      <w:numFmt w:val="lowerLetter"/>
      <w:start w:val="6"/>
    </w:lvl>
  </w:abstractNum>
  <w:abstractNum w:abstractNumId="204">
    <w:nsid w:val="680EA5D1"/>
    <w:multiLevelType w:val="hybridMultilevel"/>
    <w:lvl w:ilvl="0">
      <w:lvlJc w:val="left"/>
      <w:lvlText w:val="%1."/>
      <w:numFmt w:val="decimal"/>
      <w:start w:val="16"/>
    </w:lvl>
    <w:lvl w:ilvl="1">
      <w:lvlJc w:val="left"/>
      <w:lvlText w:val="(%2)"/>
      <w:numFmt w:val="lowerLetter"/>
      <w:start w:val="1"/>
    </w:lvl>
  </w:abstractNum>
  <w:abstractNum w:abstractNumId="205">
    <w:nsid w:val="4A9554FE"/>
    <w:multiLevelType w:val="hybridMultilevel"/>
    <w:lvl w:ilvl="0">
      <w:lvlJc w:val="left"/>
      <w:lvlText w:val="%1."/>
      <w:numFmt w:val="decimal"/>
      <w:start w:val="18"/>
    </w:lvl>
  </w:abstractNum>
  <w:abstractNum w:abstractNumId="206">
    <w:nsid w:val="392EDBE4"/>
    <w:multiLevelType w:val="hybridMultilevel"/>
    <w:lvl w:ilvl="0">
      <w:lvlJc w:val="left"/>
      <w:lvlText w:val="%1."/>
      <w:numFmt w:val="decimal"/>
      <w:start w:val="19"/>
    </w:lvl>
  </w:abstractNum>
  <w:abstractNum w:abstractNumId="207">
    <w:nsid w:val="3D1A2DD9"/>
    <w:multiLevelType w:val="hybridMultilevel"/>
    <w:lvl w:ilvl="0">
      <w:lvlJc w:val="left"/>
      <w:lvlText w:val="%1."/>
      <w:numFmt w:val="decimal"/>
      <w:start w:val="20"/>
    </w:lvl>
  </w:abstractNum>
  <w:abstractNum w:abstractNumId="208">
    <w:nsid w:val="7F618FCD"/>
    <w:multiLevelType w:val="hybridMultilevel"/>
    <w:lvl w:ilvl="0">
      <w:lvlJc w:val="left"/>
      <w:lvlText w:val="%1."/>
      <w:numFmt w:val="decimal"/>
      <w:start w:val="21"/>
    </w:lvl>
    <w:lvl w:ilvl="1">
      <w:lvlJc w:val="left"/>
      <w:lvlText w:val="(%2)"/>
      <w:numFmt w:val="lowerLetter"/>
      <w:start w:val="1"/>
    </w:lvl>
  </w:abstractNum>
  <w:abstractNum w:abstractNumId="209">
    <w:nsid w:val="7843E45"/>
    <w:multiLevelType w:val="hybridMultilevel"/>
    <w:lvl w:ilvl="0">
      <w:lvlJc w:val="left"/>
      <w:lvlText w:val="%1."/>
      <w:numFmt w:val="decimal"/>
      <w:start w:val="23"/>
    </w:lvl>
    <w:lvl w:ilvl="1">
      <w:lvlJc w:val="left"/>
      <w:lvlText w:val="(%2)"/>
      <w:numFmt w:val="lowerLetter"/>
      <w:start w:val="1"/>
    </w:lvl>
  </w:abstractNum>
  <w:abstractNum w:abstractNumId="210">
    <w:nsid w:val="9815DA3"/>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211">
    <w:nsid w:val="5204A191"/>
    <w:multiLevelType w:val="hybridMultilevel"/>
    <w:lvl w:ilvl="0">
      <w:lvlJc w:val="left"/>
      <w:lvlText w:val="%1"/>
      <w:numFmt w:val="decimal"/>
      <w:start w:val="1"/>
    </w:lvl>
    <w:lvl w:ilvl="1">
      <w:lvlJc w:val="left"/>
      <w:lvlText w:val="(%2)"/>
      <w:numFmt w:val="lowerLetter"/>
      <w:start w:val="2"/>
    </w:lvl>
  </w:abstractNum>
  <w:abstractNum w:abstractNumId="212">
    <w:nsid w:val="4C73A9C6"/>
    <w:multiLevelType w:val="hybridMultilevel"/>
    <w:lvl w:ilvl="0">
      <w:lvlJc w:val="left"/>
      <w:lvlText w:val="%1."/>
      <w:numFmt w:val="decimal"/>
      <w:start w:val="26"/>
    </w:lvl>
    <w:lvl w:ilvl="1">
      <w:lvlJc w:val="left"/>
      <w:lvlText w:val="(%2)"/>
      <w:numFmt w:val="lowerLetter"/>
      <w:start w:val="1"/>
    </w:lvl>
  </w:abstractNum>
  <w:abstractNum w:abstractNumId="213">
    <w:nsid w:val="1C7E3C01"/>
    <w:multiLevelType w:val="hybridMultilevel"/>
    <w:lvl w:ilvl="0">
      <w:lvlJc w:val="left"/>
      <w:lvlText w:val="%1."/>
      <w:numFmt w:val="decimal"/>
      <w:start w:val="27"/>
    </w:lvl>
    <w:lvl w:ilvl="1">
      <w:lvlJc w:val="left"/>
      <w:lvlText w:val="(%2)"/>
      <w:numFmt w:val="lowerLetter"/>
      <w:start w:val="1"/>
    </w:lvl>
    <w:lvl w:ilvl="2">
      <w:lvlJc w:val="left"/>
      <w:lvlText w:val="-"/>
      <w:numFmt w:val="bullet"/>
      <w:start w:val="1"/>
    </w:lvl>
  </w:abstractNum>
  <w:abstractNum w:abstractNumId="214">
    <w:nsid w:val="1C2201FF"/>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215">
    <w:nsid w:val="50ABCEC9"/>
    <w:multiLevelType w:val="hybridMultilevel"/>
    <w:lvl w:ilvl="0">
      <w:lvlJc w:val="left"/>
      <w:lvlText w:val="%1."/>
      <w:numFmt w:val="decimal"/>
      <w:start w:val="28"/>
    </w:lvl>
  </w:abstractNum>
  <w:abstractNum w:abstractNumId="216">
    <w:nsid w:val="7635AA2A"/>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217">
    <w:nsid w:val="5E74C4D9"/>
    <w:multiLevelType w:val="hybridMultilevel"/>
    <w:lvl w:ilvl="0">
      <w:lvlJc w:val="left"/>
      <w:lvlText w:val="%1."/>
      <w:numFmt w:val="decimal"/>
      <w:start w:val="31"/>
    </w:lvl>
  </w:abstractNum>
  <w:abstractNum w:abstractNumId="218">
    <w:nsid w:val="3B3EBE15"/>
    <w:multiLevelType w:val="hybridMultilevel"/>
    <w:lvl w:ilvl="0">
      <w:lvlJc w:val="left"/>
      <w:lvlText w:val="%1."/>
      <w:numFmt w:val="decimal"/>
      <w:start w:val="32"/>
    </w:lvl>
    <w:lvl w:ilvl="1">
      <w:lvlJc w:val="left"/>
      <w:lvlText w:val="(%2)"/>
      <w:numFmt w:val="lowerLetter"/>
      <w:start w:val="1"/>
    </w:lvl>
  </w:abstractNum>
  <w:abstractNum w:abstractNumId="219">
    <w:nsid w:val="3822CB01"/>
    <w:multiLevelType w:val="hybridMultilevel"/>
    <w:lvl w:ilvl="0">
      <w:lvlJc w:val="left"/>
      <w:lvlText w:val="%1."/>
      <w:numFmt w:val="decimal"/>
      <w:start w:val="33"/>
    </w:lvl>
    <w:lvl w:ilvl="1">
      <w:lvlJc w:val="left"/>
      <w:lvlText w:val="(%2)"/>
      <w:numFmt w:val="lowerLetter"/>
      <w:start w:val="1"/>
    </w:lvl>
  </w:abstractNum>
  <w:abstractNum w:abstractNumId="220">
    <w:nsid w:val="6CE00443"/>
    <w:multiLevelType w:val="hybridMultilevel"/>
    <w:lvl w:ilvl="0">
      <w:lvlJc w:val="left"/>
      <w:lvlText w:val="(%1)"/>
      <w:numFmt w:val="lowerLetter"/>
      <w:start w:val="2"/>
    </w:lvl>
    <w:lvl w:ilvl="1">
      <w:lvlJc w:val="left"/>
      <w:lvlText w:val="-"/>
      <w:numFmt w:val="bullet"/>
      <w:start w:val="1"/>
    </w:lvl>
  </w:abstractNum>
  <w:abstractNum w:abstractNumId="221">
    <w:nsid w:val="79F0D62F"/>
    <w:multiLevelType w:val="hybridMultilevel"/>
    <w:lvl w:ilvl="0">
      <w:lvlJc w:val="left"/>
      <w:lvlText w:val="%1."/>
      <w:numFmt w:val="decimal"/>
      <w:start w:val="34"/>
    </w:lvl>
    <w:lvl w:ilvl="1">
      <w:lvlJc w:val="left"/>
      <w:lvlText w:val="(%2)"/>
      <w:numFmt w:val="lowerLetter"/>
      <w:start w:val="1"/>
    </w:lvl>
  </w:abstractNum>
  <w:abstractNum w:abstractNumId="222">
    <w:nsid w:val="7975E8EE"/>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abstractNum w:abstractNumId="223">
    <w:nsid w:val="73154115"/>
    <w:multiLevelType w:val="hybridMultilevel"/>
    <w:lvl w:ilvl="0">
      <w:lvlJc w:val="left"/>
      <w:lvlText w:val="%1."/>
      <w:numFmt w:val="decimal"/>
      <w:start w:val="36"/>
    </w:lvl>
    <w:lvl w:ilvl="1">
      <w:lvlJc w:val="left"/>
      <w:lvlText w:val="(%2)"/>
      <w:numFmt w:val="lowerLetter"/>
      <w:start w:val="1"/>
    </w:lvl>
    <w:lvl w:ilvl="2">
      <w:lvlJc w:val="left"/>
      <w:lvlText w:val="-"/>
      <w:numFmt w:val="bullet"/>
      <w:start w:val="1"/>
    </w:lvl>
  </w:abstractNum>
  <w:abstractNum w:abstractNumId="224">
    <w:nsid w:val="622D8102"/>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25">
    <w:nsid w:val="2AB26587"/>
    <w:multiLevelType w:val="hybridMultilevel"/>
    <w:lvl w:ilvl="0">
      <w:lvlJc w:val="left"/>
      <w:lvlText w:val="%1"/>
      <w:numFmt w:val="decimal"/>
      <w:start w:val="1"/>
    </w:lvl>
    <w:lvl w:ilvl="1">
      <w:lvlJc w:val="left"/>
      <w:lvlText w:val="(%2)"/>
      <w:numFmt w:val="lowerLetter"/>
      <w:start w:val="6"/>
    </w:lvl>
  </w:abstractNum>
  <w:abstractNum w:abstractNumId="226">
    <w:nsid w:val="44B3FA61"/>
    <w:multiLevelType w:val="hybridMultilevel"/>
    <w:lvl w:ilvl="0">
      <w:lvlJc w:val="left"/>
      <w:lvlText w:val="%1."/>
      <w:numFmt w:val="decimal"/>
      <w:start w:val="40"/>
    </w:lvl>
    <w:lvl w:ilvl="1">
      <w:lvlJc w:val="left"/>
      <w:lvlText w:val="%2"/>
      <w:numFmt w:val="lowerLetter"/>
      <w:start w:val="1"/>
    </w:lvl>
  </w:abstractNum>
  <w:abstractNum w:abstractNumId="227">
    <w:nsid w:val="1C0CA67C"/>
    <w:multiLevelType w:val="hybridMultilevel"/>
    <w:lvl w:ilvl="0">
      <w:lvlJc w:val="left"/>
      <w:lvlText w:val="%1."/>
      <w:numFmt w:val="decimal"/>
      <w:start w:val="41"/>
    </w:lvl>
  </w:abstractNum>
  <w:abstractNum w:abstractNumId="228">
    <w:nsid w:val="3D206613"/>
    <w:multiLevelType w:val="hybridMultilevel"/>
    <w:lvl w:ilvl="0">
      <w:lvlJc w:val="left"/>
      <w:lvlText w:val="%1."/>
      <w:numFmt w:val="decimal"/>
      <w:start w:val="42"/>
    </w:lvl>
  </w:abstractNum>
  <w:abstractNum w:abstractNumId="229">
    <w:nsid w:val="7993B662"/>
    <w:multiLevelType w:val="hybridMultilevel"/>
    <w:lvl w:ilvl="0">
      <w:lvlJc w:val="left"/>
      <w:lvlText w:val="(%1)"/>
      <w:numFmt w:val="lowerLetter"/>
      <w:start w:val="1"/>
    </w:lvl>
    <w:lvl w:ilvl="1">
      <w:lvlJc w:val="left"/>
      <w:lvlText w:val="-"/>
      <w:numFmt w:val="bullet"/>
      <w:start w:val="1"/>
    </w:lvl>
  </w:abstractNum>
  <w:abstractNum w:abstractNumId="230">
    <w:nsid w:val="3BAB699E"/>
    <w:multiLevelType w:val="hybridMultilevel"/>
    <w:lvl w:ilvl="0">
      <w:lvlJc w:val="left"/>
      <w:lvlText w:val="%1"/>
      <w:numFmt w:val="decimal"/>
      <w:start w:val="1"/>
    </w:lvl>
    <w:lvl w:ilvl="1">
      <w:lvlJc w:val="left"/>
      <w:lvlText w:val="(%2)"/>
      <w:numFmt w:val="lowerLetter"/>
      <w:start w:val="6"/>
    </w:lvl>
  </w:abstractNum>
  <w:abstractNum w:abstractNumId="231">
    <w:nsid w:val="71315369"/>
    <w:multiLevelType w:val="hybridMultilevel"/>
    <w:lvl w:ilvl="0">
      <w:lvlJc w:val="left"/>
      <w:lvlText w:val="%1."/>
      <w:numFmt w:val="decimal"/>
      <w:start w:val="43"/>
    </w:lvl>
    <w:lvl w:ilvl="1">
      <w:lvlJc w:val="left"/>
      <w:lvlText w:val="%2"/>
      <w:numFmt w:val="lowerLetter"/>
      <w:start w:val="1"/>
    </w:lvl>
  </w:abstractNum>
  <w:abstractNum w:abstractNumId="232">
    <w:nsid w:val="7BCFBAFC"/>
    <w:multiLevelType w:val="hybridMultilevel"/>
    <w:lvl w:ilvl="0">
      <w:lvlJc w:val="left"/>
      <w:lvlText w:val="%1."/>
      <w:numFmt w:val="decimal"/>
      <w:start w:val="44"/>
    </w:lvl>
    <w:lvl w:ilvl="1">
      <w:lvlJc w:val="left"/>
      <w:lvlText w:val="(%2)"/>
      <w:numFmt w:val="lowerLetter"/>
      <w:start w:val="1"/>
    </w:lvl>
  </w:abstractNum>
  <w:abstractNum w:abstractNumId="233">
    <w:nsid w:val="17859F72"/>
    <w:multiLevelType w:val="hybridMultilevel"/>
    <w:lvl w:ilvl="0">
      <w:lvlJc w:val="left"/>
      <w:lvlText w:val="%1."/>
      <w:numFmt w:val="decimal"/>
      <w:start w:val="45"/>
    </w:lvl>
    <w:lvl w:ilvl="1">
      <w:lvlJc w:val="left"/>
      <w:lvlText w:val="(%2)"/>
      <w:numFmt w:val="lowerLetter"/>
      <w:start w:val="1"/>
    </w:lvl>
    <w:lvl w:ilvl="2">
      <w:lvlJc w:val="left"/>
      <w:lvlText w:val="-"/>
      <w:numFmt w:val="bullet"/>
      <w:start w:val="1"/>
    </w:lvl>
  </w:abstractNum>
  <w:abstractNum w:abstractNumId="234">
    <w:nsid w:val="3AA10581"/>
    <w:multiLevelType w:val="hybridMultilevel"/>
    <w:lvl w:ilvl="0">
      <w:lvlJc w:val="left"/>
      <w:lvlText w:val="%1"/>
      <w:numFmt w:val="decimal"/>
      <w:start w:val="1"/>
    </w:lvl>
    <w:lvl w:ilvl="1">
      <w:lvlJc w:val="left"/>
      <w:lvlText w:val="(%2)"/>
      <w:numFmt w:val="lowerLetter"/>
      <w:start w:val="2"/>
    </w:lvl>
  </w:abstractNum>
  <w:abstractNum w:abstractNumId="235">
    <w:nsid w:val="63DE60CD"/>
    <w:multiLevelType w:val="hybridMultilevel"/>
    <w:lvl w:ilvl="0">
      <w:lvlJc w:val="left"/>
      <w:lvlText w:val="%1."/>
      <w:numFmt w:val="decimal"/>
      <w:start w:val="46"/>
    </w:lvl>
    <w:lvl w:ilvl="1">
      <w:lvlJc w:val="left"/>
      <w:lvlText w:val="%2"/>
      <w:numFmt w:val="lowerLetter"/>
      <w:start w:val="1"/>
    </w:lvl>
  </w:abstractNum>
  <w:abstractNum w:abstractNumId="236">
    <w:nsid w:val="621AF471"/>
    <w:multiLevelType w:val="hybridMultilevel"/>
    <w:lvl w:ilvl="0">
      <w:lvlJc w:val="left"/>
      <w:lvlText w:val="%1."/>
      <w:numFmt w:val="decimal"/>
      <w:start w:val="47"/>
    </w:lvl>
  </w:abstractNum>
  <w:abstractNum w:abstractNumId="237">
    <w:nsid w:val="73CFE165"/>
    <w:multiLevelType w:val="hybridMultilevel"/>
    <w:lvl w:ilvl="0">
      <w:lvlJc w:val="left"/>
      <w:lvlText w:val="%1."/>
      <w:numFmt w:val="decimal"/>
      <w:start w:val="48"/>
    </w:lvl>
  </w:abstractNum>
  <w:abstractNum w:abstractNumId="238">
    <w:nsid w:val="20F88EA6"/>
    <w:multiLevelType w:val="hybridMultilevel"/>
    <w:lvl w:ilvl="0">
      <w:lvlJc w:val="left"/>
      <w:lvlText w:val="%1."/>
      <w:numFmt w:val="decimal"/>
      <w:start w:val="49"/>
    </w:lvl>
    <w:lvl w:ilvl="1">
      <w:lvlJc w:val="left"/>
      <w:lvlText w:val="(%2)"/>
      <w:numFmt w:val="lowerLetter"/>
      <w:start w:val="1"/>
    </w:lvl>
    <w:lvl w:ilvl="2">
      <w:lvlJc w:val="left"/>
      <w:lvlText w:val="-"/>
      <w:numFmt w:val="bullet"/>
      <w:start w:val="1"/>
    </w:lvl>
  </w:abstractNum>
  <w:abstractNum w:abstractNumId="239">
    <w:nsid w:val="617C843E"/>
    <w:multiLevelType w:val="hybridMultilevel"/>
    <w:lvl w:ilvl="0">
      <w:lvlJc w:val="left"/>
      <w:lvlText w:val="(%1)"/>
      <w:numFmt w:val="lowerLetter"/>
      <w:start w:val="2"/>
    </w:lvl>
  </w:abstractNum>
  <w:abstractNum w:abstractNumId="240">
    <w:nsid w:val="7B541FAB"/>
    <w:multiLevelType w:val="hybridMultilevel"/>
    <w:lvl w:ilvl="0">
      <w:lvlJc w:val="left"/>
      <w:lvlText w:val="%1."/>
      <w:numFmt w:val="decimal"/>
      <w:start w:val="50"/>
    </w:lvl>
  </w:abstractNum>
  <w:abstractNum w:abstractNumId="241">
    <w:nsid w:val="2A79EC49"/>
    <w:multiLevelType w:val="hybridMultilevel"/>
    <w:lvl w:ilvl="0">
      <w:lvlJc w:val="left"/>
      <w:lvlText w:val="%1."/>
      <w:numFmt w:val="decimal"/>
      <w:start w:val="51"/>
    </w:lvl>
  </w:abstractNum>
  <w:abstractNum w:abstractNumId="242">
    <w:nsid w:val="338125CF"/>
    <w:multiLevelType w:val="hybridMultilevel"/>
    <w:lvl w:ilvl="0">
      <w:lvlJc w:val="left"/>
      <w:lvlText w:val="%1."/>
      <w:numFmt w:val="decimal"/>
      <w:start w:val="52"/>
    </w:lvl>
    <w:lvl w:ilvl="1">
      <w:lvlJc w:val="left"/>
      <w:lvlText w:val="(%2)"/>
      <w:numFmt w:val="lowerLetter"/>
      <w:start w:val="1"/>
    </w:lvl>
  </w:abstractNum>
  <w:abstractNum w:abstractNumId="243">
    <w:nsid w:val="47C7C971"/>
    <w:multiLevelType w:val="hybridMultilevel"/>
    <w:lvl w:ilvl="0">
      <w:lvlJc w:val="left"/>
      <w:lvlText w:val="%1."/>
      <w:numFmt w:val="decimal"/>
      <w:start w:val="54"/>
    </w:lvl>
  </w:abstractNum>
  <w:abstractNum w:abstractNumId="244">
    <w:nsid w:val="46F8284B"/>
    <w:multiLevelType w:val="hybridMultilevel"/>
    <w:lvl w:ilvl="0">
      <w:lvlJc w:val="left"/>
      <w:lvlText w:val="%1."/>
      <w:numFmt w:val="decimal"/>
      <w:start w:val="55"/>
    </w:lvl>
  </w:abstractNum>
  <w:abstractNum w:abstractNumId="245">
    <w:nsid w:val="4FA327CE"/>
    <w:multiLevelType w:val="hybridMultilevel"/>
    <w:lvl w:ilvl="0">
      <w:lvlJc w:val="left"/>
      <w:lvlText w:val="%1."/>
      <w:numFmt w:val="decimal"/>
      <w:start w:val="56"/>
    </w:lvl>
  </w:abstractNum>
  <w:abstractNum w:abstractNumId="246">
    <w:nsid w:val="1873983A"/>
    <w:multiLevelType w:val="hybridMultilevel"/>
    <w:lvl w:ilvl="0">
      <w:lvlJc w:val="left"/>
      <w:lvlText w:val="%1."/>
      <w:numFmt w:val="decimal"/>
      <w:start w:val="57"/>
    </w:lvl>
    <w:lvl w:ilvl="1">
      <w:lvlJc w:val="left"/>
      <w:lvlText w:val="(%2)"/>
      <w:numFmt w:val="lowerLetter"/>
      <w:start w:val="1"/>
    </w:lvl>
  </w:abstractNum>
  <w:abstractNum w:abstractNumId="247">
    <w:nsid w:val="3D2DD275"/>
    <w:multiLevelType w:val="hybridMultilevel"/>
    <w:lvl w:ilvl="0">
      <w:lvlJc w:val="left"/>
      <w:lvlText w:val="%1."/>
      <w:numFmt w:val="decimal"/>
      <w:start w:val="59"/>
    </w:lvl>
  </w:abstractNum>
  <w:abstractNum w:abstractNumId="248">
    <w:nsid w:val="2E17ECA7"/>
    <w:multiLevelType w:val="hybridMultilevel"/>
    <w:lvl w:ilvl="0">
      <w:lvlJc w:val="left"/>
      <w:lvlText w:val="%1."/>
      <w:numFmt w:val="decimal"/>
      <w:start w:val="60"/>
    </w:lvl>
  </w:abstractNum>
  <w:abstractNum w:abstractNumId="249">
    <w:nsid w:val="53B2564F"/>
    <w:multiLevelType w:val="hybridMultilevel"/>
    <w:lvl w:ilvl="0">
      <w:lvlJc w:val="left"/>
      <w:lvlText w:val="%1."/>
      <w:numFmt w:val="decimal"/>
      <w:start w:val="61"/>
    </w:lvl>
  </w:abstractNum>
  <w:abstractNum w:abstractNumId="250">
    <w:nsid w:val="75509D76"/>
    <w:multiLevelType w:val="hybridMultilevel"/>
    <w:lvl w:ilvl="0">
      <w:lvlJc w:val="left"/>
      <w:lvlText w:val="%1."/>
      <w:numFmt w:val="decimal"/>
      <w:start w:val="62"/>
    </w:lvl>
  </w:abstractNum>
  <w:abstractNum w:abstractNumId="251">
    <w:nsid w:val="1AF7F0EA"/>
    <w:multiLevelType w:val="hybridMultilevel"/>
    <w:lvl w:ilvl="0">
      <w:lvlJc w:val="left"/>
      <w:lvlText w:val="%1."/>
      <w:numFmt w:val="decimal"/>
      <w:start w:val="63"/>
    </w:lvl>
  </w:abstractNum>
  <w:abstractNum w:abstractNumId="252">
    <w:nsid w:val="4DA32C7E"/>
    <w:multiLevelType w:val="hybridMultilevel"/>
    <w:lvl w:ilvl="0">
      <w:lvlJc w:val="left"/>
      <w:lvlText w:val="%1."/>
      <w:numFmt w:val="decimal"/>
      <w:start w:val="64"/>
    </w:lvl>
  </w:abstractNum>
  <w:abstractNum w:abstractNumId="253">
    <w:nsid w:val="6EC68664"/>
    <w:multiLevelType w:val="hybridMultilevel"/>
    <w:lvl w:ilvl="0">
      <w:lvlJc w:val="left"/>
      <w:lvlText w:val="(%1)"/>
      <w:numFmt w:val="lowerLetter"/>
      <w:start w:val="1"/>
    </w:lvl>
  </w:abstractNum>
  <w:abstractNum w:abstractNumId="254">
    <w:nsid w:val="E0D31F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55">
    <w:nsid w:val="2FD0AD81"/>
    <w:multiLevelType w:val="hybridMultilevel"/>
    <w:lvl w:ilvl="0">
      <w:lvlJc w:val="left"/>
      <w:lvlText w:val="%1."/>
      <w:numFmt w:val="decimal"/>
      <w:start w:val="6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6">
    <w:nsid w:val="1978EBEB"/>
    <w:multiLevelType w:val="hybridMultilevel"/>
    <w:lvl w:ilvl="0">
      <w:lvlJc w:val="left"/>
      <w:lvlText w:val="(%1)"/>
      <w:numFmt w:val="decimal"/>
      <w:start w:val="1"/>
    </w:lvl>
  </w:abstractNum>
  <w:abstractNum w:abstractNumId="257">
    <w:nsid w:val="52C12C61"/>
    <w:multiLevelType w:val="hybridMultilevel"/>
    <w:lvl w:ilvl="0">
      <w:lvlJc w:val="left"/>
      <w:lvlText w:val="%1."/>
      <w:numFmt w:val="decimal"/>
      <w:start w:val="66"/>
    </w:lvl>
  </w:abstractNum>
  <w:abstractNum w:abstractNumId="258">
    <w:nsid w:val="4BDD53FD"/>
    <w:multiLevelType w:val="hybridMultilevel"/>
    <w:lvl w:ilvl="0">
      <w:lvlJc w:val="left"/>
      <w:lvlText w:val="%1."/>
      <w:numFmt w:val="decimal"/>
      <w:start w:val="67"/>
    </w:lvl>
    <w:lvl w:ilvl="1">
      <w:lvlJc w:val="left"/>
      <w:lvlText w:val="(%2)"/>
      <w:numFmt w:val="lowerLetter"/>
      <w:start w:val="1"/>
    </w:lvl>
  </w:abstractNum>
  <w:abstractNum w:abstractNumId="259">
    <w:nsid w:val="569951FE"/>
    <w:multiLevelType w:val="hybridMultilevel"/>
    <w:lvl w:ilvl="0">
      <w:lvlJc w:val="left"/>
      <w:lvlText w:val="%1."/>
      <w:numFmt w:val="decimal"/>
      <w:start w:val="68"/>
    </w:lvl>
  </w:abstractNum>
  <w:abstractNum w:abstractNumId="260">
    <w:nsid w:val="4C54E2C3"/>
    <w:multiLevelType w:val="hybridMultilevel"/>
    <w:lvl w:ilvl="0">
      <w:lvlJc w:val="left"/>
      <w:lvlText w:val="%1."/>
      <w:numFmt w:val="decimal"/>
      <w:start w:val="69"/>
    </w:lvl>
    <w:lvl w:ilvl="1">
      <w:lvlJc w:val="left"/>
      <w:lvlText w:val="(%2)"/>
      <w:numFmt w:val="lowerLetter"/>
      <w:start w:val="1"/>
    </w:lvl>
    <w:lvl w:ilvl="2">
      <w:lvlJc w:val="left"/>
      <w:lvlText w:val="-"/>
      <w:numFmt w:val="bullet"/>
      <w:start w:val="1"/>
    </w:lvl>
  </w:abstractNum>
  <w:abstractNum w:abstractNumId="261">
    <w:nsid w:val="788BD9B"/>
    <w:multiLevelType w:val="hybridMultilevel"/>
    <w:lvl w:ilvl="0">
      <w:lvlJc w:val="left"/>
      <w:lvlText w:val="%1"/>
      <w:numFmt w:val="lowerLetter"/>
      <w:start w:val="1"/>
    </w:lvl>
    <w:lvl w:ilvl="1">
      <w:lvlJc w:val="left"/>
      <w:lvlText w:val="(%2)"/>
      <w:numFmt w:val="lowerRoman"/>
      <w:start w:val="1"/>
    </w:lvl>
  </w:abstractNum>
  <w:abstractNum w:abstractNumId="262">
    <w:nsid w:val="47CAA567"/>
    <w:multiLevelType w:val="hybridMultilevel"/>
    <w:lvl w:ilvl="0">
      <w:lvlJc w:val="left"/>
      <w:lvlText w:val="(%1)"/>
      <w:numFmt w:val="lowerLetter"/>
      <w:start w:val="4"/>
    </w:lvl>
    <w:lvl w:ilvl="1">
      <w:lvlJc w:val="left"/>
      <w:lvlText w:val="(%2)"/>
      <w:numFmt w:val="lowerRoman"/>
      <w:start w:val="1"/>
    </w:lvl>
  </w:abstractNum>
  <w:abstractNum w:abstractNumId="263">
    <w:nsid w:val="48249DBF"/>
    <w:multiLevelType w:val="hybridMultilevel"/>
    <w:lvl w:ilvl="0">
      <w:lvlJc w:val="left"/>
      <w:lvlText w:val="%1."/>
      <w:numFmt w:val="decimal"/>
      <w:start w:val="1"/>
    </w:lvl>
  </w:abstractNum>
  <w:abstractNum w:abstractNumId="264">
    <w:nsid w:val="1F0E5D0D"/>
    <w:multiLevelType w:val="hybridMultilevel"/>
    <w:lvl w:ilvl="0">
      <w:lvlJc w:val="left"/>
      <w:lvlText w:val="(%1)"/>
      <w:numFmt w:val="decimal"/>
      <w:start w:val="7"/>
    </w:lvl>
  </w:abstractNum>
  <w:abstractNum w:abstractNumId="265">
    <w:nsid w:val="26BAAE9"/>
    <w:multiLevelType w:val="hybridMultilevel"/>
    <w:lvl w:ilvl="0">
      <w:lvlJc w:val="left"/>
      <w:lvlText w:val="%1."/>
      <w:numFmt w:val="decimal"/>
      <w:start w:val="2"/>
    </w:lvl>
  </w:abstractNum>
  <w:abstractNum w:abstractNumId="266">
    <w:nsid w:val="2C02FE8C"/>
    <w:multiLevelType w:val="hybridMultilevel"/>
    <w:lvl w:ilvl="0">
      <w:lvlJc w:val="left"/>
      <w:lvlText w:val="(%1)"/>
      <w:numFmt w:val="lowerLetter"/>
      <w:start w:val="2"/>
    </w:lvl>
  </w:abstractNum>
  <w:abstractNum w:abstractNumId="267">
    <w:nsid w:val="129517E"/>
    <w:multiLevelType w:val="hybridMultilevel"/>
    <w:lvl w:ilvl="0">
      <w:lvlJc w:val="left"/>
      <w:lvlText w:val="(%1)"/>
      <w:numFmt w:val="decimal"/>
      <w:start w:val="90"/>
    </w:lvl>
  </w:abstractNum>
  <w:abstractNum w:abstractNumId="268">
    <w:nsid w:val="763B8C4E"/>
    <w:multiLevelType w:val="hybridMultilevel"/>
    <w:lvl w:ilvl="0">
      <w:lvlJc w:val="left"/>
      <w:lvlText w:val="%1."/>
      <w:numFmt w:val="decimal"/>
      <w:start w:val="3"/>
    </w:lvl>
  </w:abstractNum>
  <w:abstractNum w:abstractNumId="269">
    <w:nsid w:val="4CFB8D32"/>
    <w:multiLevelType w:val="hybridMultilevel"/>
    <w:lvl w:ilvl="0">
      <w:lvlJc w:val="left"/>
      <w:lvlText w:val="%1."/>
      <w:numFmt w:val="decimal"/>
      <w:start w:val="4"/>
    </w:lvl>
  </w:abstractNum>
  <w:abstractNum w:abstractNumId="270">
    <w:nsid w:val="62A5D5BD"/>
    <w:multiLevelType w:val="hybridMultilevel"/>
    <w:lvl w:ilvl="0">
      <w:lvlJc w:val="left"/>
      <w:lvlText w:val="(%1)"/>
      <w:numFmt w:val="lowerLetter"/>
      <w:start w:val="1"/>
    </w:lvl>
  </w:abstractNum>
  <w:abstractNum w:abstractNumId="271">
    <w:nsid w:val="718FABF9"/>
    <w:multiLevelType w:val="hybridMultilevel"/>
    <w:lvl w:ilvl="0">
      <w:lvlJc w:val="left"/>
      <w:lvlText w:val="(%1)"/>
      <w:numFmt w:val="lowerRoman"/>
      <w:start w:val="1"/>
    </w:lvl>
  </w:abstractNum>
  <w:abstractNum w:abstractNumId="272">
    <w:nsid w:val="7775797C"/>
    <w:multiLevelType w:val="hybridMultilevel"/>
    <w:lvl w:ilvl="0">
      <w:lvlJc w:val="left"/>
      <w:lvlText w:val="(%1)"/>
      <w:numFmt w:val="lowerRoman"/>
      <w:start w:val="2"/>
    </w:lvl>
  </w:abstractNum>
  <w:abstractNum w:abstractNumId="273">
    <w:nsid w:val="1626FB8C"/>
    <w:multiLevelType w:val="hybridMultilevel"/>
    <w:lvl w:ilvl="0">
      <w:lvlJc w:val="left"/>
      <w:lvlText w:val="(%1)"/>
      <w:numFmt w:val="lowerLetter"/>
      <w:start w:val="4"/>
    </w:lvl>
  </w:abstractNum>
  <w:abstractNum w:abstractNumId="274">
    <w:nsid w:val="3957756A"/>
    <w:multiLevelType w:val="hybridMultilevel"/>
    <w:lvl w:ilvl="0">
      <w:lvlJc w:val="left"/>
      <w:lvlText w:val="(%1)"/>
      <w:numFmt w:val="lowerRoman"/>
      <w:start w:val="4"/>
    </w:lvl>
  </w:abstractNum>
  <w:abstractNum w:abstractNumId="275">
    <w:nsid w:val="3E6DA1C7"/>
    <w:multiLevelType w:val="hybridMultilevel"/>
    <w:lvl w:ilvl="0">
      <w:lvlJc w:val="left"/>
      <w:lvlText w:val="(%1)"/>
      <w:numFmt w:val="lowerLetter"/>
      <w:start w:val="1"/>
    </w:lvl>
  </w:abstractNum>
  <w:abstractNum w:abstractNumId="276">
    <w:nsid w:val="65CA235B"/>
    <w:multiLevelType w:val="hybridMultilevel"/>
    <w:lvl w:ilvl="0">
      <w:lvlJc w:val="left"/>
      <w:lvlText w:val="(%1)"/>
      <w:numFmt w:val="lowerLetter"/>
      <w:start w:val="7"/>
    </w:lvl>
  </w:abstractNum>
  <w:abstractNum w:abstractNumId="277">
    <w:nsid w:val="51CB0DA4"/>
    <w:multiLevelType w:val="hybridMultilevel"/>
    <w:lvl w:ilvl="0">
      <w:lvlJc w:val="left"/>
      <w:lvlText w:val="(%1)"/>
      <w:numFmt w:val="lowerLetter"/>
      <w:start w:val="20"/>
    </w:lvl>
  </w:abstractNum>
  <w:abstractNum w:abstractNumId="278">
    <w:nsid w:val="7B9B743C"/>
    <w:multiLevelType w:val="hybridMultilevel"/>
    <w:lvl w:ilvl="0">
      <w:lvlJc w:val="left"/>
      <w:lvlText w:val="(%1)"/>
      <w:numFmt w:val="lowerRoman"/>
      <w:start w:val="3"/>
    </w:lvl>
  </w:abstractNum>
  <w:abstractNum w:abstractNumId="279">
    <w:nsid w:val="13E21002"/>
    <w:multiLevelType w:val="hybridMultilevel"/>
    <w:lvl w:ilvl="0">
      <w:lvlJc w:val="left"/>
      <w:lvlText w:val="(%1)"/>
      <w:numFmt w:val="lowerLetter"/>
      <w:start w:val="1"/>
    </w:lvl>
  </w:abstractNum>
  <w:abstractNum w:abstractNumId="280">
    <w:nsid w:val="257D63F4"/>
    <w:multiLevelType w:val="hybridMultilevel"/>
    <w:lvl w:ilvl="0">
      <w:lvlJc w:val="left"/>
      <w:lvlText w:val="(%1)"/>
      <w:numFmt w:val="lowerLetter"/>
      <w:start w:val="3"/>
    </w:lvl>
  </w:abstractNum>
  <w:abstractNum w:abstractNumId="281">
    <w:nsid w:val="70EC11B2"/>
    <w:multiLevelType w:val="hybridMultilevel"/>
    <w:lvl w:ilvl="0">
      <w:lvlJc w:val="left"/>
      <w:lvlText w:val="(%1)"/>
      <w:numFmt w:val="lowerRoman"/>
      <w:start w:val="1"/>
    </w:lvl>
  </w:abstractNum>
  <w:abstractNum w:abstractNumId="282">
    <w:nsid w:val="2EDA00ED"/>
    <w:multiLevelType w:val="hybridMultilevel"/>
    <w:lvl w:ilvl="0">
      <w:lvlJc w:val="left"/>
      <w:lvlText w:val="(%1)"/>
      <w:numFmt w:val="lowerRoman"/>
      <w:start w:val="3"/>
    </w:lvl>
  </w:abstractNum>
  <w:abstractNum w:abstractNumId="283">
    <w:nsid w:val="73209072"/>
    <w:multiLevelType w:val="hybridMultilevel"/>
    <w:lvl w:ilvl="0">
      <w:lvlJc w:val="left"/>
      <w:lvlText w:val="(%1)"/>
      <w:numFmt w:val="lowerLetter"/>
      <w:start w:val="1"/>
    </w:lvl>
  </w:abstractNum>
  <w:abstractNum w:abstractNumId="284">
    <w:nsid w:val="5FB29816"/>
    <w:multiLevelType w:val="hybridMultilevel"/>
    <w:lvl w:ilvl="0">
      <w:lvlJc w:val="left"/>
      <w:lvlText w:val="(%1)"/>
      <w:numFmt w:val="lowerLetter"/>
      <w:start w:val="1"/>
    </w:lvl>
  </w:abstractNum>
  <w:abstractNum w:abstractNumId="285">
    <w:nsid w:val="3CE732EC"/>
    <w:multiLevelType w:val="hybridMultilevel"/>
    <w:lvl w:ilvl="0">
      <w:lvlJc w:val="left"/>
      <w:lvlText w:val="(%1)"/>
      <w:numFmt w:val="lowerLetter"/>
      <w:start w:val="1"/>
    </w:lvl>
  </w:abstractNum>
  <w:abstractNum w:abstractNumId="286">
    <w:nsid w:val="22F13DF3"/>
    <w:multiLevelType w:val="hybridMultilevel"/>
    <w:lvl w:ilvl="0">
      <w:lvlJc w:val="left"/>
      <w:lvlText w:val="(%1)"/>
      <w:numFmt w:val="lowerLetter"/>
      <w:start w:val="1"/>
    </w:lvl>
  </w:abstractNum>
  <w:abstractNum w:abstractNumId="287">
    <w:nsid w:val="792B8401"/>
    <w:multiLevelType w:val="hybridMultilevel"/>
    <w:lvl w:ilvl="0">
      <w:lvlJc w:val="left"/>
      <w:lvlText w:val="(%1)"/>
      <w:numFmt w:val="lowerLetter"/>
      <w:start w:val="2"/>
    </w:lvl>
  </w:abstractNum>
  <w:abstractNum w:abstractNumId="288">
    <w:nsid w:val="FA85F4D"/>
    <w:multiLevelType w:val="hybridMultilevel"/>
    <w:lvl w:ilvl="0">
      <w:lvlJc w:val="left"/>
      <w:lvlText w:val="(%1)"/>
      <w:numFmt w:val="lowerLetter"/>
      <w:start w:val="1"/>
    </w:lvl>
  </w:abstractNum>
  <w:abstractNum w:abstractNumId="289">
    <w:nsid w:val="6ECE91F0"/>
    <w:multiLevelType w:val="hybridMultilevel"/>
    <w:lvl w:ilvl="0">
      <w:lvlJc w:val="left"/>
      <w:lvlText w:val="(%1)"/>
      <w:numFmt w:val="lowerLetter"/>
      <w:start w:val="1"/>
    </w:lvl>
  </w:abstractNum>
  <w:abstractNum w:abstractNumId="290">
    <w:nsid w:val="4FC4D600"/>
    <w:multiLevelType w:val="hybridMultilevel"/>
    <w:lvl w:ilvl="0">
      <w:lvlJc w:val="left"/>
      <w:lvlText w:val="(%1)"/>
      <w:numFmt w:val="lowerLetter"/>
      <w:start w:val="4"/>
    </w:lvl>
  </w:abstractNum>
  <w:abstractNum w:abstractNumId="291">
    <w:nsid w:val="5BFD4210"/>
    <w:multiLevelType w:val="hybridMultilevel"/>
    <w:lvl w:ilvl="0">
      <w:lvlJc w:val="left"/>
      <w:lvlText w:val="(%1)"/>
      <w:numFmt w:val="lowerLetter"/>
      <w:start w:val="1"/>
    </w:lvl>
  </w:abstractNum>
  <w:abstractNum w:abstractNumId="292">
    <w:nsid w:val="76574F8B"/>
    <w:multiLevelType w:val="hybridMultilevel"/>
    <w:lvl w:ilvl="0">
      <w:lvlJc w:val="left"/>
      <w:lvlText w:val="(%1)"/>
      <w:numFmt w:val="lowerLetter"/>
      <w:start w:val="1"/>
    </w:lvl>
    <w:lvl w:ilvl="1">
      <w:lvlJc w:val="left"/>
      <w:lvlText w:val="*"/>
      <w:numFmt w:val="bullet"/>
      <w:start w:val="1"/>
    </w:lvl>
  </w:abstractNum>
  <w:abstractNum w:abstractNumId="293">
    <w:nsid w:val="178F7B67"/>
    <w:multiLevelType w:val="hybridMultilevel"/>
    <w:lvl w:ilvl="0">
      <w:lvlJc w:val="left"/>
      <w:lvlText w:val="%1."/>
      <w:numFmt w:val="decimal"/>
      <w:start w:val="1"/>
    </w:lvl>
  </w:abstractNum>
  <w:abstractNum w:abstractNumId="294">
    <w:nsid w:val="2421DFCF"/>
    <w:multiLevelType w:val="hybridMultilevel"/>
    <w:lvl w:ilvl="0">
      <w:lvlJc w:val="left"/>
      <w:lvlText w:val="%1."/>
      <w:numFmt w:val="decimal"/>
      <w:start w:val="2"/>
    </w:lvl>
  </w:abstractNum>
  <w:abstractNum w:abstractNumId="295">
    <w:nsid w:val="1565AC99"/>
    <w:multiLevelType w:val="hybridMultilevel"/>
    <w:lvl w:ilvl="0">
      <w:lvlJc w:val="left"/>
      <w:lvlText w:val="%1."/>
      <w:numFmt w:val="decimal"/>
      <w:start w:val="3"/>
    </w:lvl>
  </w:abstractNum>
  <w:abstractNum w:abstractNumId="296">
    <w:nsid w:val="19FB2650"/>
    <w:multiLevelType w:val="hybridMultilevel"/>
    <w:lvl w:ilvl="0">
      <w:lvlJc w:val="left"/>
      <w:lvlText w:val="%1."/>
      <w:numFmt w:val="decimal"/>
      <w:start w:val="4"/>
    </w:lvl>
  </w:abstractNum>
  <w:abstractNum w:abstractNumId="297">
    <w:nsid w:val="5024DE5B"/>
    <w:multiLevelType w:val="hybridMultilevel"/>
    <w:lvl w:ilvl="0">
      <w:lvlJc w:val="left"/>
      <w:lvlText w:val="%1."/>
      <w:numFmt w:val="decimal"/>
      <w:start w:val="5"/>
    </w:lvl>
  </w:abstractNum>
  <w:abstractNum w:abstractNumId="298">
    <w:nsid w:val="168EFE17"/>
    <w:multiLevelType w:val="hybridMultilevel"/>
    <w:lvl w:ilvl="0">
      <w:lvlJc w:val="left"/>
      <w:lvlText w:val="%1."/>
      <w:numFmt w:val="decimal"/>
      <w:start w:val="6"/>
    </w:lvl>
  </w:abstractNum>
  <w:abstractNum w:abstractNumId="299">
    <w:nsid w:val="1036B29F"/>
    <w:multiLevelType w:val="hybridMultilevel"/>
    <w:lvl w:ilvl="0">
      <w:lvlJc w:val="left"/>
      <w:lvlText w:val="%1."/>
      <w:numFmt w:val="decimal"/>
      <w:start w:val="7"/>
    </w:lvl>
  </w:abstractNum>
  <w:abstractNum w:abstractNumId="300">
    <w:nsid w:val="1D206B8E"/>
    <w:multiLevelType w:val="hybridMultilevel"/>
    <w:lvl w:ilvl="0">
      <w:lvlJc w:val="left"/>
      <w:lvlText w:val="%1."/>
      <w:numFmt w:val="decimal"/>
      <w:start w:val="8"/>
    </w:lvl>
  </w:abstractNum>
  <w:abstractNum w:abstractNumId="301">
    <w:nsid w:val="7934D3D4"/>
    <w:multiLevelType w:val="hybridMultilevel"/>
    <w:lvl w:ilvl="0">
      <w:lvlJc w:val="left"/>
      <w:lvlText w:val="%1."/>
      <w:numFmt w:val="decimal"/>
      <w:start w:val="9"/>
    </w:lvl>
  </w:abstractNum>
  <w:abstractNum w:abstractNumId="302">
    <w:nsid w:val="1C65E98"/>
    <w:multiLevelType w:val="hybridMultilevel"/>
    <w:lvl w:ilvl="0">
      <w:lvlJc w:val="left"/>
      <w:lvlText w:val="%1."/>
      <w:numFmt w:val="decimal"/>
      <w:start w:val="10"/>
    </w:lvl>
  </w:abstractNum>
  <w:abstractNum w:abstractNumId="303">
    <w:nsid w:val="1495E50A"/>
    <w:multiLevelType w:val="hybridMultilevel"/>
    <w:lvl w:ilvl="0">
      <w:lvlJc w:val="left"/>
      <w:lvlText w:val="%1."/>
      <w:numFmt w:val="decimal"/>
      <w:start w:val="11"/>
    </w:lvl>
  </w:abstractNum>
  <w:abstractNum w:abstractNumId="304">
    <w:nsid w:val="F5BCF61"/>
    <w:multiLevelType w:val="hybridMultilevel"/>
    <w:lvl w:ilvl="0">
      <w:lvlJc w:val="left"/>
      <w:lvlText w:val="%1."/>
      <w:numFmt w:val="decimal"/>
      <w:start w:val="12"/>
    </w:lvl>
  </w:abstractNum>
  <w:abstractNum w:abstractNumId="305">
    <w:nsid w:val="3B1DD403"/>
    <w:multiLevelType w:val="hybridMultilevel"/>
    <w:lvl w:ilvl="0">
      <w:lvlJc w:val="left"/>
      <w:lvlText w:val="%1."/>
      <w:numFmt w:val="decimal"/>
      <w:start w:val="13"/>
    </w:lvl>
  </w:abstractNum>
  <w:abstractNum w:abstractNumId="306">
    <w:nsid w:val="530386D1"/>
    <w:multiLevelType w:val="hybridMultilevel"/>
    <w:lvl w:ilvl="0">
      <w:lvlJc w:val="left"/>
      <w:lvlText w:val="%1."/>
      <w:numFmt w:val="decimal"/>
      <w:start w:val="14"/>
    </w:lvl>
  </w:abstractNum>
  <w:abstractNum w:abstractNumId="307">
    <w:nsid w:val="7525F2BC"/>
    <w:multiLevelType w:val="hybridMultilevel"/>
    <w:lvl w:ilvl="0">
      <w:lvlJc w:val="left"/>
      <w:lvlText w:val="%1."/>
      <w:numFmt w:val="decimal"/>
      <w:start w:val="15"/>
    </w:lvl>
  </w:abstractNum>
  <w:abstractNum w:abstractNumId="308">
    <w:nsid w:val="CE8E1A7"/>
    <w:multiLevelType w:val="hybridMultilevel"/>
    <w:lvl w:ilvl="0">
      <w:lvlJc w:val="left"/>
      <w:lvlText w:val="%1."/>
      <w:numFmt w:val="decimal"/>
      <w:start w:val="16"/>
    </w:lvl>
  </w:abstractNum>
  <w:abstractNum w:abstractNumId="309">
    <w:nsid w:val="4E9EFB0D"/>
    <w:multiLevelType w:val="hybridMultilevel"/>
    <w:lvl w:ilvl="0">
      <w:lvlJc w:val="left"/>
      <w:lvlText w:val="%1."/>
      <w:numFmt w:val="decimal"/>
      <w:start w:val="1"/>
    </w:lvl>
  </w:abstractNum>
  <w:abstractNum w:abstractNumId="310">
    <w:nsid w:val="90802BE"/>
    <w:multiLevelType w:val="hybridMultilevel"/>
    <w:lvl w:ilvl="0">
      <w:lvlJc w:val="left"/>
      <w:lvlText w:val="%1."/>
      <w:numFmt w:val="decimal"/>
      <w:start w:val="2"/>
    </w:lvl>
  </w:abstractNum>
  <w:abstractNum w:abstractNumId="311">
    <w:nsid w:val="3266459B"/>
    <w:multiLevelType w:val="hybridMultilevel"/>
    <w:lvl w:ilvl="0">
      <w:lvlJc w:val="left"/>
      <w:lvlText w:val="%1."/>
      <w:numFmt w:val="decimal"/>
      <w:start w:val="3"/>
    </w:lvl>
  </w:abstractNum>
  <w:abstractNum w:abstractNumId="312">
    <w:nsid w:val="3F8B0CBF"/>
    <w:multiLevelType w:val="hybridMultilevel"/>
    <w:lvl w:ilvl="0">
      <w:lvlJc w:val="left"/>
      <w:lvlText w:val="%1."/>
      <w:numFmt w:val="decimal"/>
      <w:start w:val="4"/>
    </w:lvl>
  </w:abstractNum>
  <w:abstractNum w:abstractNumId="313">
    <w:nsid w:val="37E203AB"/>
    <w:multiLevelType w:val="hybridMultilevel"/>
    <w:lvl w:ilvl="0">
      <w:lvlJc w:val="left"/>
      <w:lvlText w:val="%1."/>
      <w:numFmt w:val="decimal"/>
      <w:start w:val="6"/>
    </w:lvl>
  </w:abstractNum>
  <w:abstractNum w:abstractNumId="314">
    <w:nsid w:val="2586D60E"/>
    <w:multiLevelType w:val="hybridMultilevel"/>
    <w:lvl w:ilvl="0">
      <w:lvlJc w:val="left"/>
      <w:lvlText w:val="%1."/>
      <w:numFmt w:val="decimal"/>
      <w:start w:val="7"/>
    </w:lvl>
  </w:abstractNum>
  <w:abstractNum w:abstractNumId="315">
    <w:nsid w:val="1F3DA4D5"/>
    <w:multiLevelType w:val="hybridMultilevel"/>
    <w:lvl w:ilvl="0">
      <w:lvlJc w:val="left"/>
      <w:lvlText w:val="%1."/>
      <w:numFmt w:val="decimal"/>
      <w:start w:val="1"/>
    </w:lvl>
  </w:abstractNum>
  <w:abstractNum w:abstractNumId="316">
    <w:nsid w:val="74C93698"/>
    <w:multiLevelType w:val="hybridMultilevel"/>
    <w:lvl w:ilvl="0">
      <w:lvlJc w:val="left"/>
      <w:lvlText w:val="(%1)"/>
      <w:numFmt w:val="lowerLetter"/>
      <w:start w:val="1"/>
    </w:lvl>
  </w:abstractNum>
  <w:abstractNum w:abstractNumId="317">
    <w:nsid w:val="48781401"/>
    <w:multiLevelType w:val="hybridMultilevel"/>
    <w:lvl w:ilvl="0">
      <w:lvlJc w:val="left"/>
      <w:lvlText w:val="(%1)"/>
      <w:numFmt w:val="lowerLetter"/>
      <w:start w:val="9"/>
    </w:lvl>
  </w:abstractNum>
  <w:abstractNum w:abstractNumId="318">
    <w:nsid w:val="186928D6"/>
    <w:multiLevelType w:val="hybridMultilevel"/>
    <w:lvl w:ilvl="0">
      <w:lvlJc w:val="left"/>
      <w:lvlText w:val="(%1)"/>
      <w:numFmt w:val="lowerLetter"/>
      <w:start w:val="22"/>
    </w:lvl>
  </w:abstractNum>
  <w:abstractNum w:abstractNumId="319">
    <w:nsid w:val="47195E5"/>
    <w:multiLevelType w:val="hybridMultilevel"/>
    <w:lvl w:ilvl="0">
      <w:lvlJc w:val="left"/>
      <w:lvlText w:val="%1."/>
      <w:numFmt w:val="decimal"/>
      <w:start w:val="3"/>
    </w:lvl>
  </w:abstractNum>
  <w:abstractNum w:abstractNumId="320">
    <w:nsid w:val="3746A5F2"/>
    <w:multiLevelType w:val="hybridMultilevel"/>
    <w:lvl w:ilvl="0">
      <w:lvlJc w:val="left"/>
      <w:lvlText w:val="(%1)"/>
      <w:numFmt w:val="lowerLetter"/>
      <w:start w:val="1"/>
    </w:lvl>
  </w:abstractNum>
  <w:abstractNum w:abstractNumId="321">
    <w:nsid w:val="682DFED6"/>
    <w:multiLevelType w:val="hybridMultilevel"/>
    <w:lvl w:ilvl="0">
      <w:lvlJc w:val="left"/>
      <w:lvlText w:val="%1."/>
      <w:numFmt w:val="decimal"/>
      <w:start w:val="4"/>
    </w:lvl>
  </w:abstractNum>
  <w:abstractNum w:abstractNumId="322">
    <w:nsid w:val="606ED7F6"/>
    <w:multiLevelType w:val="hybridMultilevel"/>
    <w:lvl w:ilvl="0">
      <w:lvlJc w:val="left"/>
      <w:lvlText w:val="(%1)"/>
      <w:numFmt w:val="lowerLetter"/>
      <w:start w:val="1"/>
    </w:lvl>
  </w:abstractNum>
  <w:abstractNum w:abstractNumId="323">
    <w:nsid w:val="2D9DF57D"/>
    <w:multiLevelType w:val="hybridMultilevel"/>
    <w:lvl w:ilvl="0">
      <w:lvlJc w:val="left"/>
      <w:lvlText w:val="%1."/>
      <w:numFmt w:val="decimal"/>
      <w:start w:val="5"/>
    </w:lvl>
  </w:abstractNum>
  <w:abstractNum w:abstractNumId="324">
    <w:nsid w:val="7FBD7A3E"/>
    <w:multiLevelType w:val="hybridMultilevel"/>
    <w:lvl w:ilvl="0">
      <w:lvlJc w:val="left"/>
      <w:lvlText w:val=";"/>
      <w:numFmt w:val="bullet"/>
      <w:start w:val="1"/>
    </w:lvl>
    <w:lvl w:ilvl="1">
      <w:lvlJc w:val="left"/>
      <w:lvlText w:val="%2."/>
      <w:numFmt w:val="decimal"/>
      <w:start w:val="6"/>
    </w:lvl>
  </w:abstractNum>
  <w:abstractNum w:abstractNumId="325">
    <w:nsid w:val="490B7C5"/>
    <w:multiLevelType w:val="hybridMultilevel"/>
    <w:lvl w:ilvl="0">
      <w:lvlJc w:val="left"/>
      <w:lvlText w:val="(%1)"/>
      <w:numFmt w:val="lowerLetter"/>
      <w:start w:val="1"/>
    </w:lvl>
  </w:abstractNum>
  <w:abstractNum w:abstractNumId="326">
    <w:nsid w:val="4303A216"/>
    <w:multiLevelType w:val="hybridMultilevel"/>
    <w:lvl w:ilvl="0">
      <w:lvlJc w:val="left"/>
      <w:lvlText w:val="(%1)"/>
      <w:numFmt w:val="lowerLetter"/>
      <w:start w:val="3"/>
    </w:lvl>
  </w:abstractNum>
  <w:abstractNum w:abstractNumId="327">
    <w:nsid w:val="19B8A08E"/>
    <w:multiLevelType w:val="hybridMultilevel"/>
    <w:lvl w:ilvl="0">
      <w:lvlJc w:val="left"/>
      <w:lvlText w:val="%1."/>
      <w:numFmt w:val="decimal"/>
      <w:start w:val="7"/>
    </w:lvl>
  </w:abstractNum>
  <w:abstractNum w:abstractNumId="328">
    <w:nsid w:val="54B59621"/>
    <w:multiLevelType w:val="hybridMultilevel"/>
    <w:lvl w:ilvl="0">
      <w:lvlJc w:val="left"/>
      <w:lvlText w:val="(%1)"/>
      <w:numFmt w:val="lowerLetter"/>
      <w:start w:val="1"/>
    </w:lvl>
  </w:abstractNum>
  <w:abstractNum w:abstractNumId="329">
    <w:nsid w:val="5992A02E"/>
    <w:multiLevelType w:val="hybridMultilevel"/>
    <w:lvl w:ilvl="0">
      <w:lvlJc w:val="left"/>
      <w:lvlText w:val="(%1)"/>
      <w:numFmt w:val="lowerLetter"/>
      <w:start w:val="2"/>
    </w:lvl>
  </w:abstractNum>
  <w:abstractNum w:abstractNumId="330">
    <w:nsid w:val="29EF532D"/>
    <w:multiLevelType w:val="hybridMultilevel"/>
    <w:lvl w:ilvl="0">
      <w:lvlJc w:val="left"/>
      <w:lvlText w:val="%1."/>
      <w:numFmt w:val="decimal"/>
      <w:start w:val="8"/>
    </w:lvl>
  </w:abstractNum>
  <w:abstractNum w:abstractNumId="331">
    <w:nsid w:val="71D601AF"/>
    <w:multiLevelType w:val="hybridMultilevel"/>
    <w:lvl w:ilvl="0">
      <w:lvlJc w:val="left"/>
      <w:lvlText w:val="(%1)"/>
      <w:numFmt w:val="lowerLetter"/>
      <w:start w:val="1"/>
    </w:lvl>
  </w:abstractNum>
  <w:abstractNum w:abstractNumId="332">
    <w:nsid w:val="52C77402"/>
    <w:multiLevelType w:val="hybridMultilevel"/>
    <w:lvl w:ilvl="0">
      <w:lvlJc w:val="left"/>
      <w:lvlText w:val="(%1)"/>
      <w:numFmt w:val="lowerLetter"/>
      <w:start w:val="2"/>
    </w:lvl>
  </w:abstractNum>
  <w:abstractNum w:abstractNumId="333">
    <w:nsid w:val="2BB5B1C6"/>
    <w:multiLevelType w:val="hybridMultilevel"/>
    <w:lvl w:ilvl="0">
      <w:lvlJc w:val="left"/>
      <w:lvlText w:val="(%1)"/>
      <w:numFmt w:val="lowerLetter"/>
      <w:start w:val="7"/>
    </w:lvl>
  </w:abstractNum>
  <w:abstractNum w:abstractNumId="334">
    <w:nsid w:val="66BE6B9"/>
    <w:multiLevelType w:val="hybridMultilevel"/>
    <w:lvl w:ilvl="0">
      <w:lvlJc w:val="left"/>
      <w:lvlText w:val="%1."/>
      <w:numFmt w:val="decimal"/>
      <w:start w:val="9"/>
    </w:lvl>
  </w:abstractNum>
  <w:abstractNum w:abstractNumId="335">
    <w:nsid w:val="62234363"/>
    <w:multiLevelType w:val="hybridMultilevel"/>
    <w:lvl w:ilvl="0">
      <w:lvlJc w:val="left"/>
      <w:lvlText w:val="(%1)"/>
      <w:numFmt w:val="lowerLetter"/>
      <w:start w:val="1"/>
    </w:lvl>
  </w:abstractNum>
  <w:abstractNum w:abstractNumId="336">
    <w:nsid w:val="66D385C9"/>
    <w:multiLevelType w:val="hybridMultilevel"/>
    <w:lvl w:ilvl="0">
      <w:lvlJc w:val="left"/>
      <w:lvlText w:val="%1."/>
      <w:numFmt w:val="decimal"/>
      <w:start w:val="10"/>
    </w:lvl>
  </w:abstractNum>
  <w:abstractNum w:abstractNumId="337">
    <w:nsid w:val="596F6D8A"/>
    <w:multiLevelType w:val="hybridMultilevel"/>
    <w:lvl w:ilvl="0">
      <w:lvlJc w:val="left"/>
      <w:lvlText w:val="(%1)"/>
      <w:numFmt w:val="lowerLetter"/>
      <w:start w:val="1"/>
    </w:lvl>
  </w:abstractNum>
  <w:abstractNum w:abstractNumId="338">
    <w:nsid w:val="5749361F"/>
    <w:multiLevelType w:val="hybridMultilevel"/>
    <w:lvl w:ilvl="0">
      <w:lvlJc w:val="left"/>
      <w:lvlText w:val="%1."/>
      <w:numFmt w:val="decimal"/>
      <w:start w:val="11"/>
    </w:lvl>
  </w:abstractNum>
  <w:abstractNum w:abstractNumId="339">
    <w:nsid w:val="73BC6770"/>
    <w:multiLevelType w:val="hybridMultilevel"/>
    <w:lvl w:ilvl="0">
      <w:lvlJc w:val="left"/>
      <w:lvlText w:val="(%1)"/>
      <w:numFmt w:val="lowerLetter"/>
      <w:start w:val="1"/>
    </w:lvl>
  </w:abstractNum>
  <w:abstractNum w:abstractNumId="340">
    <w:nsid w:val="280E6897"/>
    <w:multiLevelType w:val="hybridMultilevel"/>
    <w:lvl w:ilvl="0">
      <w:lvlJc w:val="left"/>
      <w:lvlText w:val="(%1)"/>
      <w:numFmt w:val="lowerLetter"/>
      <w:start w:val="2"/>
    </w:lvl>
  </w:abstractNum>
  <w:abstractNum w:abstractNumId="341">
    <w:nsid w:val="605138DE"/>
    <w:multiLevelType w:val="hybridMultilevel"/>
    <w:lvl w:ilvl="0">
      <w:lvlJc w:val="left"/>
      <w:lvlText w:val="%1."/>
      <w:numFmt w:val="decimal"/>
      <w:start w:val="13"/>
    </w:lvl>
  </w:abstractNum>
  <w:abstractNum w:abstractNumId="342">
    <w:nsid w:val="2622AD0C"/>
    <w:multiLevelType w:val="hybridMultilevel"/>
    <w:lvl w:ilvl="0">
      <w:lvlJc w:val="left"/>
      <w:lvlText w:val="(%1)"/>
      <w:numFmt w:val="lowerLetter"/>
      <w:start w:val="1"/>
    </w:lvl>
  </w:abstractNum>
  <w:abstractNum w:abstractNumId="343">
    <w:nsid w:val="67997556"/>
    <w:multiLevelType w:val="hybridMultilevel"/>
    <w:lvl w:ilvl="0">
      <w:lvlJc w:val="left"/>
      <w:lvlText w:val="(%1)"/>
      <w:numFmt w:val="lowerRoman"/>
      <w:start w:val="1"/>
    </w:lvl>
  </w:abstractNum>
  <w:abstractNum w:abstractNumId="344">
    <w:nsid w:val="18333C89"/>
    <w:multiLevelType w:val="hybridMultilevel"/>
    <w:lvl w:ilvl="0">
      <w:lvlJc w:val="left"/>
      <w:lvlText w:val="%1"/>
      <w:numFmt w:val="lowerRoman"/>
      <w:start w:val="1"/>
    </w:lvl>
    <w:lvl w:ilvl="1">
      <w:lvlJc w:val="left"/>
      <w:lvlText w:val="(%2)"/>
      <w:numFmt w:val="upperLetter"/>
      <w:start w:val="1"/>
    </w:lvl>
  </w:abstractNum>
  <w:abstractNum w:abstractNumId="345">
    <w:nsid w:val="4BA9831A"/>
    <w:multiLevelType w:val="hybridMultilevel"/>
    <w:lvl w:ilvl="0">
      <w:lvlJc w:val="left"/>
      <w:lvlText w:val="(%1)"/>
      <w:numFmt w:val="lowerRoman"/>
      <w:start w:val="4"/>
    </w:lvl>
    <w:lvl w:ilvl="1">
      <w:lvlJc w:val="left"/>
      <w:lvlText w:val="%2"/>
      <w:numFmt w:val="upperLetter"/>
      <w:start w:val="1"/>
    </w:lvl>
  </w:abstractNum>
  <w:abstractNum w:abstractNumId="346">
    <w:nsid w:val="6D71A2B"/>
    <w:multiLevelType w:val="hybridMultilevel"/>
    <w:lvl w:ilvl="0">
      <w:lvlJc w:val="left"/>
      <w:lvlText w:val="%1."/>
      <w:numFmt w:val="decimal"/>
      <w:start w:val="14"/>
    </w:lvl>
  </w:abstractNum>
  <w:abstractNum w:abstractNumId="347">
    <w:nsid w:val="CFC7321"/>
    <w:multiLevelType w:val="hybridMultilevel"/>
    <w:lvl w:ilvl="0">
      <w:lvlJc w:val="left"/>
      <w:lvlText w:val="%1."/>
      <w:numFmt w:val="decimal"/>
      <w:start w:val="15"/>
    </w:lvl>
  </w:abstractNum>
  <w:abstractNum w:abstractNumId="348">
    <w:nsid w:val="1421971B"/>
    <w:multiLevelType w:val="hybridMultilevel"/>
    <w:lvl w:ilvl="0">
      <w:lvlJc w:val="left"/>
      <w:lvlText w:val="(%1)"/>
      <w:numFmt w:val="lowerLetter"/>
      <w:start w:val="1"/>
    </w:lvl>
  </w:abstractNum>
  <w:abstractNum w:abstractNumId="349">
    <w:nsid w:val="1F404301"/>
    <w:multiLevelType w:val="hybridMultilevel"/>
    <w:lvl w:ilvl="0">
      <w:lvlJc w:val="left"/>
      <w:lvlText w:val="(%1)"/>
      <w:numFmt w:val="lowerRoman"/>
      <w:start w:val="1"/>
    </w:lvl>
  </w:abstractNum>
  <w:abstractNum w:abstractNumId="350">
    <w:nsid w:val="116E0907"/>
    <w:multiLevelType w:val="hybridMultilevel"/>
    <w:lvl w:ilvl="0">
      <w:lvlJc w:val="left"/>
      <w:lvlText w:val="%1."/>
      <w:numFmt w:val="decimal"/>
      <w:start w:val="16"/>
    </w:lvl>
  </w:abstractNum>
  <w:abstractNum w:abstractNumId="351">
    <w:nsid w:val="4B683D0D"/>
    <w:multiLevelType w:val="hybridMultilevel"/>
    <w:lvl w:ilvl="0">
      <w:lvlJc w:val="left"/>
      <w:lvlText w:val="(%1)"/>
      <w:numFmt w:val="lowerLetter"/>
      <w:start w:val="1"/>
    </w:lvl>
    <w:lvl w:ilvl="1">
      <w:lvlJc w:val="left"/>
      <w:lvlText w:val="(%2)"/>
      <w:numFmt w:val="lowerLetter"/>
      <w:start w:val="9"/>
    </w:lvl>
  </w:abstractNum>
  <w:abstractNum w:abstractNumId="352">
    <w:nsid w:val="76E41D8"/>
    <w:multiLevelType w:val="hybridMultilevel"/>
    <w:lvl w:ilvl="0">
      <w:lvlJc w:val="left"/>
      <w:lvlText w:val="(%1)"/>
      <w:numFmt w:val="upperLetter"/>
      <w:start w:val="1"/>
    </w:lvl>
  </w:abstractNum>
  <w:abstractNum w:abstractNumId="353">
    <w:nsid w:val="71DCE0FD"/>
    <w:multiLevelType w:val="hybridMultilevel"/>
    <w:lvl w:ilvl="0">
      <w:lvlJc w:val="left"/>
      <w:lvlText w:val="(%1)"/>
      <w:numFmt w:val="upperLetter"/>
      <w:start w:val="5"/>
    </w:lvl>
  </w:abstractNum>
  <w:abstractNum w:abstractNumId="354">
    <w:nsid w:val="7906328B"/>
    <w:multiLevelType w:val="hybridMultilevel"/>
    <w:lvl w:ilvl="0">
      <w:lvlJc w:val="left"/>
      <w:lvlText w:val="%1"/>
      <w:numFmt w:val="lowerLetter"/>
      <w:start w:val="1"/>
    </w:lvl>
    <w:lvl w:ilvl="1">
      <w:lvlJc w:val="left"/>
      <w:lvlText w:val="(%2)"/>
      <w:numFmt w:val="lowerRoman"/>
      <w:start w:val="2"/>
    </w:lvl>
  </w:abstractNum>
  <w:abstractNum w:abstractNumId="355">
    <w:nsid w:val="72BBC16"/>
    <w:multiLevelType w:val="hybridMultilevel"/>
    <w:lvl w:ilvl="0">
      <w:lvlJc w:val="left"/>
      <w:lvlText w:val="(%1)"/>
      <w:numFmt w:val="lowerLetter"/>
      <w:start w:val="4"/>
    </w:lvl>
    <w:lvl w:ilvl="1">
      <w:lvlJc w:val="left"/>
      <w:lvlText w:val="%2"/>
      <w:numFmt w:val="lowerRoman"/>
      <w:start w:val="1"/>
    </w:lvl>
  </w:abstractNum>
  <w:abstractNum w:abstractNumId="356">
    <w:nsid w:val="766D98C2"/>
    <w:multiLevelType w:val="hybridMultilevel"/>
    <w:lvl w:ilvl="0">
      <w:lvlJc w:val="left"/>
      <w:lvlText w:val="(%1)"/>
      <w:numFmt w:val="lowerLetter"/>
      <w:start w:val="6"/>
    </w:lvl>
    <w:lvl w:ilvl="1">
      <w:lvlJc w:val="left"/>
      <w:lvlText w:val="(%2)"/>
      <w:numFmt w:val="lowerRoman"/>
      <w:start w:val="1"/>
    </w:lvl>
  </w:abstractNum>
  <w:abstractNum w:abstractNumId="357">
    <w:nsid w:val="3C09D4A1"/>
    <w:multiLevelType w:val="hybridMultilevel"/>
    <w:lvl w:ilvl="0">
      <w:lvlJc w:val="left"/>
      <w:lvlText w:val="%1"/>
      <w:numFmt w:val="lowerLetter"/>
      <w:start w:val="1"/>
    </w:lvl>
    <w:lvl w:ilvl="1">
      <w:lvlJc w:val="left"/>
      <w:lvlText w:val="(%2)"/>
      <w:numFmt w:val="lowerRoman"/>
      <w:start w:val="4"/>
    </w:lvl>
  </w:abstractNum>
  <w:abstractNum w:abstractNumId="358">
    <w:nsid w:val="20E45CA4"/>
    <w:multiLevelType w:val="hybridMultilevel"/>
    <w:lvl w:ilvl="0">
      <w:lvlJc w:val="left"/>
      <w:lvlText w:val="(%1)"/>
      <w:numFmt w:val="lowerLetter"/>
      <w:start w:val="10"/>
    </w:lvl>
    <w:lvl w:ilvl="1">
      <w:lvlJc w:val="left"/>
      <w:lvlText w:val="%2"/>
      <w:numFmt w:val="lowerRoman"/>
      <w:start w:val="1"/>
    </w:lvl>
  </w:abstractNum>
  <w:abstractNum w:abstractNumId="359">
    <w:nsid w:val="4B232EE3"/>
    <w:multiLevelType w:val="hybridMultilevel"/>
    <w:lvl w:ilvl="0">
      <w:lvlJc w:val="left"/>
      <w:lvlText w:val="(%1)"/>
      <w:numFmt w:val="lowerLetter"/>
      <w:start w:val="13"/>
    </w:lvl>
  </w:abstractNum>
  <w:abstractNum w:abstractNumId="360">
    <w:nsid w:val="159C74C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2019-12-09T04:32:18Z</dcterms:created>
  <dcterms:modified xsi:type="dcterms:W3CDTF">2019-12-09T04:32:18Z</dcterms:modified>
</cp:coreProperties>
</file>