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August 2024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474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576580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Quarter and Six Months Ended June 30, 2024</w:t>
      </w:r>
    </w:p>
    <w:p>
      <w:pPr>
        <w:spacing w:after="0" w:line="20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On August 7, 2024,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xml:space="preserve">”) issued a press release entitled “Kornit Digital Reports Second Quarter 2024 Results,” in which Kornit reported its results of operations for the quarter and six months ended June 30, 2024. A copy of that press release is furnished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hereto.</w:t>
      </w:r>
    </w:p>
    <w:p>
      <w:pPr>
        <w:spacing w:after="0" w:line="14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Kornit is holding a conference call on August 7, 2024 to discuss its quarterly and six-months results for the quarter and six months ended June 30, 2024 and, in connection with that call, is making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Exhibits</w:t>
            </w:r>
          </w:p>
        </w:tc>
        <w:tc>
          <w:tcPr>
            <w:tcW w:w="1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8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Borders>
              <w:bottom w:val="single" w:sz="8" w:color="CCEEFF"/>
            </w:tcBorders>
          </w:tcPr>
          <w:p>
            <w:pPr>
              <w:spacing w:after="0"/>
              <w:rPr>
                <w:sz w:val="24"/>
                <w:szCs w:val="24"/>
                <w:color w:val="auto"/>
              </w:rPr>
            </w:pPr>
          </w:p>
        </w:tc>
        <w:tc>
          <w:tcPr>
            <w:tcW w:w="10100" w:type="dxa"/>
            <w:vAlign w:val="bottom"/>
            <w:tcBorders>
              <w:bottom w:val="single" w:sz="8" w:color="auto"/>
            </w:tcBorders>
            <w:gridSpan w:val="3"/>
          </w:tcPr>
          <w:p>
            <w:pPr>
              <w:ind w:left="46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right w:val="single" w:sz="8" w:color="CCEEFF"/>
            </w:tcBorders>
            <w:shd w:val="clear" w:color="auto" w:fill="CCEEFF"/>
          </w:tcPr>
          <w:p>
            <w:pPr>
              <w:spacing w:after="0"/>
              <w:rPr>
                <w:sz w:val="13"/>
                <w:szCs w:val="13"/>
                <w:color w:val="auto"/>
              </w:rPr>
            </w:pPr>
          </w:p>
        </w:tc>
        <w:tc>
          <w:tcPr>
            <w:tcW w:w="1010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May 8, 2024, titled “Kornit Digital Reports First Quarter 2024 Results”</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800" w:type="dxa"/>
            <w:vAlign w:val="bottom"/>
            <w:shd w:val="clear" w:color="auto" w:fill="0000EE"/>
          </w:tcPr>
          <w:p>
            <w:pPr>
              <w:spacing w:after="0"/>
              <w:rPr>
                <w:sz w:val="3"/>
                <w:szCs w:val="3"/>
                <w:color w:val="auto"/>
              </w:rPr>
            </w:pPr>
          </w:p>
        </w:tc>
        <w:tc>
          <w:tcPr>
            <w:tcW w:w="32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3"/>
                <w:szCs w:val="13"/>
                <w:color w:val="auto"/>
              </w:rPr>
            </w:pPr>
          </w:p>
        </w:tc>
        <w:tc>
          <w:tcPr>
            <w:tcW w:w="902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8"/>
              </w:rPr>
              <w:t>Slide presentation for conference call of Kornit held on May 8 2024 discussing Kornit’s quarterly financial results for the first quarter of 2024</w:t>
            </w:r>
          </w:p>
        </w:tc>
        <w:tc>
          <w:tcPr>
            <w:tcW w:w="1080" w:type="dxa"/>
            <w:vAlign w:val="bottom"/>
          </w:tcPr>
          <w:p>
            <w:pPr>
              <w:spacing w:after="0"/>
              <w:rPr>
                <w:sz w:val="13"/>
                <w:szCs w:val="13"/>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jc w:val="both"/>
        <w:ind w:right="20" w:firstLine="574"/>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13">
        <w:r>
          <w:rPr>
            <w:rFonts w:ascii="Times New Roman" w:cs="Times New Roman" w:eastAsia="Times New Roman" w:hAnsi="Times New Roman"/>
            <w:sz w:val="16"/>
            <w:szCs w:val="16"/>
            <w:u w:val="single" w:color="auto"/>
            <w:color w:val="0000EE"/>
          </w:rPr>
          <w:t>333-203970</w:t>
        </w:r>
      </w:hyperlink>
      <w:r>
        <w:rPr>
          <w:rFonts w:ascii="Times New Roman" w:cs="Times New Roman" w:eastAsia="Times New Roman" w:hAnsi="Times New Roman"/>
          <w:sz w:val="16"/>
          <w:szCs w:val="16"/>
          <w:color w:val="auto"/>
        </w:rPr>
        <w:t xml:space="preserve">, </w:t>
      </w:r>
      <w:hyperlink r:id="rId14">
        <w:r>
          <w:rPr>
            <w:rFonts w:ascii="Times New Roman" w:cs="Times New Roman" w:eastAsia="Times New Roman" w:hAnsi="Times New Roman"/>
            <w:sz w:val="16"/>
            <w:szCs w:val="16"/>
            <w:u w:val="single" w:color="auto"/>
            <w:color w:val="0000EE"/>
          </w:rPr>
          <w:t>333-214015</w:t>
        </w:r>
      </w:hyperlink>
      <w:r>
        <w:rPr>
          <w:rFonts w:ascii="Times New Roman" w:cs="Times New Roman" w:eastAsia="Times New Roman" w:hAnsi="Times New Roman"/>
          <w:sz w:val="16"/>
          <w:szCs w:val="16"/>
          <w:color w:val="auto"/>
        </w:rPr>
        <w:t xml:space="preserve">, </w:t>
      </w:r>
      <w:hyperlink r:id="rId15">
        <w:r>
          <w:rPr>
            <w:rFonts w:ascii="Times New Roman" w:cs="Times New Roman" w:eastAsia="Times New Roman" w:hAnsi="Times New Roman"/>
            <w:sz w:val="16"/>
            <w:szCs w:val="16"/>
            <w:u w:val="single" w:color="auto"/>
            <w:color w:val="0000EE"/>
          </w:rPr>
          <w:t>333-217039</w:t>
        </w:r>
      </w:hyperlink>
      <w:r>
        <w:rPr>
          <w:rFonts w:ascii="Times New Roman" w:cs="Times New Roman" w:eastAsia="Times New Roman" w:hAnsi="Times New Roman"/>
          <w:sz w:val="16"/>
          <w:szCs w:val="16"/>
          <w:color w:val="auto"/>
        </w:rPr>
        <w:t xml:space="preserve">, </w:t>
      </w:r>
      <w:hyperlink r:id="rId16">
        <w:r>
          <w:rPr>
            <w:rFonts w:ascii="Times New Roman" w:cs="Times New Roman" w:eastAsia="Times New Roman" w:hAnsi="Times New Roman"/>
            <w:sz w:val="16"/>
            <w:szCs w:val="16"/>
            <w:u w:val="single" w:color="auto"/>
            <w:color w:val="0000EE"/>
          </w:rPr>
          <w:t>333-223794</w:t>
        </w:r>
      </w:hyperlink>
      <w:r>
        <w:rPr>
          <w:rFonts w:ascii="Times New Roman" w:cs="Times New Roman" w:eastAsia="Times New Roman" w:hAnsi="Times New Roman"/>
          <w:sz w:val="16"/>
          <w:szCs w:val="16"/>
          <w:color w:val="auto"/>
        </w:rPr>
        <w:t xml:space="preserve">, </w:t>
      </w:r>
      <w:hyperlink r:id="rId17">
        <w:r>
          <w:rPr>
            <w:rFonts w:ascii="Times New Roman" w:cs="Times New Roman" w:eastAsia="Times New Roman" w:hAnsi="Times New Roman"/>
            <w:sz w:val="16"/>
            <w:szCs w:val="16"/>
            <w:u w:val="single" w:color="auto"/>
            <w:color w:val="0000EE"/>
          </w:rPr>
          <w:t>333-230567</w:t>
        </w:r>
      </w:hyperlink>
      <w:r>
        <w:rPr>
          <w:rFonts w:ascii="Times New Roman" w:cs="Times New Roman" w:eastAsia="Times New Roman" w:hAnsi="Times New Roman"/>
          <w:sz w:val="16"/>
          <w:szCs w:val="16"/>
          <w:color w:val="auto"/>
        </w:rPr>
        <w:t xml:space="preserve">, </w:t>
      </w:r>
      <w:hyperlink r:id="rId18">
        <w:r>
          <w:rPr>
            <w:rFonts w:ascii="Times New Roman" w:cs="Times New Roman" w:eastAsia="Times New Roman" w:hAnsi="Times New Roman"/>
            <w:sz w:val="16"/>
            <w:szCs w:val="16"/>
            <w:u w:val="single" w:color="auto"/>
            <w:color w:val="0000EE"/>
          </w:rPr>
          <w:t>333-237346</w:t>
        </w:r>
      </w:hyperlink>
      <w:r>
        <w:rPr>
          <w:rFonts w:ascii="Times New Roman" w:cs="Times New Roman" w:eastAsia="Times New Roman" w:hAnsi="Times New Roman"/>
          <w:sz w:val="16"/>
          <w:szCs w:val="16"/>
          <w:color w:val="auto"/>
        </w:rPr>
        <w:t xml:space="preserve">, </w:t>
      </w:r>
      <w:hyperlink r:id="rId19">
        <w:r>
          <w:rPr>
            <w:rFonts w:ascii="Times New Roman" w:cs="Times New Roman" w:eastAsia="Times New Roman" w:hAnsi="Times New Roman"/>
            <w:sz w:val="16"/>
            <w:szCs w:val="16"/>
            <w:u w:val="single" w:color="auto"/>
            <w:color w:val="0000EE"/>
          </w:rPr>
          <w:t>333-254749</w:t>
        </w:r>
      </w:hyperlink>
      <w:r>
        <w:rPr>
          <w:rFonts w:ascii="Times New Roman" w:cs="Times New Roman" w:eastAsia="Times New Roman" w:hAnsi="Times New Roman"/>
          <w:sz w:val="16"/>
          <w:szCs w:val="16"/>
          <w:color w:val="auto"/>
        </w:rPr>
        <w:t xml:space="preserve">, and </w:t>
      </w:r>
      <w:hyperlink r:id="rId20">
        <w:r>
          <w:rPr>
            <w:rFonts w:ascii="Times New Roman" w:cs="Times New Roman" w:eastAsia="Times New Roman" w:hAnsi="Times New Roman"/>
            <w:sz w:val="16"/>
            <w:szCs w:val="16"/>
            <w:u w:val="single" w:color="auto"/>
            <w:color w:val="0000EE"/>
          </w:rPr>
          <w:t>333-263975</w:t>
        </w:r>
      </w:hyperlink>
      <w:r>
        <w:rPr>
          <w:rFonts w:ascii="Times New Roman" w:cs="Times New Roman" w:eastAsia="Times New Roman" w:hAnsi="Times New Roman"/>
          <w:sz w:val="16"/>
          <w:szCs w:val="16"/>
          <w:color w:val="auto"/>
        </w:rPr>
        <w:t>).</w:t>
      </w:r>
    </w:p>
    <w:p>
      <w:pPr>
        <w:spacing w:after="0" w:line="34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18"/>
                <w:szCs w:val="18"/>
                <w:color w:val="auto"/>
              </w:rPr>
            </w:pPr>
          </w:p>
        </w:tc>
        <w:tc>
          <w:tcPr>
            <w:tcW w:w="7780" w:type="dxa"/>
            <w:vAlign w:val="bottom"/>
            <w:gridSpan w:val="2"/>
          </w:tcPr>
          <w:p>
            <w:pPr>
              <w:ind w:left="3280"/>
              <w:spacing w:after="0"/>
              <w:rPr>
                <w:sz w:val="20"/>
                <w:szCs w:val="20"/>
                <w:color w:val="auto"/>
              </w:rPr>
            </w:pPr>
            <w:r>
              <w:rPr>
                <w:rFonts w:ascii="Times New Roman" w:cs="Times New Roman" w:eastAsia="Times New Roman" w:hAnsi="Times New Roman"/>
                <w:sz w:val="16"/>
                <w:szCs w:val="16"/>
                <w:color w:val="auto"/>
              </w:rPr>
              <w:t>KORNIT DIGITAL LTD.</w:t>
            </w:r>
          </w:p>
        </w:tc>
      </w:tr>
      <w:tr>
        <w:trPr>
          <w:trHeight w:val="386"/>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Date: August 7, 2024</w:t>
            </w:r>
          </w:p>
        </w:tc>
        <w:tc>
          <w:tcPr>
            <w:tcW w:w="384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Lauri Hanover</w:t>
            </w:r>
          </w:p>
        </w:tc>
      </w:tr>
      <w:tr>
        <w:trPr>
          <w:trHeight w:val="175"/>
        </w:trPr>
        <w:tc>
          <w:tcPr>
            <w:tcW w:w="3480" w:type="dxa"/>
            <w:vAlign w:val="bottom"/>
          </w:tcPr>
          <w:p>
            <w:pPr>
              <w:spacing w:after="0"/>
              <w:rPr>
                <w:sz w:val="15"/>
                <w:szCs w:val="15"/>
                <w:color w:val="auto"/>
              </w:rPr>
            </w:pPr>
          </w:p>
        </w:tc>
        <w:tc>
          <w:tcPr>
            <w:tcW w:w="3840" w:type="dxa"/>
            <w:vAlign w:val="bottom"/>
          </w:tcPr>
          <w:p>
            <w:pPr>
              <w:ind w:left="328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Lauri Hanover</w:t>
            </w:r>
          </w:p>
        </w:tc>
      </w:tr>
      <w:tr>
        <w:trPr>
          <w:trHeight w:val="208"/>
        </w:trPr>
        <w:tc>
          <w:tcPr>
            <w:tcW w:w="3480" w:type="dxa"/>
            <w:vAlign w:val="bottom"/>
          </w:tcPr>
          <w:p>
            <w:pPr>
              <w:spacing w:after="0"/>
              <w:rPr>
                <w:sz w:val="18"/>
                <w:szCs w:val="18"/>
                <w:color w:val="auto"/>
              </w:rPr>
            </w:pPr>
          </w:p>
        </w:tc>
        <w:tc>
          <w:tcPr>
            <w:tcW w:w="384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577"/>
        </w:trPr>
        <w:tc>
          <w:tcPr>
            <w:tcW w:w="3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 Maymon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Global Head of Investor Relations &amp; Strategic Finance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971550" cy="447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71550"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Kornit Digital Reports Second Quarter 2024 Results</w:t>
      </w:r>
    </w:p>
    <w:p>
      <w:pPr>
        <w:spacing w:after="0" w:line="200" w:lineRule="exact"/>
        <w:rPr>
          <w:sz w:val="20"/>
          <w:szCs w:val="20"/>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quarter revenues of $48.6 million, in line with previous guidance</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quarter GAAP net loss of $4.9 million; non-GAAP net income of $1.1 million</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Generated positive cash flow from operations for the second quarter of 2024</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impressions and consumables grew year-over-year during the second quarter</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in our pilot of the all-inclusive click (“AIC”) program and our Apollo system remains strong, with multiple orders added to our backlog in second quarter</w:t>
      </w:r>
    </w:p>
    <w:p>
      <w:pPr>
        <w:spacing w:after="0" w:line="196" w:lineRule="exact"/>
        <w:rPr>
          <w:sz w:val="20"/>
          <w:szCs w:val="20"/>
          <w:color w:val="auto"/>
        </w:rPr>
      </w:pPr>
    </w:p>
    <w:p>
      <w:pPr>
        <w:jc w:val="both"/>
        <w:ind w:left="4" w:right="20"/>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Rosh-Ha’Ayin, Israel – August 7, 2024 </w:t>
      </w:r>
      <w:r>
        <w:rPr>
          <w:rFonts w:ascii="Times New Roman" w:cs="Times New Roman" w:eastAsia="Times New Roman" w:hAnsi="Times New Roman"/>
          <w:sz w:val="16"/>
          <w:szCs w:val="16"/>
          <w:color w:val="auto"/>
        </w:rPr>
        <w:t>– Kornit Digital Ltd. (“Kornit” or the “Company”) (Nasdaq: KRNT), a worldwide market leader in sustainable, on-demand, digital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fashion</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xml:space="preserve"> and textile production technologies, today reported results for the second quarter ended June 30, 2024.</w:t>
      </w:r>
    </w:p>
    <w:p>
      <w:pPr>
        <w:spacing w:after="0" w:line="26"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“We are witnessing a pivotal shift to on-demand production in the fashion industry, where consumers are demanding both increased variety and faster delivery.” said Ronen Samuel, Kornit’s Chief Executive Officer. He added, “While the positive impact of these trends on our systems sales remains muted, we again saw growth in impressions and consumables. This supports our view that our customers continue to digest available capacity.”</w:t>
      </w:r>
    </w:p>
    <w:p>
      <w:pPr>
        <w:spacing w:after="0" w:line="15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Mr. Samuel continued, “In the second quarter, we also received several additional Apollo orders, including four on our AIC model. Given the strong initial feedback and traction we have seen with our AIC model, we made the decision to begin piloting the model on the Atlas MAX system for screen replacement customers.” He concluded, “We look forward to updating the investor community on our long-term business plans and capital allocation strategy at our investor event planned on September 10th.”</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Second Quarter 2024 Results of Operations</w:t>
      </w:r>
    </w:p>
    <w:p>
      <w:pPr>
        <w:spacing w:after="0" w:line="200" w:lineRule="exact"/>
        <w:rPr>
          <w:sz w:val="20"/>
          <w:szCs w:val="20"/>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second quarter of 2024 was $48.6 million compared with $56.2 million in the prior year period, due primarily to lower systems revenues.</w:t>
      </w:r>
    </w:p>
    <w:p>
      <w:pPr>
        <w:spacing w:after="0" w:line="198"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second quarter of 2024 was 45.8% compared with 33.3% in the prior year period. On a non-GAAP basis, gross profit margin was 48.6% compared with 36.1% in the prior year period.</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second quarter of 2024 were $33.0 million compared with $39.6 million in the prior year period. On a non-GAAP basis, operating expenses decreased by 17.9% to $28.0 million compared with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2" w:right="319" w:bottom="1440" w:gutter="0" w:footer="0" w:header="0"/>
        </w:sectPr>
      </w:pPr>
    </w:p>
    <w:bookmarkStart w:id="4" w:name="page5"/>
    <w:bookmarkEnd w:id="4"/>
    <w:p>
      <w:pPr>
        <w:ind w:left="284" w:right="20"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second quarter of 2024 was $4.9 million, or ($0.10) per basic share, compared with net loss of $14.3 million, or ($0.29) per basic share, for the second quarter of 2023.</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for the second quarter of 2024 was $1.1 million, or $0.02 per diluted share, compared with non-GAAP net loss of $7.4 million, or ($0.15) per basic share, for the second quarter of 2023.</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loss for the second quarter of 2024 was $1.6 million compared with adjusted EBITDA loss of $10.7 million for the second quarter of 2023. Adjusted EBITDA margin for the second quarter of 2024 was -3.4% compared with -19.1% for the second quarter of 2023.</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Third Quarter 2024 Guidance</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third quarter of 2024, the Company expects revenues to be in the range of $48 million to $52 million and adjusted EBITDA margin between 1% to 6%.</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Second Quarter Earnings Conference Call Information</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at 8:30 a.m. ET, or 3:30 p.m. Israel time, to discuss the results, followed by a question-and-answer session with the investor community.</w:t>
      </w:r>
    </w:p>
    <w:p>
      <w:pPr>
        <w:spacing w:after="0" w:line="142"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1-800-717-1738 or 1-646-307-1865. The toll-free Israeli number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972 3 384 8161. The conference confirmation code is 71703.</w:t>
      </w:r>
    </w:p>
    <w:p>
      <w:pPr>
        <w:spacing w:after="0" w:line="140"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(international) and enter confirmation code 1171703. The telephonic replay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available approximately three hours after the completion of the live call until 11:59 pm ET on August 21, 2024. The call will also be available for replay via the webcast link on Kornit’s Investor Relations website.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4" w:lineRule="exact"/>
        <w:rPr>
          <w:sz w:val="20"/>
          <w:szCs w:val="20"/>
          <w:color w:val="auto"/>
        </w:rPr>
      </w:pPr>
    </w:p>
    <w:p>
      <w:pPr>
        <w:jc w:val="both"/>
        <w:ind w:left="4"/>
        <w:spacing w:after="0" w:line="229" w:lineRule="auto"/>
        <w:rPr>
          <w:sz w:val="20"/>
          <w:szCs w:val="20"/>
          <w:color w:val="auto"/>
        </w:rPr>
      </w:pPr>
      <w:r>
        <w:rPr>
          <w:rFonts w:ascii="Times New Roman" w:cs="Times New Roman" w:eastAsia="Times New Roman" w:hAnsi="Times New Roman"/>
          <w:sz w:val="16"/>
          <w:szCs w:val="16"/>
          <w:color w:val="auto"/>
        </w:rPr>
        <w:t>Kornit Digital (NASDAQ: KRNT) is a worldwide market leader in sustainable, on-demand, digital fashion</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r>
        <w:rPr>
          <w:rFonts w:ascii="Times New Roman" w:cs="Times New Roman" w:eastAsia="Times New Roman" w:hAnsi="Times New Roman"/>
          <w:sz w:val="16"/>
          <w:szCs w:val="16"/>
          <w:u w:val="single" w:color="auto"/>
          <w:color w:val="auto"/>
        </w:rPr>
        <w:t>.</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adverse macro-economic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and the Company’s Apollo direct-to-garment platform; the extent of the Company’s ability to consummate sales to large accounts with multi-system delivery plans; the degree of the Company’s ability to fill orders for its systems and consumables;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2023, filed with the SEC on March 28, 2024. Any forward-looking statements in this press release are made as of the date hereof, whether as a result of new information, future events or otherwise, except as required by law.</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defines “Adjusted EBITDA” as non-GAAP operating income (loss), which reflects the adjustments described in the preceding paragraph, as further adjusted to exclude depreciation expense.</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tables included below present a reconciliation of our non-GAAP financial measures to the most directly comparable GAAP financial measures.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gridSpan w:val="2"/>
          </w:tcPr>
          <w:p>
            <w:pPr>
              <w:spacing w:after="0"/>
              <w:rPr>
                <w:sz w:val="16"/>
                <w:szCs w:val="16"/>
                <w:color w:val="auto"/>
              </w:rPr>
            </w:pPr>
          </w:p>
        </w:tc>
      </w:tr>
      <w:tr>
        <w:trPr>
          <w:trHeight w:val="175"/>
        </w:trPr>
        <w:tc>
          <w:tcPr>
            <w:tcW w:w="60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22,522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39,605</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bank deposit</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243,396</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235,600</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160,121</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57,292</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79,461</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93,632</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70,595</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67,712</w:t>
            </w: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accounts receivable and prepaid expenses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27,062</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28,546</w:t>
            </w:r>
          </w:p>
        </w:tc>
        <w:tc>
          <w:tcPr>
            <w:tcW w:w="100" w:type="dxa"/>
            <w:vAlign w:val="bottom"/>
          </w:tcPr>
          <w:p>
            <w:pPr>
              <w:spacing w:after="0"/>
              <w:rPr>
                <w:sz w:val="18"/>
                <w:szCs w:val="18"/>
                <w:color w:val="auto"/>
              </w:rPr>
            </w:pP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603,157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522,387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128,396</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223,203</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10,727</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8,209</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pay fund</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47,710</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50,905</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19,697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23,782</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6,623</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7,647</w:t>
            </w: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29,164</w:t>
            </w:r>
          </w:p>
        </w:tc>
        <w:tc>
          <w:tcPr>
            <w:tcW w:w="100" w:type="dxa"/>
            <w:vAlign w:val="bottom"/>
          </w:tcPr>
          <w:p>
            <w:pPr>
              <w:spacing w:after="0"/>
              <w:rPr>
                <w:sz w:val="18"/>
                <w:szCs w:val="18"/>
                <w:color w:val="auto"/>
              </w:rPr>
            </w:pP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assets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242,603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343,193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845,760</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865,580</w:t>
            </w:r>
          </w:p>
        </w:tc>
        <w:tc>
          <w:tcPr>
            <w:tcW w:w="100" w:type="dxa"/>
            <w:vAlign w:val="bottom"/>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87"/>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4,794</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6,936</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12,121</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1,486</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2,158</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3,270</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5,073</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22,152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23,814</w:t>
            </w: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26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43,567</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50,102</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15,676</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18,533</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long-term liabilities</w:t>
            </w:r>
          </w:p>
        </w:tc>
        <w:tc>
          <w:tcPr>
            <w:tcW w:w="26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16,835</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19,811</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785,358</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795,667</w:t>
            </w:r>
          </w:p>
        </w:tc>
        <w:tc>
          <w:tcPr>
            <w:tcW w:w="100" w:type="dxa"/>
            <w:vAlign w:val="bottom"/>
          </w:tcPr>
          <w:p>
            <w:pPr>
              <w:spacing w:after="0"/>
              <w:rPr>
                <w:sz w:val="18"/>
                <w:szCs w:val="18"/>
                <w:color w:val="auto"/>
              </w:rPr>
            </w:pPr>
          </w:p>
        </w:tc>
      </w:tr>
      <w:tr>
        <w:trPr>
          <w:trHeight w:val="191"/>
        </w:trPr>
        <w:tc>
          <w:tcPr>
            <w:tcW w:w="60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1"/>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845,760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865,580</w:t>
            </w:r>
          </w:p>
        </w:tc>
        <w:tc>
          <w:tcPr>
            <w:tcW w:w="10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7" w:name="page8"/>
    <w:bookmarkEnd w:id="7"/>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(U.S. dollars in thousands, except share and per share data)</w:t>
      </w:r>
    </w:p>
    <w:p>
      <w:pPr>
        <w:sectPr>
          <w:pgSz w:w="11900" w:h="16838" w:orient="portrait"/>
          <w:cols w:equalWidth="0" w:num="1">
            <w:col w:w="11260"/>
          </w:cols>
          <w:pgMar w:left="320" w:top="814" w:right="319" w:bottom="1440" w:gutter="0" w:footer="0" w:header="0"/>
        </w:sectPr>
      </w:pPr>
    </w:p>
    <w:p>
      <w:pPr>
        <w:spacing w:after="0" w:line="21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16510</wp:posOffset>
            </wp:positionV>
            <wp:extent cx="15481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80" w:space="720"/>
            <w:col w:w="2160"/>
          </w:cols>
          <w:pgMar w:left="320" w:top="814" w:right="31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34,366</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40,083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63,379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71,986</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14,255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29,018</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31,991</w:t>
            </w:r>
          </w:p>
        </w:tc>
        <w:tc>
          <w:tcPr>
            <w:tcW w:w="100" w:type="dxa"/>
            <w:vAlign w:val="bottom"/>
          </w:tcPr>
          <w:p>
            <w:pPr>
              <w:spacing w:after="0"/>
              <w:rPr>
                <w:sz w:val="18"/>
                <w:szCs w:val="18"/>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48,621</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92,397</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103,977</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13,271</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28,962</w:t>
            </w:r>
          </w:p>
        </w:tc>
        <w:tc>
          <w:tcPr>
            <w:tcW w:w="2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42,999</w:t>
            </w:r>
          </w:p>
        </w:tc>
        <w:tc>
          <w:tcPr>
            <w:tcW w:w="100" w:type="dxa"/>
            <w:vAlign w:val="bottom"/>
          </w:tcPr>
          <w:p>
            <w:pPr>
              <w:spacing w:after="0"/>
              <w:rPr>
                <w:sz w:val="16"/>
                <w:szCs w:val="16"/>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13,066</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14,886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27,012</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29,213</w:t>
            </w:r>
          </w:p>
        </w:tc>
        <w:tc>
          <w:tcPr>
            <w:tcW w:w="100" w:type="dxa"/>
            <w:vAlign w:val="bottom"/>
            <w:shd w:val="clear" w:color="auto" w:fill="CCEEFF"/>
          </w:tcPr>
          <w:p>
            <w:pPr>
              <w:spacing w:after="0"/>
              <w:rPr>
                <w:sz w:val="19"/>
                <w:szCs w:val="19"/>
                <w:color w:val="auto"/>
              </w:rPr>
            </w:pPr>
          </w:p>
        </w:tc>
      </w:tr>
      <w:tr>
        <w:trPr>
          <w:trHeight w:val="175"/>
        </w:trPr>
        <w:tc>
          <w:tcPr>
            <w:tcW w:w="5980" w:type="dxa"/>
            <w:vAlign w:val="bottom"/>
            <w:tcBorders>
              <w:top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26,337</w:t>
            </w: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37,506</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55,974</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72,212</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22,284</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18,693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36,423</w:t>
            </w:r>
          </w:p>
        </w:tc>
        <w:tc>
          <w:tcPr>
            <w:tcW w:w="2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31,765</w:t>
            </w:r>
          </w:p>
        </w:tc>
        <w:tc>
          <w:tcPr>
            <w:tcW w:w="100" w:type="dxa"/>
            <w:vAlign w:val="bottom"/>
          </w:tcPr>
          <w:p>
            <w:pPr>
              <w:spacing w:after="0"/>
              <w:rPr>
                <w:sz w:val="16"/>
                <w:szCs w:val="16"/>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10,472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12,907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21,824</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25,989</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14,976</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18,158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28,772</w:t>
            </w:r>
          </w:p>
        </w:tc>
        <w:tc>
          <w:tcPr>
            <w:tcW w:w="2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33,341</w:t>
            </w:r>
          </w:p>
        </w:tc>
        <w:tc>
          <w:tcPr>
            <w:tcW w:w="100" w:type="dxa"/>
            <w:vAlign w:val="bottom"/>
          </w:tcPr>
          <w:p>
            <w:pPr>
              <w:spacing w:after="0"/>
              <w:rPr>
                <w:sz w:val="16"/>
                <w:szCs w:val="16"/>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7,532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14,809</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17,489</w:t>
            </w:r>
          </w:p>
        </w:tc>
        <w:tc>
          <w:tcPr>
            <w:tcW w:w="100" w:type="dxa"/>
            <w:vAlign w:val="bottom"/>
            <w:shd w:val="clear" w:color="auto" w:fill="CCEEFF"/>
          </w:tcPr>
          <w:p>
            <w:pPr>
              <w:spacing w:after="0"/>
              <w:rPr>
                <w:sz w:val="19"/>
                <w:szCs w:val="19"/>
                <w:color w:val="auto"/>
              </w:rPr>
            </w:pPr>
          </w:p>
        </w:tc>
      </w:tr>
      <w:tr>
        <w:trPr>
          <w:trHeight w:val="147"/>
        </w:trPr>
        <w:tc>
          <w:tcPr>
            <w:tcW w:w="5980" w:type="dxa"/>
            <w:vAlign w:val="bottom"/>
            <w:tcBorders>
              <w:top w:val="single" w:sz="8" w:color="CCEEFF"/>
            </w:tcBorders>
            <w:gridSpan w:val="2"/>
          </w:tcPr>
          <w:p>
            <w:pPr>
              <w:spacing w:after="0" w:line="139"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32,980</w:t>
            </w: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39,606</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65,405</w:t>
            </w: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76,819</w:t>
            </w: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99"/>
        </w:trPr>
        <w:tc>
          <w:tcPr>
            <w:tcW w:w="320" w:type="dxa"/>
            <w:vAlign w:val="bottom"/>
            <w:tcBorders>
              <w:top w:val="single" w:sz="8" w:color="auto"/>
            </w:tcBorders>
            <w:shd w:val="clear" w:color="auto" w:fill="CCEEFF"/>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(10,696)</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(28,982)</w:t>
            </w:r>
          </w:p>
        </w:tc>
        <w:tc>
          <w:tcPr>
            <w:tcW w:w="24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(45,054)</w:t>
            </w: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6,435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00" w:type="dxa"/>
            <w:vAlign w:val="bottom"/>
          </w:tcPr>
          <w:p>
            <w:pPr>
              <w:spacing w:after="0"/>
              <w:rPr>
                <w:sz w:val="18"/>
                <w:szCs w:val="18"/>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taxes on income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(32,632)</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907</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r>
      <w:tr>
        <w:trPr>
          <w:trHeight w:val="243"/>
        </w:trPr>
        <w:tc>
          <w:tcPr>
            <w:tcW w:w="598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240" w:type="dxa"/>
            <w:vAlign w:val="bottom"/>
            <w:tcBorders>
              <w:top w:val="single" w:sz="8" w:color="CCEEFF"/>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(14,325</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(33,256</w:t>
            </w:r>
          </w:p>
        </w:tc>
        <w:tc>
          <w:tcPr>
            <w:tcW w:w="12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(0.10)</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(0.38)</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(0.67)</w:t>
            </w: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net loss per share</w:t>
            </w: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47,535,212</w:t>
            </w:r>
          </w:p>
        </w:tc>
        <w:tc>
          <w:tcPr>
            <w:tcW w:w="26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49,554,383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47,573,334</w:t>
            </w:r>
          </w:p>
        </w:tc>
        <w:tc>
          <w:tcPr>
            <w:tcW w:w="2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49,720,453</w:t>
            </w:r>
          </w:p>
        </w:tc>
        <w:tc>
          <w:tcPr>
            <w:tcW w:w="100" w:type="dxa"/>
            <w:vAlign w:val="bottom"/>
          </w:tcPr>
          <w:p>
            <w:pPr>
              <w:spacing w:after="0"/>
              <w:rPr>
                <w:sz w:val="23"/>
                <w:szCs w:val="23"/>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(0.10)</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(0.38)</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(0.67)</w:t>
            </w: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net loss per share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47,535,212</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49,554,383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47,573,334</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49,720,453</w:t>
            </w:r>
          </w:p>
        </w:tc>
        <w:tc>
          <w:tcPr>
            <w:tcW w:w="1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GAAP TO NON-GAAP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ectPr>
          <w:pgSz w:w="11900" w:h="16838" w:orient="portrait"/>
          <w:cols w:equalWidth="0" w:num="1">
            <w:col w:w="11260"/>
          </w:cols>
          <w:pgMar w:left="320" w:top="814" w:right="319" w:bottom="0" w:gutter="0" w:footer="0" w:header="0"/>
        </w:sectPr>
      </w:pPr>
    </w:p>
    <w:p>
      <w:pPr>
        <w:spacing w:after="0" w:line="19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8"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13335</wp:posOffset>
            </wp:positionV>
            <wp:extent cx="159321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3"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19050</wp:posOffset>
            </wp:positionV>
            <wp:extent cx="159321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19050</wp:posOffset>
            </wp:positionV>
            <wp:extent cx="159321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13335</wp:posOffset>
            </wp:positionV>
            <wp:extent cx="15481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19050</wp:posOffset>
            </wp:positionV>
            <wp:extent cx="15481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19050</wp:posOffset>
            </wp:positionV>
            <wp:extent cx="154813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720"/>
            <w:col w:w="2140"/>
          </w:cols>
          <w:pgMar w:left="320" w:top="814" w:right="319" w:bottom="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48,621</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56,199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92,397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103,977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GAAP cost of revenues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26,337</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37,506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55,974</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72,212</w:t>
            </w: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Cost of product recorded for share-based compensation (1)</w:t>
            </w:r>
          </w:p>
        </w:tc>
        <w:tc>
          <w:tcPr>
            <w:tcW w:w="26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(490)</w:t>
            </w:r>
          </w:p>
        </w:tc>
        <w:tc>
          <w:tcPr>
            <w:tcW w:w="260" w:type="dxa"/>
            <w:vAlign w:val="bottom"/>
          </w:tcPr>
          <w:p>
            <w:pPr>
              <w:spacing w:after="0"/>
              <w:rPr>
                <w:sz w:val="15"/>
                <w:szCs w:val="15"/>
                <w:color w:val="auto"/>
              </w:rPr>
            </w:pP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(992)</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service recorded for share-based compensation (1)</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(453)</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(872)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amortization on cost of product (2)</w:t>
            </w:r>
          </w:p>
        </w:tc>
        <w:tc>
          <w:tcPr>
            <w:tcW w:w="26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(264)</w:t>
            </w:r>
          </w:p>
        </w:tc>
        <w:tc>
          <w:tcPr>
            <w:tcW w:w="260" w:type="dxa"/>
            <w:vAlign w:val="bottom"/>
          </w:tcPr>
          <w:p>
            <w:pPr>
              <w:spacing w:after="0"/>
              <w:rPr>
                <w:sz w:val="15"/>
                <w:szCs w:val="15"/>
                <w:color w:val="auto"/>
              </w:rPr>
            </w:pP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(263)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(529)</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amortization on cost of service (2)</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(160)</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(320)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0" w:type="dxa"/>
            <w:vAlign w:val="bottom"/>
          </w:tcPr>
          <w:p>
            <w:pPr>
              <w:spacing w:after="0"/>
              <w:rPr>
                <w:sz w:val="1"/>
                <w:szCs w:val="1"/>
                <w:color w:val="auto"/>
              </w:rPr>
            </w:pPr>
          </w:p>
        </w:tc>
      </w:tr>
      <w:tr>
        <w:trPr>
          <w:trHeight w:val="131"/>
        </w:trPr>
        <w:tc>
          <w:tcPr>
            <w:tcW w:w="5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Restructuring expenses (3)</w:t>
            </w:r>
          </w:p>
        </w:tc>
        <w:tc>
          <w:tcPr>
            <w:tcW w:w="260" w:type="dxa"/>
            <w:vAlign w:val="bottom"/>
          </w:tcPr>
          <w:p>
            <w:pPr>
              <w:spacing w:after="0"/>
              <w:rPr>
                <w:sz w:val="11"/>
                <w:szCs w:val="11"/>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1"/>
                <w:szCs w:val="11"/>
                <w:color w:val="auto"/>
              </w:rPr>
            </w:pPr>
          </w:p>
        </w:tc>
        <w:tc>
          <w:tcPr>
            <w:tcW w:w="102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right"/>
              <w:ind w:right="142"/>
              <w:spacing w:after="0" w:line="13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1"/>
                <w:szCs w:val="11"/>
                <w:color w:val="auto"/>
              </w:rPr>
            </w:pP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0"/>
        </w:trPr>
        <w:tc>
          <w:tcPr>
            <w:tcW w:w="59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2"/>
          </w:tcPr>
          <w:p>
            <w:pPr>
              <w:jc w:val="right"/>
              <w:ind w:right="182"/>
              <w:spacing w:after="0" w:line="60" w:lineRule="exact"/>
              <w:rPr>
                <w:sz w:val="20"/>
                <w:szCs w:val="20"/>
                <w:color w:val="auto"/>
              </w:rPr>
            </w:pPr>
            <w:r>
              <w:rPr>
                <w:rFonts w:ascii="Times New Roman" w:cs="Times New Roman" w:eastAsia="Times New Roman" w:hAnsi="Times New Roman"/>
                <w:sz w:val="6"/>
                <w:szCs w:val="6"/>
                <w:color w:val="auto"/>
              </w:rPr>
              <w:t>(914</w:t>
            </w:r>
          </w:p>
        </w:tc>
        <w:tc>
          <w:tcPr>
            <w:tcW w:w="240" w:type="dxa"/>
            <w:vAlign w:val="bottom"/>
          </w:tcPr>
          <w:p>
            <w:pPr>
              <w:spacing w:after="0"/>
              <w:rPr>
                <w:sz w:val="5"/>
                <w:szCs w:val="5"/>
                <w:color w:val="auto"/>
              </w:rPr>
            </w:pPr>
          </w:p>
        </w:tc>
        <w:tc>
          <w:tcPr>
            <w:tcW w:w="980" w:type="dxa"/>
            <w:vAlign w:val="bottom"/>
            <w:gridSpan w:val="2"/>
          </w:tcPr>
          <w:p>
            <w:pPr>
              <w:jc w:val="right"/>
              <w:ind w:right="44"/>
              <w:spacing w:after="0" w:line="60" w:lineRule="exact"/>
              <w:rPr>
                <w:sz w:val="20"/>
                <w:szCs w:val="20"/>
                <w:color w:val="auto"/>
              </w:rPr>
            </w:pPr>
            <w:r>
              <w:rPr>
                <w:rFonts w:ascii="Times New Roman" w:cs="Times New Roman" w:eastAsia="Times New Roman" w:hAnsi="Times New Roman"/>
                <w:sz w:val="6"/>
                <w:szCs w:val="6"/>
                <w:color w:val="auto"/>
              </w:rPr>
              <w:t>(89</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cost of revenues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24,970</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35,918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52,347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69,254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GAAP gross profit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22,284</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18,693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36,423</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31,765</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Gross profit adjustments</w:t>
            </w:r>
          </w:p>
        </w:tc>
        <w:tc>
          <w:tcPr>
            <w:tcW w:w="26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1,367</w:t>
            </w:r>
          </w:p>
        </w:tc>
        <w:tc>
          <w:tcPr>
            <w:tcW w:w="260" w:type="dxa"/>
            <w:vAlign w:val="bottom"/>
          </w:tcPr>
          <w:p>
            <w:pPr>
              <w:spacing w:after="0"/>
              <w:rPr>
                <w:sz w:val="16"/>
                <w:szCs w:val="16"/>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1,588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3,627</w:t>
            </w:r>
          </w:p>
        </w:tc>
        <w:tc>
          <w:tcPr>
            <w:tcW w:w="240" w:type="dxa"/>
            <w:vAlign w:val="bottom"/>
          </w:tcPr>
          <w:p>
            <w:pPr>
              <w:spacing w:after="0"/>
              <w:rPr>
                <w:sz w:val="16"/>
                <w:szCs w:val="16"/>
                <w:color w:val="auto"/>
              </w:rPr>
            </w:pPr>
          </w:p>
        </w:tc>
        <w:tc>
          <w:tcPr>
            <w:tcW w:w="9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2,958</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gross profit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23,651</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20,281</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40,050</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34,723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GAAP operating expenses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32,980</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39,606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65,405</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76,819</w:t>
            </w: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(1)</w:t>
            </w:r>
          </w:p>
        </w:tc>
        <w:tc>
          <w:tcPr>
            <w:tcW w:w="26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(4,926)</w:t>
            </w:r>
          </w:p>
        </w:tc>
        <w:tc>
          <w:tcPr>
            <w:tcW w:w="260" w:type="dxa"/>
            <w:vAlign w:val="bottom"/>
          </w:tcPr>
          <w:p>
            <w:pPr>
              <w:spacing w:after="0"/>
              <w:rPr>
                <w:sz w:val="15"/>
                <w:szCs w:val="15"/>
                <w:color w:val="auto"/>
              </w:rPr>
            </w:pP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(5,385)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(9,453)</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(9,772)</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amortization (2)</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(87)</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(175)</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0" w:type="dxa"/>
            <w:vAlign w:val="bottom"/>
          </w:tcPr>
          <w:p>
            <w:pPr>
              <w:spacing w:after="0"/>
              <w:rPr>
                <w:sz w:val="1"/>
                <w:szCs w:val="1"/>
                <w:color w:val="auto"/>
              </w:rPr>
            </w:pPr>
          </w:p>
        </w:tc>
      </w:tr>
      <w:tr>
        <w:trPr>
          <w:trHeight w:val="131"/>
        </w:trPr>
        <w:tc>
          <w:tcPr>
            <w:tcW w:w="5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Restructuring expenses (3)</w:t>
            </w:r>
          </w:p>
        </w:tc>
        <w:tc>
          <w:tcPr>
            <w:tcW w:w="260" w:type="dxa"/>
            <w:vAlign w:val="bottom"/>
          </w:tcPr>
          <w:p>
            <w:pPr>
              <w:spacing w:after="0"/>
              <w:rPr>
                <w:sz w:val="11"/>
                <w:szCs w:val="11"/>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1"/>
                <w:szCs w:val="11"/>
                <w:color w:val="auto"/>
              </w:rPr>
            </w:pPr>
          </w:p>
        </w:tc>
        <w:tc>
          <w:tcPr>
            <w:tcW w:w="102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right"/>
              <w:ind w:right="142"/>
              <w:spacing w:after="0" w:line="13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1"/>
                <w:szCs w:val="11"/>
                <w:color w:val="auto"/>
              </w:rPr>
            </w:pP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0"/>
        </w:trPr>
        <w:tc>
          <w:tcPr>
            <w:tcW w:w="59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2"/>
          </w:tcPr>
          <w:p>
            <w:pPr>
              <w:jc w:val="right"/>
              <w:ind w:right="182"/>
              <w:spacing w:after="0" w:line="60" w:lineRule="exact"/>
              <w:rPr>
                <w:sz w:val="20"/>
                <w:szCs w:val="20"/>
                <w:color w:val="auto"/>
              </w:rPr>
            </w:pPr>
            <w:r>
              <w:rPr>
                <w:rFonts w:ascii="Times New Roman" w:cs="Times New Roman" w:eastAsia="Times New Roman" w:hAnsi="Times New Roman"/>
                <w:sz w:val="6"/>
                <w:szCs w:val="6"/>
                <w:color w:val="auto"/>
              </w:rPr>
              <w:t>(757</w:t>
            </w:r>
          </w:p>
        </w:tc>
        <w:tc>
          <w:tcPr>
            <w:tcW w:w="240" w:type="dxa"/>
            <w:vAlign w:val="bottom"/>
          </w:tcPr>
          <w:p>
            <w:pPr>
              <w:spacing w:after="0"/>
              <w:rPr>
                <w:sz w:val="5"/>
                <w:szCs w:val="5"/>
                <w:color w:val="auto"/>
              </w:rPr>
            </w:pPr>
          </w:p>
        </w:tc>
        <w:tc>
          <w:tcPr>
            <w:tcW w:w="980" w:type="dxa"/>
            <w:vAlign w:val="bottom"/>
            <w:gridSpan w:val="2"/>
          </w:tcPr>
          <w:p>
            <w:pPr>
              <w:jc w:val="right"/>
              <w:ind w:right="44"/>
              <w:spacing w:after="0" w:line="60" w:lineRule="exact"/>
              <w:rPr>
                <w:sz w:val="20"/>
                <w:szCs w:val="20"/>
                <w:color w:val="auto"/>
              </w:rPr>
            </w:pPr>
            <w:r>
              <w:rPr>
                <w:rFonts w:ascii="Times New Roman" w:cs="Times New Roman" w:eastAsia="Times New Roman" w:hAnsi="Times New Roman"/>
                <w:sz w:val="6"/>
                <w:szCs w:val="6"/>
                <w:color w:val="auto"/>
              </w:rPr>
              <w:t>(206</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operating expenses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27,967</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34,069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55,020</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66,501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GAAP Financial income, net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6,435</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7,018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11,781</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12,422</w:t>
            </w:r>
          </w:p>
        </w:tc>
        <w:tc>
          <w:tcPr>
            <w:tcW w:w="0" w:type="dxa"/>
            <w:vAlign w:val="bottom"/>
          </w:tcPr>
          <w:p>
            <w:pPr>
              <w:spacing w:after="0"/>
              <w:rPr>
                <w:sz w:val="1"/>
                <w:szCs w:val="1"/>
                <w:color w:val="auto"/>
              </w:rPr>
            </w:pPr>
          </w:p>
        </w:tc>
      </w:tr>
      <w:tr>
        <w:trPr>
          <w:trHeight w:val="131"/>
        </w:trPr>
        <w:tc>
          <w:tcPr>
            <w:tcW w:w="5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Foreign exchange losses associated with ASC 842</w:t>
            </w:r>
          </w:p>
        </w:tc>
        <w:tc>
          <w:tcPr>
            <w:tcW w:w="260" w:type="dxa"/>
            <w:vAlign w:val="bottom"/>
          </w:tcPr>
          <w:p>
            <w:pPr>
              <w:spacing w:after="0"/>
              <w:rPr>
                <w:sz w:val="11"/>
                <w:szCs w:val="11"/>
                <w:color w:val="auto"/>
              </w:rPr>
            </w:pPr>
          </w:p>
        </w:tc>
        <w:tc>
          <w:tcPr>
            <w:tcW w:w="11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4"/>
              <w:spacing w:after="0" w:line="13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5"/>
                <w:szCs w:val="15"/>
                <w:color w:val="auto"/>
              </w:rPr>
              <w:t>116</w:t>
            </w:r>
          </w:p>
        </w:tc>
        <w:tc>
          <w:tcPr>
            <w:tcW w:w="240" w:type="dxa"/>
            <w:vAlign w:val="bottom"/>
          </w:tcPr>
          <w:p>
            <w:pPr>
              <w:spacing w:after="0"/>
              <w:rPr>
                <w:sz w:val="11"/>
                <w:szCs w:val="11"/>
                <w:color w:val="auto"/>
              </w:rPr>
            </w:pP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0"/>
        </w:trPr>
        <w:tc>
          <w:tcPr>
            <w:tcW w:w="59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2"/>
          </w:tcPr>
          <w:p>
            <w:pPr>
              <w:jc w:val="right"/>
              <w:ind w:right="240"/>
              <w:spacing w:after="0" w:line="60" w:lineRule="exact"/>
              <w:rPr>
                <w:sz w:val="20"/>
                <w:szCs w:val="20"/>
                <w:color w:val="auto"/>
              </w:rPr>
            </w:pPr>
            <w:r>
              <w:rPr>
                <w:rFonts w:ascii="Times New Roman" w:cs="Times New Roman" w:eastAsia="Times New Roman" w:hAnsi="Times New Roman"/>
                <w:sz w:val="6"/>
                <w:szCs w:val="6"/>
                <w:color w:val="auto"/>
              </w:rPr>
              <w:t>(269</w:t>
            </w:r>
          </w:p>
        </w:tc>
        <w:tc>
          <w:tcPr>
            <w:tcW w:w="260" w:type="dxa"/>
            <w:vAlign w:val="bottom"/>
          </w:tcPr>
          <w:p>
            <w:pPr>
              <w:spacing w:after="0"/>
              <w:rPr>
                <w:sz w:val="5"/>
                <w:szCs w:val="5"/>
                <w:color w:val="auto"/>
              </w:rPr>
            </w:pPr>
          </w:p>
        </w:tc>
        <w:tc>
          <w:tcPr>
            <w:tcW w:w="1020" w:type="dxa"/>
            <w:vAlign w:val="bottom"/>
            <w:gridSpan w:val="2"/>
          </w:tcPr>
          <w:p>
            <w:pPr>
              <w:jc w:val="right"/>
              <w:ind w:right="64"/>
              <w:spacing w:after="0" w:line="60" w:lineRule="exact"/>
              <w:rPr>
                <w:sz w:val="20"/>
                <w:szCs w:val="20"/>
                <w:color w:val="auto"/>
              </w:rPr>
            </w:pPr>
            <w:r>
              <w:rPr>
                <w:rFonts w:ascii="Times New Roman" w:cs="Times New Roman" w:eastAsia="Times New Roman" w:hAnsi="Times New Roman"/>
                <w:sz w:val="6"/>
                <w:szCs w:val="6"/>
                <w:color w:val="auto"/>
              </w:rPr>
              <w:t>(121</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gridSpan w:val="2"/>
          </w:tcPr>
          <w:p>
            <w:pPr>
              <w:jc w:val="right"/>
              <w:ind w:right="44"/>
              <w:spacing w:after="0" w:line="60" w:lineRule="exact"/>
              <w:rPr>
                <w:sz w:val="20"/>
                <w:szCs w:val="20"/>
                <w:color w:val="auto"/>
              </w:rPr>
            </w:pPr>
            <w:r>
              <w:rPr>
                <w:rFonts w:ascii="Times New Roman" w:cs="Times New Roman" w:eastAsia="Times New Roman" w:hAnsi="Times New Roman"/>
                <w:sz w:val="6"/>
                <w:szCs w:val="6"/>
                <w:color w:val="auto"/>
              </w:rPr>
              <w:t>(497</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Financial income, net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6,166</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6,897</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11,897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11,925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GAAP Taxes on income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648</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Non-cash deferred tax income</w:t>
            </w:r>
          </w:p>
        </w:tc>
        <w:tc>
          <w:tcPr>
            <w:tcW w:w="26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86</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220" w:type="dxa"/>
            <w:vAlign w:val="bottom"/>
          </w:tcPr>
          <w:p>
            <w:pPr>
              <w:spacing w:after="0"/>
              <w:rPr>
                <w:sz w:val="16"/>
                <w:szCs w:val="16"/>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Taxes on income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734</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1,080</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GAAP net loss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(4,909)</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(14,325)</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(18,108)</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(33,256)</w:t>
            </w: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(1)</w:t>
            </w: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5,869</w:t>
            </w:r>
          </w:p>
        </w:tc>
        <w:tc>
          <w:tcPr>
            <w:tcW w:w="260" w:type="dxa"/>
            <w:vAlign w:val="bottom"/>
          </w:tcPr>
          <w:p>
            <w:pPr>
              <w:spacing w:after="0"/>
              <w:rPr>
                <w:sz w:val="15"/>
                <w:szCs w:val="15"/>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6,550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11,317</w:t>
            </w:r>
          </w:p>
        </w:tc>
        <w:tc>
          <w:tcPr>
            <w:tcW w:w="240" w:type="dxa"/>
            <w:vAlign w:val="bottom"/>
          </w:tcPr>
          <w:p>
            <w:pPr>
              <w:spacing w:after="0"/>
              <w:rPr>
                <w:sz w:val="15"/>
                <w:szCs w:val="15"/>
                <w:color w:val="auto"/>
              </w:rPr>
            </w:pPr>
          </w:p>
        </w:tc>
        <w:tc>
          <w:tcPr>
            <w:tcW w:w="9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11,795</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amortization (2)</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511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1,024</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1,186</w:t>
            </w: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Restructuring expenses (3)</w:t>
            </w: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1,671</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exchange losses associated with ASC 842</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(269)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116</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0" w:type="dxa"/>
            <w:vAlign w:val="bottom"/>
          </w:tcPr>
          <w:p>
            <w:pPr>
              <w:spacing w:after="0"/>
              <w:rPr>
                <w:sz w:val="1"/>
                <w:szCs w:val="1"/>
                <w:color w:val="auto"/>
              </w:rPr>
            </w:pPr>
          </w:p>
        </w:tc>
      </w:tr>
      <w:tr>
        <w:trPr>
          <w:trHeight w:val="131"/>
        </w:trPr>
        <w:tc>
          <w:tcPr>
            <w:tcW w:w="5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Non-cash deferred tax income</w:t>
            </w:r>
          </w:p>
        </w:tc>
        <w:tc>
          <w:tcPr>
            <w:tcW w:w="260" w:type="dxa"/>
            <w:vAlign w:val="bottom"/>
          </w:tcPr>
          <w:p>
            <w:pPr>
              <w:spacing w:after="0"/>
              <w:rPr>
                <w:sz w:val="11"/>
                <w:szCs w:val="11"/>
                <w:color w:val="auto"/>
              </w:rPr>
            </w:pPr>
          </w:p>
        </w:tc>
        <w:tc>
          <w:tcPr>
            <w:tcW w:w="11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4"/>
              <w:spacing w:after="0" w:line="13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right"/>
              <w:ind w:right="142"/>
              <w:spacing w:after="0" w:line="13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1"/>
                <w:szCs w:val="11"/>
                <w:color w:val="auto"/>
              </w:rPr>
            </w:pP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0"/>
        </w:trPr>
        <w:tc>
          <w:tcPr>
            <w:tcW w:w="59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2"/>
          </w:tcPr>
          <w:p>
            <w:pPr>
              <w:jc w:val="right"/>
              <w:ind w:right="240"/>
              <w:spacing w:after="0" w:line="60" w:lineRule="exact"/>
              <w:rPr>
                <w:sz w:val="20"/>
                <w:szCs w:val="20"/>
                <w:color w:val="auto"/>
              </w:rPr>
            </w:pPr>
            <w:r>
              <w:rPr>
                <w:rFonts w:ascii="Times New Roman" w:cs="Times New Roman" w:eastAsia="Times New Roman" w:hAnsi="Times New Roman"/>
                <w:sz w:val="6"/>
                <w:szCs w:val="6"/>
                <w:color w:val="auto"/>
              </w:rPr>
              <w:t>(86</w:t>
            </w:r>
          </w:p>
        </w:tc>
        <w:tc>
          <w:tcPr>
            <w:tcW w:w="260" w:type="dxa"/>
            <w:vAlign w:val="bottom"/>
          </w:tcPr>
          <w:p>
            <w:pPr>
              <w:spacing w:after="0"/>
              <w:rPr>
                <w:sz w:val="5"/>
                <w:szCs w:val="5"/>
                <w:color w:val="auto"/>
              </w:rPr>
            </w:pPr>
          </w:p>
        </w:tc>
        <w:tc>
          <w:tcPr>
            <w:tcW w:w="1020" w:type="dxa"/>
            <w:vAlign w:val="bottom"/>
            <w:gridSpan w:val="2"/>
          </w:tcPr>
          <w:p>
            <w:pPr>
              <w:jc w:val="right"/>
              <w:ind w:right="64"/>
              <w:spacing w:after="0" w:line="60" w:lineRule="exact"/>
              <w:rPr>
                <w:sz w:val="20"/>
                <w:szCs w:val="20"/>
                <w:color w:val="auto"/>
              </w:rPr>
            </w:pPr>
            <w:r>
              <w:rPr>
                <w:rFonts w:ascii="Times New Roman" w:cs="Times New Roman" w:eastAsia="Times New Roman" w:hAnsi="Times New Roman"/>
                <w:sz w:val="6"/>
                <w:szCs w:val="6"/>
                <w:color w:val="auto"/>
              </w:rPr>
              <w:t>(102</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2"/>
          </w:tcPr>
          <w:p>
            <w:pPr>
              <w:jc w:val="right"/>
              <w:ind w:right="182"/>
              <w:spacing w:after="0" w:line="60" w:lineRule="exact"/>
              <w:rPr>
                <w:sz w:val="20"/>
                <w:szCs w:val="20"/>
                <w:color w:val="auto"/>
              </w:rPr>
            </w:pPr>
            <w:r>
              <w:rPr>
                <w:rFonts w:ascii="Times New Roman" w:cs="Times New Roman" w:eastAsia="Times New Roman" w:hAnsi="Times New Roman"/>
                <w:sz w:val="6"/>
                <w:szCs w:val="6"/>
                <w:color w:val="auto"/>
              </w:rPr>
              <w:t>(173</w:t>
            </w:r>
          </w:p>
        </w:tc>
        <w:tc>
          <w:tcPr>
            <w:tcW w:w="240" w:type="dxa"/>
            <w:vAlign w:val="bottom"/>
          </w:tcPr>
          <w:p>
            <w:pPr>
              <w:spacing w:after="0"/>
              <w:rPr>
                <w:sz w:val="5"/>
                <w:szCs w:val="5"/>
                <w:color w:val="auto"/>
              </w:rPr>
            </w:pPr>
          </w:p>
        </w:tc>
        <w:tc>
          <w:tcPr>
            <w:tcW w:w="980" w:type="dxa"/>
            <w:vAlign w:val="bottom"/>
            <w:gridSpan w:val="2"/>
          </w:tcPr>
          <w:p>
            <w:pPr>
              <w:jc w:val="right"/>
              <w:ind w:right="44"/>
              <w:spacing w:after="0" w:line="60" w:lineRule="exact"/>
              <w:rPr>
                <w:sz w:val="20"/>
                <w:szCs w:val="20"/>
                <w:color w:val="auto"/>
              </w:rPr>
            </w:pPr>
            <w:r>
              <w:rPr>
                <w:rFonts w:ascii="Times New Roman" w:cs="Times New Roman" w:eastAsia="Times New Roman" w:hAnsi="Times New Roman"/>
                <w:sz w:val="6"/>
                <w:szCs w:val="6"/>
                <w:color w:val="auto"/>
              </w:rPr>
              <w:t>(323</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net income (loss)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1,116</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(7,423</w:t>
            </w:r>
          </w:p>
        </w:tc>
        <w:tc>
          <w:tcPr>
            <w:tcW w:w="14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(4,153</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(20,800</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GAAP diluted loss per share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(0.10)</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(0.38)</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diluted income (loss) per share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0.02</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(0.15)</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(0.09)</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number of shares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used in computing GAAP diluted net loss per share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47,535,212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49,554,383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47,573,334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49,720,453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used in computing Non-GAAP diluted net loss per share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49,898,775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49,554,383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47,573,334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49,720,453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 Share-based compensation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Cost of product revenues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490</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220" w:type="dxa"/>
            <w:vAlign w:val="bottom"/>
          </w:tcPr>
          <w:p>
            <w:pPr>
              <w:spacing w:after="0"/>
              <w:rPr>
                <w:sz w:val="15"/>
                <w:szCs w:val="15"/>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1,179</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Cost of service revenues</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453</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1,376</w:t>
            </w:r>
          </w:p>
        </w:tc>
        <w:tc>
          <w:tcPr>
            <w:tcW w:w="260" w:type="dxa"/>
            <w:vAlign w:val="bottom"/>
          </w:tcPr>
          <w:p>
            <w:pPr>
              <w:spacing w:after="0"/>
              <w:rPr>
                <w:sz w:val="15"/>
                <w:szCs w:val="15"/>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1,601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2,671</w:t>
            </w:r>
          </w:p>
        </w:tc>
        <w:tc>
          <w:tcPr>
            <w:tcW w:w="240" w:type="dxa"/>
            <w:vAlign w:val="bottom"/>
          </w:tcPr>
          <w:p>
            <w:pPr>
              <w:spacing w:after="0"/>
              <w:rPr>
                <w:sz w:val="15"/>
                <w:szCs w:val="15"/>
                <w:color w:val="auto"/>
              </w:rPr>
            </w:pPr>
          </w:p>
        </w:tc>
        <w:tc>
          <w:tcPr>
            <w:tcW w:w="9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2,952</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Sales and marketing</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1,784</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1,944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3,366</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3,307</w:t>
            </w: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1,766</w:t>
            </w:r>
          </w:p>
        </w:tc>
        <w:tc>
          <w:tcPr>
            <w:tcW w:w="260" w:type="dxa"/>
            <w:vAlign w:val="bottom"/>
          </w:tcPr>
          <w:p>
            <w:pPr>
              <w:spacing w:after="0"/>
              <w:rPr>
                <w:sz w:val="16"/>
                <w:szCs w:val="16"/>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1,840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3,416</w:t>
            </w:r>
          </w:p>
        </w:tc>
        <w:tc>
          <w:tcPr>
            <w:tcW w:w="240" w:type="dxa"/>
            <w:vAlign w:val="bottom"/>
          </w:tcPr>
          <w:p>
            <w:pPr>
              <w:spacing w:after="0"/>
              <w:rPr>
                <w:sz w:val="16"/>
                <w:szCs w:val="16"/>
                <w:color w:val="auto"/>
              </w:rPr>
            </w:pPr>
          </w:p>
        </w:tc>
        <w:tc>
          <w:tcPr>
            <w:tcW w:w="9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3,513</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5,869</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6,550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11,317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11,795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(2) Intangible assets amortization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Cost of product revenues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264</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Cost of service revenues</w:t>
            </w: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160</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Sales and marketing</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87</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980" w:type="dxa"/>
            <w:vAlign w:val="bottom"/>
          </w:tcPr>
          <w:p>
            <w:pPr>
              <w:spacing w:after="0"/>
              <w:rPr>
                <w:sz w:val="21"/>
                <w:szCs w:val="2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511</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4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1,024</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1,186</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(3) Restructuring expenses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Cost of product revenues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Cost of service revenues</w:t>
            </w: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Sales and marketing</w:t>
            </w: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tcPr>
          <w:p>
            <w:pPr>
              <w:spacing w:after="0"/>
              <w:rPr>
                <w:sz w:val="18"/>
                <w:szCs w:val="18"/>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1,671</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ectPr>
          <w:pgSz w:w="11900" w:h="16838" w:orient="portrait"/>
          <w:cols w:equalWidth="0" w:num="1">
            <w:col w:w="11260"/>
          </w:cols>
          <w:pgMar w:left="320" w:top="814" w:right="319" w:bottom="1440" w:gutter="0" w:footer="0" w:header="0"/>
        </w:sectPr>
      </w:pP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 w:lineRule="exact"/>
        <w:rPr>
          <w:sz w:val="20"/>
          <w:szCs w:val="20"/>
          <w:color w:val="auto"/>
        </w:rPr>
      </w:pPr>
    </w:p>
    <w:p>
      <w:pPr>
        <w:sectPr>
          <w:pgSz w:w="11900" w:h="16838" w:orient="portrait"/>
          <w:cols w:equalWidth="0" w:num="2">
            <w:col w:w="8380" w:space="720"/>
            <w:col w:w="2160"/>
          </w:cols>
          <w:pgMar w:left="32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598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(4,909)</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(14,325)</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(18,108)</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(33,256)</w:t>
            </w: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7,527</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360" w:type="dxa"/>
            <w:vAlign w:val="bottom"/>
          </w:tcPr>
          <w:p>
            <w:pPr>
              <w:spacing w:after="0"/>
              <w:rPr>
                <w:sz w:val="16"/>
                <w:szCs w:val="16"/>
                <w:color w:val="auto"/>
              </w:rPr>
            </w:pPr>
          </w:p>
        </w:tc>
        <w:tc>
          <w:tcPr>
            <w:tcW w:w="10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(313)</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5,676</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11,317</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loss on sale and redemption of marketable securities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3"/>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4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3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(11,248)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14,171</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(1,682)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(3,868)</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(3,964)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tc>
        <w:tc>
          <w:tcPr>
            <w:tcW w:w="360" w:type="dxa"/>
            <w:vAlign w:val="bottom"/>
          </w:tcPr>
          <w:p>
            <w:pPr>
              <w:spacing w:after="0"/>
              <w:rPr>
                <w:sz w:val="16"/>
                <w:szCs w:val="16"/>
                <w:color w:val="auto"/>
              </w:rPr>
            </w:pPr>
          </w:p>
        </w:tc>
        <w:tc>
          <w:tcPr>
            <w:tcW w:w="10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(488)</w:t>
            </w:r>
          </w:p>
        </w:tc>
        <w:tc>
          <w:tcPr>
            <w:tcW w:w="320" w:type="dxa"/>
            <w:vAlign w:val="bottom"/>
          </w:tcPr>
          <w:p>
            <w:pPr>
              <w:spacing w:after="0"/>
              <w:rPr>
                <w:sz w:val="16"/>
                <w:szCs w:val="16"/>
                <w:color w:val="auto"/>
              </w:rPr>
            </w:pPr>
          </w:p>
        </w:tc>
        <w:tc>
          <w:tcPr>
            <w:tcW w:w="9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(555)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(575)</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and other long term assets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(511)</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(1,219)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(1,933)</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2,489</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360" w:type="dxa"/>
            <w:vAlign w:val="bottom"/>
          </w:tcPr>
          <w:p>
            <w:pPr>
              <w:spacing w:after="0"/>
              <w:rPr>
                <w:sz w:val="16"/>
                <w:szCs w:val="16"/>
                <w:color w:val="auto"/>
              </w:rPr>
            </w:pPr>
          </w:p>
        </w:tc>
        <w:tc>
          <w:tcPr>
            <w:tcW w:w="10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tcPr>
          <w:p>
            <w:pPr>
              <w:spacing w:after="0"/>
              <w:rPr>
                <w:sz w:val="16"/>
                <w:szCs w:val="16"/>
                <w:color w:val="auto"/>
              </w:rPr>
            </w:pPr>
          </w:p>
        </w:tc>
        <w:tc>
          <w:tcPr>
            <w:tcW w:w="9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(2,199)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(672)</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(4,378)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(2,190)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Accrued severance pay, net</w:t>
            </w:r>
          </w:p>
        </w:tc>
        <w:tc>
          <w:tcPr>
            <w:tcW w:w="360" w:type="dxa"/>
            <w:vAlign w:val="bottom"/>
          </w:tcPr>
          <w:p>
            <w:pPr>
              <w:spacing w:after="0"/>
              <w:rPr>
                <w:sz w:val="16"/>
                <w:szCs w:val="16"/>
                <w:color w:val="auto"/>
              </w:rPr>
            </w:pPr>
          </w:p>
        </w:tc>
        <w:tc>
          <w:tcPr>
            <w:tcW w:w="10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Pr>
          <w:p>
            <w:pPr>
              <w:spacing w:after="0"/>
              <w:rPr>
                <w:sz w:val="16"/>
                <w:szCs w:val="16"/>
                <w:color w:val="auto"/>
              </w:rPr>
            </w:pPr>
          </w:p>
        </w:tc>
        <w:tc>
          <w:tcPr>
            <w:tcW w:w="9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(62)</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43"/>
        </w:trPr>
        <w:tc>
          <w:tcPr>
            <w:tcW w:w="5980" w:type="dxa"/>
            <w:vAlign w:val="bottom"/>
            <w:gridSpan w:val="4"/>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 - term liabilities</w:t>
            </w:r>
          </w:p>
        </w:tc>
        <w:tc>
          <w:tcPr>
            <w:tcW w:w="3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40" w:type="dxa"/>
            <w:vAlign w:val="bottom"/>
            <w:shd w:val="clear" w:color="auto" w:fill="CCEEFF"/>
          </w:tcPr>
          <w:p>
            <w:pPr>
              <w:jc w:val="right"/>
              <w:ind w:right="6"/>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shd w:val="clear" w:color="auto" w:fill="CCEEFF"/>
          </w:tcPr>
          <w:p>
            <w:pPr>
              <w:jc w:val="right"/>
              <w:ind w:right="84"/>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0"/>
        </w:trPr>
        <w:tc>
          <w:tcPr>
            <w:tcW w:w="5980" w:type="dxa"/>
            <w:vAlign w:val="bottom"/>
            <w:gridSpan w:val="4"/>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gridSpan w:val="2"/>
            <w:shd w:val="clear" w:color="auto" w:fill="CCEEFF"/>
          </w:tcPr>
          <w:p>
            <w:pPr>
              <w:jc w:val="right"/>
              <w:ind w:right="57"/>
              <w:spacing w:after="0" w:line="60" w:lineRule="exact"/>
              <w:rPr>
                <w:sz w:val="20"/>
                <w:szCs w:val="20"/>
                <w:color w:val="auto"/>
              </w:rPr>
            </w:pPr>
            <w:r>
              <w:rPr>
                <w:rFonts w:ascii="Times New Roman" w:cs="Times New Roman" w:eastAsia="Times New Roman" w:hAnsi="Times New Roman"/>
                <w:sz w:val="6"/>
                <w:szCs w:val="6"/>
                <w:color w:val="auto"/>
              </w:rPr>
              <w:t>(690</w:t>
            </w:r>
          </w:p>
        </w:tc>
        <w:tc>
          <w:tcPr>
            <w:tcW w:w="0" w:type="dxa"/>
            <w:vAlign w:val="bottom"/>
          </w:tcPr>
          <w:p>
            <w:pPr>
              <w:spacing w:after="0"/>
              <w:rPr>
                <w:sz w:val="1"/>
                <w:szCs w:val="1"/>
                <w:color w:val="auto"/>
              </w:rPr>
            </w:pPr>
          </w:p>
        </w:tc>
      </w:tr>
      <w:tr>
        <w:trPr>
          <w:trHeight w:val="115"/>
        </w:trPr>
        <w:tc>
          <w:tcPr>
            <w:tcW w:w="5980" w:type="dxa"/>
            <w:vAlign w:val="bottom"/>
            <w:tcBorders>
              <w:top w:val="single" w:sz="8" w:color="CCEEFF"/>
            </w:tcBorders>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60" w:type="dxa"/>
            <w:vAlign w:val="bottom"/>
            <w:tcBorders>
              <w:top w:val="single" w:sz="8" w:color="auto"/>
            </w:tcBorders>
            <w:vMerge w:val="restart"/>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4,484</w:t>
            </w:r>
          </w:p>
        </w:tc>
        <w:tc>
          <w:tcPr>
            <w:tcW w:w="2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vMerge w:val="restart"/>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(15,544</w:t>
            </w:r>
          </w:p>
        </w:tc>
        <w:tc>
          <w:tcPr>
            <w:tcW w:w="140" w:type="dxa"/>
            <w:vAlign w:val="bottom"/>
            <w:tcBorders>
              <w:top w:val="single" w:sz="8" w:color="CCEEFF"/>
            </w:tcBorders>
          </w:tcPr>
          <w:p>
            <w:pPr>
              <w:jc w:val="right"/>
              <w:ind w:right="6"/>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vMerge w:val="restart"/>
          </w:tcPr>
          <w:p>
            <w:pPr>
              <w:spacing w:after="0"/>
              <w:rPr>
                <w:sz w:val="10"/>
                <w:szCs w:val="10"/>
                <w:color w:val="auto"/>
              </w:rPr>
            </w:pPr>
          </w:p>
        </w:tc>
        <w:tc>
          <w:tcPr>
            <w:tcW w:w="360" w:type="dxa"/>
            <w:vAlign w:val="bottom"/>
            <w:tcBorders>
              <w:top w:val="single" w:sz="8" w:color="auto"/>
            </w:tcBorders>
            <w:vMerge w:val="restart"/>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8,508</w:t>
            </w:r>
          </w:p>
        </w:tc>
        <w:tc>
          <w:tcPr>
            <w:tcW w:w="2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vMerge w:val="restart"/>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64"/>
        </w:trPr>
        <w:tc>
          <w:tcPr>
            <w:tcW w:w="5980" w:type="dxa"/>
            <w:vAlign w:val="bottom"/>
            <w:gridSpan w:val="4"/>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80" w:type="dxa"/>
            <w:vAlign w:val="bottom"/>
            <w:gridSpan w:val="2"/>
          </w:tcPr>
          <w:p>
            <w:pPr>
              <w:jc w:val="right"/>
              <w:ind w:right="57"/>
              <w:spacing w:after="0" w:line="60" w:lineRule="exact"/>
              <w:rPr>
                <w:sz w:val="20"/>
                <w:szCs w:val="20"/>
                <w:color w:val="auto"/>
              </w:rPr>
            </w:pPr>
            <w:r>
              <w:rPr>
                <w:rFonts w:ascii="Times New Roman" w:cs="Times New Roman" w:eastAsia="Times New Roman" w:hAnsi="Times New Roman"/>
                <w:sz w:val="6"/>
                <w:szCs w:val="6"/>
                <w:color w:val="auto"/>
              </w:rPr>
              <w:t>(29,548</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(1,439)</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(1,791)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(2,723)</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(5,069)</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(investment in) short-term bank deposits, net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16,601</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(219,997)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(7,796)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54,935</w:t>
            </w: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5,250</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24,581</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35,879</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9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3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(26,602</w:t>
            </w:r>
          </w:p>
        </w:tc>
        <w:tc>
          <w:tcPr>
            <w:tcW w:w="240" w:type="dxa"/>
            <w:vAlign w:val="bottom"/>
          </w:tcPr>
          <w:p>
            <w:pPr>
              <w:jc w:val="right"/>
              <w:ind w:right="106"/>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(8,911</w:t>
            </w:r>
          </w:p>
        </w:tc>
        <w:tc>
          <w:tcPr>
            <w:tcW w:w="140" w:type="dxa"/>
            <w:vAlign w:val="bottom"/>
          </w:tcPr>
          <w:p>
            <w:pPr>
              <w:jc w:val="right"/>
              <w:ind w:right="6"/>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(44,619</w:t>
            </w:r>
          </w:p>
        </w:tc>
        <w:tc>
          <w:tcPr>
            <w:tcW w:w="220" w:type="dxa"/>
            <w:vAlign w:val="bottom"/>
          </w:tcPr>
          <w:p>
            <w:pPr>
              <w:jc w:val="right"/>
              <w:ind w:right="84"/>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2"/>
                <w:szCs w:val="12"/>
                <w:color w:val="auto"/>
              </w:rPr>
            </w:pPr>
          </w:p>
        </w:tc>
        <w:tc>
          <w:tcPr>
            <w:tcW w:w="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598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gridSpan w:val="2"/>
          </w:tcPr>
          <w:p>
            <w:pPr>
              <w:jc w:val="right"/>
              <w:ind w:right="57"/>
              <w:spacing w:after="0" w:line="60" w:lineRule="exact"/>
              <w:rPr>
                <w:sz w:val="20"/>
                <w:szCs w:val="20"/>
                <w:color w:val="auto"/>
              </w:rPr>
            </w:pPr>
            <w:r>
              <w:rPr>
                <w:rFonts w:ascii="Times New Roman" w:cs="Times New Roman" w:eastAsia="Times New Roman" w:hAnsi="Times New Roman"/>
                <w:sz w:val="6"/>
                <w:szCs w:val="6"/>
                <w:color w:val="auto"/>
              </w:rPr>
              <w:t>(18,935</w:t>
            </w:r>
          </w:p>
        </w:tc>
        <w:tc>
          <w:tcPr>
            <w:tcW w:w="0" w:type="dxa"/>
            <w:vAlign w:val="bottom"/>
          </w:tcPr>
          <w:p>
            <w:pPr>
              <w:spacing w:after="0"/>
              <w:rPr>
                <w:sz w:val="1"/>
                <w:szCs w:val="1"/>
                <w:color w:val="auto"/>
              </w:rPr>
            </w:pPr>
          </w:p>
        </w:tc>
      </w:tr>
      <w:tr>
        <w:trPr>
          <w:trHeight w:val="24"/>
        </w:trPr>
        <w:tc>
          <w:tcPr>
            <w:tcW w:w="2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4"/>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59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w:t>
            </w:r>
          </w:p>
        </w:tc>
        <w:tc>
          <w:tcPr>
            <w:tcW w:w="24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(221,769</w:t>
            </w:r>
          </w:p>
        </w:tc>
        <w:tc>
          <w:tcPr>
            <w:tcW w:w="140" w:type="dxa"/>
            <w:vAlign w:val="bottom"/>
            <w:vMerge w:val="continue"/>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360" w:type="dxa"/>
            <w:vAlign w:val="bottom"/>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(15,765</w:t>
            </w:r>
          </w:p>
        </w:tc>
        <w:tc>
          <w:tcPr>
            <w:tcW w:w="220" w:type="dxa"/>
            <w:vAlign w:val="bottom"/>
            <w:vMerge w:val="continue"/>
            <w:shd w:val="clear" w:color="auto" w:fill="CCEEFF"/>
          </w:tcPr>
          <w:p>
            <w:pPr>
              <w:spacing w:after="0"/>
              <w:rPr>
                <w:sz w:val="13"/>
                <w:szCs w:val="13"/>
                <w:color w:val="auto"/>
              </w:rPr>
            </w:pPr>
          </w:p>
        </w:tc>
        <w:tc>
          <w:tcPr>
            <w:tcW w:w="340" w:type="dxa"/>
            <w:vAlign w:val="bottom"/>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47,433</w:t>
            </w:r>
          </w:p>
        </w:tc>
        <w:tc>
          <w:tcPr>
            <w:tcW w:w="0" w:type="dxa"/>
            <w:vAlign w:val="bottom"/>
          </w:tcPr>
          <w:p>
            <w:pPr>
              <w:spacing w:after="0"/>
              <w:rPr>
                <w:sz w:val="1"/>
                <w:szCs w:val="1"/>
                <w:color w:val="auto"/>
              </w:rPr>
            </w:pPr>
          </w:p>
        </w:tc>
      </w:tr>
      <w:tr>
        <w:trPr>
          <w:trHeight w:val="40"/>
        </w:trPr>
        <w:tc>
          <w:tcPr>
            <w:tcW w:w="5980" w:type="dxa"/>
            <w:vAlign w:val="bottom"/>
            <w:gridSpan w:val="4"/>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76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20" w:type="dxa"/>
            <w:vAlign w:val="bottom"/>
            <w:vMerge w:val="continue"/>
            <w:shd w:val="clear" w:color="auto" w:fill="CCEEFF"/>
          </w:tcPr>
          <w:p>
            <w:pPr>
              <w:spacing w:after="0"/>
              <w:rPr>
                <w:sz w:val="3"/>
                <w:szCs w:val="3"/>
                <w:color w:val="auto"/>
              </w:rPr>
            </w:pPr>
          </w:p>
        </w:tc>
        <w:tc>
          <w:tcPr>
            <w:tcW w:w="820" w:type="dxa"/>
            <w:vAlign w:val="bottom"/>
            <w:vMerge w:val="continue"/>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76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vMerge w:val="continue"/>
            <w:shd w:val="clear" w:color="auto" w:fill="CCEEFF"/>
          </w:tcPr>
          <w:p>
            <w:pPr>
              <w:spacing w:after="0"/>
              <w:rPr>
                <w:sz w:val="3"/>
                <w:szCs w:val="3"/>
                <w:color w:val="auto"/>
              </w:rPr>
            </w:pPr>
          </w:p>
        </w:tc>
        <w:tc>
          <w:tcPr>
            <w:tcW w:w="88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3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employee stock options</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tc>
        <w:tc>
          <w:tcPr>
            <w:tcW w:w="360" w:type="dxa"/>
            <w:vAlign w:val="bottom"/>
          </w:tcPr>
          <w:p>
            <w:pPr>
              <w:spacing w:after="0"/>
              <w:rPr>
                <w:sz w:val="16"/>
                <w:szCs w:val="16"/>
                <w:color w:val="auto"/>
              </w:rPr>
            </w:pPr>
          </w:p>
        </w:tc>
        <w:tc>
          <w:tcPr>
            <w:tcW w:w="10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(184)</w:t>
            </w:r>
          </w:p>
        </w:tc>
        <w:tc>
          <w:tcPr>
            <w:tcW w:w="320" w:type="dxa"/>
            <w:vAlign w:val="bottom"/>
          </w:tcPr>
          <w:p>
            <w:pPr>
              <w:spacing w:after="0"/>
              <w:rPr>
                <w:sz w:val="16"/>
                <w:szCs w:val="16"/>
                <w:color w:val="auto"/>
              </w:rPr>
            </w:pPr>
          </w:p>
        </w:tc>
        <w:tc>
          <w:tcPr>
            <w:tcW w:w="9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(778)</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143"/>
        </w:trPr>
        <w:tc>
          <w:tcPr>
            <w:tcW w:w="59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3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240" w:type="dxa"/>
            <w:vAlign w:val="bottom"/>
            <w:shd w:val="clear" w:color="auto" w:fill="CCEEFF"/>
          </w:tcPr>
          <w:p>
            <w:pPr>
              <w:jc w:val="right"/>
              <w:ind w:right="106"/>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40" w:type="dxa"/>
            <w:vAlign w:val="bottom"/>
            <w:shd w:val="clear" w:color="auto" w:fill="CCEEFF"/>
          </w:tcPr>
          <w:p>
            <w:pPr>
              <w:jc w:val="right"/>
              <w:ind w:right="6"/>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220" w:type="dxa"/>
            <w:vAlign w:val="bottom"/>
            <w:shd w:val="clear" w:color="auto" w:fill="CCEEFF"/>
          </w:tcPr>
          <w:p>
            <w:pPr>
              <w:jc w:val="right"/>
              <w:ind w:right="84"/>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0"/>
        </w:trPr>
        <w:tc>
          <w:tcPr>
            <w:tcW w:w="5980" w:type="dxa"/>
            <w:vAlign w:val="bottom"/>
            <w:gridSpan w:val="4"/>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gridSpan w:val="2"/>
            <w:shd w:val="clear" w:color="auto" w:fill="CCEEFF"/>
          </w:tcPr>
          <w:p>
            <w:pPr>
              <w:jc w:val="right"/>
              <w:ind w:right="57"/>
              <w:spacing w:after="0" w:line="60" w:lineRule="exact"/>
              <w:rPr>
                <w:sz w:val="20"/>
                <w:szCs w:val="20"/>
                <w:color w:val="auto"/>
              </w:rPr>
            </w:pPr>
            <w:r>
              <w:rPr>
                <w:rFonts w:ascii="Times New Roman" w:cs="Times New Roman" w:eastAsia="Times New Roman" w:hAnsi="Times New Roman"/>
                <w:sz w:val="6"/>
                <w:szCs w:val="6"/>
                <w:color w:val="auto"/>
              </w:rPr>
              <w:t>(20,818</w:t>
            </w:r>
          </w:p>
        </w:tc>
        <w:tc>
          <w:tcPr>
            <w:tcW w:w="0" w:type="dxa"/>
            <w:vAlign w:val="bottom"/>
          </w:tcPr>
          <w:p>
            <w:pPr>
              <w:spacing w:after="0"/>
              <w:rPr>
                <w:sz w:val="1"/>
                <w:szCs w:val="1"/>
                <w:color w:val="auto"/>
              </w:rPr>
            </w:pPr>
          </w:p>
        </w:tc>
      </w:tr>
      <w:tr>
        <w:trPr>
          <w:trHeight w:val="115"/>
        </w:trPr>
        <w:tc>
          <w:tcPr>
            <w:tcW w:w="5980" w:type="dxa"/>
            <w:vAlign w:val="bottom"/>
            <w:tcBorders>
              <w:top w:val="single" w:sz="8" w:color="CCEEFF"/>
            </w:tcBorders>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top w:val="single" w:sz="8" w:color="auto"/>
            </w:tcBorders>
            <w:vMerge w:val="restart"/>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(1,604</w:t>
            </w:r>
          </w:p>
        </w:tc>
        <w:tc>
          <w:tcPr>
            <w:tcW w:w="240" w:type="dxa"/>
            <w:vAlign w:val="bottom"/>
            <w:tcBorders>
              <w:top w:val="single" w:sz="8" w:color="CCEEFF"/>
            </w:tcBorders>
          </w:tcPr>
          <w:p>
            <w:pPr>
              <w:jc w:val="right"/>
              <w:ind w:right="106"/>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tcBorders>
            <w:vMerge w:val="restart"/>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(14,315</w:t>
            </w:r>
          </w:p>
        </w:tc>
        <w:tc>
          <w:tcPr>
            <w:tcW w:w="140" w:type="dxa"/>
            <w:vAlign w:val="bottom"/>
            <w:tcBorders>
              <w:top w:val="single" w:sz="8" w:color="CCEEFF"/>
            </w:tcBorders>
          </w:tcPr>
          <w:p>
            <w:pPr>
              <w:jc w:val="right"/>
              <w:ind w:right="6"/>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vMerge w:val="restart"/>
          </w:tcPr>
          <w:p>
            <w:pPr>
              <w:spacing w:after="0"/>
              <w:rPr>
                <w:sz w:val="10"/>
                <w:szCs w:val="10"/>
                <w:color w:val="auto"/>
              </w:rPr>
            </w:pPr>
          </w:p>
        </w:tc>
        <w:tc>
          <w:tcPr>
            <w:tcW w:w="360" w:type="dxa"/>
            <w:vAlign w:val="bottom"/>
            <w:tcBorders>
              <w:top w:val="single" w:sz="8" w:color="auto"/>
            </w:tcBorders>
            <w:vMerge w:val="restart"/>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(9,826</w:t>
            </w:r>
          </w:p>
        </w:tc>
        <w:tc>
          <w:tcPr>
            <w:tcW w:w="220" w:type="dxa"/>
            <w:vAlign w:val="bottom"/>
            <w:tcBorders>
              <w:top w:val="single" w:sz="8" w:color="CCEEFF"/>
            </w:tcBorders>
          </w:tcPr>
          <w:p>
            <w:pPr>
              <w:jc w:val="right"/>
              <w:ind w:right="84"/>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vMerge w:val="restart"/>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64"/>
        </w:trPr>
        <w:tc>
          <w:tcPr>
            <w:tcW w:w="5980" w:type="dxa"/>
            <w:vAlign w:val="bottom"/>
            <w:gridSpan w:val="4"/>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80" w:type="dxa"/>
            <w:vAlign w:val="bottom"/>
            <w:gridSpan w:val="2"/>
          </w:tcPr>
          <w:p>
            <w:pPr>
              <w:jc w:val="right"/>
              <w:ind w:right="57"/>
              <w:spacing w:after="0" w:line="60" w:lineRule="exact"/>
              <w:rPr>
                <w:sz w:val="20"/>
                <w:szCs w:val="20"/>
                <w:color w:val="auto"/>
              </w:rPr>
            </w:pPr>
            <w:r>
              <w:rPr>
                <w:rFonts w:ascii="Times New Roman" w:cs="Times New Roman" w:eastAsia="Times New Roman" w:hAnsi="Times New Roman"/>
                <w:sz w:val="6"/>
                <w:szCs w:val="6"/>
                <w:color w:val="auto"/>
              </w:rPr>
              <w:t>(21,160</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16,021</w:t>
            </w:r>
          </w:p>
        </w:tc>
        <w:tc>
          <w:tcPr>
            <w:tcW w:w="240" w:type="dxa"/>
            <w:vAlign w:val="bottom"/>
          </w:tcPr>
          <w:p>
            <w:pPr>
              <w:spacing w:after="0"/>
              <w:rPr>
                <w:sz w:val="16"/>
                <w:szCs w:val="16"/>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(251,628)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(17,083)</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0" w:type="dxa"/>
            <w:vAlign w:val="bottom"/>
          </w:tcPr>
          <w:p>
            <w:pPr>
              <w:spacing w:after="0"/>
              <w:rPr>
                <w:sz w:val="1"/>
                <w:szCs w:val="1"/>
                <w:color w:val="auto"/>
              </w:rPr>
            </w:pPr>
          </w:p>
        </w:tc>
      </w:tr>
      <w:tr>
        <w:trPr>
          <w:trHeight w:val="203"/>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104,597</w:t>
            </w:r>
          </w:p>
        </w:tc>
        <w:tc>
          <w:tcPr>
            <w:tcW w:w="0" w:type="dxa"/>
            <w:vAlign w:val="bottom"/>
          </w:tcPr>
          <w:p>
            <w:pPr>
              <w:spacing w:after="0"/>
              <w:rPr>
                <w:sz w:val="1"/>
                <w:szCs w:val="1"/>
                <w:color w:val="auto"/>
              </w:rPr>
            </w:pPr>
          </w:p>
        </w:tc>
      </w:tr>
      <w:tr>
        <w:trPr>
          <w:trHeight w:val="24"/>
        </w:trPr>
        <w:tc>
          <w:tcPr>
            <w:tcW w:w="2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22,522</w:t>
            </w:r>
          </w:p>
        </w:tc>
        <w:tc>
          <w:tcPr>
            <w:tcW w:w="240" w:type="dxa"/>
            <w:vAlign w:val="bottom"/>
          </w:tcPr>
          <w:p>
            <w:pPr>
              <w:spacing w:after="0"/>
              <w:rPr>
                <w:sz w:val="22"/>
                <w:szCs w:val="22"/>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101,322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22,522</w:t>
            </w:r>
          </w:p>
        </w:tc>
        <w:tc>
          <w:tcPr>
            <w:tcW w:w="220" w:type="dxa"/>
            <w:vAlign w:val="bottom"/>
          </w:tcPr>
          <w:p>
            <w:pPr>
              <w:spacing w:after="0"/>
              <w:rPr>
                <w:sz w:val="22"/>
                <w:szCs w:val="22"/>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101,322</w:t>
            </w:r>
          </w:p>
        </w:tc>
        <w:tc>
          <w:tcPr>
            <w:tcW w:w="0" w:type="dxa"/>
            <w:vAlign w:val="bottom"/>
          </w:tcPr>
          <w:p>
            <w:pPr>
              <w:spacing w:after="0"/>
              <w:rPr>
                <w:sz w:val="1"/>
                <w:szCs w:val="1"/>
                <w:color w:val="auto"/>
              </w:rPr>
            </w:pPr>
          </w:p>
        </w:tc>
      </w:tr>
      <w:tr>
        <w:trPr>
          <w:trHeight w:val="187"/>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 and long term assets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Property, plant and equipment transferred to be used as inventory</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(1,408)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5,487</w:t>
            </w:r>
          </w:p>
        </w:tc>
        <w:tc>
          <w:tcPr>
            <w:tcW w:w="0" w:type="dxa"/>
            <w:vAlign w:val="bottom"/>
          </w:tcPr>
          <w:p>
            <w:pPr>
              <w:spacing w:after="0"/>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Revenues</w:t>
      </w:r>
    </w:p>
    <w:p>
      <w:pPr>
        <w:spacing w:after="0" w:line="234" w:lineRule="exact"/>
        <w:rPr>
          <w:sz w:val="20"/>
          <w:szCs w:val="20"/>
          <w:color w:val="auto"/>
        </w:rPr>
      </w:pPr>
    </w:p>
    <w:p>
      <w:pPr>
        <w:ind w:left="140" w:right="340" w:hanging="142"/>
        <w:spacing w:after="0" w:line="255" w:lineRule="auto"/>
        <w:rPr>
          <w:sz w:val="20"/>
          <w:szCs w:val="20"/>
          <w:color w:val="auto"/>
        </w:rPr>
      </w:pPr>
      <w:r>
        <w:rPr>
          <w:rFonts w:ascii="Times New Roman" w:cs="Times New Roman" w:eastAsia="Times New Roman" w:hAnsi="Times New Roman"/>
          <w:sz w:val="16"/>
          <w:szCs w:val="16"/>
          <w:color w:val="auto"/>
        </w:rPr>
        <w:t>GAAP Net Loss Taxes on income Financial income Share-based compensation Intangible assets amortization</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Restructuring expenses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5"/>
          <w:szCs w:val="15"/>
          <w:b w:val="1"/>
          <w:bCs w:val="1"/>
          <w:color w:val="auto"/>
        </w:rPr>
        <w:t>RECONCILIATION OF GAAP NET INCOME TO ADJUSTED EBITDA</w:t>
      </w:r>
    </w:p>
    <w:p>
      <w:pPr>
        <w:spacing w:after="0" w:line="1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288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4"/>
        </w:trPr>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22"/>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48,621</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56,199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92,397</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103,977</w:t>
            </w:r>
          </w:p>
        </w:tc>
        <w:tc>
          <w:tcPr>
            <w:tcW w:w="4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2"/>
        </w:trPr>
        <w:tc>
          <w:tcPr>
            <w:tcW w:w="2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(4,909)</w:t>
            </w:r>
          </w:p>
        </w:tc>
        <w:tc>
          <w:tcPr>
            <w:tcW w:w="3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(14,325)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(18,108)</w:t>
            </w:r>
          </w:p>
        </w:tc>
        <w:tc>
          <w:tcPr>
            <w:tcW w:w="34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(33,256)</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648</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907</w:t>
            </w: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624</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(6,435)</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(11,781)</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(12,422)</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5,869</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511</w:t>
            </w:r>
          </w:p>
        </w:tc>
        <w:tc>
          <w:tcPr>
            <w:tcW w:w="3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1,186</w:t>
            </w:r>
          </w:p>
        </w:tc>
        <w:tc>
          <w:tcPr>
            <w:tcW w:w="40" w:type="dxa"/>
            <w:vAlign w:val="bottom"/>
          </w:tcPr>
          <w:p>
            <w:pPr>
              <w:spacing w:after="0"/>
              <w:rPr>
                <w:sz w:val="17"/>
                <w:szCs w:val="17"/>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-1038860</wp:posOffset>
            </wp:positionV>
            <wp:extent cx="7148195" cy="159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8195" cy="1593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-735330</wp:posOffset>
            </wp:positionV>
            <wp:extent cx="7148195"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-492760</wp:posOffset>
            </wp:positionV>
            <wp:extent cx="7148195" cy="121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-249555</wp:posOffset>
            </wp:positionV>
            <wp:extent cx="7148195" cy="121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80" w:space="720"/>
            <w:col w:w="8160"/>
          </w:cols>
          <w:pgMar w:left="320" w:top="814" w:right="319" w:bottom="1440" w:gutter="0" w:footer="0" w:header="0"/>
        </w:sectPr>
      </w:pPr>
    </w:p>
    <w:tbl>
      <w:tblPr>
        <w:tblLayout w:type="fixed"/>
        <w:tblInd w:w="0" w:type="dxa"/>
        <w:tblCellMar>
          <w:top w:w="0" w:type="dxa"/>
          <w:left w:w="0" w:type="dxa"/>
          <w:bottom w:w="0" w:type="dxa"/>
          <w:right w:w="0" w:type="dxa"/>
        </w:tblCellMar>
      </w:tblPr>
      <w:tr>
        <w:trPr>
          <w:trHeight w:val="20"/>
        </w:trPr>
        <w:tc>
          <w:tcPr>
            <w:tcW w:w="36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Non-GAAP Operating Loss</w:t>
            </w:r>
          </w:p>
        </w:tc>
        <w:tc>
          <w:tcPr>
            <w:tcW w:w="2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(4,316)</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(13,788)</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(14,970)</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(31,778)</w:t>
            </w:r>
          </w:p>
        </w:tc>
        <w:tc>
          <w:tcPr>
            <w:tcW w:w="0" w:type="dxa"/>
            <w:vAlign w:val="bottom"/>
          </w:tcPr>
          <w:p>
            <w:pPr>
              <w:spacing w:after="0"/>
              <w:rPr>
                <w:sz w:val="1"/>
                <w:szCs w:val="1"/>
                <w:color w:val="auto"/>
              </w:rPr>
            </w:pPr>
          </w:p>
        </w:tc>
      </w:tr>
      <w:tr>
        <w:trPr>
          <w:trHeight w:val="203"/>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2,680</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6,341</w:t>
            </w:r>
          </w:p>
        </w:tc>
        <w:tc>
          <w:tcPr>
            <w:tcW w:w="0" w:type="dxa"/>
            <w:vAlign w:val="bottom"/>
          </w:tcPr>
          <w:p>
            <w:pPr>
              <w:spacing w:after="0"/>
              <w:rPr>
                <w:sz w:val="1"/>
                <w:szCs w:val="1"/>
                <w:color w:val="auto"/>
              </w:rPr>
            </w:pPr>
          </w:p>
        </w:tc>
      </w:tr>
      <w:tr>
        <w:trPr>
          <w:trHeight w:val="24"/>
        </w:trPr>
        <w:tc>
          <w:tcPr>
            <w:tcW w:w="36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2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(10,709</w:t>
            </w:r>
          </w:p>
        </w:tc>
        <w:tc>
          <w:tcPr>
            <w:tcW w:w="2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w:t>
            </w:r>
          </w:p>
        </w:tc>
        <w:tc>
          <w:tcPr>
            <w:tcW w:w="2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(25,437</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6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type w:val="continuous"/>
        </w:sectPr>
      </w:pPr>
    </w:p>
    <w:bookmarkStart w:id="11" w:name="page12"/>
    <w:bookmarkEnd w:id="11"/>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jpe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2024-08-07T08:00:46Z</dcterms:created>
  <dcterms:modified xsi:type="dcterms:W3CDTF">2024-08-07T08:00:46Z</dcterms:modified>
</cp:coreProperties>
</file>