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FORM 6-K</w:t>
      </w:r>
    </w:p>
    <w:p>
      <w:pPr>
        <w:spacing w:after="0" w:line="20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For the month of </w:t>
      </w:r>
      <w:r>
        <w:rPr>
          <w:rFonts w:ascii="Arial" w:cs="Arial" w:eastAsia="Arial" w:hAnsi="Arial"/>
          <w:sz w:val="16"/>
          <w:szCs w:val="16"/>
          <w:b w:val="1"/>
          <w:bCs w:val="1"/>
          <w:color w:val="auto"/>
        </w:rPr>
        <w:t>August 2020</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001-36903</w:t>
      </w:r>
    </w:p>
    <w:p>
      <w:pPr>
        <w:spacing w:after="0" w:line="178" w:lineRule="exact"/>
        <w:rPr>
          <w:sz w:val="24"/>
          <w:szCs w:val="24"/>
          <w:color w:val="auto"/>
        </w:rPr>
      </w:pPr>
    </w:p>
    <w:p>
      <w:pPr>
        <w:ind w:left="4040"/>
        <w:spacing w:after="0"/>
        <w:rPr>
          <w:sz w:val="20"/>
          <w:szCs w:val="20"/>
          <w:color w:val="auto"/>
        </w:rPr>
      </w:pPr>
      <w:r>
        <w:rPr>
          <w:rFonts w:ascii="Arial" w:cs="Arial" w:eastAsia="Arial" w:hAnsi="Arial"/>
          <w:sz w:val="29"/>
          <w:szCs w:val="29"/>
          <w:b w:val="1"/>
          <w:bCs w:val="1"/>
          <w:color w:val="auto"/>
        </w:rPr>
        <w:t>KORNIT DIGITAL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12 Ha’Amal Street</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80" w:lineRule="exact"/>
        <w:rPr>
          <w:sz w:val="24"/>
          <w:szCs w:val="24"/>
          <w:color w:val="auto"/>
        </w:rPr>
      </w:pPr>
    </w:p>
    <w:p>
      <w:pPr>
        <w:ind w:left="4660"/>
        <w:spacing w:after="0" w:line="184" w:lineRule="exact"/>
        <w:tabs>
          <w:tab w:leader="none" w:pos="5700" w:val="left"/>
        </w:tabs>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Form 40-F </w:t>
      </w:r>
      <w:r>
        <w:rPr>
          <w:rFonts w:ascii="MS PGothic" w:cs="MS PGothic" w:eastAsia="MS PGothic" w:hAnsi="MS PGothic"/>
          <w:sz w:val="14"/>
          <w:szCs w:val="14"/>
          <w:color w:val="auto"/>
        </w:rPr>
        <w:t>☐</w:t>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584835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6"/>
          <w:szCs w:val="16"/>
          <w:b w:val="1"/>
          <w:bCs w:val="1"/>
          <w:color w:val="auto"/>
        </w:rPr>
        <w:t>CONTENTS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 and Financial Condition- Second Quarter of 2020</w:t>
      </w:r>
    </w:p>
    <w:p>
      <w:pPr>
        <w:spacing w:after="0" w:line="194" w:lineRule="exact"/>
        <w:rPr>
          <w:sz w:val="20"/>
          <w:szCs w:val="20"/>
          <w:color w:val="auto"/>
        </w:rPr>
      </w:pPr>
    </w:p>
    <w:p>
      <w:pPr>
        <w:ind w:firstLine="565"/>
        <w:spacing w:after="0" w:line="280" w:lineRule="auto"/>
        <w:rPr>
          <w:sz w:val="20"/>
          <w:szCs w:val="20"/>
          <w:color w:val="auto"/>
        </w:rPr>
      </w:pPr>
      <w:r>
        <w:rPr>
          <w:rFonts w:ascii="Arial" w:cs="Arial" w:eastAsia="Arial" w:hAnsi="Arial"/>
          <w:sz w:val="16"/>
          <w:szCs w:val="16"/>
          <w:color w:val="auto"/>
        </w:rPr>
        <w:t>On August 11, 2020 Kornit Digital Ltd. (“</w:t>
      </w:r>
      <w:r>
        <w:rPr>
          <w:rFonts w:ascii="Arial" w:cs="Arial" w:eastAsia="Arial" w:hAnsi="Arial"/>
          <w:sz w:val="16"/>
          <w:szCs w:val="16"/>
          <w:b w:val="1"/>
          <w:bCs w:val="1"/>
          <w:color w:val="auto"/>
        </w:rPr>
        <w:t>Kornit</w:t>
      </w:r>
      <w:r>
        <w:rPr>
          <w:rFonts w:ascii="Arial" w:cs="Arial" w:eastAsia="Arial" w:hAnsi="Arial"/>
          <w:sz w:val="16"/>
          <w:szCs w:val="16"/>
          <w:color w:val="auto"/>
        </w:rPr>
        <w:t>”) issued a press release entitled “Kornit Digital Reports Second Quarter 2020 Results,” in which Kornit reported its results of operations for the quarter ended June 30, 2020. A copy of that press release is furnished as Exhibit 99.1 hereto.</w:t>
      </w:r>
    </w:p>
    <w:p>
      <w:pPr>
        <w:spacing w:after="0" w:line="148" w:lineRule="exact"/>
        <w:rPr>
          <w:sz w:val="20"/>
          <w:szCs w:val="20"/>
          <w:color w:val="auto"/>
        </w:rPr>
      </w:pPr>
    </w:p>
    <w:p>
      <w:pPr>
        <w:ind w:right="40" w:firstLine="565"/>
        <w:spacing w:after="0" w:line="262" w:lineRule="auto"/>
        <w:rPr>
          <w:sz w:val="20"/>
          <w:szCs w:val="20"/>
          <w:color w:val="auto"/>
        </w:rPr>
      </w:pPr>
      <w:r>
        <w:rPr>
          <w:rFonts w:ascii="Arial" w:cs="Arial" w:eastAsia="Arial" w:hAnsi="Arial"/>
          <w:sz w:val="16"/>
          <w:szCs w:val="16"/>
          <w:color w:val="auto"/>
        </w:rPr>
        <w:t xml:space="preserve">In conjunction with the conference call being held on August 11, 2020 to discuss Kornit’s quarterly results for the quarter ended June 30, 2020, Kornit has also made available to its investors a slide presentation to provide additional information regarding its business and its financial results. That slide presentation is attached as </w:t>
      </w:r>
      <w:r>
        <w:rPr>
          <w:rFonts w:ascii="Arial" w:cs="Arial" w:eastAsia="Arial" w:hAnsi="Arial"/>
          <w:sz w:val="16"/>
          <w:szCs w:val="16"/>
          <w:u w:val="single" w:color="auto"/>
          <w:color w:val="auto"/>
        </w:rPr>
        <w:t>Exhibit 99.2</w:t>
      </w:r>
      <w:r>
        <w:rPr>
          <w:rFonts w:ascii="Arial" w:cs="Arial" w:eastAsia="Arial" w:hAnsi="Arial"/>
          <w:sz w:val="16"/>
          <w:szCs w:val="16"/>
          <w:color w:val="auto"/>
        </w:rPr>
        <w:t xml:space="preserve"> to this Report of Foreign Private Issuer on Form 6-K (this “</w:t>
      </w:r>
      <w:r>
        <w:rPr>
          <w:rFonts w:ascii="Arial" w:cs="Arial" w:eastAsia="Arial" w:hAnsi="Arial"/>
          <w:sz w:val="16"/>
          <w:szCs w:val="16"/>
          <w:b w:val="1"/>
          <w:bCs w:val="1"/>
          <w:color w:val="auto"/>
        </w:rPr>
        <w:t>Form 6-K</w:t>
      </w:r>
      <w:r>
        <w:rPr>
          <w:rFonts w:ascii="Arial" w:cs="Arial" w:eastAsia="Arial" w:hAnsi="Arial"/>
          <w:sz w:val="16"/>
          <w:szCs w:val="16"/>
          <w:color w:val="auto"/>
        </w:rPr>
        <w:t>”) and is incorporated herein by reference.</w:t>
      </w:r>
    </w:p>
    <w:p>
      <w:pPr>
        <w:spacing w:after="0" w:line="162" w:lineRule="exact"/>
        <w:rPr>
          <w:sz w:val="20"/>
          <w:szCs w:val="20"/>
          <w:color w:val="auto"/>
        </w:rPr>
      </w:pPr>
    </w:p>
    <w:p>
      <w:pPr>
        <w:ind w:right="100" w:firstLine="565"/>
        <w:spacing w:after="0" w:line="317" w:lineRule="auto"/>
        <w:rPr>
          <w:sz w:val="20"/>
          <w:szCs w:val="20"/>
          <w:color w:val="auto"/>
        </w:rPr>
      </w:pPr>
      <w:r>
        <w:rPr>
          <w:rFonts w:ascii="Arial" w:cs="Arial" w:eastAsia="Arial" w:hAnsi="Arial"/>
          <w:sz w:val="14"/>
          <w:szCs w:val="14"/>
          <w:color w:val="auto"/>
        </w:rPr>
        <w:t>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F-3 (File No. 333-232070) and Form S-8 (File No.’s 333-203970, 333-214015, 333-217039, 333-223794, 333-230567 and 333-237346).</w:t>
      </w: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20"/>
          </w:cols>
          <w:pgMar w:left="320" w:top="314"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100" w:firstLine="565"/>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7160" w:type="dxa"/>
            <w:vAlign w:val="bottom"/>
            <w:gridSpan w:val="3"/>
          </w:tcPr>
          <w:p>
            <w:pPr>
              <w:ind w:left="2660"/>
              <w:spacing w:after="0"/>
              <w:rPr>
                <w:sz w:val="20"/>
                <w:szCs w:val="20"/>
                <w:color w:val="auto"/>
              </w:rPr>
            </w:pPr>
            <w:r>
              <w:rPr>
                <w:rFonts w:ascii="Arial" w:cs="Arial" w:eastAsia="Arial" w:hAnsi="Arial"/>
                <w:sz w:val="16"/>
                <w:szCs w:val="16"/>
                <w:color w:val="auto"/>
              </w:rPr>
              <w:t>KORNIT DIGITAL LTD.</w:t>
            </w:r>
          </w:p>
        </w:tc>
      </w:tr>
      <w:tr>
        <w:trPr>
          <w:trHeight w:val="386"/>
        </w:trPr>
        <w:tc>
          <w:tcPr>
            <w:tcW w:w="4100" w:type="dxa"/>
            <w:vAlign w:val="bottom"/>
          </w:tcPr>
          <w:p>
            <w:pPr>
              <w:spacing w:after="0"/>
              <w:rPr>
                <w:sz w:val="20"/>
                <w:szCs w:val="20"/>
                <w:color w:val="auto"/>
              </w:rPr>
            </w:pPr>
            <w:r>
              <w:rPr>
                <w:rFonts w:ascii="Arial" w:cs="Arial" w:eastAsia="Arial" w:hAnsi="Arial"/>
                <w:sz w:val="16"/>
                <w:szCs w:val="16"/>
                <w:color w:val="auto"/>
              </w:rPr>
              <w:t>Date: August 11, 2020</w:t>
            </w:r>
          </w:p>
        </w:tc>
        <w:tc>
          <w:tcPr>
            <w:tcW w:w="3160" w:type="dxa"/>
            <w:vAlign w:val="bottom"/>
          </w:tcPr>
          <w:p>
            <w:pPr>
              <w:ind w:left="2660"/>
              <w:spacing w:after="0"/>
              <w:rPr>
                <w:sz w:val="20"/>
                <w:szCs w:val="20"/>
                <w:color w:val="auto"/>
              </w:rPr>
            </w:pPr>
            <w:r>
              <w:rPr>
                <w:rFonts w:ascii="Arial" w:cs="Arial" w:eastAsia="Arial" w:hAnsi="Arial"/>
                <w:sz w:val="16"/>
                <w:szCs w:val="16"/>
                <w:color w:val="auto"/>
              </w:rPr>
              <w:t>By:</w:t>
            </w:r>
          </w:p>
        </w:tc>
        <w:tc>
          <w:tcPr>
            <w:tcW w:w="4000" w:type="dxa"/>
            <w:vAlign w:val="bottom"/>
            <w:gridSpan w:val="2"/>
          </w:tcPr>
          <w:p>
            <w:pPr>
              <w:ind w:left="60"/>
              <w:spacing w:after="0"/>
              <w:rPr>
                <w:sz w:val="20"/>
                <w:szCs w:val="20"/>
                <w:color w:val="auto"/>
              </w:rPr>
            </w:pPr>
            <w:r>
              <w:rPr>
                <w:rFonts w:ascii="Arial" w:cs="Arial" w:eastAsia="Arial" w:hAnsi="Arial"/>
                <w:sz w:val="16"/>
                <w:szCs w:val="16"/>
                <w:color w:val="auto"/>
              </w:rPr>
              <w:t>/s/ Guy Avidan</w:t>
            </w:r>
          </w:p>
        </w:tc>
      </w:tr>
      <w:tr>
        <w:trPr>
          <w:trHeight w:val="179"/>
        </w:trPr>
        <w:tc>
          <w:tcPr>
            <w:tcW w:w="4100" w:type="dxa"/>
            <w:vAlign w:val="bottom"/>
          </w:tcPr>
          <w:p>
            <w:pPr>
              <w:spacing w:after="0"/>
              <w:rPr>
                <w:sz w:val="15"/>
                <w:szCs w:val="15"/>
                <w:color w:val="auto"/>
              </w:rPr>
            </w:pPr>
          </w:p>
        </w:tc>
        <w:tc>
          <w:tcPr>
            <w:tcW w:w="3160" w:type="dxa"/>
            <w:vAlign w:val="bottom"/>
          </w:tcPr>
          <w:p>
            <w:pPr>
              <w:ind w:left="2660"/>
              <w:spacing w:after="0" w:line="179" w:lineRule="exact"/>
              <w:rPr>
                <w:sz w:val="20"/>
                <w:szCs w:val="20"/>
                <w:color w:val="auto"/>
              </w:rPr>
            </w:pPr>
            <w:r>
              <w:rPr>
                <w:rFonts w:ascii="Arial" w:cs="Arial" w:eastAsia="Arial" w:hAnsi="Arial"/>
                <w:sz w:val="16"/>
                <w:szCs w:val="16"/>
                <w:color w:val="auto"/>
              </w:rPr>
              <w:t>Name:</w:t>
            </w:r>
          </w:p>
        </w:tc>
        <w:tc>
          <w:tcPr>
            <w:tcW w:w="60" w:type="dxa"/>
            <w:vAlign w:val="bottom"/>
          </w:tcPr>
          <w:p>
            <w:pPr>
              <w:spacing w:after="0"/>
              <w:rPr>
                <w:sz w:val="15"/>
                <w:szCs w:val="15"/>
                <w:color w:val="auto"/>
              </w:rPr>
            </w:pPr>
          </w:p>
        </w:tc>
        <w:tc>
          <w:tcPr>
            <w:tcW w:w="3940" w:type="dxa"/>
            <w:vAlign w:val="bottom"/>
            <w:tcBorders>
              <w:top w:val="single" w:sz="8" w:color="auto"/>
            </w:tcBorders>
          </w:tcPr>
          <w:p>
            <w:pPr>
              <w:ind w:left="40"/>
              <w:spacing w:after="0" w:line="179" w:lineRule="exact"/>
              <w:rPr>
                <w:sz w:val="20"/>
                <w:szCs w:val="20"/>
                <w:color w:val="auto"/>
              </w:rPr>
            </w:pPr>
            <w:r>
              <w:rPr>
                <w:rFonts w:ascii="Arial" w:cs="Arial" w:eastAsia="Arial" w:hAnsi="Arial"/>
                <w:sz w:val="16"/>
                <w:szCs w:val="16"/>
                <w:color w:val="auto"/>
              </w:rPr>
              <w:t>Guy Avidan</w:t>
            </w:r>
          </w:p>
        </w:tc>
      </w:tr>
      <w:tr>
        <w:trPr>
          <w:trHeight w:val="204"/>
        </w:trPr>
        <w:tc>
          <w:tcPr>
            <w:tcW w:w="4100" w:type="dxa"/>
            <w:vAlign w:val="bottom"/>
          </w:tcPr>
          <w:p>
            <w:pPr>
              <w:spacing w:after="0"/>
              <w:rPr>
                <w:sz w:val="17"/>
                <w:szCs w:val="17"/>
                <w:color w:val="auto"/>
              </w:rPr>
            </w:pPr>
          </w:p>
        </w:tc>
        <w:tc>
          <w:tcPr>
            <w:tcW w:w="3160" w:type="dxa"/>
            <w:vAlign w:val="bottom"/>
          </w:tcPr>
          <w:p>
            <w:pPr>
              <w:ind w:left="2660"/>
              <w:spacing w:after="0"/>
              <w:rPr>
                <w:sz w:val="20"/>
                <w:szCs w:val="20"/>
                <w:color w:val="auto"/>
              </w:rPr>
            </w:pPr>
            <w:r>
              <w:rPr>
                <w:rFonts w:ascii="Arial" w:cs="Arial" w:eastAsia="Arial" w:hAnsi="Arial"/>
                <w:sz w:val="16"/>
                <w:szCs w:val="16"/>
                <w:color w:val="auto"/>
              </w:rPr>
              <w:t>Title:</w:t>
            </w:r>
          </w:p>
        </w:tc>
        <w:tc>
          <w:tcPr>
            <w:tcW w:w="4000" w:type="dxa"/>
            <w:vAlign w:val="bottom"/>
            <w:gridSpan w:val="2"/>
          </w:tcPr>
          <w:p>
            <w:pPr>
              <w:ind w:left="60"/>
              <w:spacing w:after="0"/>
              <w:rPr>
                <w:sz w:val="20"/>
                <w:szCs w:val="20"/>
                <w:color w:val="auto"/>
              </w:rPr>
            </w:pPr>
            <w:r>
              <w:rPr>
                <w:rFonts w:ascii="Arial" w:cs="Arial" w:eastAsia="Arial" w:hAnsi="Arial"/>
                <w:sz w:val="16"/>
                <w:szCs w:val="16"/>
                <w:color w:val="auto"/>
              </w:rPr>
              <w:t>Chief Financial Officer</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tcPr>
          <w:p>
            <w:pPr>
              <w:jc w:val="center"/>
              <w:ind w:right="1060"/>
              <w:spacing w:after="0"/>
              <w:rPr>
                <w:sz w:val="20"/>
                <w:szCs w:val="20"/>
                <w:color w:val="auto"/>
              </w:rPr>
            </w:pPr>
            <w:r>
              <w:rPr>
                <w:rFonts w:ascii="Arial" w:cs="Arial" w:eastAsia="Arial" w:hAnsi="Arial"/>
                <w:sz w:val="16"/>
                <w:szCs w:val="16"/>
                <w:b w:val="1"/>
                <w:bCs w:val="1"/>
                <w:color w:val="auto"/>
                <w:w w:val="94"/>
              </w:rPr>
              <w:t>Exhibit Index</w:t>
            </w:r>
          </w:p>
        </w:tc>
      </w:tr>
      <w:tr>
        <w:trPr>
          <w:trHeight w:val="398"/>
        </w:trPr>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240" w:type="dxa"/>
            <w:vAlign w:val="bottom"/>
            <w:tcBorders>
              <w:bottom w:val="single" w:sz="8" w:color="CCEEFF"/>
            </w:tcBorders>
          </w:tcPr>
          <w:p>
            <w:pPr>
              <w:spacing w:after="0"/>
              <w:rPr>
                <w:sz w:val="24"/>
                <w:szCs w:val="24"/>
                <w:color w:val="auto"/>
              </w:rPr>
            </w:pPr>
          </w:p>
        </w:tc>
        <w:tc>
          <w:tcPr>
            <w:tcW w:w="10120" w:type="dxa"/>
            <w:vAlign w:val="bottom"/>
            <w:tcBorders>
              <w:bottom w:val="single" w:sz="8" w:color="auto"/>
            </w:tcBorders>
          </w:tcPr>
          <w:p>
            <w:pPr>
              <w:ind w:left="4660"/>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99.1</w:t>
            </w:r>
          </w:p>
        </w:tc>
        <w:tc>
          <w:tcPr>
            <w:tcW w:w="240" w:type="dxa"/>
            <w:vAlign w:val="bottom"/>
            <w:shd w:val="clear" w:color="auto" w:fill="CCEEFF"/>
          </w:tcPr>
          <w:p>
            <w:pPr>
              <w:spacing w:after="0"/>
              <w:rPr>
                <w:sz w:val="16"/>
                <w:szCs w:val="16"/>
                <w:color w:val="auto"/>
              </w:rPr>
            </w:pPr>
          </w:p>
        </w:tc>
        <w:tc>
          <w:tcPr>
            <w:tcW w:w="10120" w:type="dxa"/>
            <w:vAlign w:val="bottom"/>
            <w:shd w:val="clear" w:color="auto" w:fill="CCEEFF"/>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Press release, dated August 11, 2020, titled “Kornit Digital Reports Second Quarter 2020 Results”</w:t>
              </w:r>
            </w:hyperlink>
          </w:p>
        </w:tc>
      </w:tr>
      <w:tr>
        <w:trPr>
          <w:trHeight w:val="191"/>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20" w:type="dxa"/>
            <w:vAlign w:val="bottom"/>
          </w:tcPr>
          <w:p>
            <w:pPr>
              <w:spacing w:after="0"/>
              <w:rPr>
                <w:sz w:val="16"/>
                <w:szCs w:val="16"/>
                <w:color w:val="auto"/>
              </w:rPr>
            </w:pPr>
          </w:p>
        </w:tc>
      </w:tr>
      <w:tr>
        <w:trPr>
          <w:trHeight w:val="191"/>
        </w:trPr>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99.2</w:t>
            </w:r>
          </w:p>
        </w:tc>
        <w:tc>
          <w:tcPr>
            <w:tcW w:w="10360" w:type="dxa"/>
            <w:vAlign w:val="bottom"/>
            <w:gridSpan w:val="2"/>
            <w:shd w:val="clear" w:color="auto" w:fill="CCEEFF"/>
          </w:tcPr>
          <w:p>
            <w:pPr>
              <w:ind w:left="240"/>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Slide presentation for conference call of Kornit held on August 11, 2020 discussing quarterly financial results for the second quarter of 2020</w:t>
              </w:r>
            </w:hyperlink>
          </w:p>
        </w:tc>
      </w:tr>
      <w:tr>
        <w:trPr>
          <w:trHeight w:val="577"/>
        </w:trPr>
        <w:tc>
          <w:tcPr>
            <w:tcW w:w="90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gridSpan w:val="2"/>
          </w:tcPr>
          <w:p>
            <w:pPr>
              <w:jc w:val="right"/>
              <w:ind w:right="5520"/>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260"/>
          </w:cols>
          <w:pgMar w:left="320" w:top="314"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Contact:</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Kelsey Turcotte</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Blueshirt Group</w:t>
      </w:r>
    </w:p>
    <w:p>
      <w:pPr>
        <w:spacing w:after="0" w:line="7" w:lineRule="exact"/>
        <w:rPr>
          <w:sz w:val="20"/>
          <w:szCs w:val="20"/>
          <w:color w:val="auto"/>
        </w:rPr>
      </w:pPr>
    </w:p>
    <w:p>
      <w:pPr>
        <w:ind w:left="4" w:right="9440" w:hanging="4"/>
        <w:spacing w:after="0" w:line="330" w:lineRule="auto"/>
        <w:tabs>
          <w:tab w:leader="none" w:pos="389" w:val="left"/>
        </w:tabs>
        <w:numPr>
          <w:ilvl w:val="0"/>
          <w:numId w:val="1"/>
        </w:numPr>
        <w:rPr>
          <w:rFonts w:ascii="Arial" w:cs="Arial" w:eastAsia="Arial" w:hAnsi="Arial"/>
          <w:sz w:val="14"/>
          <w:szCs w:val="14"/>
          <w:color w:val="auto"/>
        </w:rPr>
      </w:pPr>
      <w:r>
        <w:rPr>
          <w:rFonts w:ascii="Arial" w:cs="Arial" w:eastAsia="Arial" w:hAnsi="Arial"/>
          <w:sz w:val="14"/>
          <w:szCs w:val="14"/>
          <w:color w:val="auto"/>
        </w:rPr>
        <w:t>842-0334 Kelsey@blueshirtgroup.com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069975" cy="645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9975"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Kornit Digital Reports Second Quarter 2020 Results</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Announces Acquisition of Custom Gateway, a leading global provider of cloud software workflow solutions enabling on-demand apparel and home décor production</w:t>
      </w:r>
    </w:p>
    <w:p>
      <w:pPr>
        <w:spacing w:after="0" w:line="225" w:lineRule="exact"/>
        <w:rPr>
          <w:sz w:val="20"/>
          <w:szCs w:val="20"/>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Second quarter revenue of $37.4 million, net of non-cash warrants impact of $0.8 million</w:t>
      </w:r>
    </w:p>
    <w:p>
      <w:pPr>
        <w:spacing w:after="0" w:line="19"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5"/>
          <w:szCs w:val="15"/>
          <w:color w:val="auto"/>
        </w:rPr>
      </w:pPr>
      <w:r>
        <w:rPr>
          <w:rFonts w:ascii="Arial" w:cs="Arial" w:eastAsia="Arial" w:hAnsi="Arial"/>
          <w:sz w:val="15"/>
          <w:szCs w:val="15"/>
          <w:color w:val="auto"/>
        </w:rPr>
        <w:t>Second quarter GAAP operating loss of $5.3 million; Non-GAAP operating loss of $2.5 million, including $0.8 million attributed to the non-cash impact of warrants</w:t>
      </w:r>
    </w:p>
    <w:p>
      <w:pPr>
        <w:spacing w:after="0" w:line="18" w:lineRule="exact"/>
        <w:rPr>
          <w:rFonts w:ascii="Arial" w:cs="Arial" w:eastAsia="Arial" w:hAnsi="Arial"/>
          <w:sz w:val="15"/>
          <w:szCs w:val="15"/>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Inflection in online channels, acceleration of digital transformation in textile industry drives strong performance in North America</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Robust pipeline and strong momentum</w:t>
      </w:r>
    </w:p>
    <w:p>
      <w:pPr>
        <w:spacing w:after="0" w:line="7" w:lineRule="exact"/>
        <w:rPr>
          <w:rFonts w:ascii="Arial" w:cs="Arial" w:eastAsia="Arial" w:hAnsi="Arial"/>
          <w:sz w:val="16"/>
          <w:szCs w:val="16"/>
          <w:color w:val="auto"/>
        </w:rPr>
      </w:pPr>
    </w:p>
    <w:p>
      <w:pPr>
        <w:ind w:left="284" w:right="180" w:hanging="284"/>
        <w:spacing w:after="0" w:line="258"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Combination of Custom Gateway’s software workflow portfolio with Kornit’s existing technologies will bring to the market a unique, end-to-end solution for on-demand textile production.</w:t>
      </w:r>
    </w:p>
    <w:p>
      <w:pPr>
        <w:spacing w:after="0" w:line="161" w:lineRule="exact"/>
        <w:rPr>
          <w:sz w:val="20"/>
          <w:szCs w:val="20"/>
          <w:color w:val="auto"/>
        </w:rPr>
      </w:pPr>
    </w:p>
    <w:p>
      <w:pPr>
        <w:ind w:left="4" w:right="560"/>
        <w:spacing w:after="0" w:line="280" w:lineRule="auto"/>
        <w:rPr>
          <w:sz w:val="20"/>
          <w:szCs w:val="20"/>
          <w:color w:val="auto"/>
        </w:rPr>
      </w:pPr>
      <w:r>
        <w:rPr>
          <w:rFonts w:ascii="Arial" w:cs="Arial" w:eastAsia="Arial" w:hAnsi="Arial"/>
          <w:sz w:val="16"/>
          <w:szCs w:val="16"/>
          <w:b w:val="1"/>
          <w:bCs w:val="1"/>
          <w:color w:val="auto"/>
        </w:rPr>
        <w:t xml:space="preserve">Rosh-Ha’Ayin, Israel – August 11, 2020 – </w:t>
      </w:r>
      <w:r>
        <w:rPr>
          <w:rFonts w:ascii="Arial" w:cs="Arial" w:eastAsia="Arial" w:hAnsi="Arial"/>
          <w:sz w:val="16"/>
          <w:szCs w:val="16"/>
          <w:color w:val="auto"/>
        </w:rPr>
        <w:t>Kornit Digital Ltd. (NASDAQ: KRNT), a leading provider of digital printing solutions for the global textile industry, today</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 results for the second quarter ended June 30, 2020.</w:t>
      </w:r>
    </w:p>
    <w:p>
      <w:pPr>
        <w:spacing w:after="0" w:line="148" w:lineRule="exact"/>
        <w:rPr>
          <w:sz w:val="20"/>
          <w:szCs w:val="20"/>
          <w:color w:val="auto"/>
        </w:rPr>
      </w:pPr>
    </w:p>
    <w:p>
      <w:pPr>
        <w:ind w:left="4" w:right="60"/>
        <w:spacing w:after="0" w:line="306" w:lineRule="auto"/>
        <w:rPr>
          <w:sz w:val="20"/>
          <w:szCs w:val="20"/>
          <w:color w:val="auto"/>
        </w:rPr>
      </w:pPr>
      <w:r>
        <w:rPr>
          <w:rFonts w:ascii="Arial" w:cs="Arial" w:eastAsia="Arial" w:hAnsi="Arial"/>
          <w:sz w:val="14"/>
          <w:szCs w:val="14"/>
          <w:color w:val="auto"/>
        </w:rPr>
        <w:t>“We are very pleased to see strong momentum in the business as customers reopened sites in April and reengaged in big projects in response to significant demand, particularly in online channels. Looking ahead, we believe that we are at one of the most exciting times in our Company’s history, as the mega trends in our industry have accelerated the transition to digital textile production where we are in a unique position to benefit,” said Ronen Samuel, Kornit Digital’s CEO. “For Kornit, we believe this inflection point will drive a V-shaped recovery in the business as we help brands and strategic partners quickly adopt agile, digital, and sustainable on-demand textile manufacturing.”</w:t>
      </w:r>
    </w:p>
    <w:p>
      <w:pPr>
        <w:spacing w:after="0" w:line="135" w:lineRule="exact"/>
        <w:rPr>
          <w:sz w:val="20"/>
          <w:szCs w:val="20"/>
          <w:color w:val="auto"/>
        </w:rPr>
      </w:pPr>
    </w:p>
    <w:p>
      <w:pPr>
        <w:ind w:left="4" w:right="20"/>
        <w:spacing w:after="0" w:line="262" w:lineRule="auto"/>
        <w:rPr>
          <w:sz w:val="20"/>
          <w:szCs w:val="20"/>
          <w:color w:val="auto"/>
        </w:rPr>
      </w:pPr>
      <w:r>
        <w:rPr>
          <w:rFonts w:ascii="Arial" w:cs="Arial" w:eastAsia="Arial" w:hAnsi="Arial"/>
          <w:sz w:val="16"/>
          <w:szCs w:val="16"/>
          <w:color w:val="auto"/>
        </w:rPr>
        <w:t>Samuel continued, “We are also very excited to announce the acquisition of Custom Gateway, a leading provider of cloud software workflow solutions. This highly strategic acquisition accelerates our organic development effort and, when combined with Kornit’s technologies, will bring to the market a unique offering for end-to-end management of sustainable on-demand textile production. This combination further extends our market leadership.”</w:t>
      </w:r>
    </w:p>
    <w:p>
      <w:pPr>
        <w:spacing w:after="0" w:line="162" w:lineRule="exact"/>
        <w:rPr>
          <w:sz w:val="20"/>
          <w:szCs w:val="20"/>
          <w:color w:val="auto"/>
        </w:rPr>
      </w:pPr>
    </w:p>
    <w:p>
      <w:pPr>
        <w:ind w:left="4" w:right="40"/>
        <w:spacing w:after="0" w:line="275" w:lineRule="auto"/>
        <w:rPr>
          <w:sz w:val="20"/>
          <w:szCs w:val="20"/>
          <w:color w:val="auto"/>
        </w:rPr>
      </w:pPr>
      <w:r>
        <w:rPr>
          <w:rFonts w:ascii="Arial" w:cs="Arial" w:eastAsia="Arial" w:hAnsi="Arial"/>
          <w:sz w:val="16"/>
          <w:szCs w:val="16"/>
          <w:i w:val="1"/>
          <w:iCs w:val="1"/>
          <w:color w:val="auto"/>
        </w:rPr>
        <w:t>2019 GAAP and Non-GAAP figures in today’s press release are presented using a different valuation basis for the warrants impact compared to previous years as a result of the recently issued accounting standards update (ASU 2019-08).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15" w:right="319" w:bottom="1440" w:gutter="0" w:footer="0" w:header="0"/>
        </w:sectPr>
      </w:pPr>
    </w:p>
    <w:bookmarkStart w:id="5" w:name="page6"/>
    <w:bookmarkEnd w:id="5"/>
    <w:p>
      <w:pPr>
        <w:ind w:left="4" w:right="660"/>
        <w:spacing w:after="0" w:line="275" w:lineRule="auto"/>
        <w:rPr>
          <w:sz w:val="20"/>
          <w:szCs w:val="20"/>
          <w:color w:val="auto"/>
        </w:rPr>
      </w:pPr>
      <w:r>
        <w:rPr>
          <w:rFonts w:ascii="Arial" w:cs="Arial" w:eastAsia="Arial" w:hAnsi="Arial"/>
          <w:sz w:val="16"/>
          <w:szCs w:val="16"/>
          <w:color w:val="auto"/>
        </w:rPr>
        <w:t>The following table compares the adverse, non-cash impact that our outstanding warrants had on our results of operations during the second quarter of 2020 and 2019, respectively:</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3720" w:type="dxa"/>
            <w:vAlign w:val="bottom"/>
          </w:tcPr>
          <w:p>
            <w:pPr>
              <w:spacing w:after="0"/>
              <w:rPr>
                <w:sz w:val="18"/>
                <w:szCs w:val="18"/>
                <w:color w:val="auto"/>
              </w:rPr>
            </w:pPr>
          </w:p>
        </w:tc>
        <w:tc>
          <w:tcPr>
            <w:tcW w:w="336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rPr>
              <w:t>Second Quarter Warrants Impact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78"/>
        </w:trPr>
        <w:tc>
          <w:tcPr>
            <w:tcW w:w="3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2"/>
        </w:trPr>
        <w:tc>
          <w:tcPr>
            <w:tcW w:w="3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07"/>
        </w:trPr>
        <w:tc>
          <w:tcPr>
            <w:tcW w:w="3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2020</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6"/>
                <w:szCs w:val="16"/>
                <w:b w:val="1"/>
                <w:bCs w:val="1"/>
                <w:color w:val="auto"/>
              </w:rPr>
              <w:t>2019</w:t>
            </w: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75"/>
        </w:trPr>
        <w:tc>
          <w:tcPr>
            <w:tcW w:w="37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2"/>
              </w:rPr>
              <w:t>Net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80"/>
              <w:spacing w:after="0" w:line="175" w:lineRule="exact"/>
              <w:rPr>
                <w:sz w:val="20"/>
                <w:szCs w:val="20"/>
                <w:color w:val="auto"/>
              </w:rPr>
            </w:pPr>
            <w:r>
              <w:rPr>
                <w:rFonts w:ascii="Arial" w:cs="Arial" w:eastAsia="Arial" w:hAnsi="Arial"/>
                <w:sz w:val="16"/>
                <w:szCs w:val="16"/>
                <w:b w:val="1"/>
                <w:bCs w:val="1"/>
                <w:color w:val="auto"/>
                <w:w w:val="92"/>
              </w:rPr>
              <w:t>Net of</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1"/>
        </w:trPr>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Warrants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5"/>
              </w:rPr>
              <w:t>Warrants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Warrants</w:t>
            </w:r>
          </w:p>
        </w:tc>
        <w:tc>
          <w:tcPr>
            <w:tcW w:w="14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Warrants</w:t>
            </w:r>
          </w:p>
        </w:tc>
      </w:tr>
      <w:tr>
        <w:trPr>
          <w:trHeight w:val="212"/>
        </w:trPr>
        <w:tc>
          <w:tcPr>
            <w:tcW w:w="3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Impact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6"/>
              </w:rPr>
              <w:t>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Impact</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Impact</w:t>
            </w:r>
          </w:p>
        </w:tc>
      </w:tr>
      <w:tr>
        <w:trPr>
          <w:trHeight w:val="191"/>
        </w:trPr>
        <w:tc>
          <w:tcPr>
            <w:tcW w:w="37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91"/>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37.4M</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center"/>
              <w:ind w:left="520"/>
              <w:spacing w:after="0"/>
              <w:rPr>
                <w:sz w:val="20"/>
                <w:szCs w:val="20"/>
                <w:color w:val="auto"/>
              </w:rPr>
            </w:pPr>
            <w:r>
              <w:rPr>
                <w:rFonts w:ascii="Arial" w:cs="Arial" w:eastAsia="Arial" w:hAnsi="Arial"/>
                <w:sz w:val="16"/>
                <w:szCs w:val="16"/>
                <w:color w:val="auto"/>
                <w:w w:val="95"/>
              </w:rPr>
              <w:t>0.8M</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45.3M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1.0M</w:t>
            </w:r>
          </w:p>
        </w:tc>
      </w:tr>
      <w:tr>
        <w:trPr>
          <w:trHeight w:val="191"/>
        </w:trPr>
        <w:tc>
          <w:tcPr>
            <w:tcW w:w="3720" w:type="dxa"/>
            <w:vAlign w:val="bottom"/>
          </w:tcPr>
          <w:p>
            <w:pPr>
              <w:spacing w:after="0"/>
              <w:rPr>
                <w:sz w:val="20"/>
                <w:szCs w:val="20"/>
                <w:color w:val="auto"/>
              </w:rPr>
            </w:pPr>
            <w:r>
              <w:rPr>
                <w:rFonts w:ascii="Arial" w:cs="Arial" w:eastAsia="Arial" w:hAnsi="Arial"/>
                <w:sz w:val="16"/>
                <w:szCs w:val="16"/>
                <w:color w:val="auto"/>
              </w:rPr>
              <w:t>Non-GAAP Gross Margin</w:t>
            </w:r>
          </w:p>
        </w:tc>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44.1%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left="560"/>
              <w:spacing w:after="0"/>
              <w:rPr>
                <w:sz w:val="20"/>
                <w:szCs w:val="20"/>
                <w:color w:val="auto"/>
              </w:rPr>
            </w:pPr>
            <w:r>
              <w:rPr>
                <w:rFonts w:ascii="Arial" w:cs="Arial" w:eastAsia="Arial" w:hAnsi="Arial"/>
                <w:sz w:val="16"/>
                <w:szCs w:val="16"/>
                <w:color w:val="auto"/>
                <w:w w:val="87"/>
              </w:rPr>
              <w:t>123bps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47.7%</w:t>
            </w:r>
          </w:p>
        </w:tc>
        <w:tc>
          <w:tcPr>
            <w:tcW w:w="140" w:type="dxa"/>
            <w:vAlign w:val="bottom"/>
          </w:tcPr>
          <w:p>
            <w:pPr>
              <w:spacing w:after="0"/>
              <w:rPr>
                <w:sz w:val="16"/>
                <w:szCs w:val="16"/>
                <w:color w:val="auto"/>
              </w:rPr>
            </w:pPr>
          </w:p>
        </w:tc>
        <w:tc>
          <w:tcPr>
            <w:tcW w:w="1200" w:type="dxa"/>
            <w:vAlign w:val="bottom"/>
            <w:gridSpan w:val="2"/>
          </w:tcPr>
          <w:p>
            <w:pPr>
              <w:ind w:left="740"/>
              <w:spacing w:after="0"/>
              <w:rPr>
                <w:sz w:val="20"/>
                <w:szCs w:val="20"/>
                <w:color w:val="auto"/>
              </w:rPr>
            </w:pPr>
            <w:r>
              <w:rPr>
                <w:rFonts w:ascii="Arial" w:cs="Arial" w:eastAsia="Arial" w:hAnsi="Arial"/>
                <w:sz w:val="16"/>
                <w:szCs w:val="16"/>
                <w:color w:val="auto"/>
                <w:w w:val="83"/>
              </w:rPr>
              <w:t>110bps</w:t>
            </w:r>
          </w:p>
        </w:tc>
      </w:tr>
      <w:tr>
        <w:trPr>
          <w:trHeight w:val="191"/>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Non-GAAP Operating Margin</w:t>
            </w:r>
          </w:p>
        </w:tc>
        <w:tc>
          <w:tcPr>
            <w:tcW w:w="2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left="560"/>
              <w:spacing w:after="0"/>
              <w:rPr>
                <w:sz w:val="20"/>
                <w:szCs w:val="20"/>
                <w:color w:val="auto"/>
              </w:rPr>
            </w:pPr>
            <w:r>
              <w:rPr>
                <w:rFonts w:ascii="Arial" w:cs="Arial" w:eastAsia="Arial" w:hAnsi="Arial"/>
                <w:sz w:val="16"/>
                <w:szCs w:val="16"/>
                <w:color w:val="auto"/>
                <w:w w:val="87"/>
              </w:rPr>
              <w:t>235bps</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w w:val="87"/>
              </w:rPr>
              <w:t>191bps</w:t>
            </w:r>
          </w:p>
        </w:tc>
      </w:tr>
      <w:tr>
        <w:trPr>
          <w:trHeight w:val="191"/>
        </w:trPr>
        <w:tc>
          <w:tcPr>
            <w:tcW w:w="3720" w:type="dxa"/>
            <w:vAlign w:val="bottom"/>
          </w:tcPr>
          <w:p>
            <w:pPr>
              <w:spacing w:after="0"/>
              <w:rPr>
                <w:sz w:val="20"/>
                <w:szCs w:val="20"/>
                <w:color w:val="auto"/>
              </w:rPr>
            </w:pPr>
            <w:r>
              <w:rPr>
                <w:rFonts w:ascii="Arial" w:cs="Arial" w:eastAsia="Arial" w:hAnsi="Arial"/>
                <w:sz w:val="16"/>
                <w:szCs w:val="16"/>
                <w:color w:val="auto"/>
              </w:rPr>
              <w:t>Non-GAAP Net Margin</w:t>
            </w:r>
          </w:p>
        </w:tc>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left="560"/>
              <w:spacing w:after="0"/>
              <w:rPr>
                <w:sz w:val="20"/>
                <w:szCs w:val="20"/>
                <w:color w:val="auto"/>
              </w:rPr>
            </w:pPr>
            <w:r>
              <w:rPr>
                <w:rFonts w:ascii="Arial" w:cs="Arial" w:eastAsia="Arial" w:hAnsi="Arial"/>
                <w:sz w:val="16"/>
                <w:szCs w:val="16"/>
                <w:color w:val="auto"/>
                <w:w w:val="87"/>
              </w:rPr>
              <w:t>228bps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140" w:type="dxa"/>
            <w:vAlign w:val="bottom"/>
          </w:tcPr>
          <w:p>
            <w:pPr>
              <w:spacing w:after="0"/>
              <w:rPr>
                <w:sz w:val="16"/>
                <w:szCs w:val="16"/>
                <w:color w:val="auto"/>
              </w:rPr>
            </w:pP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w w:val="87"/>
              </w:rPr>
              <w:t>190bps</w:t>
            </w:r>
          </w:p>
        </w:tc>
      </w:tr>
      <w:tr>
        <w:trPr>
          <w:trHeight w:val="191"/>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(Loss) Per Share</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0.02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0.03</w:t>
            </w:r>
          </w:p>
        </w:tc>
      </w:tr>
    </w:tbl>
    <w:p>
      <w:pPr>
        <w:spacing w:after="0" w:line="179" w:lineRule="exact"/>
        <w:rPr>
          <w:sz w:val="20"/>
          <w:szCs w:val="20"/>
          <w:color w:val="auto"/>
        </w:rPr>
      </w:pPr>
    </w:p>
    <w:p>
      <w:pPr>
        <w:ind w:left="4" w:right="60"/>
        <w:spacing w:after="0" w:line="258" w:lineRule="auto"/>
        <w:rPr>
          <w:sz w:val="20"/>
          <w:szCs w:val="20"/>
          <w:color w:val="auto"/>
        </w:rPr>
      </w:pPr>
      <w:r>
        <w:rPr>
          <w:rFonts w:ascii="Arial" w:cs="Arial" w:eastAsia="Arial" w:hAnsi="Arial"/>
          <w:sz w:val="16"/>
          <w:szCs w:val="16"/>
          <w:color w:val="auto"/>
        </w:rPr>
        <w:t>“We are very excited by the huge opportunity we see in the market that has resulted in an unprecedented pipeline and very good visibility. The team is highly engaged with new customers as well as strategic partners’ system implementations that will not only drive system revenue over the coming quarters but will also create long-term demand for ink and services,” said Guy Avidan, Kornit Digital’s Chief Financial Officer. “As we head into the back of 2020, we are focused on a strong finish to the year and committed to profitability for fiscal 2020.”</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Second Quarter 2020 Results of Operations</w:t>
      </w:r>
    </w:p>
    <w:p>
      <w:pPr>
        <w:spacing w:after="0" w:line="202" w:lineRule="exact"/>
        <w:rPr>
          <w:sz w:val="20"/>
          <w:szCs w:val="20"/>
          <w:color w:val="auto"/>
        </w:rPr>
      </w:pPr>
    </w:p>
    <w:p>
      <w:pPr>
        <w:ind w:left="284" w:right="260" w:hanging="284"/>
        <w:spacing w:after="0" w:line="257" w:lineRule="auto"/>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revenue for the second quarter of 2020 was $37.4 million, net of $0.8 million attributed to the non-cash impact of warrants, compared to $45.3 million, net of $1.0 million attributed to the non-cash impact of warrants in the prior year period.</w:t>
      </w:r>
    </w:p>
    <w:p>
      <w:pPr>
        <w:spacing w:after="0" w:line="1" w:lineRule="exact"/>
        <w:rPr>
          <w:rFonts w:ascii="Arial" w:cs="Arial" w:eastAsia="Arial" w:hAnsi="Arial"/>
          <w:sz w:val="16"/>
          <w:szCs w:val="16"/>
          <w:color w:val="auto"/>
        </w:rPr>
      </w:pPr>
    </w:p>
    <w:p>
      <w:pPr>
        <w:ind w:left="284" w:right="440" w:hanging="284"/>
        <w:spacing w:after="0" w:line="249" w:lineRule="auto"/>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net loss for the second quarter of 2020 was $4.6 million, or $0.11 per diluted share, compared to net income of $1.9 million, or $0.05 per diluted share, for the second quarter of 2019.</w:t>
      </w:r>
    </w:p>
    <w:p>
      <w:pPr>
        <w:ind w:left="284" w:right="20" w:hanging="284"/>
        <w:spacing w:after="0" w:line="254" w:lineRule="auto"/>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Non-GAAP net loss for the second quarter 2020 was $1.3 million, or $0.03 per diluted share, including $0.02 per diluted share attributed to the non-cash impact of warrants, compared to non-GAAP net income of $4.3 million, or $0.11 per diluted share, net of $0.03 per diluted share attributed to the non-cash impact of warrants, for the second quarter of 2019.</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Third Quarter 2020 Guidance</w:t>
      </w:r>
    </w:p>
    <w:p>
      <w:pPr>
        <w:spacing w:after="0" w:line="202"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The Company will discuss its expectations for the third quarter and the balance of 2020 live during its earnings conference call, which will be available for replay via webcast at ir.kornit.com, as referenced below.</w:t>
      </w:r>
    </w:p>
    <w:p>
      <w:pPr>
        <w:spacing w:after="0" w:line="337"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Second Quarter Earnings Conference Call Information</w:t>
      </w:r>
    </w:p>
    <w:p>
      <w:pPr>
        <w:spacing w:after="0" w:line="202" w:lineRule="exact"/>
        <w:rPr>
          <w:sz w:val="20"/>
          <w:szCs w:val="20"/>
          <w:color w:val="auto"/>
        </w:rPr>
      </w:pPr>
    </w:p>
    <w:p>
      <w:pPr>
        <w:jc w:val="both"/>
        <w:ind w:right="180"/>
        <w:spacing w:after="0" w:line="262" w:lineRule="auto"/>
        <w:rPr>
          <w:sz w:val="20"/>
          <w:szCs w:val="20"/>
          <w:color w:val="auto"/>
        </w:rPr>
      </w:pPr>
      <w:r>
        <w:rPr>
          <w:rFonts w:ascii="Arial" w:cs="Arial" w:eastAsia="Arial" w:hAnsi="Arial"/>
          <w:sz w:val="16"/>
          <w:szCs w:val="16"/>
          <w:color w:val="auto"/>
        </w:rPr>
        <w:t>The Company will host a conference call today at 5:00 p.m. ET, or 12:00 a.m. Israel time, to discuss the results, followed by a question and answer session for the investment community. A live webcast of the call can be accessed at ir.kornit.com. To access the call, participants may dial toll-free at 1-877-407-0792 or +1-201-689-8263 The toll-free Israeli number is 1 809 406 247. The confirmation code is 13707102.</w:t>
      </w:r>
    </w:p>
    <w:p>
      <w:pPr>
        <w:spacing w:after="0" w:line="162" w:lineRule="exact"/>
        <w:rPr>
          <w:sz w:val="20"/>
          <w:szCs w:val="20"/>
          <w:color w:val="auto"/>
        </w:rPr>
      </w:pPr>
    </w:p>
    <w:p>
      <w:pPr>
        <w:jc w:val="both"/>
        <w:ind w:right="40"/>
        <w:spacing w:after="0" w:line="262" w:lineRule="auto"/>
        <w:rPr>
          <w:sz w:val="20"/>
          <w:szCs w:val="20"/>
          <w:color w:val="auto"/>
        </w:rPr>
      </w:pPr>
      <w:r>
        <w:rPr>
          <w:rFonts w:ascii="Arial" w:cs="Arial" w:eastAsia="Arial" w:hAnsi="Arial"/>
          <w:sz w:val="16"/>
          <w:szCs w:val="16"/>
          <w:color w:val="auto"/>
        </w:rPr>
        <w:t>To listen to a telephonic replay of the conference call, dial toll-free 1-844-512-2921 or +1-412-317-6671 (international) and enter confirmation code 13707102. The telephonic replay will be available beginning at 8:00 p.m. ET on Tuesday, August 11, 2020, until 11:59 p.m. ET on Tuesday, August 25, 2020. The call will also be available for replay via the webcast link on Kornit’s Investor Relations website.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Upcoming Fireside Chat to Discuss Custom Gateway Acquisition</w:t>
      </w:r>
    </w:p>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Company will host a virtual fireside chat for investors on Tuesday, August 18, 2020 at 10:30 a.m. ET to discuss the acquisition of Custom Gateway and the related market opportunity. Dial-in details and webcast information will be available on the investor relations section of Kornit’s website.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of the global COVID-19 pandemic, which, if extensive, may continue to impact, in a material adverse manner, our operations, financial position and cash flows, and those of our customers and suppliers; the degree of our success in developing, introducing and selling new or improved products and product enhancements including specifically our Poly Pro and Presto products the extent of our ability to consummate sales to large accounts with multi-system delivery plans, the degree of our ability to fill orders for our systems, the extent of our ability to continue to increase sales of our systems, ink and consumables, the extent of our ability to leverage our global infrastructure build-out, the development of the market for digital textile printing, the availability of alternative ink, competition, sales concentration, changes to our relationships with suppliers, the extent of our success in marketing, and those additional factors referred to under “Risk Factors” in Item 3.D of the Company’s Annual Report on Form 20-F for the year ended December 31, 2019, filed with the U.S. Securities and Exchange Commission on March 23, 2020.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Non-GAAP Discussion Disclosure</w:t>
      </w:r>
    </w:p>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Non-GAAP financial measures consist of GAAP financial measures adjusted to exclude the impact of share-based compensation expenses, acquisition related expenses, excess cost of acquired inventory, foreign exchange differences associated with ASC 842, amortization of acquired intangible assets, deferred tax impact and the one-time impact of COVID-19 and the tax effect of the foregoing. The purpose of such adjustments is to provide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Kornit</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Kornit Digital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worldwide.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Custom Gateway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Custom Gateway, please visit Custom Gateway’s website.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Short-term bank deposit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Trade receivables,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Inventory</w:t>
      </w:r>
    </w:p>
    <w:p>
      <w:pPr>
        <w:spacing w:after="0" w:line="7"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color w:val="auto"/>
        </w:rPr>
        <w:t>Other accounts receivable and prepaid expenses Total current assets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LONG-TERM ASSETS: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Deposits and prepaid expenses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Severance pay fund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Deferred taxes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Property,plant and equipment,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right-of-use assets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Total long-term assets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4260"/>
        <w:spacing w:after="0"/>
        <w:rPr>
          <w:sz w:val="20"/>
          <w:szCs w:val="20"/>
          <w:color w:val="auto"/>
        </w:rPr>
      </w:pPr>
      <w:r>
        <w:rPr>
          <w:rFonts w:ascii="Arial" w:cs="Arial" w:eastAsia="Arial" w:hAnsi="Arial"/>
          <w:sz w:val="15"/>
          <w:szCs w:val="15"/>
          <w:b w:val="1"/>
          <w:bCs w:val="1"/>
          <w:color w:val="auto"/>
        </w:rPr>
        <w:t>CONSOLIDATED BALANCE SHEETS</w:t>
      </w:r>
    </w:p>
    <w:p>
      <w:pPr>
        <w:spacing w:after="0" w:line="19"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444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June 30,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88"/>
              </w:rPr>
              <w:t>December 31,</w:t>
            </w:r>
          </w:p>
        </w:tc>
      </w:tr>
      <w:tr>
        <w:trPr>
          <w:trHeight w:val="212"/>
        </w:trPr>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r>
      <w:tr>
        <w:trPr>
          <w:trHeight w:val="195"/>
        </w:trPr>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6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47,448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40,743</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79,804</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95,000</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36,453</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32,567</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39,803</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40,510</w:t>
            </w:r>
          </w:p>
        </w:tc>
      </w:tr>
      <w:tr>
        <w:trPr>
          <w:trHeight w:val="203"/>
        </w:trPr>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42,126</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37,477</w:t>
            </w:r>
          </w:p>
        </w:tc>
      </w:tr>
      <w:tr>
        <w:trPr>
          <w:trHeight w:val="208"/>
        </w:trPr>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7,910</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6,985</w:t>
            </w:r>
          </w:p>
        </w:tc>
      </w:tr>
      <w:tr>
        <w:trPr>
          <w:trHeight w:val="195"/>
        </w:trPr>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253,544</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253,282</w:t>
            </w:r>
          </w:p>
        </w:tc>
      </w:tr>
      <w:tr>
        <w:trPr>
          <w:trHeight w:val="561"/>
        </w:trPr>
        <w:tc>
          <w:tcPr>
            <w:tcW w:w="10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73,687</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95,393</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438</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295</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9,025</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7,781</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24,182</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17,489</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22,859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22,806</w:t>
            </w:r>
          </w:p>
        </w:tc>
      </w:tr>
      <w:tr>
        <w:trPr>
          <w:trHeight w:val="203"/>
        </w:trPr>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2,132</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2,494</w:t>
            </w:r>
          </w:p>
        </w:tc>
      </w:tr>
      <w:tr>
        <w:trPr>
          <w:trHeight w:val="208"/>
        </w:trPr>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5,564</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5,564</w:t>
            </w:r>
          </w:p>
        </w:tc>
      </w:tr>
      <w:tr>
        <w:trPr>
          <w:trHeight w:val="195"/>
        </w:trPr>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138,182</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152,184</w:t>
            </w:r>
          </w:p>
        </w:tc>
      </w:tr>
      <w:tr>
        <w:trPr>
          <w:trHeight w:val="422"/>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391,726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405,466</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-2564130</wp:posOffset>
            </wp:positionV>
            <wp:extent cx="714819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-2321560</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-2078355</wp:posOffset>
            </wp:positionV>
            <wp:extent cx="7148195" cy="121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-1820545</wp:posOffset>
            </wp:positionV>
            <wp:extent cx="7148195"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-1555115</wp:posOffset>
            </wp:positionV>
            <wp:extent cx="7148195" cy="12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-1311910</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-1069340</wp:posOffset>
            </wp:positionV>
            <wp:extent cx="7148195"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-826770</wp:posOffset>
            </wp:positionV>
            <wp:extent cx="7148195"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-583565</wp:posOffset>
            </wp:positionV>
            <wp:extent cx="7148195"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-310515</wp:posOffset>
            </wp:positionV>
            <wp:extent cx="714819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20" w:space="720"/>
            <w:col w:w="7020"/>
          </w:cols>
          <w:pgMar w:left="320" w:top="840" w:right="319" w:bottom="1440" w:gutter="0" w:footer="0" w:header="0"/>
        </w:sectPr>
      </w:pPr>
    </w:p>
    <w:tbl>
      <w:tblPr>
        <w:tblLayout w:type="fixed"/>
        <w:tblInd w:w="0" w:type="dxa"/>
        <w:tblCellMar>
          <w:top w:w="0" w:type="dxa"/>
          <w:left w:w="0" w:type="dxa"/>
          <w:bottom w:w="0" w:type="dxa"/>
          <w:right w:w="0" w:type="dxa"/>
        </w:tblCellMar>
      </w:tblPr>
      <w:tr>
        <w:trPr>
          <w:trHeight w:val="171"/>
        </w:trPr>
        <w:tc>
          <w:tcPr>
            <w:tcW w:w="60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Trade payables</w:t>
            </w:r>
          </w:p>
        </w:tc>
        <w:tc>
          <w:tcPr>
            <w:tcW w:w="2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13,021</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23,449</w:t>
            </w: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Employees and payroll accruals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9,435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9,165</w:t>
            </w: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Deferred revenues and advances from customers</w:t>
            </w: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2,579</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2,688</w:t>
            </w: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4,061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3,902</w:t>
            </w:r>
          </w:p>
        </w:tc>
      </w:tr>
      <w:tr>
        <w:trPr>
          <w:trHeight w:val="207"/>
        </w:trPr>
        <w:tc>
          <w:tcPr>
            <w:tcW w:w="6060" w:type="dxa"/>
            <w:vAlign w:val="bottom"/>
          </w:tcPr>
          <w:p>
            <w:pPr>
              <w:spacing w:after="0"/>
              <w:rPr>
                <w:sz w:val="20"/>
                <w:szCs w:val="20"/>
                <w:color w:val="auto"/>
              </w:rPr>
            </w:pPr>
            <w:r>
              <w:rPr>
                <w:rFonts w:ascii="Arial" w:cs="Arial" w:eastAsia="Arial" w:hAnsi="Arial"/>
                <w:sz w:val="16"/>
                <w:szCs w:val="16"/>
                <w:color w:val="auto"/>
              </w:rPr>
              <w:t>Other payables and accrued expenses</w:t>
            </w: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6,796</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6,373</w:t>
            </w: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35,892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Accrued severance pay</w:t>
            </w: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1,092</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1,035</w:t>
            </w: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19,076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19,231</w:t>
            </w:r>
          </w:p>
        </w:tc>
      </w:tr>
      <w:tr>
        <w:trPr>
          <w:trHeight w:val="207"/>
        </w:trPr>
        <w:tc>
          <w:tcPr>
            <w:tcW w:w="606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1,177</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1,320</w:t>
            </w: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long-term liabilities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21,345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2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334,489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338,303</w:t>
            </w:r>
          </w:p>
        </w:tc>
      </w:tr>
      <w:tr>
        <w:trPr>
          <w:trHeight w:val="191"/>
        </w:trPr>
        <w:tc>
          <w:tcPr>
            <w:tcW w:w="6060" w:type="dxa"/>
            <w:vAlign w:val="bottom"/>
            <w:tcBorders>
              <w:top w:val="single" w:sz="8" w:color="CCEEFF"/>
            </w:tcBorders>
          </w:tcPr>
          <w:p>
            <w:pPr>
              <w:spacing w:after="0"/>
              <w:rPr>
                <w:sz w:val="16"/>
                <w:szCs w:val="16"/>
                <w:color w:val="auto"/>
              </w:rPr>
            </w:pPr>
          </w:p>
        </w:tc>
        <w:tc>
          <w:tcPr>
            <w:tcW w:w="26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3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shareholders’ equity</w:t>
            </w:r>
          </w:p>
        </w:tc>
        <w:tc>
          <w:tcPr>
            <w:tcW w:w="2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391,726</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405,466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type w:val="continuous"/>
        </w:sectPr>
      </w:pPr>
    </w:p>
    <w:bookmarkStart w:id="9" w:name="page10"/>
    <w:bookmarkEnd w:id="9"/>
    <w:p>
      <w:pPr>
        <w:ind w:left="474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Six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6"/>
                <w:szCs w:val="16"/>
                <w:b w:val="1"/>
                <w:bCs w:val="1"/>
                <w:color w:val="auto"/>
                <w:w w:val="87"/>
              </w:rPr>
              <w:t>June 30,</w:t>
            </w: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6"/>
                <w:szCs w:val="16"/>
                <w:b w:val="1"/>
                <w:bCs w:val="1"/>
                <w:color w:val="auto"/>
                <w:w w:val="92"/>
              </w:rPr>
              <w:t>(Unaudited)</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6"/>
                <w:szCs w:val="16"/>
                <w:b w:val="1"/>
                <w:bCs w:val="1"/>
                <w:color w:val="auto"/>
                <w:w w:val="92"/>
              </w:rPr>
              <w:t>(Unaudited)</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5980" w:type="dxa"/>
            <w:vAlign w:val="bottom"/>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54,246</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71,030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31,859</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38,786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80" w:type="dxa"/>
            <w:vAlign w:val="bottom"/>
          </w:tcPr>
          <w:p>
            <w:pPr>
              <w:ind w:left="140"/>
              <w:spacing w:after="0"/>
              <w:rPr>
                <w:sz w:val="20"/>
                <w:szCs w:val="20"/>
                <w:color w:val="auto"/>
              </w:rPr>
            </w:pPr>
            <w:r>
              <w:rPr>
                <w:rFonts w:ascii="Arial" w:cs="Arial" w:eastAsia="Arial" w:hAnsi="Arial"/>
                <w:sz w:val="16"/>
                <w:szCs w:val="16"/>
                <w:color w:val="auto"/>
              </w:rPr>
              <w:t>Services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9,402</w:t>
            </w: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12,893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5,577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63,648</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83,923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37,436</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45,333</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Products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27,086</w:t>
            </w:r>
          </w:p>
        </w:tc>
        <w:tc>
          <w:tcPr>
            <w:tcW w:w="3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34,209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14,930</w:t>
            </w:r>
          </w:p>
        </w:tc>
        <w:tc>
          <w:tcPr>
            <w:tcW w:w="3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17,787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12,736</w:t>
            </w: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98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Total cost of revenues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39,822</w:t>
            </w:r>
          </w:p>
        </w:tc>
        <w:tc>
          <w:tcPr>
            <w:tcW w:w="24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48,100</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21,638</w:t>
            </w:r>
          </w:p>
        </w:tc>
        <w:tc>
          <w:tcPr>
            <w:tcW w:w="22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25,237</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23,826</w:t>
            </w: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35,823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15,798</w:t>
            </w: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20,096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13,524</w:t>
            </w: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10,776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7,041</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5,309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140"/>
              <w:spacing w:after="0"/>
              <w:rPr>
                <w:sz w:val="20"/>
                <w:szCs w:val="20"/>
                <w:color w:val="auto"/>
              </w:rPr>
            </w:pPr>
            <w:r>
              <w:rPr>
                <w:rFonts w:ascii="Arial" w:cs="Arial" w:eastAsia="Arial" w:hAnsi="Arial"/>
                <w:sz w:val="16"/>
                <w:szCs w:val="16"/>
                <w:color w:val="auto"/>
              </w:rPr>
              <w:t>Selling and marketing</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16,788</w:t>
            </w:r>
          </w:p>
        </w:tc>
        <w:tc>
          <w:tcPr>
            <w:tcW w:w="3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16,473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8,291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9,205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11,864</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4,313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42,176</w:t>
            </w:r>
          </w:p>
        </w:tc>
        <w:tc>
          <w:tcPr>
            <w:tcW w:w="24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35,605</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21,126</w:t>
            </w:r>
          </w:p>
        </w:tc>
        <w:tc>
          <w:tcPr>
            <w:tcW w:w="2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18,827</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(18,350)</w:t>
            </w: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(5,328)</w:t>
            </w:r>
          </w:p>
        </w:tc>
        <w:tc>
          <w:tcPr>
            <w:tcW w:w="3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1,269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Financial income,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2,797</w:t>
            </w: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592</w:t>
            </w: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(loss) before taxes on income</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(15,553)</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(4,736)</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Taxes on income (Tax benefit)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(927)</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(164)</w:t>
            </w:r>
          </w:p>
        </w:tc>
        <w:tc>
          <w:tcPr>
            <w:tcW w:w="3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Net income (loss)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(14,626</w:t>
            </w:r>
          </w:p>
        </w:tc>
        <w:tc>
          <w:tcPr>
            <w:tcW w:w="2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(4,572</w:t>
            </w:r>
          </w:p>
        </w:tc>
        <w:tc>
          <w:tcPr>
            <w:tcW w:w="2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tcPr>
          <w:p>
            <w:pPr>
              <w:spacing w:after="0"/>
              <w:rPr>
                <w:sz w:val="20"/>
                <w:szCs w:val="20"/>
                <w:color w:val="auto"/>
              </w:rPr>
            </w:pPr>
            <w:r>
              <w:rPr>
                <w:rFonts w:ascii="Arial" w:cs="Arial" w:eastAsia="Arial" w:hAnsi="Arial"/>
                <w:sz w:val="16"/>
                <w:szCs w:val="16"/>
                <w:b w:val="1"/>
                <w:bCs w:val="1"/>
                <w:color w:val="auto"/>
              </w:rPr>
              <w:t>Basic earnings (losses) per share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line="227" w:lineRule="exact"/>
              <w:rPr>
                <w:sz w:val="20"/>
                <w:szCs w:val="20"/>
                <w:color w:val="auto"/>
              </w:rPr>
            </w:pPr>
            <w:r>
              <w:rPr>
                <w:rFonts w:ascii="Arial" w:cs="Arial" w:eastAsia="Arial" w:hAnsi="Arial"/>
                <w:sz w:val="14"/>
                <w:szCs w:val="14"/>
                <w:color w:val="auto"/>
              </w:rPr>
              <w:t>(0.36</w:t>
            </w:r>
            <w:r>
              <w:rPr>
                <w:rFonts w:ascii="Arial" w:cs="Arial" w:eastAsia="Arial" w:hAnsi="Arial"/>
                <w:sz w:val="26"/>
                <w:szCs w:val="26"/>
                <w:color w:val="auto"/>
                <w:vertAlign w:val="superscript"/>
              </w:rPr>
              <w:t>)</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0"/>
              <w:spacing w:after="0" w:line="227" w:lineRule="exact"/>
              <w:rPr>
                <w:sz w:val="20"/>
                <w:szCs w:val="20"/>
                <w:color w:val="auto"/>
              </w:rPr>
            </w:pPr>
            <w:r>
              <w:rPr>
                <w:rFonts w:ascii="Arial" w:cs="Arial" w:eastAsia="Arial" w:hAnsi="Arial"/>
                <w:sz w:val="14"/>
                <w:szCs w:val="14"/>
                <w:color w:val="auto"/>
              </w:rPr>
              <w:t>(0.11</w:t>
            </w:r>
            <w:r>
              <w:rPr>
                <w:rFonts w:ascii="Arial" w:cs="Arial" w:eastAsia="Arial" w:hAnsi="Arial"/>
                <w:sz w:val="26"/>
                <w:szCs w:val="26"/>
                <w:color w:val="auto"/>
                <w:vertAlign w:val="superscript"/>
              </w:rPr>
              <w:t>)</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tcPr>
          <w:p>
            <w:pPr>
              <w:spacing w:after="0"/>
              <w:rPr>
                <w:sz w:val="20"/>
                <w:szCs w:val="20"/>
                <w:color w:val="auto"/>
              </w:rPr>
            </w:pPr>
            <w:r>
              <w:rPr>
                <w:rFonts w:ascii="Arial" w:cs="Arial" w:eastAsia="Arial" w:hAnsi="Arial"/>
                <w:sz w:val="16"/>
                <w:szCs w:val="16"/>
                <w:color w:val="auto"/>
                <w:w w:val="94"/>
              </w:rPr>
              <w:t>Weighted average number of shares used in computing basic earnings (losses) per share</w:t>
            </w:r>
          </w:p>
        </w:tc>
        <w:tc>
          <w:tcPr>
            <w:tcW w:w="2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40,817,593</w:t>
            </w:r>
          </w:p>
        </w:tc>
        <w:tc>
          <w:tcPr>
            <w:tcW w:w="36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35,547,223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40,872,497</w:t>
            </w:r>
          </w:p>
        </w:tc>
        <w:tc>
          <w:tcPr>
            <w:tcW w:w="34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35,962,455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tcPr>
          <w:p>
            <w:pPr>
              <w:spacing w:after="0"/>
              <w:rPr>
                <w:sz w:val="20"/>
                <w:szCs w:val="20"/>
                <w:color w:val="auto"/>
              </w:rPr>
            </w:pPr>
            <w:r>
              <w:rPr>
                <w:rFonts w:ascii="Arial" w:cs="Arial" w:eastAsia="Arial" w:hAnsi="Arial"/>
                <w:sz w:val="16"/>
                <w:szCs w:val="16"/>
                <w:b w:val="1"/>
                <w:bCs w:val="1"/>
                <w:color w:val="auto"/>
              </w:rPr>
              <w:t>Diluted earnings (losses) per share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line="227" w:lineRule="exact"/>
              <w:rPr>
                <w:sz w:val="20"/>
                <w:szCs w:val="20"/>
                <w:color w:val="auto"/>
              </w:rPr>
            </w:pPr>
            <w:r>
              <w:rPr>
                <w:rFonts w:ascii="Arial" w:cs="Arial" w:eastAsia="Arial" w:hAnsi="Arial"/>
                <w:sz w:val="14"/>
                <w:szCs w:val="14"/>
                <w:color w:val="auto"/>
              </w:rPr>
              <w:t>(0.36</w:t>
            </w:r>
            <w:r>
              <w:rPr>
                <w:rFonts w:ascii="Arial" w:cs="Arial" w:eastAsia="Arial" w:hAnsi="Arial"/>
                <w:sz w:val="26"/>
                <w:szCs w:val="26"/>
                <w:color w:val="auto"/>
                <w:vertAlign w:val="superscript"/>
              </w:rPr>
              <w:t>)</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0"/>
              <w:spacing w:after="0" w:line="227" w:lineRule="exact"/>
              <w:rPr>
                <w:sz w:val="20"/>
                <w:szCs w:val="20"/>
                <w:color w:val="auto"/>
              </w:rPr>
            </w:pPr>
            <w:r>
              <w:rPr>
                <w:rFonts w:ascii="Arial" w:cs="Arial" w:eastAsia="Arial" w:hAnsi="Arial"/>
                <w:sz w:val="14"/>
                <w:szCs w:val="14"/>
                <w:color w:val="auto"/>
              </w:rPr>
              <w:t>(0.11</w:t>
            </w:r>
            <w:r>
              <w:rPr>
                <w:rFonts w:ascii="Arial" w:cs="Arial" w:eastAsia="Arial" w:hAnsi="Arial"/>
                <w:sz w:val="26"/>
                <w:szCs w:val="26"/>
                <w:color w:val="auto"/>
                <w:vertAlign w:val="superscript"/>
              </w:rPr>
              <w:t>)</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tcPr>
          <w:p>
            <w:pPr>
              <w:spacing w:after="0"/>
              <w:rPr>
                <w:sz w:val="20"/>
                <w:szCs w:val="20"/>
                <w:color w:val="auto"/>
              </w:rPr>
            </w:pPr>
            <w:r>
              <w:rPr>
                <w:rFonts w:ascii="Arial" w:cs="Arial" w:eastAsia="Arial" w:hAnsi="Arial"/>
                <w:sz w:val="16"/>
                <w:szCs w:val="16"/>
                <w:color w:val="auto"/>
                <w:w w:val="92"/>
              </w:rPr>
              <w:t>Weighted average number of shares used in computing diluted earnings (losses) per share</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40,817,593</w:t>
            </w:r>
          </w:p>
        </w:tc>
        <w:tc>
          <w:tcPr>
            <w:tcW w:w="3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36,767,656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40,872,497</w:t>
            </w:r>
          </w:p>
        </w:tc>
        <w:tc>
          <w:tcPr>
            <w:tcW w:w="3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37,287,748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 w:name="page11"/>
    <w:bookmarkEnd w:id="10"/>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RECONCILATION OF GAAP TO NON-GAAP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 except share and per share data)</w:t>
      </w:r>
    </w:p>
    <w:p>
      <w:pPr>
        <w:sectPr>
          <w:pgSz w:w="11900" w:h="16927" w:orient="portrait"/>
          <w:cols w:equalWidth="0" w:num="1">
            <w:col w:w="11260"/>
          </w:cols>
          <w:pgMar w:left="320" w:top="816" w:right="319" w:bottom="0" w:gutter="0" w:footer="0" w:header="0"/>
        </w:sectPr>
      </w:pPr>
    </w:p>
    <w:p>
      <w:pPr>
        <w:spacing w:after="0" w:line="182"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Six Months Ended</w:t>
      </w:r>
    </w:p>
    <w:p>
      <w:pPr>
        <w:spacing w:after="0" w:line="24"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8" w:lineRule="exact"/>
        <w:rPr>
          <w:sz w:val="20"/>
          <w:szCs w:val="20"/>
          <w:color w:val="auto"/>
        </w:rPr>
      </w:pPr>
    </w:p>
    <w:p>
      <w:pPr>
        <w:ind w:left="6380"/>
        <w:spacing w:after="0"/>
        <w:tabs>
          <w:tab w:leader="none" w:pos="77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29845</wp:posOffset>
            </wp:positionV>
            <wp:extent cx="159321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34"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15240</wp:posOffset>
            </wp:positionV>
            <wp:extent cx="159321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8" w:lineRule="exact"/>
        <w:rPr>
          <w:sz w:val="20"/>
          <w:szCs w:val="20"/>
          <w:color w:val="auto"/>
        </w:rPr>
      </w:pPr>
    </w:p>
    <w:p>
      <w:pPr>
        <w:spacing w:after="0"/>
        <w:tabs>
          <w:tab w:leader="none" w:pos="132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36830</wp:posOffset>
            </wp:positionV>
            <wp:extent cx="154813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15240</wp:posOffset>
            </wp:positionV>
            <wp:extent cx="154813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00" w:lineRule="exact"/>
        <w:rPr>
          <w:sz w:val="20"/>
          <w:szCs w:val="20"/>
          <w:color w:val="auto"/>
        </w:rPr>
      </w:pPr>
    </w:p>
    <w:p>
      <w:pPr>
        <w:sectPr>
          <w:pgSz w:w="11900" w:h="16927" w:orient="portrait"/>
          <w:cols w:equalWidth="0" w:num="2">
            <w:col w:w="8380" w:space="720"/>
            <w:col w:w="2160"/>
          </w:cols>
          <w:pgMar w:left="320" w:top="816" w:right="31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cost of revenues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39,822</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48,100</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21,638</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25,237</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Cost of product recorded for 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(491)</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(277)</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 recorded for 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Intangible assets amortization on cost of product (3)</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Excess cost of product on acquired inventory (a)</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(2,790)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COVID-19 one time impact (4)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(446)</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cost of revenues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38,475</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44,765</w:t>
            </w: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20,924</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23,731</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GAAP gross profit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23,826</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35,823</w:t>
            </w: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15,798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20,096</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Gross profit adjustments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1,347</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714</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gross profit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25,173</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39,158</w:t>
            </w: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16,512</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21,602</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GAAP operating expenses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42,176</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35,605</w:t>
            </w: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21,126</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18,827</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(3,779)</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(2,276)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(2,035)</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(251)</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COVID-19 one time impact (4)</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38,215</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32,964</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19,055</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17,450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Financial income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2,797</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545</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592</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Foreign exchange losses associated with ASC 842</w:t>
            </w: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(82)</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528</w:t>
            </w: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Financial income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2,715</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Taxes on income (Tax benefit)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(927)</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(164)</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Tax effect on to the above non-GAAP adjustments</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(180)</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871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(98)</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 benefit (b)</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1,015</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Taxes on income (Tax benefit)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(92</w:t>
            </w:r>
          </w:p>
        </w:tc>
        <w:tc>
          <w:tcPr>
            <w:tcW w:w="240" w:type="dxa"/>
            <w:vAlign w:val="bottom"/>
            <w:vMerge w:val="continue"/>
          </w:tcPr>
          <w:p>
            <w:pPr>
              <w:spacing w:after="0"/>
              <w:rPr>
                <w:sz w:val="21"/>
                <w:szCs w:val="21"/>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(93</w:t>
            </w:r>
          </w:p>
        </w:tc>
        <w:tc>
          <w:tcPr>
            <w:tcW w:w="22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GAAP net income (loss)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(14,626)</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743</w:t>
            </w: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(4,572)</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4,630</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1,443</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301</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141</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COVID-19 one time impact (4)</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377</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Excess cost of product on acquired inventory (a)</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Foreign exchange losses associated with ASC 842</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(82)</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538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528</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 effect on to the above non-GAAP adjustments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Deferred taxes on income (Tax benefit) (b)</w:t>
            </w: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(1,015)</w:t>
            </w:r>
          </w:p>
        </w:tc>
        <w:tc>
          <w:tcPr>
            <w:tcW w:w="2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(460)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(169)</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net income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(10,235</w:t>
            </w:r>
          </w:p>
        </w:tc>
        <w:tc>
          <w:tcPr>
            <w:tcW w:w="2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2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4,312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diluted earnings (losses)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line="227" w:lineRule="exact"/>
              <w:rPr>
                <w:sz w:val="20"/>
                <w:szCs w:val="20"/>
                <w:color w:val="auto"/>
              </w:rPr>
            </w:pPr>
            <w:r>
              <w:rPr>
                <w:rFonts w:ascii="Arial" w:cs="Arial" w:eastAsia="Arial" w:hAnsi="Arial"/>
                <w:sz w:val="14"/>
                <w:szCs w:val="14"/>
                <w:color w:val="auto"/>
              </w:rPr>
              <w:t>(0.36</w:t>
            </w:r>
            <w:r>
              <w:rPr>
                <w:rFonts w:ascii="Arial" w:cs="Arial" w:eastAsia="Arial" w:hAnsi="Arial"/>
                <w:sz w:val="26"/>
                <w:szCs w:val="26"/>
                <w:color w:val="auto"/>
                <w:vertAlign w:val="superscript"/>
              </w:rPr>
              <w: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0.02</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line="227" w:lineRule="exact"/>
              <w:rPr>
                <w:sz w:val="20"/>
                <w:szCs w:val="20"/>
                <w:color w:val="auto"/>
              </w:rPr>
            </w:pPr>
            <w:r>
              <w:rPr>
                <w:rFonts w:ascii="Arial" w:cs="Arial" w:eastAsia="Arial" w:hAnsi="Arial"/>
                <w:sz w:val="14"/>
                <w:szCs w:val="14"/>
                <w:color w:val="auto"/>
              </w:rPr>
              <w:t>(0.11</w:t>
            </w:r>
            <w:r>
              <w:rPr>
                <w:rFonts w:ascii="Arial" w:cs="Arial" w:eastAsia="Arial" w:hAnsi="Arial"/>
                <w:sz w:val="26"/>
                <w:szCs w:val="26"/>
                <w:color w:val="auto"/>
                <w:vertAlign w:val="superscript"/>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(losses)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line="227" w:lineRule="exact"/>
              <w:rPr>
                <w:sz w:val="20"/>
                <w:szCs w:val="20"/>
                <w:color w:val="auto"/>
              </w:rPr>
            </w:pPr>
            <w:r>
              <w:rPr>
                <w:rFonts w:ascii="Arial" w:cs="Arial" w:eastAsia="Arial" w:hAnsi="Arial"/>
                <w:sz w:val="14"/>
                <w:szCs w:val="14"/>
                <w:color w:val="auto"/>
              </w:rPr>
              <w:t>(0.25</w:t>
            </w:r>
            <w:r>
              <w:rPr>
                <w:rFonts w:ascii="Arial" w:cs="Arial" w:eastAsia="Arial" w:hAnsi="Arial"/>
                <w:sz w:val="26"/>
                <w:szCs w:val="26"/>
                <w:color w:val="auto"/>
                <w:vertAlign w:val="superscript"/>
              </w:rPr>
              <w: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0.16</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line="227" w:lineRule="exact"/>
              <w:rPr>
                <w:sz w:val="20"/>
                <w:szCs w:val="20"/>
                <w:color w:val="auto"/>
              </w:rPr>
            </w:pPr>
            <w:r>
              <w:rPr>
                <w:rFonts w:ascii="Arial" w:cs="Arial" w:eastAsia="Arial" w:hAnsi="Arial"/>
                <w:sz w:val="14"/>
                <w:szCs w:val="14"/>
                <w:color w:val="auto"/>
              </w:rPr>
              <w:t>(0.03</w:t>
            </w:r>
            <w:r>
              <w:rPr>
                <w:rFonts w:ascii="Arial" w:cs="Arial" w:eastAsia="Arial" w:hAnsi="Arial"/>
                <w:sz w:val="26"/>
                <w:szCs w:val="26"/>
                <w:color w:val="auto"/>
                <w:vertAlign w:val="superscript"/>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GAAP diluted net earnings (losses)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40,817,593</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36,767,656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40,872,497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37,287,748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Non-GAAP diluted net earnings (losses)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40,817,593</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36,976,062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40,872,497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37,532,617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(1) 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491</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277</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780</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436</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1,381</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7"/>
        </w:trPr>
        <w:tc>
          <w:tcPr>
            <w:tcW w:w="59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1,618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859</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1"/>
        </w:trPr>
        <w:tc>
          <w:tcPr>
            <w:tcW w:w="59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(2) Acquisition related expenses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product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Selling and marketing</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9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85</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(3) Intangible assets amortization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and marketing</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251</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88"/>
        </w:trPr>
        <w:tc>
          <w:tcPr>
            <w:tcW w:w="59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24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927" w:orient="portrait"/>
          <w:cols w:equalWidth="0" w:num="1">
            <w:col w:w="11260"/>
          </w:cols>
          <w:pgMar w:left="320" w:top="816" w:right="319" w:bottom="0" w:gutter="0" w:footer="0" w:header="0"/>
          <w:type w:val="continuous"/>
        </w:sectPr>
      </w:pPr>
    </w:p>
    <w:bookmarkStart w:id="11" w:name="page12"/>
    <w:bookmarkEnd w:id="1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(4) COVID-19 one time impact</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product revenues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Cost of service revenues</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Selling and marketing</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223"/>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r>
      <w:tr>
        <w:trPr>
          <w:trHeight w:val="179"/>
        </w:trPr>
        <w:tc>
          <w:tcPr>
            <w:tcW w:w="598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377</w:t>
            </w: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122</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r>
    </w:tbl>
    <w:p>
      <w:pPr>
        <w:spacing w:after="0" w:line="179" w:lineRule="exact"/>
        <w:rPr>
          <w:sz w:val="20"/>
          <w:szCs w:val="20"/>
          <w:color w:val="auto"/>
        </w:rPr>
      </w:pPr>
    </w:p>
    <w:p>
      <w:pPr>
        <w:ind w:left="284" w:right="420" w:hanging="284"/>
        <w:spacing w:after="0" w:line="274" w:lineRule="auto"/>
        <w:tabs>
          <w:tab w:leader="none" w:pos="284"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Consists of charges to cost of revenues for the difference between the higher carrying cost of the acquired inventory from a distributor purchased on February 8, 2019 which was recorded at fair value and the standard cost of the Company’s inventory, which adversely impacts the Company’s gross profit.</w:t>
      </w:r>
    </w:p>
    <w:p>
      <w:pPr>
        <w:spacing w:after="0" w:line="1" w:lineRule="exact"/>
        <w:rPr>
          <w:rFonts w:ascii="Arial" w:cs="Arial" w:eastAsia="Arial" w:hAnsi="Arial"/>
          <w:sz w:val="15"/>
          <w:szCs w:val="15"/>
          <w:color w:val="auto"/>
        </w:rPr>
      </w:pPr>
    </w:p>
    <w:p>
      <w:pPr>
        <w:ind w:left="284" w:hanging="284"/>
        <w:spacing w:after="0"/>
        <w:tabs>
          <w:tab w:leader="none" w:pos="284"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 cash impact related to the recognition of deferred taxes with respect to carryforward losses in Israel.</w:t>
      </w:r>
    </w:p>
    <w:p>
      <w:pPr>
        <w:spacing w:after="0" w:line="370"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0" w:right="3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Six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87"/>
              </w:rPr>
              <w:t>June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6"/>
                <w:szCs w:val="16"/>
                <w:b w:val="1"/>
                <w:bCs w:val="1"/>
                <w:color w:val="auto"/>
                <w:w w:val="92"/>
              </w:rPr>
              <w:t>(Unaudited)</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6"/>
                <w:szCs w:val="16"/>
                <w:b w:val="1"/>
                <w:bCs w:val="1"/>
                <w:color w:val="auto"/>
                <w:w w:val="92"/>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542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(14,626)</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(4,572)</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w w:val="95"/>
              </w:rPr>
              <w:t>Adjustments to reconcile net income to net cash provided by operating activities: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2,196</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Fair value of warrants deducted from revenues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1,406</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841</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4,630</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1,443</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Amortization of discount on marketable securities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165</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Realized gain on sale of marketable securities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(102)</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Decrease (increase) in trade receivables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616</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(12,163)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(6,769)</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(8,022)</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Decrease (increase) in other receivables and prepaid expenses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(844)</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Decrease (increase) in inventory</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(5,205)</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4,298</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Decrease (increase) in operating leases right-of-use assets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Decrease (increase) in deferred taxes, net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(1,384)</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(278)</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Decrease (increase) in other long term assets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Increase (decrease) in trade payables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(9,891)</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3,782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(8,387)</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Increase (decrease) in operating lease liabilities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Increase (decrease) in employees and payroll accruals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335</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(783)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688</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Decrease in deferred revenues and advances from customers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(107)</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(1,774)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Increase in other payables and accrued expenses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432</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952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792</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Increase in accrued severance pay, net</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Decrease in other long term liabilities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(143)</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Loss from sale and disposal of property and Equipment</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420" w:type="dxa"/>
            <w:vAlign w:val="bottom"/>
            <w:gridSpan w:val="3"/>
          </w:tcPr>
          <w:p>
            <w:pPr>
              <w:spacing w:after="0" w:line="179" w:lineRule="exact"/>
              <w:rPr>
                <w:sz w:val="20"/>
                <w:szCs w:val="20"/>
                <w:color w:val="auto"/>
              </w:rPr>
            </w:pPr>
            <w:r>
              <w:rPr>
                <w:rFonts w:ascii="Arial" w:cs="Arial" w:eastAsia="Arial" w:hAnsi="Arial"/>
                <w:sz w:val="16"/>
                <w:szCs w:val="16"/>
                <w:color w:val="auto"/>
                <w:w w:val="93"/>
              </w:rPr>
              <w:t>Foreign currency translation income (loss) on inter company balances with foreign</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420" w:type="dxa"/>
            <w:vAlign w:val="bottom"/>
            <w:gridSpan w:val="3"/>
          </w:tcPr>
          <w:p>
            <w:pPr>
              <w:ind w:left="140"/>
              <w:spacing w:after="0"/>
              <w:rPr>
                <w:sz w:val="20"/>
                <w:szCs w:val="20"/>
                <w:color w:val="auto"/>
              </w:rPr>
            </w:pPr>
            <w:r>
              <w:rPr>
                <w:rFonts w:ascii="Arial" w:cs="Arial" w:eastAsia="Arial" w:hAnsi="Arial"/>
                <w:sz w:val="16"/>
                <w:szCs w:val="16"/>
                <w:color w:val="auto"/>
              </w:rPr>
              <w:t>subsidiaries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183</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(127)</w:t>
            </w:r>
          </w:p>
        </w:tc>
        <w:tc>
          <w:tcPr>
            <w:tcW w:w="3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tcPr>
          <w:p>
            <w:pPr>
              <w:spacing w:after="0"/>
              <w:rPr>
                <w:sz w:val="20"/>
                <w:szCs w:val="20"/>
                <w:color w:val="auto"/>
              </w:rPr>
            </w:pPr>
            <w:r>
              <w:rPr>
                <w:rFonts w:ascii="Arial" w:cs="Arial" w:eastAsia="Arial" w:hAnsi="Arial"/>
                <w:sz w:val="16"/>
                <w:szCs w:val="16"/>
                <w:color w:val="auto"/>
              </w:rPr>
              <w:t>Net cash used in operating activities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(22,332)</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(3,936)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(9,209)</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(4,382)</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420" w:type="dxa"/>
            <w:vAlign w:val="bottom"/>
            <w:gridSpan w:val="3"/>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Purchase of property and equipment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(8,511)</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(1,964)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(4,936)</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5"/>
              </w:rPr>
              <w:t>Acquisition of intangible assets and capitalization of software development costs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(121)</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Proceeds from sale of property and equipment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paid in connection with acquisition</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(4,715)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Decrease (increase) in bank deposits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15,196</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(77,000)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1,346</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(68,000)</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 of marketable securities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20,802</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30,445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29,807</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Proceeds from maturity of marketable securities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17,445</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5,343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 of marketable securities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(18,542)</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(44,599)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(9,801)</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0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26,273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(97,983)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(8,088)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(40,153)</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0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42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secondary offering, net</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130,379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130,379</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Exercise of employee stock options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2,804</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2,269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1,236</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Payments related to shares withheld for taxes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tcPr>
          <w:p>
            <w:pPr>
              <w:spacing w:after="0"/>
              <w:rPr>
                <w:sz w:val="20"/>
                <w:szCs w:val="20"/>
                <w:color w:val="auto"/>
              </w:rPr>
            </w:pPr>
            <w:r>
              <w:rPr>
                <w:rFonts w:ascii="Arial" w:cs="Arial" w:eastAsia="Arial" w:hAnsi="Arial"/>
                <w:sz w:val="16"/>
                <w:szCs w:val="16"/>
                <w:color w:val="auto"/>
              </w:rPr>
              <w:t>Payment of contingent consideration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tcPr>
          <w:p>
            <w:pPr>
              <w:spacing w:after="0"/>
              <w:rPr>
                <w:sz w:val="20"/>
                <w:szCs w:val="20"/>
                <w:color w:val="auto"/>
              </w:rPr>
            </w:pPr>
            <w:r>
              <w:rPr>
                <w:rFonts w:ascii="Arial" w:cs="Arial" w:eastAsia="Arial" w:hAnsi="Arial"/>
                <w:sz w:val="16"/>
                <w:szCs w:val="16"/>
                <w:color w:val="auto"/>
              </w:rPr>
              <w:t>Net cash provided by financing activities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2,740</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132,345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131,504</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tcPr>
          <w:p>
            <w:pPr>
              <w:spacing w:after="0"/>
              <w:rPr>
                <w:sz w:val="20"/>
                <w:szCs w:val="20"/>
                <w:color w:val="auto"/>
              </w:rPr>
            </w:pPr>
            <w:r>
              <w:rPr>
                <w:rFonts w:ascii="Arial" w:cs="Arial" w:eastAsia="Arial" w:hAnsi="Arial"/>
                <w:sz w:val="16"/>
                <w:szCs w:val="16"/>
                <w:color w:val="auto"/>
              </w:rPr>
              <w:t>Foreign currency translation adjustments on cash and cash equivalents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24</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Increase (decrease) in cash and cash equivalents</w:t>
            </w:r>
          </w:p>
        </w:tc>
        <w:tc>
          <w:tcPr>
            <w:tcW w:w="5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30,418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(16,029)</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86,991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20" w:type="dxa"/>
            <w:vAlign w:val="bottom"/>
            <w:gridSpan w:val="3"/>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40,743</w:t>
            </w:r>
          </w:p>
        </w:tc>
        <w:tc>
          <w:tcPr>
            <w:tcW w:w="3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74,132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63,477</w:t>
            </w:r>
          </w:p>
        </w:tc>
        <w:tc>
          <w:tcPr>
            <w:tcW w:w="3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17,559</w:t>
            </w:r>
          </w:p>
        </w:tc>
        <w:tc>
          <w:tcPr>
            <w:tcW w:w="0" w:type="dxa"/>
            <w:vAlign w:val="bottom"/>
          </w:tcPr>
          <w:p>
            <w:pPr>
              <w:spacing w:after="0"/>
              <w:rPr>
                <w:sz w:val="1"/>
                <w:szCs w:val="1"/>
                <w:color w:val="auto"/>
              </w:rPr>
            </w:pPr>
          </w:p>
        </w:tc>
      </w:tr>
      <w:tr>
        <w:trPr>
          <w:trHeight w:val="24"/>
        </w:trPr>
        <w:tc>
          <w:tcPr>
            <w:tcW w:w="542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Cash and cash equivalents at the end of the period</w:t>
            </w:r>
          </w:p>
        </w:tc>
        <w:tc>
          <w:tcPr>
            <w:tcW w:w="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420" w:type="dxa"/>
            <w:vAlign w:val="bottom"/>
            <w:gridSpan w:val="3"/>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47,448</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104,550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47,448</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104,550</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 of property and equipment on credit</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384</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Inventory transferred to be used as property and equipment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511</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214</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Property and equipment transferred to be used as inventory</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Issuance expenses on credit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Receipt on account of shares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Arial" w:cs="Arial" w:eastAsia="Arial" w:hAnsi="Arial"/>
                <w:sz w:val="16"/>
                <w:szCs w:val="16"/>
                <w:color w:val="auto"/>
              </w:rPr>
              <w:t>Lease liabilities arising from obtaining right-of-use assets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2,187</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267</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Capitalization of software development costs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77"/>
        </w:trPr>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205" w:gutter="0" w:footer="0" w:header="0"/>
        </w:sectPr>
      </w:pPr>
    </w:p>
    <w:bookmarkStart w:id="13" w:name="page14"/>
    <w:bookmarkEnd w:id="13"/>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143510</wp:posOffset>
            </wp:positionV>
            <wp:extent cx="7203440" cy="4211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8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218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03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20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4211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917"/>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2020-08-11T15:33:27Z</dcterms:created>
  <dcterms:modified xsi:type="dcterms:W3CDTF">2020-08-11T15:33:27Z</dcterms:modified>
</cp:coreProperties>
</file>