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19"/>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72390</wp:posOffset>
            </wp:positionH>
            <wp:positionV relativeFrom="page">
              <wp:posOffset>72390</wp:posOffset>
            </wp:positionV>
            <wp:extent cx="762508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108585</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46" w:lineRule="exact"/>
        <w:rPr>
          <w:sz w:val="24"/>
          <w:szCs w:val="24"/>
          <w:color w:val="auto"/>
        </w:rPr>
      </w:pPr>
    </w:p>
    <w:p>
      <w:pPr>
        <w:jc w:val="center"/>
        <w:ind w:right="-1319"/>
        <w:spacing w:after="0"/>
        <w:rPr>
          <w:sz w:val="20"/>
          <w:szCs w:val="20"/>
          <w:color w:val="auto"/>
        </w:rPr>
      </w:pPr>
      <w:r>
        <w:rPr>
          <w:rFonts w:ascii="Arial" w:cs="Arial" w:eastAsia="Arial" w:hAnsi="Arial"/>
          <w:sz w:val="30"/>
          <w:szCs w:val="30"/>
          <w:b w:val="1"/>
          <w:bCs w:val="1"/>
          <w:color w:val="auto"/>
        </w:rPr>
        <w:t>SECURITIES AND EXCHANGE COMMISSION</w:t>
      </w:r>
    </w:p>
    <w:p>
      <w:pPr>
        <w:spacing w:after="0" w:line="8" w:lineRule="exact"/>
        <w:rPr>
          <w:sz w:val="24"/>
          <w:szCs w:val="24"/>
          <w:color w:val="auto"/>
        </w:rPr>
      </w:pPr>
    </w:p>
    <w:p>
      <w:pPr>
        <w:jc w:val="center"/>
        <w:ind w:right="-1319"/>
        <w:spacing w:after="0"/>
        <w:rPr>
          <w:sz w:val="20"/>
          <w:szCs w:val="20"/>
          <w:color w:val="auto"/>
        </w:rPr>
      </w:pPr>
      <w:r>
        <w:rPr>
          <w:rFonts w:ascii="Arial" w:cs="Arial" w:eastAsia="Arial" w:hAnsi="Arial"/>
          <w:sz w:val="23"/>
          <w:szCs w:val="23"/>
          <w:b w:val="1"/>
          <w:bCs w:val="1"/>
          <w:color w:val="auto"/>
        </w:rPr>
        <w:t>Washington, D.C. 20549</w:t>
      </w:r>
    </w:p>
    <w:p>
      <w:pPr>
        <w:spacing w:after="0" w:line="190" w:lineRule="exact"/>
        <w:rPr>
          <w:sz w:val="24"/>
          <w:szCs w:val="24"/>
          <w:color w:val="auto"/>
        </w:rPr>
      </w:pPr>
    </w:p>
    <w:p>
      <w:pPr>
        <w:jc w:val="center"/>
        <w:ind w:right="-1319"/>
        <w:spacing w:after="0"/>
        <w:rPr>
          <w:sz w:val="20"/>
          <w:szCs w:val="20"/>
          <w:color w:val="auto"/>
        </w:rPr>
      </w:pPr>
      <w:r>
        <w:rPr>
          <w:rFonts w:ascii="Arial" w:cs="Arial" w:eastAsia="Arial" w:hAnsi="Arial"/>
          <w:sz w:val="30"/>
          <w:szCs w:val="30"/>
          <w:b w:val="1"/>
          <w:bCs w:val="1"/>
          <w:color w:val="auto"/>
        </w:rPr>
        <w:t>FORM 6-K</w:t>
      </w:r>
    </w:p>
    <w:p>
      <w:pPr>
        <w:spacing w:after="0" w:line="254"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REPORT OF FOREIGN PRIVATE ISSUER</w:t>
      </w:r>
    </w:p>
    <w:p>
      <w:pPr>
        <w:spacing w:after="0" w:line="29"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PURSUANT TO RULE 13a-16 OR 15d-16 OF</w:t>
      </w:r>
    </w:p>
    <w:p>
      <w:pPr>
        <w:spacing w:after="0" w:line="10"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THE SECURITIES EXCHANGE ACT OF 1934</w:t>
      </w:r>
    </w:p>
    <w:p>
      <w:pPr>
        <w:spacing w:after="0" w:line="219" w:lineRule="exact"/>
        <w:rPr>
          <w:sz w:val="24"/>
          <w:szCs w:val="24"/>
          <w:color w:val="auto"/>
        </w:rPr>
      </w:pPr>
    </w:p>
    <w:p>
      <w:pPr>
        <w:jc w:val="center"/>
        <w:ind w:right="-1319"/>
        <w:spacing w:after="0"/>
        <w:rPr>
          <w:sz w:val="20"/>
          <w:szCs w:val="20"/>
          <w:color w:val="auto"/>
        </w:rPr>
      </w:pPr>
      <w:r>
        <w:rPr>
          <w:rFonts w:ascii="Arial" w:cs="Arial" w:eastAsia="Arial" w:hAnsi="Arial"/>
          <w:sz w:val="19"/>
          <w:szCs w:val="19"/>
          <w:color w:val="auto"/>
        </w:rPr>
        <w:t xml:space="preserve">For the month of </w:t>
      </w:r>
      <w:r>
        <w:rPr>
          <w:rFonts w:ascii="Arial" w:cs="Arial" w:eastAsia="Arial" w:hAnsi="Arial"/>
          <w:sz w:val="19"/>
          <w:szCs w:val="19"/>
          <w:b w:val="1"/>
          <w:bCs w:val="1"/>
          <w:color w:val="auto"/>
        </w:rPr>
        <w:t>February 2019</w:t>
      </w:r>
    </w:p>
    <w:p>
      <w:pPr>
        <w:spacing w:after="0" w:line="238" w:lineRule="exact"/>
        <w:rPr>
          <w:sz w:val="24"/>
          <w:szCs w:val="24"/>
          <w:color w:val="auto"/>
        </w:rPr>
      </w:pPr>
    </w:p>
    <w:p>
      <w:pPr>
        <w:jc w:val="center"/>
        <w:ind w:right="-1319"/>
        <w:spacing w:after="0"/>
        <w:rPr>
          <w:sz w:val="20"/>
          <w:szCs w:val="20"/>
          <w:color w:val="auto"/>
        </w:rPr>
      </w:pPr>
      <w:r>
        <w:rPr>
          <w:rFonts w:ascii="Arial" w:cs="Arial" w:eastAsia="Arial" w:hAnsi="Arial"/>
          <w:sz w:val="19"/>
          <w:szCs w:val="19"/>
          <w:color w:val="auto"/>
        </w:rPr>
        <w:t xml:space="preserve">Commission File Number </w:t>
      </w:r>
      <w:r>
        <w:rPr>
          <w:rFonts w:ascii="Arial" w:cs="Arial" w:eastAsia="Arial" w:hAnsi="Arial"/>
          <w:sz w:val="19"/>
          <w:szCs w:val="19"/>
          <w:b w:val="1"/>
          <w:bCs w:val="1"/>
          <w:color w:val="auto"/>
        </w:rPr>
        <w:t>001-36903</w:t>
      </w:r>
    </w:p>
    <w:p>
      <w:pPr>
        <w:spacing w:after="0" w:line="224" w:lineRule="exact"/>
        <w:rPr>
          <w:sz w:val="24"/>
          <w:szCs w:val="24"/>
          <w:color w:val="auto"/>
        </w:rPr>
      </w:pPr>
    </w:p>
    <w:p>
      <w:pPr>
        <w:jc w:val="center"/>
        <w:ind w:right="-1319"/>
        <w:spacing w:after="0"/>
        <w:rPr>
          <w:sz w:val="20"/>
          <w:szCs w:val="20"/>
          <w:color w:val="auto"/>
        </w:rPr>
      </w:pPr>
      <w:r>
        <w:rPr>
          <w:rFonts w:ascii="Arial" w:cs="Arial" w:eastAsia="Arial" w:hAnsi="Arial"/>
          <w:sz w:val="30"/>
          <w:szCs w:val="30"/>
          <w:b w:val="1"/>
          <w:bCs w:val="1"/>
          <w:color w:val="auto"/>
        </w:rPr>
        <w:t>KORNIT DIGITAL LTD.</w:t>
      </w:r>
    </w:p>
    <w:p>
      <w:pPr>
        <w:spacing w:after="0" w:line="47" w:lineRule="exact"/>
        <w:rPr>
          <w:sz w:val="24"/>
          <w:szCs w:val="24"/>
          <w:color w:val="auto"/>
        </w:rPr>
      </w:pPr>
    </w:p>
    <w:p>
      <w:pPr>
        <w:jc w:val="center"/>
        <w:ind w:right="-1319"/>
        <w:spacing w:after="0"/>
        <w:rPr>
          <w:sz w:val="20"/>
          <w:szCs w:val="20"/>
          <w:color w:val="auto"/>
        </w:rPr>
      </w:pPr>
      <w:r>
        <w:rPr>
          <w:rFonts w:ascii="Arial" w:cs="Arial" w:eastAsia="Arial" w:hAnsi="Arial"/>
          <w:sz w:val="19"/>
          <w:szCs w:val="19"/>
          <w:color w:val="auto"/>
        </w:rPr>
        <w:t>(Translation of Registrant’s name into English)</w:t>
      </w:r>
    </w:p>
    <w:p>
      <w:pPr>
        <w:spacing w:after="0" w:line="216"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12 Ha’Amal Street</w:t>
      </w:r>
    </w:p>
    <w:p>
      <w:pPr>
        <w:spacing w:after="0" w:line="29"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Park Afek</w:t>
      </w:r>
    </w:p>
    <w:p>
      <w:pPr>
        <w:spacing w:after="0" w:line="10"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Rosh Ha’Ayin 4824096 Israel</w:t>
      </w:r>
    </w:p>
    <w:p>
      <w:pPr>
        <w:spacing w:after="0" w:line="10" w:lineRule="exact"/>
        <w:rPr>
          <w:sz w:val="24"/>
          <w:szCs w:val="24"/>
          <w:color w:val="auto"/>
        </w:rPr>
      </w:pPr>
    </w:p>
    <w:p>
      <w:pPr>
        <w:jc w:val="center"/>
        <w:ind w:right="-1319"/>
        <w:spacing w:after="0"/>
        <w:rPr>
          <w:sz w:val="20"/>
          <w:szCs w:val="20"/>
          <w:color w:val="auto"/>
        </w:rPr>
      </w:pPr>
      <w:r>
        <w:rPr>
          <w:rFonts w:ascii="Arial" w:cs="Arial" w:eastAsia="Arial" w:hAnsi="Arial"/>
          <w:sz w:val="19"/>
          <w:szCs w:val="19"/>
          <w:color w:val="auto"/>
        </w:rPr>
        <w:t>(Address of Principal Executive Office)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14" w:lineRule="exact"/>
        <w:rPr>
          <w:sz w:val="24"/>
          <w:szCs w:val="24"/>
          <w:color w:val="auto"/>
        </w:rPr>
      </w:pPr>
    </w:p>
    <w:p>
      <w:pPr>
        <w:ind w:left="4800"/>
        <w:spacing w:after="0" w:line="219" w:lineRule="exact"/>
        <w:tabs>
          <w:tab w:leader="none" w:pos="6140" w:val="left"/>
        </w:tabs>
        <w:rPr>
          <w:sz w:val="20"/>
          <w:szCs w:val="20"/>
          <w:color w:val="auto"/>
        </w:rPr>
      </w:pPr>
      <w:r>
        <w:rPr>
          <w:rFonts w:ascii="Arial" w:cs="Arial" w:eastAsia="Arial" w:hAnsi="Arial"/>
          <w:sz w:val="19"/>
          <w:szCs w:val="19"/>
          <w:color w:val="auto"/>
        </w:rPr>
        <w:t xml:space="preserve">Form 20-F </w:t>
      </w:r>
      <w:r>
        <w:rPr>
          <w:rFonts w:ascii="MS PGothic" w:cs="MS PGothic" w:eastAsia="MS PGothic" w:hAnsi="MS PGothic"/>
          <w:sz w:val="19"/>
          <w:szCs w:val="19"/>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3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6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215265</wp:posOffset>
            </wp:positionV>
            <wp:extent cx="762508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668020</wp:posOffset>
            </wp:positionV>
            <wp:extent cx="7625080"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0680"/>
          </w:cols>
          <w:pgMar w:left="120" w:top="379"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CONTENTS</w:t>
      </w:r>
    </w:p>
    <w:p>
      <w:pPr>
        <w:spacing w:after="0" w:line="244" w:lineRule="exact"/>
        <w:rPr>
          <w:sz w:val="20"/>
          <w:szCs w:val="20"/>
          <w:color w:val="auto"/>
        </w:rPr>
      </w:pPr>
    </w:p>
    <w:p>
      <w:pPr>
        <w:jc w:val="both"/>
        <w:ind w:firstLine="674"/>
        <w:spacing w:after="0" w:line="275" w:lineRule="auto"/>
        <w:rPr>
          <w:sz w:val="20"/>
          <w:szCs w:val="20"/>
          <w:color w:val="auto"/>
        </w:rPr>
      </w:pPr>
      <w:r>
        <w:rPr>
          <w:rFonts w:ascii="Arial" w:cs="Arial" w:eastAsia="Arial" w:hAnsi="Arial"/>
          <w:sz w:val="19"/>
          <w:szCs w:val="19"/>
          <w:color w:val="auto"/>
        </w:rPr>
        <w:t>On February 12, 2019, Kornit Digital Ltd. issued a press release entitled “Kornit Digital Reports 2018 Fourth Quarter and Full Year Results.” A copy of that press release is furnished as Exhibit 99.1 hereto.</w:t>
      </w:r>
    </w:p>
    <w:p>
      <w:pPr>
        <w:spacing w:after="0" w:line="184" w:lineRule="exact"/>
        <w:rPr>
          <w:sz w:val="20"/>
          <w:szCs w:val="20"/>
          <w:color w:val="auto"/>
        </w:rPr>
      </w:pPr>
    </w:p>
    <w:p>
      <w:pPr>
        <w:jc w:val="both"/>
        <w:ind w:firstLine="674"/>
        <w:spacing w:after="0" w:line="259" w:lineRule="auto"/>
        <w:rPr>
          <w:sz w:val="20"/>
          <w:szCs w:val="20"/>
          <w:color w:val="auto"/>
        </w:rPr>
      </w:pPr>
      <w:r>
        <w:rPr>
          <w:rFonts w:ascii="Arial" w:cs="Arial" w:eastAsia="Arial" w:hAnsi="Arial"/>
          <w:sz w:val="19"/>
          <w:szCs w:val="19"/>
          <w:color w:val="auto"/>
        </w:rPr>
        <w:t>The U.S. GAAP financial information contained in the (i) consolidated statements of operations, (ii) consolidated balance sheets and (iii) consolidated statements of cash flows included in the press release attached as Exhibit 99.1 to this Report of Foreign Private Issuer on Form 6-K is hereby incorporated by reference into the Registrant’s Registration Statements on Form F-3 (File No. 333-215404) and Form S-8 (File No.’s 333-203970, 333-214015, 333-217039 and 333-223794).</w:t>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23"/>
          <w:szCs w:val="2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764" w:right="120"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ind w:firstLine="674"/>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2"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KORNIT DIGITAL LTD.</w:t>
      </w:r>
    </w:p>
    <w:p>
      <w:pPr>
        <w:spacing w:after="0" w:line="238" w:lineRule="exact"/>
        <w:rPr>
          <w:sz w:val="20"/>
          <w:szCs w:val="20"/>
          <w:color w:val="auto"/>
        </w:rPr>
      </w:pPr>
    </w:p>
    <w:p>
      <w:pPr>
        <w:spacing w:after="0"/>
        <w:tabs>
          <w:tab w:leader="none" w:pos="7200" w:val="left"/>
          <w:tab w:leader="none" w:pos="7780" w:val="left"/>
        </w:tabs>
        <w:rPr>
          <w:sz w:val="20"/>
          <w:szCs w:val="20"/>
          <w:color w:val="auto"/>
        </w:rPr>
      </w:pPr>
      <w:r>
        <w:rPr>
          <w:rFonts w:ascii="Arial" w:cs="Arial" w:eastAsia="Arial" w:hAnsi="Arial"/>
          <w:sz w:val="19"/>
          <w:szCs w:val="19"/>
          <w:color w:val="auto"/>
        </w:rPr>
        <w:t>Date: February 12, 2019</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4958715</wp:posOffset>
            </wp:positionH>
            <wp:positionV relativeFrom="paragraph">
              <wp:posOffset>15240</wp:posOffset>
            </wp:positionV>
            <wp:extent cx="266255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62555" cy="18415"/>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Name: Guy Avidan</w:t>
      </w:r>
    </w:p>
    <w:p>
      <w:pPr>
        <w:spacing w:after="0" w:line="23" w:lineRule="exact"/>
        <w:rPr>
          <w:sz w:val="20"/>
          <w:szCs w:val="20"/>
          <w:color w:val="auto"/>
        </w:rPr>
      </w:pPr>
    </w:p>
    <w:p>
      <w:pPr>
        <w:ind w:left="7220"/>
        <w:spacing w:after="0"/>
        <w:tabs>
          <w:tab w:leader="none" w:pos="77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23"/>
          <w:szCs w:val="2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764" w:right="12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80" w:type="dxa"/>
            <w:vAlign w:val="bottom"/>
            <w:gridSpan w:val="2"/>
          </w:tcPr>
          <w:p>
            <w:pPr>
              <w:ind w:left="4120"/>
              <w:spacing w:after="0"/>
              <w:rPr>
                <w:sz w:val="20"/>
                <w:szCs w:val="20"/>
                <w:color w:val="auto"/>
              </w:rPr>
            </w:pPr>
            <w:r>
              <w:rPr>
                <w:rFonts w:ascii="Arial" w:cs="Arial" w:eastAsia="Arial" w:hAnsi="Arial"/>
                <w:sz w:val="19"/>
                <w:szCs w:val="19"/>
                <w:b w:val="1"/>
                <w:bCs w:val="1"/>
                <w:color w:val="auto"/>
              </w:rPr>
              <w:t>Exhibit Index</w:t>
            </w:r>
          </w:p>
        </w:tc>
        <w:tc>
          <w:tcPr>
            <w:tcW w:w="0" w:type="dxa"/>
            <w:vAlign w:val="bottom"/>
          </w:tcPr>
          <w:p>
            <w:pPr>
              <w:spacing w:after="0"/>
              <w:rPr>
                <w:sz w:val="1"/>
                <w:szCs w:val="1"/>
                <w:color w:val="auto"/>
              </w:rPr>
            </w:pPr>
          </w:p>
        </w:tc>
      </w:tr>
      <w:tr>
        <w:trPr>
          <w:trHeight w:val="480"/>
        </w:trPr>
        <w:tc>
          <w:tcPr>
            <w:tcW w:w="1320" w:type="dxa"/>
            <w:vAlign w:val="bottom"/>
            <w:gridSpan w:val="3"/>
          </w:tcPr>
          <w:p>
            <w:pPr>
              <w:spacing w:after="0"/>
              <w:rPr>
                <w:sz w:val="20"/>
                <w:szCs w:val="20"/>
                <w:color w:val="auto"/>
              </w:rPr>
            </w:pPr>
            <w:r>
              <w:rPr>
                <w:rFonts w:ascii="Arial" w:cs="Arial" w:eastAsia="Arial" w:hAnsi="Arial"/>
                <w:sz w:val="19"/>
                <w:szCs w:val="19"/>
                <w:b w:val="1"/>
                <w:bCs w:val="1"/>
                <w:color w:val="auto"/>
              </w:rPr>
              <w:t>Exhibit No.</w:t>
            </w:r>
          </w:p>
        </w:tc>
        <w:tc>
          <w:tcPr>
            <w:tcW w:w="10680" w:type="dxa"/>
            <w:vAlign w:val="bottom"/>
            <w:gridSpan w:val="2"/>
          </w:tcPr>
          <w:p>
            <w:pPr>
              <w:ind w:left="4880"/>
              <w:spacing w:after="0"/>
              <w:rPr>
                <w:sz w:val="20"/>
                <w:szCs w:val="20"/>
                <w:color w:val="auto"/>
              </w:rPr>
            </w:pPr>
            <w:r>
              <w:rPr>
                <w:rFonts w:ascii="Arial" w:cs="Arial" w:eastAsia="Arial" w:hAnsi="Arial"/>
                <w:sz w:val="19"/>
                <w:szCs w:val="19"/>
                <w:b w:val="1"/>
                <w:bCs w:val="1"/>
                <w:color w:val="auto"/>
              </w:rPr>
              <w:t>Description</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72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line="185" w:lineRule="exact"/>
              <w:rPr>
                <w:sz w:val="20"/>
                <w:szCs w:val="20"/>
                <w:color w:val="auto"/>
              </w:rPr>
            </w:pPr>
            <w:r>
              <w:rPr>
                <w:rFonts w:ascii="Arial" w:cs="Arial" w:eastAsia="Arial" w:hAnsi="Arial"/>
                <w:sz w:val="19"/>
                <w:szCs w:val="19"/>
                <w:color w:val="auto"/>
              </w:rPr>
              <w:t>99.1</w:t>
            </w:r>
          </w:p>
        </w:tc>
        <w:tc>
          <w:tcPr>
            <w:tcW w:w="120" w:type="dxa"/>
            <w:vAlign w:val="bottom"/>
            <w:shd w:val="clear" w:color="auto" w:fill="CCEEFF"/>
          </w:tcPr>
          <w:p>
            <w:pPr>
              <w:spacing w:after="0"/>
              <w:rPr>
                <w:sz w:val="18"/>
                <w:szCs w:val="18"/>
                <w:color w:val="auto"/>
              </w:rPr>
            </w:pPr>
          </w:p>
        </w:tc>
        <w:tc>
          <w:tcPr>
            <w:tcW w:w="10680" w:type="dxa"/>
            <w:vAlign w:val="bottom"/>
            <w:gridSpan w:val="2"/>
            <w:shd w:val="clear" w:color="auto" w:fill="CCEEFF"/>
          </w:tcPr>
          <w:p>
            <w:pPr>
              <w:spacing w:after="0" w:line="185" w:lineRule="exact"/>
              <w:rPr>
                <w:sz w:val="20"/>
                <w:szCs w:val="20"/>
                <w:color w:val="auto"/>
              </w:rPr>
            </w:pPr>
            <w:r>
              <w:rPr>
                <w:rFonts w:ascii="Arial" w:cs="Arial" w:eastAsia="Arial" w:hAnsi="Arial"/>
                <w:sz w:val="19"/>
                <w:szCs w:val="19"/>
                <w:color w:val="0000EE"/>
              </w:rPr>
              <w:t>Press release dated February 12, 2019 entitled “Kornit Digital Reports 2018 Fourth Quarter and Full Year Results”</w:t>
            </w:r>
          </w:p>
        </w:tc>
        <w:tc>
          <w:tcPr>
            <w:tcW w:w="0" w:type="dxa"/>
            <w:vAlign w:val="bottom"/>
          </w:tcPr>
          <w:p>
            <w:pPr>
              <w:spacing w:after="0"/>
              <w:rPr>
                <w:sz w:val="1"/>
                <w:szCs w:val="1"/>
                <w:color w:val="auto"/>
              </w:rPr>
            </w:pPr>
          </w:p>
        </w:tc>
      </w:tr>
      <w:tr>
        <w:trPr>
          <w:trHeight w:val="693"/>
        </w:trPr>
        <w:tc>
          <w:tcPr>
            <w:tcW w:w="20" w:type="dxa"/>
            <w:vAlign w:val="bottom"/>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720" w:type="dxa"/>
            <w:vAlign w:val="bottom"/>
            <w:tcBorders>
              <w:top w:val="single" w:sz="8" w:color="0000EE"/>
              <w:bottom w:val="single" w:sz="8" w:color="auto"/>
            </w:tcBorders>
          </w:tcPr>
          <w:p>
            <w:pPr>
              <w:jc w:val="right"/>
              <w:ind w:right="3920"/>
              <w:spacing w:after="0"/>
              <w:rPr>
                <w:sz w:val="20"/>
                <w:szCs w:val="20"/>
                <w:color w:val="auto"/>
              </w:rPr>
            </w:pPr>
            <w:r>
              <w:rPr>
                <w:rFonts w:ascii="Arial" w:cs="Arial" w:eastAsia="Arial" w:hAnsi="Arial"/>
                <w:sz w:val="23"/>
                <w:szCs w:val="23"/>
                <w:color w:val="auto"/>
              </w:rPr>
              <w:t>3</w:t>
            </w:r>
          </w:p>
        </w:tc>
        <w:tc>
          <w:tcPr>
            <w:tcW w:w="19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764" w:right="120"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t>Exhibit 99.1</w:t>
      </w:r>
    </w:p>
    <w:p>
      <w:pPr>
        <w:spacing w:after="0" w:line="218"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312A25"/>
        </w:rPr>
        <w:t>Investor Contact:</w:t>
      </w:r>
    </w:p>
    <w:p>
      <w:pPr>
        <w:spacing w:after="0" w:line="29" w:lineRule="exact"/>
        <w:rPr>
          <w:sz w:val="20"/>
          <w:szCs w:val="20"/>
          <w:color w:val="auto"/>
        </w:rPr>
      </w:pPr>
    </w:p>
    <w:p>
      <w:pPr>
        <w:ind w:left="6"/>
        <w:spacing w:after="0"/>
        <w:rPr>
          <w:sz w:val="20"/>
          <w:szCs w:val="20"/>
          <w:color w:val="auto"/>
        </w:rPr>
      </w:pPr>
      <w:r>
        <w:rPr>
          <w:rFonts w:ascii="Arial" w:cs="Arial" w:eastAsia="Arial" w:hAnsi="Arial"/>
          <w:sz w:val="19"/>
          <w:szCs w:val="19"/>
          <w:color w:val="312A25"/>
        </w:rPr>
        <w:t>Michael Callahan, ICR</w:t>
      </w:r>
    </w:p>
    <w:p>
      <w:pPr>
        <w:spacing w:after="0" w:line="10" w:lineRule="exact"/>
        <w:rPr>
          <w:sz w:val="20"/>
          <w:szCs w:val="20"/>
          <w:color w:val="auto"/>
        </w:rPr>
      </w:pPr>
    </w:p>
    <w:p>
      <w:pPr>
        <w:ind w:left="6" w:right="9680" w:hanging="6"/>
        <w:spacing w:after="0" w:line="320" w:lineRule="auto"/>
        <w:tabs>
          <w:tab w:leader="none" w:pos="465" w:val="left"/>
        </w:tabs>
        <w:numPr>
          <w:ilvl w:val="0"/>
          <w:numId w:val="1"/>
        </w:numPr>
        <w:rPr>
          <w:rFonts w:ascii="Arial" w:cs="Arial" w:eastAsia="Arial" w:hAnsi="Arial"/>
          <w:sz w:val="17"/>
          <w:szCs w:val="17"/>
          <w:color w:val="auto"/>
        </w:rPr>
      </w:pPr>
      <w:r>
        <w:rPr>
          <w:rFonts w:ascii="Arial" w:cs="Arial" w:eastAsia="Arial" w:hAnsi="Arial"/>
          <w:sz w:val="17"/>
          <w:szCs w:val="17"/>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1276985" cy="769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6985" cy="769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Kornit Digital Reports 2018 Fourth Quarter and Full Year Results</w:t>
      </w:r>
    </w:p>
    <w:p>
      <w:pPr>
        <w:spacing w:after="0" w:line="238"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Highlights</w:t>
      </w:r>
    </w:p>
    <w:p>
      <w:pPr>
        <w:spacing w:after="0" w:line="244" w:lineRule="exact"/>
        <w:rPr>
          <w:sz w:val="20"/>
          <w:szCs w:val="20"/>
          <w:color w:val="auto"/>
        </w:rPr>
      </w:pPr>
    </w:p>
    <w:p>
      <w:pPr>
        <w:ind w:left="346" w:hanging="346"/>
        <w:spacing w:after="0"/>
        <w:tabs>
          <w:tab w:leader="none" w:pos="346" w:val="left"/>
        </w:tabs>
        <w:numPr>
          <w:ilvl w:val="0"/>
          <w:numId w:val="2"/>
        </w:numPr>
        <w:rPr>
          <w:rFonts w:ascii="Arial" w:cs="Arial" w:eastAsia="Arial" w:hAnsi="Arial"/>
          <w:sz w:val="19"/>
          <w:szCs w:val="19"/>
          <w:color w:val="auto"/>
        </w:rPr>
      </w:pPr>
      <w:r>
        <w:rPr>
          <w:rFonts w:ascii="Arial" w:cs="Arial" w:eastAsia="Arial" w:hAnsi="Arial"/>
          <w:sz w:val="19"/>
          <w:szCs w:val="19"/>
          <w:color w:val="auto"/>
        </w:rPr>
        <w:t>Fourth quarter 2018 revenues increased by 26.2% to $37.8 million.</w:t>
      </w:r>
    </w:p>
    <w:p>
      <w:pPr>
        <w:spacing w:after="0" w:line="22" w:lineRule="exact"/>
        <w:rPr>
          <w:rFonts w:ascii="Arial" w:cs="Arial" w:eastAsia="Arial" w:hAnsi="Arial"/>
          <w:sz w:val="19"/>
          <w:szCs w:val="19"/>
          <w:color w:val="auto"/>
        </w:rPr>
      </w:pPr>
    </w:p>
    <w:p>
      <w:pPr>
        <w:ind w:left="346" w:hanging="346"/>
        <w:spacing w:after="0"/>
        <w:tabs>
          <w:tab w:leader="none" w:pos="346" w:val="left"/>
        </w:tabs>
        <w:numPr>
          <w:ilvl w:val="0"/>
          <w:numId w:val="2"/>
        </w:numPr>
        <w:rPr>
          <w:rFonts w:ascii="Arial" w:cs="Arial" w:eastAsia="Arial" w:hAnsi="Arial"/>
          <w:sz w:val="19"/>
          <w:szCs w:val="19"/>
          <w:color w:val="auto"/>
        </w:rPr>
      </w:pPr>
      <w:r>
        <w:rPr>
          <w:rFonts w:ascii="Arial" w:cs="Arial" w:eastAsia="Arial" w:hAnsi="Arial"/>
          <w:sz w:val="19"/>
          <w:szCs w:val="19"/>
          <w:color w:val="auto"/>
        </w:rPr>
        <w:t>Full year revenues growth of 24.8% to a record $142.4 million, fueled by strong demand for Kornit’s HD portfolio of solutions.</w:t>
      </w:r>
    </w:p>
    <w:p>
      <w:pPr>
        <w:spacing w:after="0" w:line="9" w:lineRule="exact"/>
        <w:rPr>
          <w:rFonts w:ascii="Arial" w:cs="Arial" w:eastAsia="Arial" w:hAnsi="Arial"/>
          <w:sz w:val="19"/>
          <w:szCs w:val="19"/>
          <w:color w:val="auto"/>
        </w:rPr>
      </w:pPr>
    </w:p>
    <w:p>
      <w:pPr>
        <w:ind w:left="346" w:hanging="346"/>
        <w:spacing w:after="0"/>
        <w:tabs>
          <w:tab w:leader="none" w:pos="346" w:val="left"/>
        </w:tabs>
        <w:numPr>
          <w:ilvl w:val="0"/>
          <w:numId w:val="2"/>
        </w:numPr>
        <w:rPr>
          <w:rFonts w:ascii="Arial" w:cs="Arial" w:eastAsia="Arial" w:hAnsi="Arial"/>
          <w:sz w:val="19"/>
          <w:szCs w:val="19"/>
          <w:color w:val="auto"/>
        </w:rPr>
      </w:pPr>
      <w:r>
        <w:rPr>
          <w:rFonts w:ascii="Arial" w:cs="Arial" w:eastAsia="Arial" w:hAnsi="Arial"/>
          <w:sz w:val="19"/>
          <w:szCs w:val="19"/>
          <w:color w:val="auto"/>
        </w:rPr>
        <w:t>Successful business and organizational transformation in North America.</w:t>
      </w:r>
    </w:p>
    <w:p>
      <w:pPr>
        <w:spacing w:after="0" w:line="9" w:lineRule="exact"/>
        <w:rPr>
          <w:rFonts w:ascii="Arial" w:cs="Arial" w:eastAsia="Arial" w:hAnsi="Arial"/>
          <w:sz w:val="19"/>
          <w:szCs w:val="19"/>
          <w:color w:val="auto"/>
        </w:rPr>
      </w:pPr>
    </w:p>
    <w:p>
      <w:pPr>
        <w:ind w:left="346" w:hanging="346"/>
        <w:spacing w:after="0"/>
        <w:tabs>
          <w:tab w:leader="none" w:pos="346" w:val="left"/>
        </w:tabs>
        <w:numPr>
          <w:ilvl w:val="0"/>
          <w:numId w:val="2"/>
        </w:numPr>
        <w:rPr>
          <w:rFonts w:ascii="Arial" w:cs="Arial" w:eastAsia="Arial" w:hAnsi="Arial"/>
          <w:sz w:val="19"/>
          <w:szCs w:val="19"/>
          <w:color w:val="auto"/>
        </w:rPr>
      </w:pPr>
      <w:r>
        <w:rPr>
          <w:rFonts w:ascii="Arial" w:cs="Arial" w:eastAsia="Arial" w:hAnsi="Arial"/>
          <w:sz w:val="19"/>
          <w:szCs w:val="19"/>
          <w:color w:val="auto"/>
        </w:rPr>
        <w:t>Continued business momentum in EMEA, driven by shift to industrial systems, leading to a 42.7% year-over-year growth in revenues.</w:t>
      </w:r>
    </w:p>
    <w:p>
      <w:pPr>
        <w:spacing w:after="0" w:line="9" w:lineRule="exact"/>
        <w:rPr>
          <w:rFonts w:ascii="Arial" w:cs="Arial" w:eastAsia="Arial" w:hAnsi="Arial"/>
          <w:sz w:val="19"/>
          <w:szCs w:val="19"/>
          <w:color w:val="auto"/>
        </w:rPr>
      </w:pPr>
    </w:p>
    <w:p>
      <w:pPr>
        <w:ind w:left="346" w:hanging="346"/>
        <w:spacing w:after="0"/>
        <w:tabs>
          <w:tab w:leader="none" w:pos="346" w:val="left"/>
        </w:tabs>
        <w:numPr>
          <w:ilvl w:val="0"/>
          <w:numId w:val="2"/>
        </w:numPr>
        <w:rPr>
          <w:rFonts w:ascii="Arial" w:cs="Arial" w:eastAsia="Arial" w:hAnsi="Arial"/>
          <w:sz w:val="19"/>
          <w:szCs w:val="19"/>
          <w:color w:val="auto"/>
        </w:rPr>
      </w:pPr>
      <w:r>
        <w:rPr>
          <w:rFonts w:ascii="Arial" w:cs="Arial" w:eastAsia="Arial" w:hAnsi="Arial"/>
          <w:sz w:val="19"/>
          <w:szCs w:val="19"/>
          <w:color w:val="auto"/>
        </w:rPr>
        <w:t>Full year services revenues grew by 37.2% to $16.6 million.</w:t>
      </w:r>
    </w:p>
    <w:p>
      <w:pPr>
        <w:spacing w:after="0" w:line="9" w:lineRule="exact"/>
        <w:rPr>
          <w:rFonts w:ascii="Arial" w:cs="Arial" w:eastAsia="Arial" w:hAnsi="Arial"/>
          <w:sz w:val="19"/>
          <w:szCs w:val="19"/>
          <w:color w:val="auto"/>
        </w:rPr>
      </w:pPr>
    </w:p>
    <w:p>
      <w:pPr>
        <w:ind w:left="346" w:hanging="346"/>
        <w:spacing w:after="0"/>
        <w:tabs>
          <w:tab w:leader="none" w:pos="346" w:val="left"/>
        </w:tabs>
        <w:numPr>
          <w:ilvl w:val="0"/>
          <w:numId w:val="2"/>
        </w:numPr>
        <w:rPr>
          <w:rFonts w:ascii="Arial" w:cs="Arial" w:eastAsia="Arial" w:hAnsi="Arial"/>
          <w:sz w:val="17"/>
          <w:szCs w:val="17"/>
          <w:color w:val="auto"/>
        </w:rPr>
      </w:pPr>
      <w:r>
        <w:rPr>
          <w:rFonts w:ascii="Arial" w:cs="Arial" w:eastAsia="Arial" w:hAnsi="Arial"/>
          <w:sz w:val="17"/>
          <w:szCs w:val="17"/>
          <w:color w:val="auto"/>
        </w:rPr>
        <w:t>Fourth quarter 2018 GAAP operating profit increased by $1.4 million; Non-GAAP operating profit increased by $1.8 million, or 160.0% year-over-year.</w:t>
      </w:r>
    </w:p>
    <w:p>
      <w:pPr>
        <w:spacing w:after="0" w:line="32" w:lineRule="exact"/>
        <w:rPr>
          <w:rFonts w:ascii="Arial" w:cs="Arial" w:eastAsia="Arial" w:hAnsi="Arial"/>
          <w:sz w:val="17"/>
          <w:szCs w:val="17"/>
          <w:color w:val="auto"/>
        </w:rPr>
      </w:pPr>
    </w:p>
    <w:p>
      <w:pPr>
        <w:ind w:left="346" w:right="20" w:hanging="346"/>
        <w:spacing w:after="0" w:line="250" w:lineRule="auto"/>
        <w:tabs>
          <w:tab w:leader="none" w:pos="346" w:val="left"/>
        </w:tabs>
        <w:numPr>
          <w:ilvl w:val="0"/>
          <w:numId w:val="2"/>
        </w:numPr>
        <w:rPr>
          <w:rFonts w:ascii="Arial" w:cs="Arial" w:eastAsia="Arial" w:hAnsi="Arial"/>
          <w:sz w:val="19"/>
          <w:szCs w:val="19"/>
          <w:color w:val="auto"/>
        </w:rPr>
      </w:pPr>
      <w:r>
        <w:rPr>
          <w:rFonts w:ascii="Arial" w:cs="Arial" w:eastAsia="Arial" w:hAnsi="Arial"/>
          <w:sz w:val="19"/>
          <w:szCs w:val="19"/>
          <w:color w:val="auto"/>
        </w:rPr>
        <w:t>Fourth quarter 2018 GAAP net income of $0.19 per diluted share; Non-GAAP net income doubled to $0.08 per diluted share, net of $0.04 per diluted share attributed to the non-cash impact of warrants.</w:t>
      </w:r>
    </w:p>
    <w:p>
      <w:pPr>
        <w:spacing w:after="0" w:line="1" w:lineRule="exact"/>
        <w:rPr>
          <w:rFonts w:ascii="Arial" w:cs="Arial" w:eastAsia="Arial" w:hAnsi="Arial"/>
          <w:sz w:val="19"/>
          <w:szCs w:val="19"/>
          <w:color w:val="auto"/>
        </w:rPr>
      </w:pPr>
    </w:p>
    <w:p>
      <w:pPr>
        <w:ind w:left="346" w:hanging="346"/>
        <w:spacing w:after="0"/>
        <w:tabs>
          <w:tab w:leader="none" w:pos="346" w:val="left"/>
        </w:tabs>
        <w:numPr>
          <w:ilvl w:val="0"/>
          <w:numId w:val="2"/>
        </w:numPr>
        <w:rPr>
          <w:rFonts w:ascii="Arial" w:cs="Arial" w:eastAsia="Arial" w:hAnsi="Arial"/>
          <w:sz w:val="19"/>
          <w:szCs w:val="19"/>
          <w:color w:val="auto"/>
        </w:rPr>
      </w:pPr>
      <w:r>
        <w:rPr>
          <w:rFonts w:ascii="Arial" w:cs="Arial" w:eastAsia="Arial" w:hAnsi="Arial"/>
          <w:sz w:val="19"/>
          <w:szCs w:val="19"/>
          <w:color w:val="auto"/>
        </w:rPr>
        <w:t>Record cash flow from operations $15.7 million in the fourth quarter and $33.4 million on an annual basis.</w:t>
      </w:r>
    </w:p>
    <w:p>
      <w:pPr>
        <w:spacing w:after="0" w:line="9" w:lineRule="exact"/>
        <w:rPr>
          <w:rFonts w:ascii="Arial" w:cs="Arial" w:eastAsia="Arial" w:hAnsi="Arial"/>
          <w:sz w:val="19"/>
          <w:szCs w:val="19"/>
          <w:color w:val="auto"/>
        </w:rPr>
      </w:pPr>
    </w:p>
    <w:p>
      <w:pPr>
        <w:ind w:left="346" w:hanging="346"/>
        <w:spacing w:after="0"/>
        <w:tabs>
          <w:tab w:leader="none" w:pos="346" w:val="left"/>
        </w:tabs>
        <w:numPr>
          <w:ilvl w:val="0"/>
          <w:numId w:val="2"/>
        </w:numPr>
        <w:rPr>
          <w:rFonts w:ascii="Arial" w:cs="Arial" w:eastAsia="Arial" w:hAnsi="Arial"/>
          <w:sz w:val="19"/>
          <w:szCs w:val="19"/>
          <w:color w:val="auto"/>
        </w:rPr>
      </w:pPr>
      <w:r>
        <w:rPr>
          <w:rFonts w:ascii="Arial" w:cs="Arial" w:eastAsia="Arial" w:hAnsi="Arial"/>
          <w:sz w:val="19"/>
          <w:szCs w:val="19"/>
          <w:color w:val="auto"/>
        </w:rPr>
        <w:t>Company completed development of multiple new products to be launched in 2019.</w:t>
      </w:r>
    </w:p>
    <w:p>
      <w:pPr>
        <w:spacing w:after="0" w:line="219" w:lineRule="exact"/>
        <w:rPr>
          <w:sz w:val="20"/>
          <w:szCs w:val="20"/>
          <w:color w:val="auto"/>
        </w:rPr>
      </w:pPr>
    </w:p>
    <w:p>
      <w:pPr>
        <w:jc w:val="both"/>
        <w:ind w:left="6"/>
        <w:spacing w:after="0" w:line="282" w:lineRule="auto"/>
        <w:rPr>
          <w:sz w:val="20"/>
          <w:szCs w:val="20"/>
          <w:color w:val="auto"/>
        </w:rPr>
      </w:pPr>
      <w:r>
        <w:rPr>
          <w:rFonts w:ascii="Arial" w:cs="Arial" w:eastAsia="Arial" w:hAnsi="Arial"/>
          <w:sz w:val="19"/>
          <w:szCs w:val="19"/>
          <w:b w:val="1"/>
          <w:bCs w:val="1"/>
          <w:color w:val="auto"/>
        </w:rPr>
        <w:t xml:space="preserve">Rosh-Ha’Ayin, Israel – February 12, 2019 – </w:t>
      </w:r>
      <w:r>
        <w:rPr>
          <w:rFonts w:ascii="Arial" w:cs="Arial" w:eastAsia="Arial" w:hAnsi="Arial"/>
          <w:sz w:val="19"/>
          <w:szCs w:val="19"/>
          <w:color w:val="auto"/>
        </w:rPr>
        <w:t>Kornit Digital Ltd. (NASDAQ: KRNT), a leading provider of digital printing solutions for the global printed</w:t>
      </w:r>
      <w:r>
        <w:rPr>
          <w:rFonts w:ascii="Arial" w:cs="Arial" w:eastAsia="Arial" w:hAnsi="Arial"/>
          <w:sz w:val="19"/>
          <w:szCs w:val="19"/>
          <w:b w:val="1"/>
          <w:bCs w:val="1"/>
          <w:color w:val="auto"/>
        </w:rPr>
        <w:t xml:space="preserve"> </w:t>
      </w:r>
      <w:r>
        <w:rPr>
          <w:rFonts w:ascii="Arial" w:cs="Arial" w:eastAsia="Arial" w:hAnsi="Arial"/>
          <w:sz w:val="19"/>
          <w:szCs w:val="19"/>
          <w:color w:val="auto"/>
        </w:rPr>
        <w:t>textile industry, today reported results for the fourth quarter and full year ended December 31, 2018.</w:t>
      </w:r>
    </w:p>
    <w:p>
      <w:pPr>
        <w:spacing w:after="0" w:line="177" w:lineRule="exact"/>
        <w:rPr>
          <w:sz w:val="20"/>
          <w:szCs w:val="20"/>
          <w:color w:val="auto"/>
        </w:rPr>
      </w:pPr>
    </w:p>
    <w:p>
      <w:pPr>
        <w:jc w:val="both"/>
        <w:ind w:left="6"/>
        <w:spacing w:after="0" w:line="284" w:lineRule="auto"/>
        <w:rPr>
          <w:sz w:val="20"/>
          <w:szCs w:val="20"/>
          <w:color w:val="auto"/>
        </w:rPr>
      </w:pPr>
      <w:r>
        <w:rPr>
          <w:rFonts w:ascii="Arial" w:cs="Arial" w:eastAsia="Arial" w:hAnsi="Arial"/>
          <w:sz w:val="18"/>
          <w:szCs w:val="18"/>
          <w:color w:val="auto"/>
        </w:rPr>
        <w:t>Kornit reported fourth quarter 2018 revenues increased 26.2% to $37.8 million, net of $1.4 million attributed to the non-cash impact of warrants, compared to $30.0 million, net of $0.4 million attributed to the non-cash impact of warrants, in the prior year period. Increased revenues in the quarter were attributable to widespread growth across geographies and customers, and the delivery of systems on a large customer program.</w:t>
      </w:r>
    </w:p>
    <w:p>
      <w:pPr>
        <w:spacing w:after="0" w:line="178" w:lineRule="exact"/>
        <w:rPr>
          <w:sz w:val="20"/>
          <w:szCs w:val="20"/>
          <w:color w:val="auto"/>
        </w:rPr>
      </w:pPr>
    </w:p>
    <w:p>
      <w:pPr>
        <w:jc w:val="both"/>
        <w:ind w:left="6"/>
        <w:spacing w:after="0" w:line="263" w:lineRule="auto"/>
        <w:rPr>
          <w:sz w:val="20"/>
          <w:szCs w:val="20"/>
          <w:color w:val="auto"/>
        </w:rPr>
      </w:pPr>
      <w:r>
        <w:rPr>
          <w:rFonts w:ascii="Arial" w:cs="Arial" w:eastAsia="Arial" w:hAnsi="Arial"/>
          <w:sz w:val="19"/>
          <w:szCs w:val="19"/>
          <w:color w:val="auto"/>
        </w:rPr>
        <w:t>GAAP operating income increased to $0.8 million in the fourth quarter, compared to the prior-year period operating loss of $0.5 million. Non-GAAP operating income increased by 160% to $2.9 million, or 7.8% of revenues, in the fourth quarter, compared to $1.1 million, or 3.8% of revenues, in the prior year period. Increased operating income was the result of increased revenues and higher operating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413385</wp:posOffset>
            </wp:positionV>
            <wp:extent cx="7625080"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0" w:right="120"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9"/>
          <w:szCs w:val="19"/>
          <w:color w:val="auto"/>
        </w:rPr>
        <w:t>Ronen Samuel, Kornit Digital’s Chief Executive Officer commented, “We finished 2018 with accelerating momentum which delivered record quarterly sales. Our success in 2018 is attributable to another year of product innovation highlighted by the launch of HD systems and upgrades. Looking at the year ahead, we have a strong pipeline of unprecedented innovation, including the recently released Atlas which is already gaining momentum, and our dark poly solution which is in beta testing with general availability in Q2-2019”.</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Samuel concluded… “We are investing in our business to drive long-term growth through new technology and improvements in our go-to-market strategy. These improvements will expand total impressions made on Kornit systems, as we continue to optimize total cost of ownership, expanding our reach into new segments and lead the industry in print quality”.</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Fourth Quarter 2018 Results of Operations</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Kornit reported fourth quarter revenues, net of the non-cash impact of warrants, of $37.8 million, compared with the prior-year period level of $30.0 million. The total non-cash impact of the warrants deducted from revenues was $1.4 million in the fourth quarter of 2018 and $0.4 million in the fourth quarter of 2017.</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On a GAAP basis, fourth quarter gross profit was $18.1 million, compared with $14.5 million, in the prior-year period. Non-GAAP gross profit in the fourth quarter was $18.4 million, or 48.8% of revenue, compared with $14.6 million, or 48.9% of revenues in the fourth quarter of 2017. The lower gross margin was primarily due to the effect of warrants in the period.</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On a GAAP basis, total operating expenses in the fourth quarter were $17.3 million, compared to $15.0 million in the prior-year period. Non-GAAP operating expenses in the fourth quarter increased to $15.5 million, or 41.0% of revenue, compared to $13.5 million, or 45.1% of revenues, in the prior-year period.</w:t>
      </w:r>
    </w:p>
    <w:p>
      <w:pPr>
        <w:spacing w:after="0" w:line="194"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Fourth quarter GAAP research and development expenses were $6.2 million, compared to $5.6 million in the prior-year period. Fourth quarter Non-GAAP research and development expenses were $5.9 million, or 15.6% of revenues, compared to $5.4 million, or 18.2% of revenues in the prior-year period.</w:t>
      </w:r>
    </w:p>
    <w:p>
      <w:pPr>
        <w:spacing w:after="0" w:line="137"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Fourth quarter GAAP selling and marketing expenses were $6.9 million, compared to $5.2 million in the prior-year period. Fourth quarter Non-GAAP selling and marketing expenses were $6.2 million, or 16.5% of revenues, compared to $4.7 million, or 15.5% of revenues, in the equivalent prior-year period.</w:t>
      </w:r>
    </w:p>
    <w:p>
      <w:pPr>
        <w:spacing w:after="0" w:line="137"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Fourth quarter GAAP general and administrative expenses were $4.2 million, compared to $4.0 million in the prior-year period. Fourth quarter Non-GAAP general and administrative expenses were $3.4 million, or 8.9% of revenues, compared to $3.4 million, or 11.4% of revenues, in the prior-year period.</w:t>
      </w:r>
    </w:p>
    <w:p>
      <w:pPr>
        <w:spacing w:after="0" w:line="137"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On a GAAP basis, fourth-quarter operating income was $0.8 million, compared to operating loss of $0.5 million during the prior-year period. Non-GAAP operating income in the fourth quarter increased to $2.9 million, compared to $1.1 million in the prior-year period. As a percent of revenues, Non-GAAP operating margin for the fourth quarter was 7.8% of revenues, compared with 3.8% of revenues in the fourth quarter of 2017.</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In the fourth quarter, the company have formed a deferred income tax asset in the amount of $5.9 million that effected GAAP net Income.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998" w:right="120"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9"/>
          <w:szCs w:val="19"/>
          <w:color w:val="auto"/>
        </w:rPr>
        <w:t>On a GAAP basis, the Company reported net income of $7.0 million, or $0.19 per diluted share, compared to net loss of $0.4 million in the fourth quarter of 2017. Non-GAAP net income for the fourth quarter of 2018 was $3.0 million, or $0.08 per diluted share, net of $0.04 per diluted share attributed to the non-cash impact of warrants, compared to net income of $1.5 million, or $0.04 per diluted share, net of $0.01 per diluted share attributed to the non-cash impact of warrants in the prior year period.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360" w:type="dxa"/>
            <w:vAlign w:val="bottom"/>
            <w:gridSpan w:val="2"/>
          </w:tcPr>
          <w:p>
            <w:pPr>
              <w:spacing w:after="0"/>
              <w:rPr>
                <w:sz w:val="20"/>
                <w:szCs w:val="20"/>
                <w:color w:val="auto"/>
              </w:rPr>
            </w:pPr>
            <w:r>
              <w:rPr>
                <w:rFonts w:ascii="Arial" w:cs="Arial" w:eastAsia="Arial" w:hAnsi="Arial"/>
                <w:sz w:val="19"/>
                <w:szCs w:val="19"/>
                <w:b w:val="1"/>
                <w:bCs w:val="1"/>
                <w:color w:val="auto"/>
              </w:rPr>
              <w:t>Fourth Quarter 2018 Warrants Impact</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gridSpan w:val="4"/>
            <w:vMerge w:val="restart"/>
          </w:tcPr>
          <w:p>
            <w:pPr>
              <w:jc w:val="center"/>
              <w:ind w:right="140"/>
              <w:spacing w:after="0"/>
              <w:rPr>
                <w:sz w:val="20"/>
                <w:szCs w:val="20"/>
                <w:color w:val="auto"/>
              </w:rPr>
            </w:pPr>
            <w:r>
              <w:rPr>
                <w:rFonts w:ascii="Arial" w:cs="Arial" w:eastAsia="Arial" w:hAnsi="Arial"/>
                <w:sz w:val="19"/>
                <w:szCs w:val="19"/>
                <w:b w:val="1"/>
                <w:bCs w:val="1"/>
                <w:color w:val="auto"/>
                <w:w w:val="91"/>
              </w:rPr>
              <w:t>Three Months Ended</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4"/>
            <w:vMerge w:val="continue"/>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9"/>
                <w:szCs w:val="19"/>
                <w:b w:val="1"/>
                <w:bCs w:val="1"/>
                <w:color w:val="auto"/>
                <w:w w:val="88"/>
              </w:rPr>
              <w:t>December 31,</w:t>
            </w:r>
          </w:p>
        </w:tc>
        <w:tc>
          <w:tcPr>
            <w:tcW w:w="1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2780" w:type="dxa"/>
            <w:vAlign w:val="bottom"/>
            <w:tcBorders>
              <w:bottom w:val="single" w:sz="8" w:color="auto"/>
            </w:tcBorders>
            <w:gridSpan w:val="3"/>
          </w:tcPr>
          <w:p>
            <w:pPr>
              <w:jc w:val="right"/>
              <w:ind w:right="1105"/>
              <w:spacing w:after="0"/>
              <w:rPr>
                <w:sz w:val="20"/>
                <w:szCs w:val="20"/>
                <w:color w:val="auto"/>
              </w:rPr>
            </w:pPr>
            <w:r>
              <w:rPr>
                <w:rFonts w:ascii="Arial" w:cs="Arial" w:eastAsia="Arial" w:hAnsi="Arial"/>
                <w:sz w:val="19"/>
                <w:szCs w:val="19"/>
                <w:b w:val="1"/>
                <w:bCs w:val="1"/>
                <w:color w:val="auto"/>
              </w:rPr>
              <w:t>2018</w:t>
            </w:r>
          </w:p>
        </w:tc>
        <w:tc>
          <w:tcPr>
            <w:tcW w:w="120" w:type="dxa"/>
            <w:vAlign w:val="bottom"/>
          </w:tcPr>
          <w:p>
            <w:pPr>
              <w:spacing w:after="0"/>
              <w:rPr>
                <w:sz w:val="21"/>
                <w:szCs w:val="21"/>
                <w:color w:val="auto"/>
              </w:rPr>
            </w:pPr>
          </w:p>
        </w:tc>
        <w:tc>
          <w:tcPr>
            <w:tcW w:w="2740" w:type="dxa"/>
            <w:vAlign w:val="bottom"/>
            <w:tcBorders>
              <w:bottom w:val="single" w:sz="8" w:color="auto"/>
            </w:tcBorders>
            <w:gridSpan w:val="3"/>
          </w:tcPr>
          <w:p>
            <w:pPr>
              <w:jc w:val="right"/>
              <w:ind w:right="1085"/>
              <w:spacing w:after="0"/>
              <w:rPr>
                <w:sz w:val="20"/>
                <w:szCs w:val="20"/>
                <w:color w:val="auto"/>
              </w:rPr>
            </w:pPr>
            <w:r>
              <w:rPr>
                <w:rFonts w:ascii="Arial" w:cs="Arial" w:eastAsia="Arial" w:hAnsi="Arial"/>
                <w:sz w:val="19"/>
                <w:szCs w:val="19"/>
                <w:b w:val="1"/>
                <w:bCs w:val="1"/>
                <w:color w:val="auto"/>
              </w:rPr>
              <w:t>2017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line="208" w:lineRule="exact"/>
              <w:rPr>
                <w:sz w:val="20"/>
                <w:szCs w:val="20"/>
                <w:color w:val="auto"/>
              </w:rPr>
            </w:pPr>
            <w:r>
              <w:rPr>
                <w:rFonts w:ascii="Arial" w:cs="Arial" w:eastAsia="Arial" w:hAnsi="Arial"/>
                <w:sz w:val="19"/>
                <w:szCs w:val="19"/>
                <w:b w:val="1"/>
                <w:bCs w:val="1"/>
                <w:color w:val="auto"/>
                <w:w w:val="97"/>
              </w:rPr>
              <w:t>Warrant</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line="208" w:lineRule="exact"/>
              <w:rPr>
                <w:sz w:val="20"/>
                <w:szCs w:val="20"/>
                <w:color w:val="auto"/>
              </w:rPr>
            </w:pPr>
            <w:r>
              <w:rPr>
                <w:rFonts w:ascii="Arial" w:cs="Arial" w:eastAsia="Arial" w:hAnsi="Arial"/>
                <w:sz w:val="19"/>
                <w:szCs w:val="19"/>
                <w:b w:val="1"/>
                <w:bCs w:val="1"/>
                <w:color w:val="auto"/>
                <w:w w:val="97"/>
              </w:rPr>
              <w:t>Warrant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9"/>
                <w:szCs w:val="19"/>
                <w:b w:val="1"/>
                <w:bCs w:val="1"/>
                <w:color w:val="auto"/>
                <w:w w:val="96"/>
              </w:rPr>
              <w:t>Net of Warrant</w:t>
            </w:r>
          </w:p>
        </w:tc>
        <w:tc>
          <w:tcPr>
            <w:tcW w:w="1440" w:type="dxa"/>
            <w:vAlign w:val="bottom"/>
            <w:gridSpan w:val="2"/>
          </w:tcPr>
          <w:p>
            <w:pPr>
              <w:jc w:val="center"/>
              <w:ind w:right="100"/>
              <w:spacing w:after="0"/>
              <w:rPr>
                <w:sz w:val="20"/>
                <w:szCs w:val="20"/>
                <w:color w:val="auto"/>
              </w:rPr>
            </w:pPr>
            <w:r>
              <w:rPr>
                <w:rFonts w:ascii="Arial" w:cs="Arial" w:eastAsia="Arial" w:hAnsi="Arial"/>
                <w:sz w:val="19"/>
                <w:szCs w:val="19"/>
                <w:b w:val="1"/>
                <w:bCs w:val="1"/>
                <w:color w:val="auto"/>
                <w:w w:val="90"/>
              </w:rPr>
              <w:t>Impact increase</w:t>
            </w:r>
          </w:p>
        </w:tc>
        <w:tc>
          <w:tcPr>
            <w:tcW w:w="1420" w:type="dxa"/>
            <w:vAlign w:val="bottom"/>
            <w:gridSpan w:val="2"/>
          </w:tcPr>
          <w:p>
            <w:pPr>
              <w:jc w:val="center"/>
              <w:ind w:right="100"/>
              <w:spacing w:after="0"/>
              <w:rPr>
                <w:sz w:val="20"/>
                <w:szCs w:val="20"/>
                <w:color w:val="auto"/>
              </w:rPr>
            </w:pPr>
            <w:r>
              <w:rPr>
                <w:rFonts w:ascii="Arial" w:cs="Arial" w:eastAsia="Arial" w:hAnsi="Arial"/>
                <w:sz w:val="19"/>
                <w:szCs w:val="19"/>
                <w:b w:val="1"/>
                <w:bCs w:val="1"/>
                <w:color w:val="auto"/>
                <w:w w:val="94"/>
              </w:rPr>
              <w:t>Net of Warrant</w:t>
            </w:r>
          </w:p>
        </w:tc>
        <w:tc>
          <w:tcPr>
            <w:tcW w:w="1320" w:type="dxa"/>
            <w:vAlign w:val="bottom"/>
          </w:tcPr>
          <w:p>
            <w:pPr>
              <w:jc w:val="center"/>
              <w:spacing w:after="0"/>
              <w:rPr>
                <w:sz w:val="20"/>
                <w:szCs w:val="20"/>
                <w:color w:val="auto"/>
              </w:rPr>
            </w:pPr>
            <w:r>
              <w:rPr>
                <w:rFonts w:ascii="Arial" w:cs="Arial" w:eastAsia="Arial" w:hAnsi="Arial"/>
                <w:sz w:val="19"/>
                <w:szCs w:val="19"/>
                <w:b w:val="1"/>
                <w:bCs w:val="1"/>
                <w:color w:val="auto"/>
                <w:w w:val="90"/>
              </w:rPr>
              <w:t>Impact increase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9"/>
                <w:szCs w:val="19"/>
                <w:b w:val="1"/>
                <w:bCs w:val="1"/>
                <w:color w:val="auto"/>
                <w:w w:val="94"/>
              </w:rPr>
              <w:t>Impact</w:t>
            </w:r>
          </w:p>
        </w:tc>
        <w:tc>
          <w:tcPr>
            <w:tcW w:w="1440" w:type="dxa"/>
            <w:vAlign w:val="bottom"/>
            <w:gridSpan w:val="2"/>
          </w:tcPr>
          <w:p>
            <w:pPr>
              <w:jc w:val="center"/>
              <w:ind w:right="100"/>
              <w:spacing w:after="0"/>
              <w:rPr>
                <w:sz w:val="20"/>
                <w:szCs w:val="20"/>
                <w:color w:val="auto"/>
              </w:rPr>
            </w:pPr>
            <w:r>
              <w:rPr>
                <w:rFonts w:ascii="Arial" w:cs="Arial" w:eastAsia="Arial" w:hAnsi="Arial"/>
                <w:sz w:val="19"/>
                <w:szCs w:val="19"/>
                <w:b w:val="1"/>
                <w:bCs w:val="1"/>
                <w:color w:val="auto"/>
                <w:w w:val="86"/>
              </w:rPr>
              <w:t>(decrease)</w:t>
            </w:r>
          </w:p>
        </w:tc>
        <w:tc>
          <w:tcPr>
            <w:tcW w:w="1420" w:type="dxa"/>
            <w:vAlign w:val="bottom"/>
            <w:gridSpan w:val="2"/>
          </w:tcPr>
          <w:p>
            <w:pPr>
              <w:jc w:val="center"/>
              <w:ind w:right="100"/>
              <w:spacing w:after="0"/>
              <w:rPr>
                <w:sz w:val="20"/>
                <w:szCs w:val="20"/>
                <w:color w:val="auto"/>
              </w:rPr>
            </w:pPr>
            <w:r>
              <w:rPr>
                <w:rFonts w:ascii="Arial" w:cs="Arial" w:eastAsia="Arial" w:hAnsi="Arial"/>
                <w:sz w:val="19"/>
                <w:szCs w:val="19"/>
                <w:b w:val="1"/>
                <w:bCs w:val="1"/>
                <w:color w:val="auto"/>
                <w:w w:val="97"/>
              </w:rPr>
              <w:t>Impact</w:t>
            </w:r>
          </w:p>
        </w:tc>
        <w:tc>
          <w:tcPr>
            <w:tcW w:w="1320" w:type="dxa"/>
            <w:vAlign w:val="bottom"/>
          </w:tcPr>
          <w:p>
            <w:pPr>
              <w:jc w:val="center"/>
              <w:spacing w:after="0"/>
              <w:rPr>
                <w:sz w:val="20"/>
                <w:szCs w:val="20"/>
                <w:color w:val="auto"/>
              </w:rPr>
            </w:pPr>
            <w:r>
              <w:rPr>
                <w:rFonts w:ascii="Arial" w:cs="Arial" w:eastAsia="Arial" w:hAnsi="Arial"/>
                <w:sz w:val="19"/>
                <w:szCs w:val="19"/>
                <w:b w:val="1"/>
                <w:bCs w:val="1"/>
                <w:color w:val="auto"/>
                <w:w w:val="86"/>
              </w:rPr>
              <w:t>(decrease)</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34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9"/>
                <w:szCs w:val="19"/>
                <w:color w:val="auto"/>
              </w:rPr>
              <w:t>Revenues</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9"/>
                <w:szCs w:val="19"/>
                <w:color w:val="auto"/>
                <w:w w:val="94"/>
              </w:rPr>
              <w:t>$37.8M</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9"/>
                <w:szCs w:val="19"/>
                <w:color w:val="auto"/>
                <w:w w:val="94"/>
              </w:rPr>
              <w:t>$1.4M</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9"/>
                <w:szCs w:val="19"/>
                <w:color w:val="auto"/>
                <w:w w:val="94"/>
              </w:rPr>
              <w:t>$30.0M</w:t>
            </w:r>
          </w:p>
        </w:tc>
        <w:tc>
          <w:tcPr>
            <w:tcW w:w="132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$0.4M</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9"/>
                <w:szCs w:val="19"/>
                <w:color w:val="auto"/>
              </w:rPr>
              <w:t>Non-GAAP Gross Margin</w:t>
            </w:r>
          </w:p>
        </w:tc>
        <w:tc>
          <w:tcPr>
            <w:tcW w:w="1340" w:type="dxa"/>
            <w:vAlign w:val="bottom"/>
          </w:tcPr>
          <w:p>
            <w:pPr>
              <w:jc w:val="center"/>
              <w:spacing w:after="0"/>
              <w:rPr>
                <w:sz w:val="20"/>
                <w:szCs w:val="20"/>
                <w:color w:val="auto"/>
              </w:rPr>
            </w:pPr>
            <w:r>
              <w:rPr>
                <w:rFonts w:ascii="Arial" w:cs="Arial" w:eastAsia="Arial" w:hAnsi="Arial"/>
                <w:sz w:val="19"/>
                <w:szCs w:val="19"/>
                <w:color w:val="auto"/>
                <w:w w:val="92"/>
              </w:rPr>
              <w:t>48.8%</w:t>
            </w:r>
          </w:p>
        </w:tc>
        <w:tc>
          <w:tcPr>
            <w:tcW w:w="12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9"/>
                <w:szCs w:val="19"/>
                <w:color w:val="auto"/>
                <w:w w:val="86"/>
              </w:rPr>
              <w:t>181bps</w:t>
            </w:r>
          </w:p>
        </w:tc>
        <w:tc>
          <w:tcPr>
            <w:tcW w:w="1320" w:type="dxa"/>
            <w:vAlign w:val="bottom"/>
          </w:tcPr>
          <w:p>
            <w:pPr>
              <w:jc w:val="center"/>
              <w:spacing w:after="0"/>
              <w:rPr>
                <w:sz w:val="20"/>
                <w:szCs w:val="20"/>
                <w:color w:val="auto"/>
              </w:rPr>
            </w:pPr>
            <w:r>
              <w:rPr>
                <w:rFonts w:ascii="Arial" w:cs="Arial" w:eastAsia="Arial" w:hAnsi="Arial"/>
                <w:sz w:val="19"/>
                <w:szCs w:val="19"/>
                <w:color w:val="auto"/>
                <w:w w:val="89"/>
              </w:rPr>
              <w:t>48.9%</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9"/>
                <w:szCs w:val="19"/>
                <w:color w:val="auto"/>
                <w:w w:val="88"/>
              </w:rPr>
              <w:t>66bps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9"/>
                <w:szCs w:val="19"/>
                <w:color w:val="auto"/>
              </w:rPr>
              <w:t>Non-GAAP Operating Margin</w:t>
            </w:r>
          </w:p>
        </w:tc>
        <w:tc>
          <w:tcPr>
            <w:tcW w:w="13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2"/>
              </w:rPr>
              <w:t>7.8%</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9"/>
                <w:szCs w:val="19"/>
                <w:color w:val="auto"/>
                <w:w w:val="86"/>
              </w:rPr>
              <w:t>326bps</w:t>
            </w:r>
          </w:p>
        </w:tc>
        <w:tc>
          <w:tcPr>
            <w:tcW w:w="132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2"/>
              </w:rPr>
              <w:t>3.8%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6"/>
              </w:rPr>
              <w:t>125bps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9"/>
                <w:szCs w:val="19"/>
                <w:color w:val="auto"/>
              </w:rPr>
              <w:t>Non-GAAP Net Margin</w:t>
            </w:r>
          </w:p>
        </w:tc>
        <w:tc>
          <w:tcPr>
            <w:tcW w:w="1340" w:type="dxa"/>
            <w:vAlign w:val="bottom"/>
          </w:tcPr>
          <w:p>
            <w:pPr>
              <w:jc w:val="center"/>
              <w:spacing w:after="0"/>
              <w:rPr>
                <w:sz w:val="20"/>
                <w:szCs w:val="20"/>
                <w:color w:val="auto"/>
              </w:rPr>
            </w:pPr>
            <w:r>
              <w:rPr>
                <w:rFonts w:ascii="Arial" w:cs="Arial" w:eastAsia="Arial" w:hAnsi="Arial"/>
                <w:sz w:val="19"/>
                <w:szCs w:val="19"/>
                <w:color w:val="auto"/>
                <w:w w:val="92"/>
              </w:rPr>
              <w:t>7.8%</w:t>
            </w:r>
          </w:p>
        </w:tc>
        <w:tc>
          <w:tcPr>
            <w:tcW w:w="12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9"/>
                <w:szCs w:val="19"/>
                <w:color w:val="auto"/>
                <w:w w:val="86"/>
              </w:rPr>
              <w:t>326bps</w:t>
            </w:r>
          </w:p>
        </w:tc>
        <w:tc>
          <w:tcPr>
            <w:tcW w:w="1320" w:type="dxa"/>
            <w:vAlign w:val="bottom"/>
          </w:tcPr>
          <w:p>
            <w:pPr>
              <w:jc w:val="center"/>
              <w:spacing w:after="0"/>
              <w:rPr>
                <w:sz w:val="20"/>
                <w:szCs w:val="20"/>
                <w:color w:val="auto"/>
              </w:rPr>
            </w:pPr>
            <w:r>
              <w:rPr>
                <w:rFonts w:ascii="Arial" w:cs="Arial" w:eastAsia="Arial" w:hAnsi="Arial"/>
                <w:sz w:val="19"/>
                <w:szCs w:val="19"/>
                <w:color w:val="auto"/>
                <w:w w:val="92"/>
              </w:rPr>
              <w:t>5.1%</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9"/>
                <w:szCs w:val="19"/>
                <w:color w:val="auto"/>
                <w:w w:val="86"/>
              </w:rPr>
              <w:t>123bps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9"/>
                <w:szCs w:val="19"/>
                <w:color w:val="auto"/>
              </w:rPr>
              <w:t>Non-GAAP Diluted Earnings Per Share</w:t>
            </w:r>
          </w:p>
        </w:tc>
        <w:tc>
          <w:tcPr>
            <w:tcW w:w="13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8"/>
              </w:rPr>
              <w:t>$0.08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8"/>
              </w:rPr>
              <w:t>$0.04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2"/>
              </w:rPr>
              <w:t>$0.04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8"/>
              </w:rPr>
              <w:t>$0.01</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Full Year 2018 Results of Operations</w:t>
      </w:r>
    </w:p>
    <w:p>
      <w:pPr>
        <w:spacing w:after="0" w:line="2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Full year 2018 GAAP revenues which are net of the non-cash impact of the warrants deducted from revenues were $142.4 million, compared to revenues of $114.1 million in the prior year. The full year impact from warrants was $4.6 million in 2018, and $2.9 million in 2017. Higher sales compared to the prior year were primarily related to higher volume of products sold, the success of new product introductions and incremental sales from services. For the full-year, the Company recorded 88.3% of revenues from products, and 11.7% of revenues from services.</w:t>
      </w:r>
    </w:p>
    <w:p>
      <w:pPr>
        <w:spacing w:after="0" w:line="189" w:lineRule="exact"/>
        <w:rPr>
          <w:sz w:val="20"/>
          <w:szCs w:val="20"/>
          <w:color w:val="auto"/>
        </w:rPr>
      </w:pPr>
    </w:p>
    <w:p>
      <w:pPr>
        <w:jc w:val="both"/>
        <w:ind w:right="20"/>
        <w:spacing w:after="0" w:line="275" w:lineRule="auto"/>
        <w:rPr>
          <w:sz w:val="20"/>
          <w:szCs w:val="20"/>
          <w:color w:val="auto"/>
        </w:rPr>
      </w:pPr>
      <w:r>
        <w:rPr>
          <w:rFonts w:ascii="Arial" w:cs="Arial" w:eastAsia="Arial" w:hAnsi="Arial"/>
          <w:sz w:val="19"/>
          <w:szCs w:val="19"/>
          <w:color w:val="auto"/>
        </w:rPr>
        <w:t>Full year GAAP gross profit was $69.9 million, compared to $54.1 million in the prior year. Non-GAAP gross profit for the full year 2018 was $70.9 million, or 49.8% of sales, compared to $54.8 million, or 48.1% of sales for the full year 2017.</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Full year 2018 operating expenses on a GAAP basis were $64.3 million, compared to $56.2 million for the full year of 2017. Non-GAAP operating expenses for the full year of 2018 were $58.2 million, or 40.8% of sales, compared to the prior year level of $50.7 million, or 44.4% of sales. The increase in total operating expenses was consistent with the previously stated growth strategy, as the Company continues to execute to its global infrastructure build out.</w:t>
      </w:r>
    </w:p>
    <w:p>
      <w:pPr>
        <w:spacing w:after="0" w:line="160"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Full year 2018 research and development expenses on a GAAP basis were $21.9 million, compared to the prior year of $20.8 million. Full year Non-GAAP research and development expenses were $20.9 million, or 14.7% of sales, compared to $20.1 million, or 17.6% of sales in the prior year.</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Full year 2018 selling and marketing expenses on a GAAP basis were $25.6 million, compared to the prior year of $21.3 million. Full year Non-GAAP selling and marketing expenses were $23.4 million, or 16.4% of sales, compared to $19.1 million, or 16.8% of sales in the prior year.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770" w:right="120" w:bottom="1440" w:gutter="0" w:footer="0" w:header="0"/>
        </w:sectPr>
      </w:pPr>
    </w:p>
    <w:bookmarkStart w:id="7" w:name="page8"/>
    <w:bookmarkEnd w:id="7"/>
    <w:p>
      <w:pPr>
        <w:jc w:val="both"/>
        <w:spacing w:after="0" w:line="304" w:lineRule="auto"/>
        <w:rPr>
          <w:sz w:val="20"/>
          <w:szCs w:val="20"/>
          <w:color w:val="auto"/>
        </w:rPr>
      </w:pPr>
      <w:r>
        <w:rPr>
          <w:rFonts w:ascii="Arial" w:cs="Arial" w:eastAsia="Arial" w:hAnsi="Arial"/>
          <w:sz w:val="18"/>
          <w:szCs w:val="18"/>
          <w:color w:val="auto"/>
        </w:rPr>
        <w:t>Full year 2018 general and administrative expenses on a GAAP basis were $16.4 million, compared to the prior year of $13.6 million. Full year Non-GAAP general and administrative expenses were $13.9 million, or 9.7% of sales, compared to $11.5 million, or 10.1% of sales in the prior year.</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Full year 2018 GAAP operating income increased to $5.6 million, compared to operating loss of $2.1 million in the prior year. Non-GAAP operating income in the full year 2018 increased to $12.7 million, compared to $4.1 million in the prior year.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On a GAAP basis, full year 2018 net income was $12.4 million, or $0.35 per diluted share, compared to net loss of $2 million in the prior year. Non-GAAP full year 2018 net income was $13.1 million, or $0.37 per diluted share, compared with Non-GAAP net income of $4.0 million or $0.11 per diluted share in the prior year.</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Balance Sheet and Cash Flow</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At December 31, 2018, the Company had cash, deposits and marketable securities of $127.7 million, and no long-term debt. Cash flow provided by operations was $15.7 million during the fourth quarter of 2018, attributable mainly to higher net profit as well as reduction in AR. Cash flow from operations for the full-year of 2018 were $33.4 million attributable mainly to higher net profit as well as reduction in inventory.</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First Quarter 2019 Guidance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will discuss the details of its guidance live during its earnings conference call, which will be available for replay via webcast at </w:t>
      </w:r>
      <w:r>
        <w:rPr>
          <w:rFonts w:ascii="Arial" w:cs="Arial" w:eastAsia="Arial" w:hAnsi="Arial"/>
          <w:sz w:val="17"/>
          <w:szCs w:val="17"/>
          <w:u w:val="single" w:color="auto"/>
          <w:color w:val="auto"/>
        </w:rPr>
        <w:t>ir.kornit.com</w:t>
      </w:r>
      <w:r>
        <w:rPr>
          <w:rFonts w:ascii="Arial" w:cs="Arial" w:eastAsia="Arial" w:hAnsi="Arial"/>
          <w:sz w:val="17"/>
          <w:szCs w:val="17"/>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Conference Call Information</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Company will host a conference call today at 5:00 p.m. ET, or 0:00 a.m. Israel time, to discuss the results, followed by a question and answer session for the investment community. A live webcast of the call can be accessed at ir.kornit.com. To access the call, participants may dial toll-free at 1-888-394-8218 or +1-323-701-0225. The toll-free Israeli number is 1 80 921 2883. The confirmation code is 4472432.</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To listen to a telephonic replay of the conference call, dial toll-free 1-844-512-2921 or +1-412-317-6671 (international) and enter confirmation code 4472432. The telephonic replay will be available beginning at 8:00 p.m. ET on Tuesday, February 12, 2019, and will last through 11:59 p.m. ET on Tuesday, February 26, 2019. The call will also be available for replay via the webcast link on Kornit’s Investor Relations website.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770" w:right="120" w:bottom="1440" w:gutter="0" w:footer="0" w:header="0"/>
        </w:sectPr>
      </w:pPr>
    </w:p>
    <w:bookmarkStart w:id="8" w:name="page9"/>
    <w:bookmarkEnd w:id="8"/>
    <w:p>
      <w:pPr>
        <w:spacing w:after="0"/>
        <w:rPr>
          <w:sz w:val="20"/>
          <w:szCs w:val="20"/>
          <w:color w:val="auto"/>
        </w:rPr>
      </w:pPr>
      <w:r>
        <w:rPr>
          <w:rFonts w:ascii="Arial" w:cs="Arial" w:eastAsia="Arial" w:hAnsi="Arial"/>
          <w:sz w:val="19"/>
          <w:szCs w:val="19"/>
          <w:b w:val="1"/>
          <w:bCs w:val="1"/>
          <w:color w:val="auto"/>
        </w:rPr>
        <w:t>Forward Looking Statements</w:t>
      </w:r>
    </w:p>
    <w:p>
      <w:pPr>
        <w:spacing w:after="0" w:line="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degree of our success in developing, introducing and selling new or improved products and product enhancements, the extent of our ability to consummate sales to large accounts with multi-system delivery plans, the degree of our ability to fill orders for our systems, the extent of our ability to continue to increase sales of our systems and ink and consumables, the extent of our ability to leverage our global infrastructure build-out, the development of the market for digital textile printing, availability of alternative ink, competition, sales concentration, changes to our relationships with suppliers, the extent of our success in marketing, and those additional factors referred to under “Risk Factors” in the company’s Annual Report on Form 20-F filed with the U.S. Securities and Exchange Commission on March 30, 2018.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Non-GAAP Discussion Disclosure</w:t>
      </w:r>
    </w:p>
    <w:p>
      <w:pPr>
        <w:spacing w:after="0" w:line="2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Non-GAAP financial measures consist of GAAP financial measures adjusted to exclude the impact of share-based compensation expenses, amortization of acquired intangible assets offering costs, deferred tax benefits and restructuring expenses and their tax effect. The purpose of such adjustments is to provide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Kornit</w:t>
      </w:r>
    </w:p>
    <w:p>
      <w:pPr>
        <w:spacing w:after="0" w:line="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764" w:right="120" w:bottom="1440" w:gutter="0" w:footer="0" w:header="0"/>
        </w:sectPr>
      </w:pPr>
    </w:p>
    <w:bookmarkStart w:id="9" w:name="page10"/>
    <w:bookmarkEnd w:id="9"/>
    <w:p>
      <w:pPr>
        <w:jc w:val="center"/>
        <w:spacing w:after="0"/>
        <w:rPr>
          <w:sz w:val="20"/>
          <w:szCs w:val="20"/>
          <w:color w:val="auto"/>
        </w:rPr>
      </w:pPr>
      <w:r>
        <w:rPr>
          <w:rFonts w:ascii="Arial" w:cs="Arial" w:eastAsia="Arial" w:hAnsi="Arial"/>
          <w:sz w:val="19"/>
          <w:szCs w:val="19"/>
          <w:b w:val="1"/>
          <w:bCs w:val="1"/>
          <w:color w:val="auto"/>
        </w:rPr>
        <w:t>KORNIT DIGITAL LTD.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AND ITS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9220" w:type="dxa"/>
            <w:vAlign w:val="bottom"/>
          </w:tcPr>
          <w:p>
            <w:pPr>
              <w:spacing w:after="0"/>
              <w:rPr>
                <w:sz w:val="21"/>
                <w:szCs w:val="21"/>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9"/>
                <w:szCs w:val="19"/>
                <w:b w:val="1"/>
                <w:bCs w:val="1"/>
                <w:color w:val="auto"/>
                <w:w w:val="88"/>
              </w:rPr>
              <w:t>December 31,</w:t>
            </w:r>
          </w:p>
        </w:tc>
        <w:tc>
          <w:tcPr>
            <w:tcW w:w="1300" w:type="dxa"/>
            <w:vAlign w:val="bottom"/>
            <w:gridSpan w:val="3"/>
          </w:tcPr>
          <w:p>
            <w:pPr>
              <w:jc w:val="right"/>
              <w:ind w:right="140"/>
              <w:spacing w:after="0"/>
              <w:rPr>
                <w:sz w:val="20"/>
                <w:szCs w:val="20"/>
                <w:color w:val="auto"/>
              </w:rPr>
            </w:pPr>
            <w:r>
              <w:rPr>
                <w:rFonts w:ascii="Arial" w:cs="Arial" w:eastAsia="Arial" w:hAnsi="Arial"/>
                <w:sz w:val="19"/>
                <w:szCs w:val="19"/>
                <w:b w:val="1"/>
                <w:bCs w:val="1"/>
                <w:color w:val="auto"/>
                <w:w w:val="92"/>
              </w:rPr>
              <w:t>December 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5"/>
              <w:spacing w:after="0"/>
              <w:rPr>
                <w:sz w:val="20"/>
                <w:szCs w:val="20"/>
                <w:color w:val="auto"/>
              </w:rPr>
            </w:pPr>
            <w:r>
              <w:rPr>
                <w:rFonts w:ascii="Arial" w:cs="Arial" w:eastAsia="Arial" w:hAnsi="Arial"/>
                <w:sz w:val="19"/>
                <w:szCs w:val="19"/>
                <w:b w:val="1"/>
                <w:bCs w:val="1"/>
                <w:color w:val="auto"/>
                <w:w w:val="89"/>
              </w:rPr>
              <w:t>2018</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5"/>
              <w:spacing w:after="0"/>
              <w:rPr>
                <w:sz w:val="20"/>
                <w:szCs w:val="20"/>
                <w:color w:val="auto"/>
              </w:rPr>
            </w:pPr>
            <w:r>
              <w:rPr>
                <w:rFonts w:ascii="Arial" w:cs="Arial" w:eastAsia="Arial" w:hAnsi="Arial"/>
                <w:sz w:val="19"/>
                <w:szCs w:val="19"/>
                <w:b w:val="1"/>
                <w:bCs w:val="1"/>
                <w:color w:val="auto"/>
              </w:rPr>
              <w:t>2017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5"/>
              <w:spacing w:after="0"/>
              <w:rPr>
                <w:sz w:val="20"/>
                <w:szCs w:val="20"/>
                <w:color w:val="auto"/>
              </w:rPr>
            </w:pPr>
            <w:r>
              <w:rPr>
                <w:rFonts w:ascii="Arial" w:cs="Arial" w:eastAsia="Arial" w:hAnsi="Arial"/>
                <w:sz w:val="19"/>
                <w:szCs w:val="19"/>
                <w:b w:val="1"/>
                <w:bCs w:val="1"/>
                <w:color w:val="auto"/>
                <w:w w:val="92"/>
              </w:rPr>
              <w:t>(Unaudited)</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9240" w:type="dxa"/>
            <w:vAlign w:val="bottom"/>
            <w:gridSpan w:val="2"/>
          </w:tcPr>
          <w:p>
            <w:pPr>
              <w:spacing w:after="0" w:line="214" w:lineRule="exact"/>
              <w:rPr>
                <w:sz w:val="20"/>
                <w:szCs w:val="20"/>
                <w:color w:val="auto"/>
              </w:rPr>
            </w:pPr>
            <w:r>
              <w:rPr>
                <w:rFonts w:ascii="Arial" w:cs="Arial" w:eastAsia="Arial" w:hAnsi="Arial"/>
                <w:sz w:val="19"/>
                <w:szCs w:val="19"/>
                <w:b w:val="1"/>
                <w:bCs w:val="1"/>
                <w:color w:val="auto"/>
              </w:rPr>
              <w:t>ASSETS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240" w:type="dxa"/>
            <w:vAlign w:val="bottom"/>
            <w:gridSpan w:val="2"/>
          </w:tcPr>
          <w:p>
            <w:pPr>
              <w:spacing w:after="0"/>
              <w:rPr>
                <w:sz w:val="20"/>
                <w:szCs w:val="20"/>
                <w:color w:val="auto"/>
              </w:rPr>
            </w:pPr>
            <w:r>
              <w:rPr>
                <w:rFonts w:ascii="Arial" w:cs="Arial" w:eastAsia="Arial" w:hAnsi="Arial"/>
                <w:sz w:val="19"/>
                <w:szCs w:val="19"/>
                <w:color w:val="auto"/>
              </w:rPr>
              <w:t>CURRENT ASSETS: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9"/>
                <w:szCs w:val="19"/>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74,132</w:t>
            </w:r>
          </w:p>
        </w:tc>
        <w:tc>
          <w:tcPr>
            <w:tcW w:w="260" w:type="dxa"/>
            <w:vAlign w:val="bottom"/>
            <w:shd w:val="clear" w:color="auto" w:fill="CCEEFF"/>
          </w:tcPr>
          <w:p>
            <w:pPr>
              <w:jc w:val="right"/>
              <w:ind w:right="65"/>
              <w:spacing w:after="0"/>
              <w:rPr>
                <w:sz w:val="20"/>
                <w:szCs w:val="20"/>
                <w:color w:val="auto"/>
              </w:rPr>
            </w:pPr>
            <w:r>
              <w:rPr>
                <w:rFonts w:ascii="Arial" w:cs="Arial" w:eastAsia="Arial" w:hAnsi="Arial"/>
                <w:sz w:val="19"/>
                <w:szCs w:val="19"/>
                <w:color w:val="auto"/>
                <w:w w:val="75"/>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18,629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9"/>
                <w:szCs w:val="19"/>
                <w:color w:val="auto"/>
              </w:rPr>
              <w:t>Short-term bank deposit</w:t>
            </w:r>
          </w:p>
        </w:tc>
        <w:tc>
          <w:tcPr>
            <w:tcW w:w="1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9"/>
                <w:szCs w:val="19"/>
                <w:color w:val="auto"/>
              </w:rPr>
              <w:t>5,000</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4,500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9"/>
                <w:szCs w:val="19"/>
                <w:color w:val="auto"/>
              </w:rPr>
              <w:t>Marketable securities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3,981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5,537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9"/>
                <w:szCs w:val="19"/>
                <w:color w:val="auto"/>
              </w:rPr>
              <w:t>Trade receivables, net</w:t>
            </w:r>
          </w:p>
        </w:tc>
        <w:tc>
          <w:tcPr>
            <w:tcW w:w="1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9"/>
                <w:szCs w:val="19"/>
                <w:color w:val="auto"/>
              </w:rPr>
              <w:t>21,953</w:t>
            </w: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9"/>
                <w:szCs w:val="19"/>
                <w:color w:val="auto"/>
              </w:rPr>
              <w:t>23,245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9"/>
                <w:szCs w:val="19"/>
                <w:color w:val="auto"/>
              </w:rPr>
              <w:t>Inventory</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30,030</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34,855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220" w:type="dxa"/>
            <w:vAlign w:val="bottom"/>
          </w:tcPr>
          <w:p>
            <w:pPr>
              <w:spacing w:after="0"/>
              <w:rPr>
                <w:sz w:val="20"/>
                <w:szCs w:val="20"/>
                <w:color w:val="auto"/>
              </w:rPr>
            </w:pPr>
            <w:r>
              <w:rPr>
                <w:rFonts w:ascii="Arial" w:cs="Arial" w:eastAsia="Arial" w:hAnsi="Arial"/>
                <w:sz w:val="19"/>
                <w:szCs w:val="19"/>
                <w:color w:val="auto"/>
              </w:rPr>
              <w:t>Other accounts receivable and prepaid expenses</w:t>
            </w:r>
          </w:p>
        </w:tc>
        <w:tc>
          <w:tcPr>
            <w:tcW w:w="12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9"/>
                <w:szCs w:val="19"/>
                <w:color w:val="auto"/>
              </w:rPr>
              <w:t>5,660</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2,661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9"/>
                <w:szCs w:val="19"/>
                <w:color w:val="auto"/>
              </w:rPr>
              <w:t>Total current assets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140,756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89,427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9"/>
                <w:szCs w:val="19"/>
                <w:color w:val="auto"/>
              </w:rPr>
              <w:t>LONG-TERM ASSETS: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9"/>
                <w:szCs w:val="19"/>
                <w:color w:val="auto"/>
              </w:rPr>
              <w:t>Marketable securities</w:t>
            </w:r>
          </w:p>
        </w:tc>
        <w:tc>
          <w:tcPr>
            <w:tcW w:w="1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9"/>
                <w:szCs w:val="19"/>
                <w:color w:val="auto"/>
              </w:rPr>
              <w:t>44,603</w:t>
            </w: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9"/>
                <w:szCs w:val="19"/>
                <w:color w:val="auto"/>
              </w:rPr>
              <w:t>68,835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9"/>
                <w:szCs w:val="19"/>
                <w:color w:val="auto"/>
              </w:rPr>
              <w:t>Deposits and prepaid expenses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744</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627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9"/>
                <w:szCs w:val="19"/>
                <w:color w:val="auto"/>
              </w:rPr>
              <w:t>Severance pay fund</w:t>
            </w:r>
          </w:p>
        </w:tc>
        <w:tc>
          <w:tcPr>
            <w:tcW w:w="1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9"/>
                <w:szCs w:val="19"/>
                <w:color w:val="auto"/>
              </w:rPr>
              <w:t>351</w:t>
            </w: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9"/>
                <w:szCs w:val="19"/>
                <w:color w:val="auto"/>
              </w:rPr>
              <w:t>523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9"/>
                <w:szCs w:val="19"/>
                <w:color w:val="auto"/>
              </w:rPr>
              <w:t>Deferred taxes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7,272</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564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9"/>
                <w:szCs w:val="19"/>
                <w:color w:val="auto"/>
              </w:rPr>
              <w:t>Property and equipment, net</w:t>
            </w:r>
          </w:p>
        </w:tc>
        <w:tc>
          <w:tcPr>
            <w:tcW w:w="1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9"/>
                <w:szCs w:val="19"/>
                <w:color w:val="auto"/>
              </w:rPr>
              <w:t>14,994</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11,230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9"/>
                <w:szCs w:val="19"/>
                <w:color w:val="auto"/>
              </w:rPr>
              <w:t>Intangible assets, net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1,011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2,076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220" w:type="dxa"/>
            <w:vAlign w:val="bottom"/>
          </w:tcPr>
          <w:p>
            <w:pPr>
              <w:spacing w:after="0"/>
              <w:rPr>
                <w:sz w:val="20"/>
                <w:szCs w:val="20"/>
                <w:color w:val="auto"/>
              </w:rPr>
            </w:pPr>
            <w:r>
              <w:rPr>
                <w:rFonts w:ascii="Arial" w:cs="Arial" w:eastAsia="Arial" w:hAnsi="Arial"/>
                <w:sz w:val="19"/>
                <w:szCs w:val="19"/>
                <w:color w:val="auto"/>
              </w:rPr>
              <w:t>Goodwill</w:t>
            </w:r>
          </w:p>
        </w:tc>
        <w:tc>
          <w:tcPr>
            <w:tcW w:w="12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9"/>
                <w:szCs w:val="19"/>
                <w:color w:val="auto"/>
              </w:rPr>
              <w:t>5,092</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5,092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9"/>
                <w:szCs w:val="19"/>
                <w:color w:val="auto"/>
              </w:rPr>
              <w:t>Total long-term assets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74,067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88,947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0" w:type="dxa"/>
            <w:vAlign w:val="bottom"/>
            <w:vMerge w:val="continue"/>
          </w:tcPr>
          <w:p>
            <w:pPr>
              <w:spacing w:after="0"/>
              <w:rPr>
                <w:sz w:val="24"/>
                <w:szCs w:val="24"/>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9"/>
                <w:szCs w:val="19"/>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214,823</w:t>
            </w:r>
          </w:p>
        </w:tc>
        <w:tc>
          <w:tcPr>
            <w:tcW w:w="260" w:type="dxa"/>
            <w:vAlign w:val="bottom"/>
            <w:shd w:val="clear" w:color="auto" w:fill="CCEEFF"/>
          </w:tcPr>
          <w:p>
            <w:pPr>
              <w:jc w:val="right"/>
              <w:ind w:right="65"/>
              <w:spacing w:after="0"/>
              <w:rPr>
                <w:sz w:val="20"/>
                <w:szCs w:val="20"/>
                <w:color w:val="auto"/>
              </w:rPr>
            </w:pPr>
            <w:r>
              <w:rPr>
                <w:rFonts w:ascii="Arial" w:cs="Arial" w:eastAsia="Arial" w:hAnsi="Arial"/>
                <w:sz w:val="19"/>
                <w:szCs w:val="19"/>
                <w:color w:val="auto"/>
                <w:w w:val="7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178,374</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LIABILITIES AND SHAREHOLDERS’ EQUITY</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9"/>
                <w:szCs w:val="19"/>
                <w:color w:val="auto"/>
              </w:rPr>
              <w:t>CURRENT LIABILITIES: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9"/>
                <w:szCs w:val="19"/>
                <w:color w:val="auto"/>
              </w:rPr>
              <w:t>Trade payables</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16,614</w:t>
            </w:r>
          </w:p>
        </w:tc>
        <w:tc>
          <w:tcPr>
            <w:tcW w:w="260" w:type="dxa"/>
            <w:vAlign w:val="bottom"/>
            <w:shd w:val="clear" w:color="auto" w:fill="CCEEFF"/>
          </w:tcPr>
          <w:p>
            <w:pPr>
              <w:jc w:val="right"/>
              <w:ind w:right="65"/>
              <w:spacing w:after="0"/>
              <w:rPr>
                <w:sz w:val="20"/>
                <w:szCs w:val="20"/>
                <w:color w:val="auto"/>
              </w:rPr>
            </w:pPr>
            <w:r>
              <w:rPr>
                <w:rFonts w:ascii="Arial" w:cs="Arial" w:eastAsia="Arial" w:hAnsi="Arial"/>
                <w:sz w:val="19"/>
                <w:szCs w:val="19"/>
                <w:color w:val="auto"/>
                <w:w w:val="75"/>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12,439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9"/>
                <w:szCs w:val="19"/>
                <w:color w:val="auto"/>
              </w:rPr>
              <w:t>Employees and payroll accruals</w:t>
            </w:r>
          </w:p>
        </w:tc>
        <w:tc>
          <w:tcPr>
            <w:tcW w:w="1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9"/>
                <w:szCs w:val="19"/>
                <w:color w:val="auto"/>
              </w:rPr>
              <w:t>7,932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6,338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9"/>
                <w:szCs w:val="19"/>
                <w:color w:val="auto"/>
              </w:rPr>
              <w:t>Deferred revenues and advances from customers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3,633</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1,697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220" w:type="dxa"/>
            <w:vAlign w:val="bottom"/>
          </w:tcPr>
          <w:p>
            <w:pPr>
              <w:spacing w:after="0"/>
              <w:rPr>
                <w:sz w:val="20"/>
                <w:szCs w:val="20"/>
                <w:color w:val="auto"/>
              </w:rPr>
            </w:pPr>
            <w:r>
              <w:rPr>
                <w:rFonts w:ascii="Arial" w:cs="Arial" w:eastAsia="Arial" w:hAnsi="Arial"/>
                <w:sz w:val="19"/>
                <w:szCs w:val="19"/>
                <w:color w:val="auto"/>
              </w:rPr>
              <w:t>Other payables and accrued expenses</w:t>
            </w:r>
          </w:p>
        </w:tc>
        <w:tc>
          <w:tcPr>
            <w:tcW w:w="12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9"/>
                <w:szCs w:val="19"/>
                <w:color w:val="auto"/>
              </w:rPr>
              <w:t>4,993</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5,046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9"/>
                <w:szCs w:val="19"/>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33,172</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25,520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9"/>
                <w:szCs w:val="19"/>
                <w:color w:val="auto"/>
              </w:rPr>
              <w:t>LONG-TERM LIABILITIES: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9"/>
                <w:szCs w:val="19"/>
                <w:color w:val="auto"/>
              </w:rPr>
              <w:t>Accrued severance pay</w:t>
            </w:r>
          </w:p>
        </w:tc>
        <w:tc>
          <w:tcPr>
            <w:tcW w:w="1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9"/>
                <w:szCs w:val="19"/>
                <w:color w:val="auto"/>
              </w:rPr>
              <w:t>1,059</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9"/>
                <w:szCs w:val="19"/>
                <w:color w:val="auto"/>
              </w:rPr>
              <w:t>Payment obligation related to acquisition</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334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220" w:type="dxa"/>
            <w:vAlign w:val="bottom"/>
          </w:tcPr>
          <w:p>
            <w:pPr>
              <w:spacing w:after="0"/>
              <w:rPr>
                <w:sz w:val="20"/>
                <w:szCs w:val="20"/>
                <w:color w:val="auto"/>
              </w:rPr>
            </w:pPr>
            <w:r>
              <w:rPr>
                <w:rFonts w:ascii="Arial" w:cs="Arial" w:eastAsia="Arial" w:hAnsi="Arial"/>
                <w:sz w:val="19"/>
                <w:szCs w:val="19"/>
                <w:color w:val="auto"/>
              </w:rPr>
              <w:t>Other long-term liabilities</w:t>
            </w:r>
          </w:p>
        </w:tc>
        <w:tc>
          <w:tcPr>
            <w:tcW w:w="12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9"/>
                <w:szCs w:val="19"/>
                <w:color w:val="auto"/>
              </w:rPr>
              <w:t>1,456</w:t>
            </w:r>
          </w:p>
        </w:tc>
        <w:tc>
          <w:tcPr>
            <w:tcW w:w="26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9"/>
                <w:szCs w:val="19"/>
                <w:color w:val="auto"/>
              </w:rPr>
              <w:t>589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9"/>
                <w:szCs w:val="19"/>
                <w:color w:val="auto"/>
              </w:rPr>
              <w:t>Total long-term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2,515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2,155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vMerge w:val="continue"/>
          </w:tcPr>
          <w:p>
            <w:pPr>
              <w:spacing w:after="0"/>
              <w:rPr>
                <w:sz w:val="21"/>
                <w:szCs w:val="21"/>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9"/>
                <w:szCs w:val="19"/>
                <w:color w:val="auto"/>
              </w:rPr>
              <w:t>SHAREHOLDERS’ EQUITY</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179,136</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150,699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92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0" w:type="dxa"/>
            <w:vAlign w:val="bottom"/>
            <w:vMerge w:val="continue"/>
          </w:tcPr>
          <w:p>
            <w:pPr>
              <w:spacing w:after="0"/>
              <w:rPr>
                <w:sz w:val="24"/>
                <w:szCs w:val="24"/>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9"/>
                <w:szCs w:val="19"/>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214,823</w:t>
            </w:r>
          </w:p>
        </w:tc>
        <w:tc>
          <w:tcPr>
            <w:tcW w:w="260" w:type="dxa"/>
            <w:vAlign w:val="bottom"/>
            <w:shd w:val="clear" w:color="auto" w:fill="CCEEFF"/>
          </w:tcPr>
          <w:p>
            <w:pPr>
              <w:jc w:val="right"/>
              <w:ind w:right="65"/>
              <w:spacing w:after="0"/>
              <w:rPr>
                <w:sz w:val="20"/>
                <w:szCs w:val="20"/>
                <w:color w:val="auto"/>
              </w:rPr>
            </w:pPr>
            <w:r>
              <w:rPr>
                <w:rFonts w:ascii="Arial" w:cs="Arial" w:eastAsia="Arial" w:hAnsi="Arial"/>
                <w:sz w:val="19"/>
                <w:szCs w:val="19"/>
                <w:color w:val="auto"/>
                <w:w w:val="7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178,374</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764" w:right="120" w:bottom="1440" w:gutter="0" w:footer="0" w:header="0"/>
        </w:sectPr>
      </w:pPr>
    </w:p>
    <w:bookmarkStart w:id="10" w:name="page11"/>
    <w:bookmarkEnd w:id="10"/>
    <w:p>
      <w:pPr>
        <w:ind w:left="4940"/>
        <w:spacing w:after="0"/>
        <w:rPr>
          <w:sz w:val="20"/>
          <w:szCs w:val="20"/>
          <w:color w:val="auto"/>
        </w:rPr>
      </w:pPr>
      <w:r>
        <w:rPr>
          <w:rFonts w:ascii="Arial" w:cs="Arial" w:eastAsia="Arial" w:hAnsi="Arial"/>
          <w:sz w:val="19"/>
          <w:szCs w:val="19"/>
          <w:b w:val="1"/>
          <w:bCs w:val="1"/>
          <w:color w:val="auto"/>
        </w:rPr>
        <w:t>KORNIT DIGITAL LTD.</w:t>
      </w:r>
    </w:p>
    <w:p>
      <w:pPr>
        <w:spacing w:after="0" w:line="29" w:lineRule="exact"/>
        <w:rPr>
          <w:sz w:val="20"/>
          <w:szCs w:val="20"/>
          <w:color w:val="auto"/>
        </w:rPr>
      </w:pPr>
    </w:p>
    <w:p>
      <w:pPr>
        <w:ind w:left="4920"/>
        <w:spacing w:after="0"/>
        <w:rPr>
          <w:sz w:val="20"/>
          <w:szCs w:val="20"/>
          <w:color w:val="auto"/>
        </w:rPr>
      </w:pPr>
      <w:r>
        <w:rPr>
          <w:rFonts w:ascii="Arial" w:cs="Arial" w:eastAsia="Arial" w:hAnsi="Arial"/>
          <w:sz w:val="19"/>
          <w:szCs w:val="19"/>
          <w:b w:val="1"/>
          <w:bCs w:val="1"/>
          <w:color w:val="auto"/>
        </w:rPr>
        <w:t>AND ITS SUBSIDIARIES</w:t>
      </w:r>
    </w:p>
    <w:p>
      <w:pPr>
        <w:spacing w:after="0" w:line="10" w:lineRule="exact"/>
        <w:rPr>
          <w:sz w:val="20"/>
          <w:szCs w:val="20"/>
          <w:color w:val="auto"/>
        </w:rPr>
      </w:pPr>
    </w:p>
    <w:p>
      <w:pPr>
        <w:ind w:left="3780"/>
        <w:spacing w:after="0"/>
        <w:rPr>
          <w:sz w:val="20"/>
          <w:szCs w:val="20"/>
          <w:color w:val="auto"/>
        </w:rPr>
      </w:pPr>
      <w:r>
        <w:rPr>
          <w:rFonts w:ascii="Arial" w:cs="Arial" w:eastAsia="Arial" w:hAnsi="Arial"/>
          <w:sz w:val="19"/>
          <w:szCs w:val="19"/>
          <w:b w:val="1"/>
          <w:bCs w:val="1"/>
          <w:color w:val="auto"/>
        </w:rPr>
        <w:t>CONSOLIDATED STATEMENTS OF OPERATIONS</w:t>
      </w:r>
    </w:p>
    <w:p>
      <w:pPr>
        <w:spacing w:after="0" w:line="10"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(U.S. dollars in thousands, except share and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4"/>
          </w:tcPr>
          <w:p>
            <w:pPr>
              <w:jc w:val="center"/>
              <w:ind w:left="525"/>
              <w:spacing w:after="0"/>
              <w:rPr>
                <w:sz w:val="20"/>
                <w:szCs w:val="20"/>
                <w:color w:val="auto"/>
              </w:rPr>
            </w:pPr>
            <w:r>
              <w:rPr>
                <w:rFonts w:ascii="Arial" w:cs="Arial" w:eastAsia="Arial" w:hAnsi="Arial"/>
                <w:sz w:val="19"/>
                <w:szCs w:val="19"/>
                <w:b w:val="1"/>
                <w:bCs w:val="1"/>
                <w:color w:val="auto"/>
                <w:w w:val="89"/>
              </w:rPr>
              <w:t>Year Ended</w:t>
            </w: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gridSpan w:val="5"/>
          </w:tcPr>
          <w:p>
            <w:pPr>
              <w:jc w:val="center"/>
              <w:ind w:right="225"/>
              <w:spacing w:after="0"/>
              <w:rPr>
                <w:sz w:val="20"/>
                <w:szCs w:val="20"/>
                <w:color w:val="auto"/>
              </w:rPr>
            </w:pPr>
            <w:r>
              <w:rPr>
                <w:rFonts w:ascii="Arial" w:cs="Arial" w:eastAsia="Arial" w:hAnsi="Arial"/>
                <w:sz w:val="19"/>
                <w:szCs w:val="19"/>
                <w:b w:val="1"/>
                <w:bCs w:val="1"/>
                <w:color w:val="auto"/>
                <w:w w:val="92"/>
              </w:rPr>
              <w:t>Three Months Ended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700" w:type="dxa"/>
            <w:vAlign w:val="bottom"/>
            <w:gridSpan w:val="6"/>
          </w:tcPr>
          <w:p>
            <w:pPr>
              <w:jc w:val="center"/>
              <w:ind w:right="385"/>
              <w:spacing w:after="0"/>
              <w:rPr>
                <w:sz w:val="20"/>
                <w:szCs w:val="20"/>
                <w:color w:val="auto"/>
              </w:rPr>
            </w:pPr>
            <w:r>
              <w:rPr>
                <w:rFonts w:ascii="Arial" w:cs="Arial" w:eastAsia="Arial" w:hAnsi="Arial"/>
                <w:sz w:val="19"/>
                <w:szCs w:val="19"/>
                <w:b w:val="1"/>
                <w:bCs w:val="1"/>
                <w:color w:val="auto"/>
                <w:w w:val="88"/>
              </w:rPr>
              <w:t>December 31,</w:t>
            </w:r>
          </w:p>
        </w:tc>
        <w:tc>
          <w:tcPr>
            <w:tcW w:w="200" w:type="dxa"/>
            <w:vAlign w:val="bottom"/>
          </w:tcPr>
          <w:p>
            <w:pPr>
              <w:spacing w:after="0"/>
              <w:rPr>
                <w:sz w:val="22"/>
                <w:szCs w:val="22"/>
                <w:color w:val="auto"/>
              </w:rPr>
            </w:pPr>
          </w:p>
        </w:tc>
        <w:tc>
          <w:tcPr>
            <w:tcW w:w="2500" w:type="dxa"/>
            <w:vAlign w:val="bottom"/>
            <w:gridSpan w:val="5"/>
          </w:tcPr>
          <w:p>
            <w:pPr>
              <w:jc w:val="center"/>
              <w:ind w:right="225"/>
              <w:spacing w:after="0"/>
              <w:rPr>
                <w:sz w:val="20"/>
                <w:szCs w:val="20"/>
                <w:color w:val="auto"/>
              </w:rPr>
            </w:pPr>
            <w:r>
              <w:rPr>
                <w:rFonts w:ascii="Arial" w:cs="Arial" w:eastAsia="Arial" w:hAnsi="Arial"/>
                <w:sz w:val="19"/>
                <w:szCs w:val="19"/>
                <w:b w:val="1"/>
                <w:bCs w:val="1"/>
                <w:color w:val="auto"/>
                <w:w w:val="88"/>
              </w:rPr>
              <w:t>December 31,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9"/>
                <w:szCs w:val="19"/>
                <w:b w:val="1"/>
                <w:bCs w:val="1"/>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9"/>
                <w:szCs w:val="19"/>
                <w:b w:val="1"/>
                <w:bCs w:val="1"/>
                <w:color w:val="auto"/>
                <w:w w:val="99"/>
              </w:rPr>
              <w:t>2017</w:t>
            </w:r>
          </w:p>
        </w:tc>
        <w:tc>
          <w:tcPr>
            <w:tcW w:w="26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9"/>
                <w:szCs w:val="19"/>
                <w:b w:val="1"/>
                <w:bCs w:val="1"/>
                <w:color w:val="auto"/>
              </w:rPr>
              <w:t>2018</w:t>
            </w:r>
          </w:p>
        </w:tc>
        <w:tc>
          <w:tcPr>
            <w:tcW w:w="2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9"/>
                <w:szCs w:val="19"/>
                <w:b w:val="1"/>
                <w:bCs w:val="1"/>
                <w:color w:val="auto"/>
              </w:rPr>
              <w:t>2017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center"/>
              <w:ind w:right="126"/>
              <w:spacing w:after="0"/>
              <w:rPr>
                <w:sz w:val="20"/>
                <w:szCs w:val="20"/>
                <w:color w:val="auto"/>
              </w:rPr>
            </w:pPr>
            <w:r>
              <w:rPr>
                <w:rFonts w:ascii="Arial" w:cs="Arial" w:eastAsia="Arial" w:hAnsi="Arial"/>
                <w:sz w:val="19"/>
                <w:szCs w:val="19"/>
                <w:b w:val="1"/>
                <w:bCs w:val="1"/>
                <w:color w:val="auto"/>
                <w:w w:val="92"/>
              </w:rPr>
              <w:t>(Unaudited)</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center"/>
              <w:ind w:right="106"/>
              <w:spacing w:after="0"/>
              <w:rPr>
                <w:sz w:val="20"/>
                <w:szCs w:val="20"/>
                <w:color w:val="auto"/>
              </w:rPr>
            </w:pPr>
            <w:r>
              <w:rPr>
                <w:rFonts w:ascii="Arial" w:cs="Arial" w:eastAsia="Arial" w:hAnsi="Arial"/>
                <w:sz w:val="19"/>
                <w:szCs w:val="19"/>
                <w:b w:val="1"/>
                <w:bCs w:val="1"/>
                <w:color w:val="auto"/>
                <w:w w:val="92"/>
              </w:rPr>
              <w:t>(Unaudited)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6360" w:type="dxa"/>
            <w:vAlign w:val="bottom"/>
            <w:gridSpan w:val="2"/>
          </w:tcPr>
          <w:p>
            <w:pPr>
              <w:spacing w:after="0"/>
              <w:rPr>
                <w:sz w:val="20"/>
                <w:szCs w:val="20"/>
                <w:color w:val="auto"/>
              </w:rPr>
            </w:pPr>
            <w:r>
              <w:rPr>
                <w:rFonts w:ascii="Arial" w:cs="Arial" w:eastAsia="Arial" w:hAnsi="Arial"/>
                <w:sz w:val="19"/>
                <w:szCs w:val="19"/>
                <w:color w:val="auto"/>
              </w:rPr>
              <w:t>Revenues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40" w:type="dxa"/>
            <w:vAlign w:val="bottom"/>
            <w:shd w:val="clear" w:color="auto" w:fill="CCEEFF"/>
          </w:tcPr>
          <w:p>
            <w:pPr>
              <w:ind w:left="140"/>
              <w:spacing w:after="0"/>
              <w:rPr>
                <w:sz w:val="20"/>
                <w:szCs w:val="20"/>
                <w:color w:val="auto"/>
              </w:rPr>
            </w:pPr>
            <w:r>
              <w:rPr>
                <w:rFonts w:ascii="Arial" w:cs="Arial" w:eastAsia="Arial" w:hAnsi="Arial"/>
                <w:sz w:val="19"/>
                <w:szCs w:val="19"/>
                <w:color w:val="auto"/>
              </w:rPr>
              <w:t>Products</w:t>
            </w:r>
          </w:p>
        </w:tc>
        <w:tc>
          <w:tcPr>
            <w:tcW w:w="240" w:type="dxa"/>
            <w:vAlign w:val="bottom"/>
            <w:shd w:val="clear" w:color="auto" w:fill="CCEEFF"/>
          </w:tcPr>
          <w:p>
            <w:pPr>
              <w:jc w:val="right"/>
              <w:ind w:right="45"/>
              <w:spacing w:after="0"/>
              <w:rPr>
                <w:sz w:val="20"/>
                <w:szCs w:val="20"/>
                <w:color w:val="auto"/>
              </w:rPr>
            </w:pPr>
            <w:r>
              <w:rPr>
                <w:rFonts w:ascii="Arial" w:cs="Arial" w:eastAsia="Arial" w:hAnsi="Arial"/>
                <w:sz w:val="19"/>
                <w:szCs w:val="19"/>
                <w:color w:val="auto"/>
                <w:w w:val="75"/>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125,729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w:t>
            </w:r>
          </w:p>
        </w:tc>
        <w:tc>
          <w:tcPr>
            <w:tcW w:w="1100" w:type="dxa"/>
            <w:vAlign w:val="bottom"/>
            <w:gridSpan w:val="2"/>
            <w:shd w:val="clear" w:color="auto" w:fill="CCEEFF"/>
          </w:tcPr>
          <w:p>
            <w:pPr>
              <w:jc w:val="right"/>
              <w:ind w:right="145"/>
              <w:spacing w:after="0"/>
              <w:rPr>
                <w:sz w:val="20"/>
                <w:szCs w:val="20"/>
                <w:color w:val="auto"/>
              </w:rPr>
            </w:pPr>
            <w:r>
              <w:rPr>
                <w:rFonts w:ascii="Arial" w:cs="Arial" w:eastAsia="Arial" w:hAnsi="Arial"/>
                <w:sz w:val="19"/>
                <w:szCs w:val="19"/>
                <w:color w:val="auto"/>
              </w:rPr>
              <w:t>101,953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33,522</w:t>
            </w:r>
          </w:p>
        </w:tc>
        <w:tc>
          <w:tcPr>
            <w:tcW w:w="22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ind w:right="25"/>
              <w:spacing w:after="0"/>
              <w:rPr>
                <w:sz w:val="20"/>
                <w:szCs w:val="20"/>
                <w:color w:val="auto"/>
              </w:rPr>
            </w:pPr>
            <w:r>
              <w:rPr>
                <w:rFonts w:ascii="Arial" w:cs="Arial" w:eastAsia="Arial" w:hAnsi="Arial"/>
                <w:sz w:val="19"/>
                <w:szCs w:val="19"/>
                <w:color w:val="auto"/>
              </w:rPr>
              <w:t>26,219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340" w:type="dxa"/>
            <w:vAlign w:val="bottom"/>
          </w:tcPr>
          <w:p>
            <w:pPr>
              <w:ind w:left="140"/>
              <w:spacing w:after="0"/>
              <w:rPr>
                <w:sz w:val="20"/>
                <w:szCs w:val="20"/>
                <w:color w:val="auto"/>
              </w:rPr>
            </w:pPr>
            <w:r>
              <w:rPr>
                <w:rFonts w:ascii="Arial" w:cs="Arial" w:eastAsia="Arial" w:hAnsi="Arial"/>
                <w:sz w:val="19"/>
                <w:szCs w:val="19"/>
                <w:color w:val="auto"/>
              </w:rPr>
              <w:t>Services</w:t>
            </w:r>
          </w:p>
        </w:tc>
        <w:tc>
          <w:tcPr>
            <w:tcW w:w="2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9"/>
                <w:szCs w:val="19"/>
                <w:color w:val="auto"/>
              </w:rPr>
              <w:t>16,644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145"/>
              <w:spacing w:after="0"/>
              <w:rPr>
                <w:sz w:val="20"/>
                <w:szCs w:val="20"/>
                <w:color w:val="auto"/>
              </w:rPr>
            </w:pPr>
            <w:r>
              <w:rPr>
                <w:rFonts w:ascii="Arial" w:cs="Arial" w:eastAsia="Arial" w:hAnsi="Arial"/>
                <w:sz w:val="19"/>
                <w:szCs w:val="19"/>
                <w:color w:val="auto"/>
              </w:rPr>
              <w:t>12,135</w:t>
            </w:r>
          </w:p>
        </w:tc>
        <w:tc>
          <w:tcPr>
            <w:tcW w:w="2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9"/>
                <w:szCs w:val="19"/>
                <w:color w:val="auto"/>
              </w:rPr>
              <w:t>4,264</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3,731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Total revenues</w:t>
            </w: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142,373</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114,088</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37,786</w:t>
            </w: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29,950</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9"/>
                <w:szCs w:val="19"/>
                <w:color w:val="auto"/>
              </w:rPr>
              <w:t>Cost of revenues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tcPr>
          <w:p>
            <w:pPr>
              <w:ind w:left="140"/>
              <w:spacing w:after="0"/>
              <w:rPr>
                <w:sz w:val="20"/>
                <w:szCs w:val="20"/>
                <w:color w:val="auto"/>
              </w:rPr>
            </w:pPr>
            <w:r>
              <w:rPr>
                <w:rFonts w:ascii="Arial" w:cs="Arial" w:eastAsia="Arial" w:hAnsi="Arial"/>
                <w:sz w:val="19"/>
                <w:szCs w:val="19"/>
                <w:color w:val="auto"/>
              </w:rPr>
              <w:t>Products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9"/>
                <w:szCs w:val="19"/>
                <w:color w:val="auto"/>
              </w:rPr>
              <w:t>53,303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45"/>
              <w:spacing w:after="0"/>
              <w:rPr>
                <w:sz w:val="20"/>
                <w:szCs w:val="20"/>
                <w:color w:val="auto"/>
              </w:rPr>
            </w:pPr>
            <w:r>
              <w:rPr>
                <w:rFonts w:ascii="Arial" w:cs="Arial" w:eastAsia="Arial" w:hAnsi="Arial"/>
                <w:sz w:val="19"/>
                <w:szCs w:val="19"/>
                <w:color w:val="auto"/>
              </w:rPr>
              <w:t>46,480</w:t>
            </w: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9"/>
                <w:szCs w:val="19"/>
                <w:color w:val="auto"/>
              </w:rPr>
              <w:t>14,029</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11,834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40" w:type="dxa"/>
            <w:vAlign w:val="bottom"/>
            <w:shd w:val="clear" w:color="auto" w:fill="CCEEFF"/>
          </w:tcPr>
          <w:p>
            <w:pPr>
              <w:ind w:left="140"/>
              <w:spacing w:after="0"/>
              <w:rPr>
                <w:sz w:val="20"/>
                <w:szCs w:val="20"/>
                <w:color w:val="auto"/>
              </w:rPr>
            </w:pPr>
            <w:r>
              <w:rPr>
                <w:rFonts w:ascii="Arial" w:cs="Arial" w:eastAsia="Arial" w:hAnsi="Arial"/>
                <w:sz w:val="19"/>
                <w:szCs w:val="19"/>
                <w:color w:val="auto"/>
              </w:rPr>
              <w:t>Services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19,201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5"/>
              <w:spacing w:after="0"/>
              <w:rPr>
                <w:sz w:val="20"/>
                <w:szCs w:val="20"/>
                <w:color w:val="auto"/>
              </w:rPr>
            </w:pPr>
            <w:r>
              <w:rPr>
                <w:rFonts w:ascii="Arial" w:cs="Arial" w:eastAsia="Arial" w:hAnsi="Arial"/>
                <w:sz w:val="19"/>
                <w:szCs w:val="19"/>
                <w:color w:val="auto"/>
              </w:rPr>
              <w:t>13,497</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5,630</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3,661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98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98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96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gridSpan w:val="2"/>
          </w:tcPr>
          <w:p>
            <w:pPr>
              <w:spacing w:after="0" w:line="217" w:lineRule="exact"/>
              <w:rPr>
                <w:sz w:val="20"/>
                <w:szCs w:val="20"/>
                <w:color w:val="auto"/>
              </w:rPr>
            </w:pPr>
            <w:r>
              <w:rPr>
                <w:rFonts w:ascii="Arial" w:cs="Arial" w:eastAsia="Arial" w:hAnsi="Arial"/>
                <w:sz w:val="19"/>
                <w:szCs w:val="19"/>
                <w:color w:val="auto"/>
              </w:rPr>
              <w:t>Total cost of revenues</w:t>
            </w:r>
          </w:p>
        </w:tc>
        <w:tc>
          <w:tcPr>
            <w:tcW w:w="240" w:type="dxa"/>
            <w:vAlign w:val="bottom"/>
          </w:tcPr>
          <w:p>
            <w:pPr>
              <w:spacing w:after="0"/>
              <w:rPr>
                <w:sz w:val="18"/>
                <w:szCs w:val="18"/>
                <w:color w:val="auto"/>
              </w:rPr>
            </w:pPr>
          </w:p>
        </w:tc>
        <w:tc>
          <w:tcPr>
            <w:tcW w:w="980" w:type="dxa"/>
            <w:vAlign w:val="bottom"/>
          </w:tcPr>
          <w:p>
            <w:pPr>
              <w:jc w:val="right"/>
              <w:spacing w:after="0" w:line="217" w:lineRule="exact"/>
              <w:rPr>
                <w:sz w:val="20"/>
                <w:szCs w:val="20"/>
                <w:color w:val="auto"/>
              </w:rPr>
            </w:pPr>
            <w:r>
              <w:rPr>
                <w:rFonts w:ascii="Arial" w:cs="Arial" w:eastAsia="Arial" w:hAnsi="Arial"/>
                <w:sz w:val="19"/>
                <w:szCs w:val="19"/>
                <w:color w:val="auto"/>
              </w:rPr>
              <w:t>72,504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line="217" w:lineRule="exact"/>
              <w:rPr>
                <w:sz w:val="20"/>
                <w:szCs w:val="20"/>
                <w:color w:val="auto"/>
              </w:rPr>
            </w:pPr>
            <w:r>
              <w:rPr>
                <w:rFonts w:ascii="Arial" w:cs="Arial" w:eastAsia="Arial" w:hAnsi="Arial"/>
                <w:sz w:val="19"/>
                <w:szCs w:val="19"/>
                <w:color w:val="auto"/>
              </w:rPr>
              <w:t>59,977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line="217" w:lineRule="exact"/>
              <w:rPr>
                <w:sz w:val="20"/>
                <w:szCs w:val="20"/>
                <w:color w:val="auto"/>
              </w:rPr>
            </w:pPr>
            <w:r>
              <w:rPr>
                <w:rFonts w:ascii="Arial" w:cs="Arial" w:eastAsia="Arial" w:hAnsi="Arial"/>
                <w:sz w:val="19"/>
                <w:szCs w:val="19"/>
                <w:color w:val="auto"/>
              </w:rPr>
              <w:t>19,659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line="217" w:lineRule="exact"/>
              <w:rPr>
                <w:sz w:val="20"/>
                <w:szCs w:val="20"/>
                <w:color w:val="auto"/>
              </w:rPr>
            </w:pPr>
            <w:r>
              <w:rPr>
                <w:rFonts w:ascii="Arial" w:cs="Arial" w:eastAsia="Arial" w:hAnsi="Arial"/>
                <w:sz w:val="19"/>
                <w:szCs w:val="19"/>
                <w:color w:val="auto"/>
              </w:rPr>
              <w:t>15,495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vMerge w:val="continue"/>
          </w:tcPr>
          <w:p>
            <w:pPr>
              <w:spacing w:after="0"/>
              <w:rPr>
                <w:sz w:val="21"/>
                <w:szCs w:val="21"/>
                <w:color w:val="auto"/>
              </w:rPr>
            </w:pPr>
          </w:p>
        </w:tc>
        <w:tc>
          <w:tcPr>
            <w:tcW w:w="6340" w:type="dxa"/>
            <w:vAlign w:val="bottom"/>
          </w:tcPr>
          <w:p>
            <w:pPr>
              <w:spacing w:after="0"/>
              <w:rPr>
                <w:sz w:val="20"/>
                <w:szCs w:val="20"/>
                <w:color w:val="auto"/>
              </w:rPr>
            </w:pPr>
            <w:r>
              <w:rPr>
                <w:rFonts w:ascii="Arial" w:cs="Arial" w:eastAsia="Arial" w:hAnsi="Arial"/>
                <w:sz w:val="19"/>
                <w:szCs w:val="19"/>
                <w:color w:val="auto"/>
              </w:rPr>
              <w:t>Gross profit</w:t>
            </w:r>
          </w:p>
        </w:tc>
        <w:tc>
          <w:tcPr>
            <w:tcW w:w="2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9"/>
                <w:szCs w:val="19"/>
                <w:color w:val="auto"/>
              </w:rPr>
              <w:t>69,869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145"/>
              <w:spacing w:after="0"/>
              <w:rPr>
                <w:sz w:val="20"/>
                <w:szCs w:val="20"/>
                <w:color w:val="auto"/>
              </w:rPr>
            </w:pPr>
            <w:r>
              <w:rPr>
                <w:rFonts w:ascii="Arial" w:cs="Arial" w:eastAsia="Arial" w:hAnsi="Arial"/>
                <w:sz w:val="19"/>
                <w:szCs w:val="19"/>
                <w:color w:val="auto"/>
              </w:rPr>
              <w:t>54,111</w:t>
            </w:r>
          </w:p>
        </w:tc>
        <w:tc>
          <w:tcPr>
            <w:tcW w:w="2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9"/>
                <w:szCs w:val="19"/>
                <w:color w:val="auto"/>
              </w:rPr>
              <w:t>18,127</w:t>
            </w:r>
          </w:p>
        </w:tc>
        <w:tc>
          <w:tcPr>
            <w:tcW w:w="220" w:type="dxa"/>
            <w:vAlign w:val="bottom"/>
          </w:tcPr>
          <w:p>
            <w:pPr>
              <w:spacing w:after="0"/>
              <w:rPr>
                <w:sz w:val="21"/>
                <w:szCs w:val="21"/>
                <w:color w:val="auto"/>
              </w:rPr>
            </w:pPr>
          </w:p>
        </w:tc>
        <w:tc>
          <w:tcPr>
            <w:tcW w:w="1080" w:type="dxa"/>
            <w:vAlign w:val="bottom"/>
            <w:gridSpan w:val="2"/>
          </w:tcPr>
          <w:p>
            <w:pPr>
              <w:jc w:val="right"/>
              <w:ind w:right="25"/>
              <w:spacing w:after="0"/>
              <w:rPr>
                <w:sz w:val="20"/>
                <w:szCs w:val="20"/>
                <w:color w:val="auto"/>
              </w:rPr>
            </w:pPr>
            <w:r>
              <w:rPr>
                <w:rFonts w:ascii="Arial" w:cs="Arial" w:eastAsia="Arial" w:hAnsi="Arial"/>
                <w:sz w:val="19"/>
                <w:szCs w:val="19"/>
                <w:color w:val="auto"/>
              </w:rPr>
              <w:t>14,455</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9"/>
                <w:szCs w:val="19"/>
                <w:color w:val="auto"/>
              </w:rPr>
              <w:t>Operating expenses: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9"/>
                <w:szCs w:val="19"/>
                <w:color w:val="auto"/>
              </w:rPr>
              <w:t>Research and development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21,912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5"/>
              <w:spacing w:after="0"/>
              <w:rPr>
                <w:sz w:val="20"/>
                <w:szCs w:val="20"/>
                <w:color w:val="auto"/>
              </w:rPr>
            </w:pPr>
            <w:r>
              <w:rPr>
                <w:rFonts w:ascii="Arial" w:cs="Arial" w:eastAsia="Arial" w:hAnsi="Arial"/>
                <w:sz w:val="19"/>
                <w:szCs w:val="19"/>
                <w:color w:val="auto"/>
              </w:rPr>
              <w:t>20,834</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6,231</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5,647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9"/>
                <w:szCs w:val="19"/>
                <w:color w:val="auto"/>
              </w:rPr>
              <w:t>Selling and marketing</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9"/>
                <w:szCs w:val="19"/>
                <w:color w:val="auto"/>
              </w:rPr>
              <w:t>25,596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45"/>
              <w:spacing w:after="0"/>
              <w:rPr>
                <w:sz w:val="20"/>
                <w:szCs w:val="20"/>
                <w:color w:val="auto"/>
              </w:rPr>
            </w:pPr>
            <w:r>
              <w:rPr>
                <w:rFonts w:ascii="Arial" w:cs="Arial" w:eastAsia="Arial" w:hAnsi="Arial"/>
                <w:sz w:val="19"/>
                <w:szCs w:val="19"/>
                <w:color w:val="auto"/>
              </w:rPr>
              <w:t>21,279</w:t>
            </w: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9"/>
                <w:szCs w:val="19"/>
                <w:color w:val="auto"/>
              </w:rPr>
              <w:t>6,877</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5,153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9"/>
                <w:szCs w:val="19"/>
                <w:color w:val="auto"/>
              </w:rPr>
              <w:t>General and administrative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16,436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5"/>
              <w:spacing w:after="0"/>
              <w:rPr>
                <w:sz w:val="20"/>
                <w:szCs w:val="20"/>
                <w:color w:val="auto"/>
              </w:rPr>
            </w:pPr>
            <w:r>
              <w:rPr>
                <w:rFonts w:ascii="Arial" w:cs="Arial" w:eastAsia="Arial" w:hAnsi="Arial"/>
                <w:sz w:val="19"/>
                <w:szCs w:val="19"/>
                <w:color w:val="auto"/>
              </w:rPr>
              <w:t>13,578</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4,179</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4,033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340" w:type="dxa"/>
            <w:vAlign w:val="bottom"/>
          </w:tcPr>
          <w:p>
            <w:pPr>
              <w:spacing w:after="0"/>
              <w:rPr>
                <w:sz w:val="20"/>
                <w:szCs w:val="20"/>
                <w:color w:val="auto"/>
              </w:rPr>
            </w:pPr>
            <w:r>
              <w:rPr>
                <w:rFonts w:ascii="Arial" w:cs="Arial" w:eastAsia="Arial" w:hAnsi="Arial"/>
                <w:sz w:val="19"/>
                <w:szCs w:val="19"/>
                <w:color w:val="auto"/>
              </w:rPr>
              <w:t>Restructuring expenses</w:t>
            </w:r>
          </w:p>
        </w:tc>
        <w:tc>
          <w:tcPr>
            <w:tcW w:w="2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9"/>
                <w:szCs w:val="19"/>
                <w:color w:val="auto"/>
              </w:rPr>
              <w:t>321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145"/>
              <w:spacing w:after="0"/>
              <w:rPr>
                <w:sz w:val="20"/>
                <w:szCs w:val="20"/>
                <w:color w:val="auto"/>
              </w:rPr>
            </w:pPr>
            <w:r>
              <w:rPr>
                <w:rFonts w:ascii="Arial" w:cs="Arial" w:eastAsia="Arial" w:hAnsi="Arial"/>
                <w:sz w:val="19"/>
                <w:szCs w:val="19"/>
                <w:color w:val="auto"/>
              </w:rPr>
              <w:t>503</w:t>
            </w:r>
          </w:p>
        </w:tc>
        <w:tc>
          <w:tcPr>
            <w:tcW w:w="2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25"/>
              <w:spacing w:after="0"/>
              <w:rPr>
                <w:sz w:val="20"/>
                <w:szCs w:val="20"/>
                <w:color w:val="auto"/>
              </w:rPr>
            </w:pPr>
            <w:r>
              <w:rPr>
                <w:rFonts w:ascii="Arial" w:cs="Arial" w:eastAsia="Arial" w:hAnsi="Arial"/>
                <w:sz w:val="19"/>
                <w:szCs w:val="19"/>
                <w:color w:val="auto"/>
              </w:rPr>
              <w:t>164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Total operating</w:t>
            </w: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64,265</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56,194</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17,287</w:t>
            </w: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14,997</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9"/>
                <w:szCs w:val="19"/>
                <w:color w:val="auto"/>
              </w:rPr>
              <w:t>Operating income (loss)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9"/>
                <w:szCs w:val="19"/>
                <w:color w:val="auto"/>
              </w:rPr>
              <w:t>5,604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85"/>
              <w:spacing w:after="0"/>
              <w:rPr>
                <w:sz w:val="20"/>
                <w:szCs w:val="20"/>
                <w:color w:val="auto"/>
              </w:rPr>
            </w:pPr>
            <w:r>
              <w:rPr>
                <w:rFonts w:ascii="Arial" w:cs="Arial" w:eastAsia="Arial" w:hAnsi="Arial"/>
                <w:sz w:val="19"/>
                <w:szCs w:val="19"/>
                <w:color w:val="auto"/>
              </w:rPr>
              <w:t>(2,083)</w:t>
            </w: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9"/>
                <w:szCs w:val="19"/>
                <w:color w:val="auto"/>
              </w:rPr>
              <w:t>840</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(542)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9"/>
                <w:szCs w:val="19"/>
                <w:color w:val="auto"/>
              </w:rPr>
              <w:t>Financial income, net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1,433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5"/>
              <w:spacing w:after="0"/>
              <w:rPr>
                <w:sz w:val="20"/>
                <w:szCs w:val="20"/>
                <w:color w:val="auto"/>
              </w:rPr>
            </w:pPr>
            <w:r>
              <w:rPr>
                <w:rFonts w:ascii="Arial" w:cs="Arial" w:eastAsia="Arial" w:hAnsi="Arial"/>
                <w:sz w:val="19"/>
                <w:szCs w:val="19"/>
                <w:color w:val="auto"/>
              </w:rPr>
              <w:t>452</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341</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5"/>
              <w:spacing w:after="0"/>
              <w:rPr>
                <w:sz w:val="20"/>
                <w:szCs w:val="20"/>
                <w:color w:val="auto"/>
              </w:rPr>
            </w:pPr>
            <w:r>
              <w:rPr>
                <w:rFonts w:ascii="Arial" w:cs="Arial" w:eastAsia="Arial" w:hAnsi="Arial"/>
                <w:sz w:val="19"/>
                <w:szCs w:val="19"/>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98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98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96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gridSpan w:val="2"/>
          </w:tcPr>
          <w:p>
            <w:pPr>
              <w:spacing w:after="0" w:line="217" w:lineRule="exact"/>
              <w:rPr>
                <w:sz w:val="20"/>
                <w:szCs w:val="20"/>
                <w:color w:val="auto"/>
              </w:rPr>
            </w:pPr>
            <w:r>
              <w:rPr>
                <w:rFonts w:ascii="Arial" w:cs="Arial" w:eastAsia="Arial" w:hAnsi="Arial"/>
                <w:sz w:val="19"/>
                <w:szCs w:val="19"/>
                <w:color w:val="auto"/>
              </w:rPr>
              <w:t>Income (loss) before taxes on income</w:t>
            </w:r>
          </w:p>
        </w:tc>
        <w:tc>
          <w:tcPr>
            <w:tcW w:w="240" w:type="dxa"/>
            <w:vAlign w:val="bottom"/>
          </w:tcPr>
          <w:p>
            <w:pPr>
              <w:spacing w:after="0"/>
              <w:rPr>
                <w:sz w:val="18"/>
                <w:szCs w:val="18"/>
                <w:color w:val="auto"/>
              </w:rPr>
            </w:pPr>
          </w:p>
        </w:tc>
        <w:tc>
          <w:tcPr>
            <w:tcW w:w="980" w:type="dxa"/>
            <w:vAlign w:val="bottom"/>
          </w:tcPr>
          <w:p>
            <w:pPr>
              <w:jc w:val="right"/>
              <w:spacing w:after="0" w:line="217" w:lineRule="exact"/>
              <w:rPr>
                <w:sz w:val="20"/>
                <w:szCs w:val="20"/>
                <w:color w:val="auto"/>
              </w:rPr>
            </w:pPr>
            <w:r>
              <w:rPr>
                <w:rFonts w:ascii="Arial" w:cs="Arial" w:eastAsia="Arial" w:hAnsi="Arial"/>
                <w:sz w:val="19"/>
                <w:szCs w:val="19"/>
                <w:color w:val="auto"/>
              </w:rPr>
              <w:t>7,037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line="217" w:lineRule="exact"/>
              <w:rPr>
                <w:sz w:val="20"/>
                <w:szCs w:val="20"/>
                <w:color w:val="auto"/>
              </w:rPr>
            </w:pPr>
            <w:r>
              <w:rPr>
                <w:rFonts w:ascii="Arial" w:cs="Arial" w:eastAsia="Arial" w:hAnsi="Arial"/>
                <w:sz w:val="19"/>
                <w:szCs w:val="19"/>
                <w:color w:val="auto"/>
              </w:rPr>
              <w:t>(1,631)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line="217" w:lineRule="exact"/>
              <w:rPr>
                <w:sz w:val="20"/>
                <w:szCs w:val="20"/>
                <w:color w:val="auto"/>
              </w:rPr>
            </w:pPr>
            <w:r>
              <w:rPr>
                <w:rFonts w:ascii="Arial" w:cs="Arial" w:eastAsia="Arial" w:hAnsi="Arial"/>
                <w:sz w:val="19"/>
                <w:szCs w:val="19"/>
                <w:color w:val="auto"/>
              </w:rPr>
              <w:t>1,181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line="217" w:lineRule="exact"/>
              <w:rPr>
                <w:sz w:val="20"/>
                <w:szCs w:val="20"/>
                <w:color w:val="auto"/>
              </w:rPr>
            </w:pPr>
            <w:r>
              <w:rPr>
                <w:rFonts w:ascii="Arial" w:cs="Arial" w:eastAsia="Arial" w:hAnsi="Arial"/>
                <w:sz w:val="19"/>
                <w:szCs w:val="19"/>
                <w:color w:val="auto"/>
              </w:rPr>
              <w:t>(388)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340" w:type="dxa"/>
            <w:vAlign w:val="bottom"/>
          </w:tcPr>
          <w:p>
            <w:pPr>
              <w:spacing w:after="0"/>
              <w:rPr>
                <w:sz w:val="20"/>
                <w:szCs w:val="20"/>
                <w:color w:val="auto"/>
              </w:rPr>
            </w:pPr>
            <w:r>
              <w:rPr>
                <w:rFonts w:ascii="Arial" w:cs="Arial" w:eastAsia="Arial" w:hAnsi="Arial"/>
                <w:sz w:val="19"/>
                <w:szCs w:val="19"/>
                <w:color w:val="auto"/>
              </w:rPr>
              <w:t>Taxes on income (tax benefit)</w:t>
            </w:r>
          </w:p>
        </w:tc>
        <w:tc>
          <w:tcPr>
            <w:tcW w:w="2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9"/>
                <w:szCs w:val="19"/>
                <w:color w:val="auto"/>
              </w:rPr>
              <w:t>(5,392)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145"/>
              <w:spacing w:after="0"/>
              <w:rPr>
                <w:sz w:val="20"/>
                <w:szCs w:val="20"/>
                <w:color w:val="auto"/>
              </w:rPr>
            </w:pPr>
            <w:r>
              <w:rPr>
                <w:rFonts w:ascii="Arial" w:cs="Arial" w:eastAsia="Arial" w:hAnsi="Arial"/>
                <w:sz w:val="19"/>
                <w:szCs w:val="19"/>
                <w:color w:val="auto"/>
              </w:rPr>
              <w:t>384</w:t>
            </w:r>
          </w:p>
        </w:tc>
        <w:tc>
          <w:tcPr>
            <w:tcW w:w="2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9"/>
                <w:szCs w:val="19"/>
                <w:color w:val="auto"/>
              </w:rPr>
              <w:t>(5,796)</w:t>
            </w:r>
          </w:p>
        </w:tc>
        <w:tc>
          <w:tcPr>
            <w:tcW w:w="2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340" w:type="dxa"/>
            <w:vAlign w:val="bottom"/>
            <w:vMerge w:val="restart"/>
            <w:shd w:val="clear" w:color="auto" w:fill="CCEEFF"/>
          </w:tcPr>
          <w:p>
            <w:pPr>
              <w:spacing w:after="0"/>
              <w:rPr>
                <w:sz w:val="20"/>
                <w:szCs w:val="20"/>
                <w:color w:val="auto"/>
              </w:rPr>
            </w:pPr>
            <w:r>
              <w:rPr>
                <w:rFonts w:ascii="Arial" w:cs="Arial" w:eastAsia="Arial" w:hAnsi="Arial"/>
                <w:sz w:val="19"/>
                <w:szCs w:val="19"/>
                <w:color w:val="auto"/>
              </w:rPr>
              <w:t>Net income (loss)</w:t>
            </w: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85"/>
              <w:spacing w:after="0"/>
              <w:rPr>
                <w:sz w:val="20"/>
                <w:szCs w:val="20"/>
                <w:color w:val="auto"/>
              </w:rPr>
            </w:pPr>
            <w:r>
              <w:rPr>
                <w:rFonts w:ascii="Arial" w:cs="Arial" w:eastAsia="Arial" w:hAnsi="Arial"/>
                <w:sz w:val="19"/>
                <w:szCs w:val="19"/>
                <w:color w:val="auto"/>
                <w:w w:val="94"/>
              </w:rPr>
              <w:t>)</w:t>
            </w: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w w:val="94"/>
              </w:rPr>
              <w:t>)</w:t>
            </w: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6340" w:type="dxa"/>
            <w:vAlign w:val="bottom"/>
            <w:vMerge w:val="continue"/>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12,429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(2,015</w:t>
            </w:r>
          </w:p>
        </w:tc>
        <w:tc>
          <w:tcPr>
            <w:tcW w:w="260" w:type="dxa"/>
            <w:vAlign w:val="bottom"/>
            <w:vMerge w:val="continue"/>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6,977</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(369</w:t>
            </w:r>
          </w:p>
        </w:tc>
        <w:tc>
          <w:tcPr>
            <w:tcW w:w="12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0" w:type="dxa"/>
            <w:vAlign w:val="bottom"/>
            <w:vMerge w:val="continue"/>
          </w:tcPr>
          <w:p>
            <w:pPr>
              <w:spacing w:after="0"/>
              <w:rPr>
                <w:sz w:val="24"/>
                <w:szCs w:val="24"/>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Basic net income (loss) per share</w:t>
            </w:r>
          </w:p>
        </w:tc>
        <w:tc>
          <w:tcPr>
            <w:tcW w:w="240" w:type="dxa"/>
            <w:vAlign w:val="bottom"/>
            <w:shd w:val="clear" w:color="auto" w:fill="CCEEFF"/>
          </w:tcPr>
          <w:p>
            <w:pPr>
              <w:jc w:val="right"/>
              <w:ind w:right="45"/>
              <w:spacing w:after="0"/>
              <w:rPr>
                <w:sz w:val="20"/>
                <w:szCs w:val="20"/>
                <w:color w:val="auto"/>
              </w:rPr>
            </w:pPr>
            <w:r>
              <w:rPr>
                <w:rFonts w:ascii="Arial" w:cs="Arial" w:eastAsia="Arial" w:hAnsi="Arial"/>
                <w:sz w:val="19"/>
                <w:szCs w:val="19"/>
                <w:color w:val="auto"/>
                <w:w w:val="75"/>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0.36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w:t>
            </w:r>
          </w:p>
        </w:tc>
        <w:tc>
          <w:tcPr>
            <w:tcW w:w="1100" w:type="dxa"/>
            <w:vAlign w:val="bottom"/>
            <w:gridSpan w:val="2"/>
            <w:shd w:val="clear" w:color="auto" w:fill="CCEEFF"/>
          </w:tcPr>
          <w:p>
            <w:pPr>
              <w:jc w:val="right"/>
              <w:ind w:right="85"/>
              <w:spacing w:after="0" w:line="271" w:lineRule="exact"/>
              <w:rPr>
                <w:sz w:val="20"/>
                <w:szCs w:val="20"/>
                <w:color w:val="auto"/>
              </w:rPr>
            </w:pPr>
            <w:r>
              <w:rPr>
                <w:rFonts w:ascii="Arial" w:cs="Arial" w:eastAsia="Arial" w:hAnsi="Arial"/>
                <w:sz w:val="17"/>
                <w:szCs w:val="17"/>
                <w:color w:val="auto"/>
              </w:rPr>
              <w:t>(0.06</w:t>
            </w:r>
            <w:r>
              <w:rPr>
                <w:rFonts w:ascii="Arial" w:cs="Arial" w:eastAsia="Arial" w:hAnsi="Arial"/>
                <w:sz w:val="31"/>
                <w:szCs w:val="31"/>
                <w:color w:val="auto"/>
                <w:vertAlign w:val="superscript"/>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0.20</w:t>
            </w:r>
          </w:p>
        </w:tc>
        <w:tc>
          <w:tcPr>
            <w:tcW w:w="22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spacing w:after="0" w:line="271" w:lineRule="exact"/>
              <w:rPr>
                <w:sz w:val="20"/>
                <w:szCs w:val="20"/>
                <w:color w:val="auto"/>
              </w:rPr>
            </w:pPr>
            <w:r>
              <w:rPr>
                <w:rFonts w:ascii="Arial" w:cs="Arial" w:eastAsia="Arial" w:hAnsi="Arial"/>
                <w:sz w:val="17"/>
                <w:szCs w:val="17"/>
                <w:color w:val="auto"/>
              </w:rPr>
              <w:t>(0.01</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line="214" w:lineRule="exact"/>
              <w:rPr>
                <w:sz w:val="20"/>
                <w:szCs w:val="20"/>
                <w:color w:val="auto"/>
              </w:rPr>
            </w:pPr>
            <w:r>
              <w:rPr>
                <w:rFonts w:ascii="Arial" w:cs="Arial" w:eastAsia="Arial" w:hAnsi="Arial"/>
                <w:sz w:val="19"/>
                <w:szCs w:val="19"/>
                <w:color w:val="auto"/>
                <w:w w:val="94"/>
              </w:rPr>
              <w:t>Weighted average number of shares used in computing basic net income (loss)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6340" w:type="dxa"/>
            <w:vAlign w:val="bottom"/>
            <w:shd w:val="clear" w:color="auto" w:fill="CCEEFF"/>
          </w:tcPr>
          <w:p>
            <w:pPr>
              <w:ind w:left="140"/>
              <w:spacing w:after="0"/>
              <w:rPr>
                <w:sz w:val="20"/>
                <w:szCs w:val="20"/>
                <w:color w:val="auto"/>
              </w:rPr>
            </w:pPr>
            <w:r>
              <w:rPr>
                <w:rFonts w:ascii="Arial" w:cs="Arial" w:eastAsia="Arial" w:hAnsi="Arial"/>
                <w:sz w:val="19"/>
                <w:szCs w:val="19"/>
                <w:color w:val="auto"/>
              </w:rPr>
              <w:t>per share</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34,521,352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5"/>
              <w:spacing w:after="0"/>
              <w:rPr>
                <w:sz w:val="20"/>
                <w:szCs w:val="20"/>
                <w:color w:val="auto"/>
              </w:rPr>
            </w:pPr>
            <w:r>
              <w:rPr>
                <w:rFonts w:ascii="Arial" w:cs="Arial" w:eastAsia="Arial" w:hAnsi="Arial"/>
                <w:sz w:val="19"/>
                <w:szCs w:val="19"/>
                <w:color w:val="auto"/>
                <w:w w:val="88"/>
              </w:rPr>
              <w:t>33,574,147</w:t>
            </w:r>
          </w:p>
        </w:tc>
        <w:tc>
          <w:tcPr>
            <w:tcW w:w="2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34,956,121</w:t>
            </w: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5"/>
              <w:spacing w:after="0"/>
              <w:rPr>
                <w:sz w:val="20"/>
                <w:szCs w:val="20"/>
                <w:color w:val="auto"/>
              </w:rPr>
            </w:pPr>
            <w:r>
              <w:rPr>
                <w:rFonts w:ascii="Arial" w:cs="Arial" w:eastAsia="Arial" w:hAnsi="Arial"/>
                <w:sz w:val="19"/>
                <w:szCs w:val="19"/>
                <w:color w:val="auto"/>
                <w:w w:val="98"/>
              </w:rPr>
              <w:t>34,064,165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0" w:type="dxa"/>
            <w:vAlign w:val="bottom"/>
            <w:vMerge w:val="continue"/>
          </w:tcPr>
          <w:p>
            <w:pPr>
              <w:spacing w:after="0"/>
              <w:rPr>
                <w:sz w:val="24"/>
                <w:szCs w:val="24"/>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Diluted net income (loss) per share</w:t>
            </w:r>
          </w:p>
        </w:tc>
        <w:tc>
          <w:tcPr>
            <w:tcW w:w="240" w:type="dxa"/>
            <w:vAlign w:val="bottom"/>
            <w:shd w:val="clear" w:color="auto" w:fill="CCEEFF"/>
          </w:tcPr>
          <w:p>
            <w:pPr>
              <w:jc w:val="right"/>
              <w:ind w:right="45"/>
              <w:spacing w:after="0"/>
              <w:rPr>
                <w:sz w:val="20"/>
                <w:szCs w:val="20"/>
                <w:color w:val="auto"/>
              </w:rPr>
            </w:pPr>
            <w:r>
              <w:rPr>
                <w:rFonts w:ascii="Arial" w:cs="Arial" w:eastAsia="Arial" w:hAnsi="Arial"/>
                <w:sz w:val="19"/>
                <w:szCs w:val="19"/>
                <w:color w:val="auto"/>
                <w:w w:val="75"/>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0.35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w:t>
            </w:r>
          </w:p>
        </w:tc>
        <w:tc>
          <w:tcPr>
            <w:tcW w:w="1100" w:type="dxa"/>
            <w:vAlign w:val="bottom"/>
            <w:gridSpan w:val="2"/>
            <w:shd w:val="clear" w:color="auto" w:fill="CCEEFF"/>
          </w:tcPr>
          <w:p>
            <w:pPr>
              <w:jc w:val="right"/>
              <w:ind w:right="85"/>
              <w:spacing w:after="0" w:line="271" w:lineRule="exact"/>
              <w:rPr>
                <w:sz w:val="20"/>
                <w:szCs w:val="20"/>
                <w:color w:val="auto"/>
              </w:rPr>
            </w:pPr>
            <w:r>
              <w:rPr>
                <w:rFonts w:ascii="Arial" w:cs="Arial" w:eastAsia="Arial" w:hAnsi="Arial"/>
                <w:sz w:val="17"/>
                <w:szCs w:val="17"/>
                <w:color w:val="auto"/>
              </w:rPr>
              <w:t>(0.06</w:t>
            </w:r>
            <w:r>
              <w:rPr>
                <w:rFonts w:ascii="Arial" w:cs="Arial" w:eastAsia="Arial" w:hAnsi="Arial"/>
                <w:sz w:val="31"/>
                <w:szCs w:val="31"/>
                <w:color w:val="auto"/>
                <w:vertAlign w:val="superscript"/>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0.19</w:t>
            </w:r>
          </w:p>
        </w:tc>
        <w:tc>
          <w:tcPr>
            <w:tcW w:w="22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spacing w:after="0" w:line="271" w:lineRule="exact"/>
              <w:rPr>
                <w:sz w:val="20"/>
                <w:szCs w:val="20"/>
                <w:color w:val="auto"/>
              </w:rPr>
            </w:pPr>
            <w:r>
              <w:rPr>
                <w:rFonts w:ascii="Arial" w:cs="Arial" w:eastAsia="Arial" w:hAnsi="Arial"/>
                <w:sz w:val="17"/>
                <w:szCs w:val="17"/>
                <w:color w:val="auto"/>
              </w:rPr>
              <w:t>(0.01</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line="214" w:lineRule="exact"/>
              <w:rPr>
                <w:sz w:val="20"/>
                <w:szCs w:val="20"/>
                <w:color w:val="auto"/>
              </w:rPr>
            </w:pPr>
            <w:r>
              <w:rPr>
                <w:rFonts w:ascii="Arial" w:cs="Arial" w:eastAsia="Arial" w:hAnsi="Arial"/>
                <w:sz w:val="19"/>
                <w:szCs w:val="19"/>
                <w:color w:val="auto"/>
                <w:w w:val="93"/>
              </w:rPr>
              <w:t>Weighted average number of shares used in computing diluted net income (loss)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6340" w:type="dxa"/>
            <w:vAlign w:val="bottom"/>
            <w:shd w:val="clear" w:color="auto" w:fill="CCEEFF"/>
          </w:tcPr>
          <w:p>
            <w:pPr>
              <w:ind w:left="140"/>
              <w:spacing w:after="0"/>
              <w:rPr>
                <w:sz w:val="20"/>
                <w:szCs w:val="20"/>
                <w:color w:val="auto"/>
              </w:rPr>
            </w:pPr>
            <w:r>
              <w:rPr>
                <w:rFonts w:ascii="Arial" w:cs="Arial" w:eastAsia="Arial" w:hAnsi="Arial"/>
                <w:sz w:val="19"/>
                <w:szCs w:val="19"/>
                <w:color w:val="auto"/>
              </w:rPr>
              <w:t>per share</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35,363,704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5"/>
              <w:spacing w:after="0"/>
              <w:rPr>
                <w:sz w:val="20"/>
                <w:szCs w:val="20"/>
                <w:color w:val="auto"/>
              </w:rPr>
            </w:pPr>
            <w:r>
              <w:rPr>
                <w:rFonts w:ascii="Arial" w:cs="Arial" w:eastAsia="Arial" w:hAnsi="Arial"/>
                <w:sz w:val="19"/>
                <w:szCs w:val="19"/>
                <w:color w:val="auto"/>
                <w:w w:val="88"/>
              </w:rPr>
              <w:t>33,574,147</w:t>
            </w:r>
          </w:p>
        </w:tc>
        <w:tc>
          <w:tcPr>
            <w:tcW w:w="2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35,986,581</w:t>
            </w: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5"/>
              <w:spacing w:after="0"/>
              <w:rPr>
                <w:sz w:val="20"/>
                <w:szCs w:val="20"/>
                <w:color w:val="auto"/>
              </w:rPr>
            </w:pPr>
            <w:r>
              <w:rPr>
                <w:rFonts w:ascii="Arial" w:cs="Arial" w:eastAsia="Arial" w:hAnsi="Arial"/>
                <w:sz w:val="19"/>
                <w:szCs w:val="19"/>
                <w:color w:val="auto"/>
                <w:w w:val="98"/>
              </w:rPr>
              <w:t>34,064,165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764" w:right="120"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9"/>
          <w:szCs w:val="19"/>
          <w:b w:val="1"/>
          <w:bCs w:val="1"/>
          <w:color w:val="auto"/>
        </w:rPr>
        <w:t>KORNIT DIGITAL LTD.</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AND ITS SUBSIDIARIES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RECONCILATION OF GAAP TO NON-GAAP CONSOLIDATED STATEMENTS OF OPERATIONS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(U.S. dollars in thousands, except share and per share data)</w:t>
      </w:r>
    </w:p>
    <w:p>
      <w:pPr>
        <w:sectPr>
          <w:pgSz w:w="12240" w:h="15840" w:orient="portrait"/>
          <w:cols w:equalWidth="0" w:num="1">
            <w:col w:w="12000"/>
          </w:cols>
          <w:pgMar w:left="120" w:top="764" w:right="120" w:bottom="0" w:gutter="0" w:footer="0" w:header="0"/>
        </w:sectPr>
      </w:pPr>
    </w:p>
    <w:p>
      <w:pPr>
        <w:spacing w:after="0" w:line="223" w:lineRule="exact"/>
        <w:rPr>
          <w:sz w:val="20"/>
          <w:szCs w:val="20"/>
          <w:color w:val="auto"/>
        </w:rPr>
      </w:pPr>
    </w:p>
    <w:p>
      <w:pPr>
        <w:jc w:val="center"/>
        <w:ind w:left="6420"/>
        <w:spacing w:after="0"/>
        <w:rPr>
          <w:sz w:val="20"/>
          <w:szCs w:val="20"/>
          <w:color w:val="auto"/>
        </w:rPr>
      </w:pPr>
      <w:r>
        <w:rPr>
          <w:rFonts w:ascii="Arial" w:cs="Arial" w:eastAsia="Arial" w:hAnsi="Arial"/>
          <w:sz w:val="17"/>
          <w:szCs w:val="17"/>
          <w:b w:val="1"/>
          <w:bCs w:val="1"/>
          <w:color w:val="auto"/>
        </w:rPr>
        <w:t>Year Ended</w:t>
      </w:r>
    </w:p>
    <w:p>
      <w:pPr>
        <w:spacing w:after="0" w:line="33" w:lineRule="exact"/>
        <w:rPr>
          <w:sz w:val="20"/>
          <w:szCs w:val="20"/>
          <w:color w:val="auto"/>
        </w:rPr>
      </w:pPr>
    </w:p>
    <w:p>
      <w:pPr>
        <w:jc w:val="center"/>
        <w:ind w:left="642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21590</wp:posOffset>
            </wp:positionV>
            <wp:extent cx="170243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02435" cy="18415"/>
                    </a:xfrm>
                    <a:prstGeom prst="rect">
                      <a:avLst/>
                    </a:prstGeom>
                    <a:noFill/>
                  </pic:spPr>
                </pic:pic>
              </a:graphicData>
            </a:graphic>
          </wp:anchor>
        </w:drawing>
      </w:r>
    </w:p>
    <w:p>
      <w:pPr>
        <w:spacing w:after="0" w:line="41" w:lineRule="exact"/>
        <w:rPr>
          <w:sz w:val="20"/>
          <w:szCs w:val="20"/>
          <w:color w:val="auto"/>
        </w:rPr>
      </w:pPr>
    </w:p>
    <w:p>
      <w:pPr>
        <w:ind w:left="6800"/>
        <w:spacing w:after="0"/>
        <w:tabs>
          <w:tab w:leader="none" w:pos="8260" w:val="left"/>
        </w:tabs>
        <w:rPr>
          <w:sz w:val="20"/>
          <w:szCs w:val="20"/>
          <w:color w:val="auto"/>
        </w:rPr>
      </w:pPr>
      <w:r>
        <w:rPr>
          <w:rFonts w:ascii="Arial" w:cs="Arial" w:eastAsia="Arial" w:hAnsi="Arial"/>
          <w:sz w:val="15"/>
          <w:szCs w:val="15"/>
          <w:b w:val="1"/>
          <w:bCs w:val="1"/>
          <w:color w:val="auto"/>
        </w:rPr>
        <w:t>2018</w:t>
      </w:r>
      <w:r>
        <w:rPr>
          <w:sz w:val="20"/>
          <w:szCs w:val="20"/>
          <w:color w:val="auto"/>
        </w:rPr>
        <w:tab/>
      </w:r>
      <w:r>
        <w:rPr>
          <w:rFonts w:ascii="Arial" w:cs="Arial" w:eastAsia="Arial" w:hAnsi="Arial"/>
          <w:sz w:val="15"/>
          <w:szCs w:val="15"/>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36195</wp:posOffset>
            </wp:positionV>
            <wp:extent cx="170243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02435" cy="18415"/>
                    </a:xfrm>
                    <a:prstGeom prst="rect">
                      <a:avLst/>
                    </a:prstGeom>
                    <a:noFill/>
                  </pic:spPr>
                </pic:pic>
              </a:graphicData>
            </a:graphic>
          </wp:anchor>
        </w:drawing>
      </w:r>
    </w:p>
    <w:p>
      <w:pPr>
        <w:spacing w:after="0" w:line="50" w:lineRule="exact"/>
        <w:rPr>
          <w:sz w:val="20"/>
          <w:szCs w:val="20"/>
          <w:color w:val="auto"/>
        </w:rPr>
      </w:pPr>
    </w:p>
    <w:p>
      <w:pPr>
        <w:ind w:left="726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21590</wp:posOffset>
            </wp:positionV>
            <wp:extent cx="170243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02435" cy="18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540"/>
        <w:spacing w:after="0"/>
        <w:rPr>
          <w:sz w:val="20"/>
          <w:szCs w:val="20"/>
          <w:color w:val="auto"/>
        </w:rPr>
      </w:pPr>
      <w:r>
        <w:rPr>
          <w:rFonts w:ascii="Arial" w:cs="Arial" w:eastAsia="Arial" w:hAnsi="Arial"/>
          <w:sz w:val="17"/>
          <w:szCs w:val="17"/>
          <w:b w:val="1"/>
          <w:bCs w:val="1"/>
          <w:color w:val="auto"/>
        </w:rPr>
        <w:t>Three Months Ended</w:t>
      </w:r>
    </w:p>
    <w:p>
      <w:pPr>
        <w:spacing w:after="0" w:line="33" w:lineRule="exact"/>
        <w:rPr>
          <w:sz w:val="20"/>
          <w:szCs w:val="20"/>
          <w:color w:val="auto"/>
        </w:rPr>
      </w:pPr>
    </w:p>
    <w:p>
      <w:pPr>
        <w:jc w:val="center"/>
        <w:ind w:right="54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21590</wp:posOffset>
            </wp:positionV>
            <wp:extent cx="1648460"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48460" cy="18415"/>
                    </a:xfrm>
                    <a:prstGeom prst="rect">
                      <a:avLst/>
                    </a:prstGeom>
                    <a:noFill/>
                  </pic:spPr>
                </pic:pic>
              </a:graphicData>
            </a:graphic>
          </wp:anchor>
        </w:drawing>
      </w:r>
    </w:p>
    <w:p>
      <w:pPr>
        <w:spacing w:after="0" w:line="41" w:lineRule="exact"/>
        <w:rPr>
          <w:sz w:val="20"/>
          <w:szCs w:val="20"/>
          <w:color w:val="auto"/>
        </w:rPr>
      </w:pPr>
    </w:p>
    <w:p>
      <w:pPr>
        <w:spacing w:after="0"/>
        <w:tabs>
          <w:tab w:leader="none" w:pos="1380" w:val="left"/>
        </w:tabs>
        <w:rPr>
          <w:sz w:val="20"/>
          <w:szCs w:val="20"/>
          <w:color w:val="auto"/>
        </w:rPr>
      </w:pPr>
      <w:r>
        <w:rPr>
          <w:rFonts w:ascii="Arial" w:cs="Arial" w:eastAsia="Arial" w:hAnsi="Arial"/>
          <w:sz w:val="15"/>
          <w:szCs w:val="15"/>
          <w:b w:val="1"/>
          <w:bCs w:val="1"/>
          <w:color w:val="auto"/>
        </w:rPr>
        <w:t>2018</w:t>
      </w:r>
      <w:r>
        <w:rPr>
          <w:sz w:val="20"/>
          <w:szCs w:val="20"/>
          <w:color w:val="auto"/>
        </w:rPr>
        <w:tab/>
      </w:r>
      <w:r>
        <w:rPr>
          <w:rFonts w:ascii="Arial" w:cs="Arial" w:eastAsia="Arial" w:hAnsi="Arial"/>
          <w:sz w:val="15"/>
          <w:szCs w:val="15"/>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36195</wp:posOffset>
            </wp:positionV>
            <wp:extent cx="1648460"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8460" cy="18415"/>
                    </a:xfrm>
                    <a:prstGeom prst="rect">
                      <a:avLst/>
                    </a:prstGeom>
                    <a:noFill/>
                  </pic:spPr>
                </pic:pic>
              </a:graphicData>
            </a:graphic>
          </wp:anchor>
        </w:drawing>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21590</wp:posOffset>
            </wp:positionV>
            <wp:extent cx="1648460"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48460" cy="1841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9000" w:space="720"/>
            <w:col w:w="2280"/>
          </w:cols>
          <w:pgMar w:left="120" w:top="764" w:right="120" w:bottom="0" w:gutter="0" w:footer="0" w:header="0"/>
          <w:type w:val="continuous"/>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GAAP cost of revenues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72,504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19,659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Cost of product recorded for share-based compensation (1)</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(419)</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(154)</w:t>
            </w: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Cost of service recorded for share-based compensation (1)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Intangible assets amortization on cost of product (2)</w:t>
            </w: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(100)</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3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Non-GAAP cost of revenues</w:t>
            </w: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634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71,512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59,248</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19,350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GAAP gross profit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69,869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54,111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18,127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Gross profit adjustments</w:t>
            </w: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992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729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309</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3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Non-GAAP gross profit</w:t>
            </w: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634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70,861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54,840</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18,436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14,637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GAAP operating expenses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64,265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56,194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17,287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Share-based compensation (1)</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(4,654)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(3,782)</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(1,378)</w:t>
            </w: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(1,061)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amortization (2)</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(1,210)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Offering costs (a)</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(175)</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Restructuring expenses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(503)</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CEEFF"/>
            </w:tcBorders>
            <w:vMerge w:val="restart"/>
          </w:tcPr>
          <w:p>
            <w:pPr>
              <w:spacing w:after="0"/>
              <w:rPr>
                <w:sz w:val="20"/>
                <w:szCs w:val="20"/>
                <w:color w:val="auto"/>
              </w:rPr>
            </w:pPr>
            <w:r>
              <w:rPr>
                <w:rFonts w:ascii="Arial" w:cs="Arial" w:eastAsia="Arial" w:hAnsi="Arial"/>
                <w:sz w:val="17"/>
                <w:szCs w:val="17"/>
                <w:color w:val="auto"/>
              </w:rPr>
              <w:t>Non-GAAP operating expenses</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2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58,151</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50,699</w:t>
            </w:r>
          </w:p>
        </w:tc>
        <w:tc>
          <w:tcPr>
            <w:tcW w:w="260" w:type="dxa"/>
            <w:vAlign w:val="bottom"/>
          </w:tcPr>
          <w:p>
            <w:pPr>
              <w:spacing w:after="0"/>
              <w:rPr>
                <w:sz w:val="24"/>
                <w:szCs w:val="24"/>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15,493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13,505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3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GAAP Taxes on income (tax benefit)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(5,392)</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384</w:t>
            </w:r>
          </w:p>
        </w:tc>
        <w:tc>
          <w:tcPr>
            <w:tcW w:w="2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(5,796)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Tax effect on to the above non-GAAP adjustments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186</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Tax benefit (c)</w:t>
            </w: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5,941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5,941</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Impact of the US tax reform (a)</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(355)</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CEEFF"/>
            </w:tcBorders>
            <w:vMerge w:val="restart"/>
          </w:tcPr>
          <w:p>
            <w:pPr>
              <w:spacing w:after="0"/>
              <w:rPr>
                <w:sz w:val="20"/>
                <w:szCs w:val="20"/>
                <w:color w:val="auto"/>
              </w:rPr>
            </w:pPr>
            <w:r>
              <w:rPr>
                <w:rFonts w:ascii="Arial" w:cs="Arial" w:eastAsia="Arial" w:hAnsi="Arial"/>
                <w:sz w:val="17"/>
                <w:szCs w:val="17"/>
                <w:color w:val="auto"/>
              </w:rPr>
              <w:t>Non-GAAP Taxes on income (tax benefit)</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86"/>
        </w:trPr>
        <w:tc>
          <w:tcPr>
            <w:tcW w:w="2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1,021</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612</w:t>
            </w:r>
          </w:p>
        </w:tc>
        <w:tc>
          <w:tcPr>
            <w:tcW w:w="260" w:type="dxa"/>
            <w:vAlign w:val="bottom"/>
          </w:tcPr>
          <w:p>
            <w:pPr>
              <w:spacing w:after="0"/>
              <w:rPr>
                <w:sz w:val="24"/>
                <w:szCs w:val="24"/>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331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(234</w:t>
            </w:r>
          </w:p>
        </w:tc>
        <w:tc>
          <w:tcPr>
            <w:tcW w:w="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3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GAAP net income (loss)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12,429</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(2,015)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6,977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 (1)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4,411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1,662</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Intangible assets amortization (2)</w:t>
            </w: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1,064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266</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Offering costs (a)</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Restructuring expenses</w:t>
            </w: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Tax effect on to the above non-GAAP adjustments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Tax benefit (c)</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(5,941)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(5,941)</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Impact of the US tax reform (b)</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CEEFF"/>
            </w:tcBorders>
            <w:vMerge w:val="restart"/>
          </w:tcPr>
          <w:p>
            <w:pPr>
              <w:spacing w:after="0"/>
              <w:rPr>
                <w:sz w:val="20"/>
                <w:szCs w:val="20"/>
                <w:color w:val="auto"/>
              </w:rPr>
            </w:pPr>
            <w:r>
              <w:rPr>
                <w:rFonts w:ascii="Arial" w:cs="Arial" w:eastAsia="Arial" w:hAnsi="Arial"/>
                <w:sz w:val="17"/>
                <w:szCs w:val="17"/>
                <w:color w:val="auto"/>
              </w:rPr>
              <w:t>Non-GAAP net income</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2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13,122</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3,981</w:t>
            </w:r>
          </w:p>
        </w:tc>
        <w:tc>
          <w:tcPr>
            <w:tcW w:w="260" w:type="dxa"/>
            <w:vAlign w:val="bottom"/>
          </w:tcPr>
          <w:p>
            <w:pPr>
              <w:spacing w:after="0"/>
              <w:rPr>
                <w:sz w:val="24"/>
                <w:szCs w:val="24"/>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2,953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1,520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3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vMerge w:val="continue"/>
          </w:tcPr>
          <w:p>
            <w:pPr>
              <w:spacing w:after="0"/>
              <w:rPr>
                <w:sz w:val="24"/>
                <w:szCs w:val="24"/>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GAAP diluted earning (loss) per share</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0.35</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line="256" w:lineRule="exact"/>
              <w:rPr>
                <w:sz w:val="20"/>
                <w:szCs w:val="20"/>
                <w:color w:val="auto"/>
              </w:rPr>
            </w:pPr>
            <w:r>
              <w:rPr>
                <w:rFonts w:ascii="Arial" w:cs="Arial" w:eastAsia="Arial" w:hAnsi="Arial"/>
                <w:sz w:val="15"/>
                <w:szCs w:val="15"/>
                <w:color w:val="auto"/>
              </w:rPr>
              <w:t>(0.06</w:t>
            </w:r>
            <w:r>
              <w:rPr>
                <w:rFonts w:ascii="Arial" w:cs="Arial" w:eastAsia="Arial" w:hAnsi="Arial"/>
                <w:sz w:val="29"/>
                <w:szCs w:val="29"/>
                <w:color w:val="auto"/>
                <w:vertAlign w:val="superscript"/>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0.19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line="256" w:lineRule="exact"/>
              <w:rPr>
                <w:sz w:val="20"/>
                <w:szCs w:val="20"/>
                <w:color w:val="auto"/>
              </w:rPr>
            </w:pPr>
            <w:r>
              <w:rPr>
                <w:rFonts w:ascii="Arial" w:cs="Arial" w:eastAsia="Arial" w:hAnsi="Arial"/>
                <w:sz w:val="15"/>
                <w:szCs w:val="15"/>
                <w:color w:val="auto"/>
              </w:rPr>
              <w:t>(0.01</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3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vMerge w:val="continue"/>
          </w:tcPr>
          <w:p>
            <w:pPr>
              <w:spacing w:after="0"/>
              <w:rPr>
                <w:sz w:val="24"/>
                <w:szCs w:val="24"/>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Non-GAAP diluted earning per share</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0.37</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0.11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0.08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0.04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3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Weighted average number of shares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vMerge w:val="continue"/>
          </w:tcPr>
          <w:p>
            <w:pPr>
              <w:spacing w:after="0"/>
              <w:rPr>
                <w:sz w:val="24"/>
                <w:szCs w:val="24"/>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Shares used in computing GAAP diluted net earning (loss) per share</w:t>
            </w:r>
          </w:p>
        </w:tc>
        <w:tc>
          <w:tcPr>
            <w:tcW w:w="28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35,363,704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33,574,147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35,986,581</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34,064,165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3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vMerge w:val="continue"/>
          </w:tcPr>
          <w:p>
            <w:pPr>
              <w:spacing w:after="0"/>
              <w:rPr>
                <w:sz w:val="24"/>
                <w:szCs w:val="24"/>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Shares used in computing Non-GAAP diluted net earning per share</w:t>
            </w:r>
          </w:p>
        </w:tc>
        <w:tc>
          <w:tcPr>
            <w:tcW w:w="28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35,626,160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34,942,014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36,154,121</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35,130,831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3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(1) Share-based compensation</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product revenues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154</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tcPr>
          <w:p>
            <w:pPr>
              <w:ind w:left="140"/>
              <w:spacing w:after="0"/>
              <w:rPr>
                <w:sz w:val="20"/>
                <w:szCs w:val="20"/>
                <w:color w:val="auto"/>
              </w:rPr>
            </w:pPr>
            <w:r>
              <w:rPr>
                <w:rFonts w:ascii="Arial" w:cs="Arial" w:eastAsia="Arial" w:hAnsi="Arial"/>
                <w:sz w:val="17"/>
                <w:szCs w:val="17"/>
                <w:color w:val="auto"/>
              </w:rPr>
              <w:t>Cost of service revenues</w:t>
            </w: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130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327</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tcPr>
          <w:p>
            <w:pPr>
              <w:ind w:left="140"/>
              <w:spacing w:after="0"/>
              <w:rPr>
                <w:sz w:val="20"/>
                <w:szCs w:val="20"/>
                <w:color w:val="auto"/>
              </w:rPr>
            </w:pPr>
            <w:r>
              <w:rPr>
                <w:rFonts w:ascii="Arial" w:cs="Arial" w:eastAsia="Arial" w:hAnsi="Arial"/>
                <w:sz w:val="17"/>
                <w:szCs w:val="17"/>
                <w:color w:val="auto"/>
              </w:rPr>
              <w:t>Selling and marketing</w:t>
            </w: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1,240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398</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2,087</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653</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5,546</w:t>
            </w:r>
          </w:p>
        </w:tc>
        <w:tc>
          <w:tcPr>
            <w:tcW w:w="1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4,411</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1,662</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1,218</w:t>
            </w:r>
          </w:p>
        </w:tc>
        <w:tc>
          <w:tcPr>
            <w:tcW w:w="1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(2) Intangible assets amortization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tcPr>
          <w:p>
            <w:pPr>
              <w:ind w:left="140"/>
              <w:spacing w:after="0"/>
              <w:rPr>
                <w:sz w:val="20"/>
                <w:szCs w:val="20"/>
                <w:color w:val="auto"/>
              </w:rPr>
            </w:pPr>
            <w:r>
              <w:rPr>
                <w:rFonts w:ascii="Arial" w:cs="Arial" w:eastAsia="Arial" w:hAnsi="Arial"/>
                <w:sz w:val="17"/>
                <w:szCs w:val="17"/>
                <w:color w:val="auto"/>
              </w:rPr>
              <w:t>Cost of product revenues</w:t>
            </w: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25</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Selling and marketing</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1,210</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241</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1,064</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1,310</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266</w:t>
            </w: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292</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(a)  Offering costs related to the secondary offering of the company’s shares</w:t>
      </w:r>
    </w:p>
    <w:p>
      <w:pPr>
        <w:sectPr>
          <w:pgSz w:w="12240" w:h="15840" w:orient="portrait"/>
          <w:cols w:equalWidth="0" w:num="1">
            <w:col w:w="12000"/>
          </w:cols>
          <w:pgMar w:left="120" w:top="764" w:right="120" w:bottom="0" w:gutter="0" w:footer="0" w:header="0"/>
          <w:type w:val="continuous"/>
        </w:sectPr>
      </w:pPr>
    </w:p>
    <w:bookmarkStart w:id="12" w:name="page13"/>
    <w:bookmarkEnd w:id="12"/>
    <w:p>
      <w:pPr>
        <w:ind w:left="344" w:hanging="344"/>
        <w:spacing w:after="0"/>
        <w:tabs>
          <w:tab w:leader="none" w:pos="344" w:val="left"/>
        </w:tabs>
        <w:numPr>
          <w:ilvl w:val="0"/>
          <w:numId w:val="3"/>
        </w:numPr>
        <w:rPr>
          <w:rFonts w:ascii="Arial" w:cs="Arial" w:eastAsia="Arial" w:hAnsi="Arial"/>
          <w:sz w:val="17"/>
          <w:szCs w:val="17"/>
          <w:color w:val="auto"/>
        </w:rPr>
      </w:pPr>
      <w:r>
        <w:rPr>
          <w:rFonts w:ascii="Arial" w:cs="Arial" w:eastAsia="Arial" w:hAnsi="Arial"/>
          <w:sz w:val="17"/>
          <w:szCs w:val="17"/>
          <w:color w:val="auto"/>
        </w:rPr>
        <w:t>One-time charge of $355 associated with the enactment of U.S. tax reform due to its unique non-recurring nature</w:t>
      </w:r>
    </w:p>
    <w:p>
      <w:pPr>
        <w:spacing w:after="0" w:line="31" w:lineRule="exact"/>
        <w:rPr>
          <w:rFonts w:ascii="Arial" w:cs="Arial" w:eastAsia="Arial" w:hAnsi="Arial"/>
          <w:sz w:val="17"/>
          <w:szCs w:val="17"/>
          <w:color w:val="auto"/>
        </w:rPr>
      </w:pPr>
    </w:p>
    <w:p>
      <w:pPr>
        <w:ind w:left="344" w:hanging="344"/>
        <w:spacing w:after="0"/>
        <w:tabs>
          <w:tab w:leader="none" w:pos="344" w:val="left"/>
        </w:tabs>
        <w:numPr>
          <w:ilvl w:val="0"/>
          <w:numId w:val="3"/>
        </w:numPr>
        <w:rPr>
          <w:rFonts w:ascii="Arial" w:cs="Arial" w:eastAsia="Arial" w:hAnsi="Arial"/>
          <w:sz w:val="17"/>
          <w:szCs w:val="17"/>
          <w:color w:val="auto"/>
        </w:rPr>
      </w:pPr>
      <w:r>
        <w:rPr>
          <w:rFonts w:ascii="Arial" w:cs="Arial" w:eastAsia="Arial" w:hAnsi="Arial"/>
          <w:sz w:val="17"/>
          <w:szCs w:val="17"/>
          <w:color w:val="auto"/>
        </w:rPr>
        <w:t>Non cash impact related to the initial recognition of deferred taxes with respect to carryforward losses in Israel</w:t>
      </w:r>
    </w:p>
    <w:p>
      <w:pPr>
        <w:spacing w:after="0" w:line="200" w:lineRule="exact"/>
        <w:rPr>
          <w:sz w:val="20"/>
          <w:szCs w:val="20"/>
          <w:color w:val="auto"/>
        </w:rPr>
      </w:pPr>
    </w:p>
    <w:p>
      <w:pPr>
        <w:spacing w:after="0" w:line="238" w:lineRule="exact"/>
        <w:rPr>
          <w:sz w:val="20"/>
          <w:szCs w:val="20"/>
          <w:color w:val="auto"/>
        </w:rPr>
      </w:pPr>
    </w:p>
    <w:p>
      <w:pPr>
        <w:ind w:left="5604"/>
        <w:spacing w:after="0"/>
        <w:rPr>
          <w:sz w:val="20"/>
          <w:szCs w:val="20"/>
          <w:color w:val="auto"/>
        </w:rPr>
      </w:pPr>
      <w:r>
        <w:rPr>
          <w:rFonts w:ascii="Arial" w:cs="Arial" w:eastAsia="Arial" w:hAnsi="Arial"/>
          <w:sz w:val="23"/>
          <w:szCs w:val="2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10160</wp:posOffset>
            </wp:positionV>
            <wp:extent cx="7625080"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0344"/>
          </w:cols>
          <w:pgMar w:left="456" w:top="0"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9"/>
          <w:szCs w:val="19"/>
          <w:b w:val="1"/>
          <w:bCs w:val="1"/>
          <w:color w:val="auto"/>
        </w:rPr>
        <w:t>KORNIT DIGITAL LTD.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AND ITS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(U.S. dollars in thousands)</w:t>
      </w:r>
    </w:p>
    <w:p>
      <w:pPr>
        <w:sectPr>
          <w:pgSz w:w="12240" w:h="15840" w:orient="portrait"/>
          <w:cols w:equalWidth="0" w:num="1">
            <w:col w:w="12000"/>
          </w:cols>
          <w:pgMar w:left="120" w:top="764" w:right="120" w:bottom="0" w:gutter="0" w:footer="0" w:header="0"/>
        </w:sectPr>
      </w:pPr>
    </w:p>
    <w:p>
      <w:pPr>
        <w:spacing w:after="0" w:line="219" w:lineRule="exact"/>
        <w:rPr>
          <w:sz w:val="20"/>
          <w:szCs w:val="20"/>
          <w:color w:val="auto"/>
        </w:rPr>
      </w:pPr>
    </w:p>
    <w:p>
      <w:pPr>
        <w:jc w:val="center"/>
        <w:ind w:left="6440"/>
        <w:spacing w:after="0"/>
        <w:rPr>
          <w:sz w:val="20"/>
          <w:szCs w:val="20"/>
          <w:color w:val="auto"/>
        </w:rPr>
      </w:pPr>
      <w:r>
        <w:rPr>
          <w:rFonts w:ascii="Arial" w:cs="Arial" w:eastAsia="Arial" w:hAnsi="Arial"/>
          <w:sz w:val="19"/>
          <w:szCs w:val="19"/>
          <w:b w:val="1"/>
          <w:bCs w:val="1"/>
          <w:color w:val="auto"/>
        </w:rPr>
        <w:t>Year Ended</w:t>
      </w:r>
    </w:p>
    <w:p>
      <w:pPr>
        <w:spacing w:after="0" w:line="29" w:lineRule="exact"/>
        <w:rPr>
          <w:sz w:val="20"/>
          <w:szCs w:val="20"/>
          <w:color w:val="auto"/>
        </w:rPr>
      </w:pPr>
    </w:p>
    <w:p>
      <w:pPr>
        <w:jc w:val="center"/>
        <w:ind w:left="6440"/>
        <w:spacing w:after="0"/>
        <w:rPr>
          <w:sz w:val="20"/>
          <w:szCs w:val="20"/>
          <w:color w:val="auto"/>
        </w:rPr>
      </w:pPr>
      <w:r>
        <w:rPr>
          <w:rFonts w:ascii="Arial" w:cs="Arial" w:eastAsia="Arial" w:hAnsi="Arial"/>
          <w:sz w:val="19"/>
          <w:szCs w:val="19"/>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15875</wp:posOffset>
            </wp:positionV>
            <wp:extent cx="170243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02435" cy="18415"/>
                    </a:xfrm>
                    <a:prstGeom prst="rect">
                      <a:avLst/>
                    </a:prstGeom>
                    <a:noFill/>
                  </pic:spPr>
                </pic:pic>
              </a:graphicData>
            </a:graphic>
          </wp:anchor>
        </w:drawing>
      </w:r>
    </w:p>
    <w:p>
      <w:pPr>
        <w:spacing w:after="0" w:line="28" w:lineRule="exact"/>
        <w:rPr>
          <w:sz w:val="20"/>
          <w:szCs w:val="20"/>
          <w:color w:val="auto"/>
        </w:rPr>
      </w:pPr>
    </w:p>
    <w:p>
      <w:pPr>
        <w:ind w:left="6780"/>
        <w:spacing w:after="0"/>
        <w:tabs>
          <w:tab w:leader="none" w:pos="8240" w:val="left"/>
        </w:tabs>
        <w:rPr>
          <w:sz w:val="20"/>
          <w:szCs w:val="20"/>
          <w:color w:val="auto"/>
        </w:rPr>
      </w:pPr>
      <w:r>
        <w:rPr>
          <w:rFonts w:ascii="Arial" w:cs="Arial" w:eastAsia="Arial" w:hAnsi="Arial"/>
          <w:sz w:val="17"/>
          <w:szCs w:val="17"/>
          <w:b w:val="1"/>
          <w:bCs w:val="1"/>
          <w:color w:val="auto"/>
        </w:rPr>
        <w:t>2018</w:t>
      </w:r>
      <w:r>
        <w:rPr>
          <w:sz w:val="20"/>
          <w:szCs w:val="20"/>
          <w:color w:val="auto"/>
        </w:rPr>
        <w:tab/>
      </w:r>
      <w:r>
        <w:rPr>
          <w:rFonts w:ascii="Arial" w:cs="Arial" w:eastAsia="Arial" w:hAnsi="Arial"/>
          <w:sz w:val="17"/>
          <w:szCs w:val="17"/>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33655</wp:posOffset>
            </wp:positionV>
            <wp:extent cx="170243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02435" cy="18415"/>
                    </a:xfrm>
                    <a:prstGeom prst="rect">
                      <a:avLst/>
                    </a:prstGeom>
                    <a:noFill/>
                  </pic:spPr>
                </pic:pic>
              </a:graphicData>
            </a:graphic>
          </wp:anchor>
        </w:drawing>
      </w:r>
    </w:p>
    <w:p>
      <w:pPr>
        <w:spacing w:after="0" w:line="41" w:lineRule="exact"/>
        <w:rPr>
          <w:sz w:val="20"/>
          <w:szCs w:val="20"/>
          <w:color w:val="auto"/>
        </w:rPr>
      </w:pPr>
    </w:p>
    <w:p>
      <w:pPr>
        <w:ind w:left="7220"/>
        <w:spacing w:after="0"/>
        <w:rPr>
          <w:sz w:val="20"/>
          <w:szCs w:val="20"/>
          <w:color w:val="auto"/>
        </w:rPr>
      </w:pPr>
      <w:r>
        <w:rPr>
          <w:rFonts w:ascii="Arial" w:cs="Arial" w:eastAsia="Arial" w:hAnsi="Arial"/>
          <w:sz w:val="19"/>
          <w:szCs w:val="19"/>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19050</wp:posOffset>
            </wp:positionV>
            <wp:extent cx="170243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02435" cy="18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520"/>
        <w:spacing w:after="0"/>
        <w:rPr>
          <w:sz w:val="20"/>
          <w:szCs w:val="20"/>
          <w:color w:val="auto"/>
        </w:rPr>
      </w:pPr>
      <w:r>
        <w:rPr>
          <w:rFonts w:ascii="Arial" w:cs="Arial" w:eastAsia="Arial" w:hAnsi="Arial"/>
          <w:sz w:val="17"/>
          <w:szCs w:val="17"/>
          <w:b w:val="1"/>
          <w:bCs w:val="1"/>
          <w:color w:val="auto"/>
        </w:rPr>
        <w:t>Three Months Ended</w:t>
      </w:r>
    </w:p>
    <w:p>
      <w:pPr>
        <w:spacing w:after="0" w:line="52" w:lineRule="exact"/>
        <w:rPr>
          <w:sz w:val="20"/>
          <w:szCs w:val="20"/>
          <w:color w:val="auto"/>
        </w:rPr>
      </w:pPr>
    </w:p>
    <w:p>
      <w:pPr>
        <w:jc w:val="center"/>
        <w:ind w:right="520"/>
        <w:spacing w:after="0"/>
        <w:rPr>
          <w:sz w:val="20"/>
          <w:szCs w:val="20"/>
          <w:color w:val="auto"/>
        </w:rPr>
      </w:pPr>
      <w:r>
        <w:rPr>
          <w:rFonts w:ascii="Arial" w:cs="Arial" w:eastAsia="Arial" w:hAnsi="Arial"/>
          <w:sz w:val="19"/>
          <w:szCs w:val="19"/>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15875</wp:posOffset>
            </wp:positionV>
            <wp:extent cx="1648460"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48460" cy="18415"/>
                    </a:xfrm>
                    <a:prstGeom prst="rect">
                      <a:avLst/>
                    </a:prstGeom>
                    <a:noFill/>
                  </pic:spPr>
                </pic:pic>
              </a:graphicData>
            </a:graphic>
          </wp:anchor>
        </w:drawing>
      </w:r>
    </w:p>
    <w:p>
      <w:pPr>
        <w:spacing w:after="0" w:line="28" w:lineRule="exact"/>
        <w:rPr>
          <w:sz w:val="20"/>
          <w:szCs w:val="20"/>
          <w:color w:val="auto"/>
        </w:rPr>
      </w:pPr>
    </w:p>
    <w:p>
      <w:pPr>
        <w:spacing w:after="0"/>
        <w:tabs>
          <w:tab w:leader="none" w:pos="1380" w:val="left"/>
        </w:tabs>
        <w:rPr>
          <w:sz w:val="20"/>
          <w:szCs w:val="20"/>
          <w:color w:val="auto"/>
        </w:rPr>
      </w:pPr>
      <w:r>
        <w:rPr>
          <w:rFonts w:ascii="Arial" w:cs="Arial" w:eastAsia="Arial" w:hAnsi="Arial"/>
          <w:sz w:val="17"/>
          <w:szCs w:val="17"/>
          <w:b w:val="1"/>
          <w:bCs w:val="1"/>
          <w:color w:val="auto"/>
        </w:rPr>
        <w:t>2018</w:t>
      </w:r>
      <w:r>
        <w:rPr>
          <w:sz w:val="20"/>
          <w:szCs w:val="20"/>
          <w:color w:val="auto"/>
        </w:rPr>
        <w:tab/>
      </w:r>
      <w:r>
        <w:rPr>
          <w:rFonts w:ascii="Arial" w:cs="Arial" w:eastAsia="Arial" w:hAnsi="Arial"/>
          <w:sz w:val="17"/>
          <w:szCs w:val="17"/>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33655</wp:posOffset>
            </wp:positionV>
            <wp:extent cx="1648460"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48460" cy="18415"/>
                    </a:xfrm>
                    <a:prstGeom prst="rect">
                      <a:avLst/>
                    </a:prstGeom>
                    <a:noFill/>
                  </pic:spPr>
                </pic:pic>
              </a:graphicData>
            </a:graphic>
          </wp:anchor>
        </w:drawing>
      </w:r>
    </w:p>
    <w:p>
      <w:pPr>
        <w:spacing w:after="0" w:line="41"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19050</wp:posOffset>
            </wp:positionV>
            <wp:extent cx="1648460"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48460" cy="18415"/>
                    </a:xfrm>
                    <a:prstGeom prst="rect">
                      <a:avLst/>
                    </a:prstGeom>
                    <a:noFill/>
                  </pic:spPr>
                </pic:pic>
              </a:graphicData>
            </a:graphic>
          </wp:anchor>
        </w:drawing>
      </w:r>
    </w:p>
    <w:p>
      <w:pPr>
        <w:spacing w:after="0" w:line="182" w:lineRule="exact"/>
        <w:rPr>
          <w:sz w:val="20"/>
          <w:szCs w:val="20"/>
          <w:color w:val="auto"/>
        </w:rPr>
      </w:pPr>
    </w:p>
    <w:p>
      <w:pPr>
        <w:sectPr>
          <w:pgSz w:w="12240" w:h="15840" w:orient="portrait"/>
          <w:cols w:equalWidth="0" w:num="2">
            <w:col w:w="8980" w:space="720"/>
            <w:col w:w="2300"/>
          </w:cols>
          <w:pgMar w:left="120" w:top="764" w:right="120" w:bottom="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6360" w:type="dxa"/>
            <w:vAlign w:val="bottom"/>
            <w:gridSpan w:val="4"/>
          </w:tcPr>
          <w:p>
            <w:pPr>
              <w:spacing w:after="0"/>
              <w:rPr>
                <w:sz w:val="20"/>
                <w:szCs w:val="20"/>
                <w:color w:val="auto"/>
              </w:rPr>
            </w:pPr>
            <w:r>
              <w:rPr>
                <w:rFonts w:ascii="Arial" w:cs="Arial" w:eastAsia="Arial" w:hAnsi="Arial"/>
                <w:sz w:val="19"/>
                <w:szCs w:val="19"/>
                <w:color w:val="auto"/>
              </w:rPr>
              <w:t>Cash flows from operating activities: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Net income (loss)</w:t>
            </w:r>
          </w:p>
        </w:tc>
        <w:tc>
          <w:tcPr>
            <w:tcW w:w="360" w:type="dxa"/>
            <w:vAlign w:val="bottom"/>
            <w:shd w:val="clear" w:color="auto" w:fill="CCEEFF"/>
          </w:tcPr>
          <w:p>
            <w:pPr>
              <w:jc w:val="right"/>
              <w:ind w:right="165"/>
              <w:spacing w:after="0"/>
              <w:rPr>
                <w:sz w:val="20"/>
                <w:szCs w:val="20"/>
                <w:color w:val="auto"/>
              </w:rPr>
            </w:pPr>
            <w:r>
              <w:rPr>
                <w:rFonts w:ascii="Arial" w:cs="Arial" w:eastAsia="Arial" w:hAnsi="Arial"/>
                <w:sz w:val="19"/>
                <w:szCs w:val="19"/>
                <w:color w:val="auto"/>
                <w:w w:val="75"/>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12,429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(2,015)</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6,977</w:t>
            </w:r>
          </w:p>
        </w:tc>
        <w:tc>
          <w:tcPr>
            <w:tcW w:w="380" w:type="dxa"/>
            <w:vAlign w:val="bottom"/>
            <w:shd w:val="clear" w:color="auto" w:fill="CCEEFF"/>
          </w:tcPr>
          <w:p>
            <w:pPr>
              <w:jc w:val="right"/>
              <w:ind w:right="185"/>
              <w:spacing w:after="0"/>
              <w:rPr>
                <w:sz w:val="20"/>
                <w:szCs w:val="20"/>
                <w:color w:val="auto"/>
              </w:rPr>
            </w:pPr>
            <w:r>
              <w:rPr>
                <w:rFonts w:ascii="Arial" w:cs="Arial" w:eastAsia="Arial" w:hAnsi="Arial"/>
                <w:sz w:val="19"/>
                <w:szCs w:val="19"/>
                <w:color w:val="auto"/>
                <w:w w:val="75"/>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(369)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gridSpan w:val="3"/>
          </w:tcPr>
          <w:p>
            <w:pPr>
              <w:spacing w:after="0" w:line="214" w:lineRule="exact"/>
              <w:rPr>
                <w:sz w:val="20"/>
                <w:szCs w:val="20"/>
                <w:color w:val="auto"/>
              </w:rPr>
            </w:pPr>
            <w:r>
              <w:rPr>
                <w:rFonts w:ascii="Arial" w:cs="Arial" w:eastAsia="Arial" w:hAnsi="Arial"/>
                <w:sz w:val="19"/>
                <w:szCs w:val="19"/>
                <w:color w:val="auto"/>
                <w:w w:val="98"/>
              </w:rPr>
              <w:t>Adjustments to reconcile net income (loss) to net cash provided by operating</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40" w:type="dxa"/>
            <w:vAlign w:val="bottom"/>
            <w:gridSpan w:val="3"/>
          </w:tcPr>
          <w:p>
            <w:pPr>
              <w:ind w:left="140"/>
              <w:spacing w:after="0"/>
              <w:rPr>
                <w:sz w:val="20"/>
                <w:szCs w:val="20"/>
                <w:color w:val="auto"/>
              </w:rPr>
            </w:pPr>
            <w:r>
              <w:rPr>
                <w:rFonts w:ascii="Arial" w:cs="Arial" w:eastAsia="Arial" w:hAnsi="Arial"/>
                <w:sz w:val="19"/>
                <w:szCs w:val="19"/>
                <w:color w:val="auto"/>
              </w:rPr>
              <w:t>activities:</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Depreciation and amortization</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4,965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4,814</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1,362</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1,183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9"/>
                <w:szCs w:val="19"/>
                <w:color w:val="auto"/>
              </w:rPr>
              <w:t>Fair value of warrants deducted from revenues</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4,576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9"/>
                <w:szCs w:val="19"/>
                <w:color w:val="auto"/>
              </w:rPr>
              <w:t>2,895</w:t>
            </w:r>
          </w:p>
        </w:tc>
        <w:tc>
          <w:tcPr>
            <w:tcW w:w="3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9"/>
                <w:szCs w:val="19"/>
                <w:color w:val="auto"/>
              </w:rPr>
              <w:t>1,386</w:t>
            </w:r>
          </w:p>
        </w:tc>
        <w:tc>
          <w:tcPr>
            <w:tcW w:w="3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9"/>
                <w:szCs w:val="19"/>
                <w:color w:val="auto"/>
              </w:rPr>
              <w:t>393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Share-based compensation</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5,546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4,411</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1,662</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1,218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9"/>
                <w:szCs w:val="19"/>
                <w:color w:val="auto"/>
              </w:rPr>
              <w:t>Amortization of premium on marketable securities</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388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9"/>
                <w:szCs w:val="19"/>
                <w:color w:val="auto"/>
              </w:rPr>
              <w:t>546</w:t>
            </w:r>
          </w:p>
        </w:tc>
        <w:tc>
          <w:tcPr>
            <w:tcW w:w="3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9"/>
                <w:szCs w:val="19"/>
                <w:color w:val="auto"/>
              </w:rPr>
              <w:t>49</w:t>
            </w:r>
          </w:p>
        </w:tc>
        <w:tc>
          <w:tcPr>
            <w:tcW w:w="3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9"/>
                <w:szCs w:val="19"/>
                <w:color w:val="auto"/>
              </w:rPr>
              <w:t>142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Realized loss (gain) on sale of marketable securities</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(34)</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480</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9"/>
                <w:szCs w:val="19"/>
                <w:color w:val="auto"/>
              </w:rPr>
              <w:t>Decrease in trade receivables</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1,069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9"/>
                <w:szCs w:val="19"/>
                <w:color w:val="auto"/>
              </w:rPr>
              <w:t>9,081</w:t>
            </w:r>
          </w:p>
        </w:tc>
        <w:tc>
          <w:tcPr>
            <w:tcW w:w="3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9"/>
                <w:szCs w:val="19"/>
                <w:color w:val="auto"/>
              </w:rPr>
              <w:t>8,653</w:t>
            </w:r>
          </w:p>
        </w:tc>
        <w:tc>
          <w:tcPr>
            <w:tcW w:w="3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9"/>
                <w:szCs w:val="19"/>
                <w:color w:val="auto"/>
              </w:rPr>
              <w:t>9,811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Decrease (increase) in other receivables and prepaid expenses</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(3,135)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1,100</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(1,026)</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1,496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9"/>
                <w:szCs w:val="19"/>
                <w:color w:val="auto"/>
              </w:rPr>
              <w:t>Decrease (increase) in inventory</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4,037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9"/>
                <w:szCs w:val="19"/>
                <w:color w:val="auto"/>
              </w:rPr>
              <w:t>(10,629)</w:t>
            </w: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(4,882)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Decrease (increase) in deferred taxes, net</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(6,665)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(125)</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(6,640)</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9"/>
                <w:szCs w:val="19"/>
                <w:color w:val="auto"/>
              </w:rPr>
              <w:t>Decrease (increase) in other long term assets</w:t>
            </w:r>
          </w:p>
        </w:tc>
        <w:tc>
          <w:tcPr>
            <w:tcW w:w="3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rPr>
              <w:t>(121)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9"/>
                <w:szCs w:val="19"/>
                <w:color w:val="auto"/>
              </w:rPr>
              <w:t>(10)</w:t>
            </w: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(33)</w:t>
            </w:r>
          </w:p>
        </w:tc>
        <w:tc>
          <w:tcPr>
            <w:tcW w:w="3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Increase (decrease) in trade payables</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4,394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(3,635)</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4,627</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(2,097)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9"/>
                <w:szCs w:val="19"/>
                <w:color w:val="auto"/>
              </w:rPr>
              <w:t>Increase in employees and payroll accruals</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1,621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9"/>
                <w:szCs w:val="19"/>
                <w:color w:val="auto"/>
              </w:rPr>
              <w:t>360</w:t>
            </w:r>
          </w:p>
        </w:tc>
        <w:tc>
          <w:tcPr>
            <w:tcW w:w="3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9"/>
                <w:szCs w:val="19"/>
                <w:color w:val="auto"/>
              </w:rPr>
              <w:t>1,100</w:t>
            </w:r>
          </w:p>
        </w:tc>
        <w:tc>
          <w:tcPr>
            <w:tcW w:w="3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9"/>
                <w:szCs w:val="19"/>
                <w:color w:val="auto"/>
              </w:rPr>
              <w:t>554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Increase (decrease) in deferred revenues and advances from customers</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1,981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(31)</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1,692</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(248)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9"/>
                <w:szCs w:val="19"/>
                <w:color w:val="auto"/>
              </w:rPr>
              <w:t>Increase (decrease) in other payables and accrued expenses</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548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9"/>
                <w:szCs w:val="19"/>
                <w:color w:val="auto"/>
              </w:rPr>
              <w:t>(461)</w:t>
            </w: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(243)</w:t>
            </w:r>
          </w:p>
        </w:tc>
        <w:tc>
          <w:tcPr>
            <w:tcW w:w="3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9"/>
                <w:szCs w:val="19"/>
                <w:color w:val="auto"/>
              </w:rPr>
              <w:t>(1,215)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Increase (decrease) in accrued severance pay, net</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208</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(199)</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9"/>
                <w:szCs w:val="19"/>
                <w:color w:val="auto"/>
              </w:rPr>
              <w:t>Increase (decrease) in other long term liabilities</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867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9"/>
                <w:szCs w:val="19"/>
                <w:color w:val="auto"/>
              </w:rPr>
              <w:t>203</w:t>
            </w:r>
          </w:p>
        </w:tc>
        <w:tc>
          <w:tcPr>
            <w:tcW w:w="3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9"/>
                <w:szCs w:val="19"/>
                <w:color w:val="auto"/>
              </w:rPr>
              <w:t>712</w:t>
            </w:r>
          </w:p>
        </w:tc>
        <w:tc>
          <w:tcPr>
            <w:tcW w:w="3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9"/>
                <w:szCs w:val="19"/>
                <w:color w:val="auto"/>
              </w:rPr>
              <w:t>(298)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Loss from sale of property and Equipment</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228</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gridSpan w:val="3"/>
          </w:tcPr>
          <w:p>
            <w:pPr>
              <w:spacing w:after="0" w:line="214" w:lineRule="exact"/>
              <w:rPr>
                <w:sz w:val="20"/>
                <w:szCs w:val="20"/>
                <w:color w:val="auto"/>
              </w:rPr>
            </w:pPr>
            <w:r>
              <w:rPr>
                <w:rFonts w:ascii="Arial" w:cs="Arial" w:eastAsia="Arial" w:hAnsi="Arial"/>
                <w:sz w:val="19"/>
                <w:szCs w:val="19"/>
                <w:color w:val="auto"/>
              </w:rPr>
              <w:t>Foreign currency translation income (loss) on inter company balances with</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6360" w:type="dxa"/>
            <w:vAlign w:val="bottom"/>
            <w:gridSpan w:val="4"/>
          </w:tcPr>
          <w:p>
            <w:pPr>
              <w:spacing w:after="0"/>
              <w:rPr>
                <w:sz w:val="20"/>
                <w:szCs w:val="20"/>
                <w:color w:val="auto"/>
              </w:rPr>
            </w:pPr>
            <w:r>
              <w:rPr>
                <w:rFonts w:ascii="Arial" w:cs="Arial" w:eastAsia="Arial" w:hAnsi="Arial"/>
                <w:sz w:val="19"/>
                <w:szCs w:val="19"/>
                <w:color w:val="auto"/>
              </w:rPr>
              <w:t>foreign subsidiaries</w:t>
            </w:r>
          </w:p>
        </w:tc>
        <w:tc>
          <w:tcPr>
            <w:tcW w:w="36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389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9"/>
                <w:szCs w:val="19"/>
                <w:color w:val="auto"/>
              </w:rPr>
              <w:t>(916)</w:t>
            </w:r>
          </w:p>
        </w:tc>
        <w:tc>
          <w:tcPr>
            <w:tcW w:w="3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9"/>
                <w:szCs w:val="19"/>
                <w:color w:val="auto"/>
              </w:rPr>
              <w:t>49</w:t>
            </w:r>
          </w:p>
        </w:tc>
        <w:tc>
          <w:tcPr>
            <w:tcW w:w="380" w:type="dxa"/>
            <w:vAlign w:val="bottom"/>
          </w:tcPr>
          <w:p>
            <w:pPr>
              <w:spacing w:after="0"/>
              <w:rPr>
                <w:sz w:val="23"/>
                <w:szCs w:val="2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9"/>
                <w:szCs w:val="19"/>
                <w:color w:val="auto"/>
              </w:rPr>
              <w:t>(118)</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27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5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20" w:type="dxa"/>
            <w:vAlign w:val="bottom"/>
            <w:vMerge w:val="continue"/>
          </w:tcPr>
          <w:p>
            <w:pPr>
              <w:spacing w:after="0"/>
              <w:rPr>
                <w:sz w:val="21"/>
                <w:szCs w:val="21"/>
                <w:color w:val="auto"/>
              </w:rPr>
            </w:pPr>
          </w:p>
        </w:tc>
        <w:tc>
          <w:tcPr>
            <w:tcW w:w="6340" w:type="dxa"/>
            <w:vAlign w:val="bottom"/>
            <w:gridSpan w:val="3"/>
          </w:tcPr>
          <w:p>
            <w:pPr>
              <w:spacing w:after="0"/>
              <w:rPr>
                <w:sz w:val="20"/>
                <w:szCs w:val="20"/>
                <w:color w:val="auto"/>
              </w:rPr>
            </w:pPr>
            <w:r>
              <w:rPr>
                <w:rFonts w:ascii="Arial" w:cs="Arial" w:eastAsia="Arial" w:hAnsi="Arial"/>
                <w:sz w:val="19"/>
                <w:szCs w:val="19"/>
                <w:color w:val="auto"/>
              </w:rPr>
              <w:t>Net cash provided by operating activities</w:t>
            </w:r>
          </w:p>
        </w:tc>
        <w:tc>
          <w:tcPr>
            <w:tcW w:w="3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33,368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9"/>
                <w:szCs w:val="19"/>
                <w:color w:val="auto"/>
              </w:rPr>
              <w:t>5,990</w:t>
            </w:r>
          </w:p>
        </w:tc>
        <w:tc>
          <w:tcPr>
            <w:tcW w:w="3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9"/>
                <w:szCs w:val="19"/>
                <w:color w:val="auto"/>
              </w:rPr>
              <w:t>15,726</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11,936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27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5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340" w:type="dxa"/>
            <w:vAlign w:val="bottom"/>
            <w:gridSpan w:val="3"/>
          </w:tcPr>
          <w:p>
            <w:pPr>
              <w:spacing w:after="0" w:line="185" w:lineRule="exact"/>
              <w:rPr>
                <w:sz w:val="20"/>
                <w:szCs w:val="20"/>
                <w:color w:val="auto"/>
              </w:rPr>
            </w:pPr>
            <w:r>
              <w:rPr>
                <w:rFonts w:ascii="Arial" w:cs="Arial" w:eastAsia="Arial" w:hAnsi="Arial"/>
                <w:sz w:val="19"/>
                <w:szCs w:val="19"/>
                <w:color w:val="auto"/>
              </w:rPr>
              <w:t>Cash flows from investing activities:</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7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restart"/>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9"/>
                <w:szCs w:val="19"/>
                <w:color w:val="auto"/>
              </w:rPr>
              <w:t>Purchase of property and equipment</w:t>
            </w:r>
          </w:p>
        </w:tc>
        <w:tc>
          <w:tcPr>
            <w:tcW w:w="3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rPr>
              <w:t>(7,294)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9"/>
                <w:szCs w:val="19"/>
                <w:color w:val="auto"/>
              </w:rPr>
              <w:t>(5,660)</w:t>
            </w: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(2,388)</w:t>
            </w:r>
          </w:p>
        </w:tc>
        <w:tc>
          <w:tcPr>
            <w:tcW w:w="3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9"/>
                <w:szCs w:val="19"/>
                <w:color w:val="auto"/>
              </w:rPr>
              <w:t>(1,160)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Proceeds from sale of property and equipment</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6</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9"/>
                <w:szCs w:val="19"/>
                <w:color w:val="auto"/>
              </w:rPr>
              <w:t>Decrease (increase) in bank deposits</w:t>
            </w:r>
          </w:p>
        </w:tc>
        <w:tc>
          <w:tcPr>
            <w:tcW w:w="3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rPr>
              <w:t>(500)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9"/>
                <w:szCs w:val="19"/>
                <w:color w:val="auto"/>
              </w:rPr>
              <w:t>(4,500)</w:t>
            </w:r>
          </w:p>
        </w:tc>
        <w:tc>
          <w:tcPr>
            <w:tcW w:w="3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9"/>
                <w:szCs w:val="19"/>
                <w:color w:val="auto"/>
              </w:rPr>
              <w:t>4,500</w:t>
            </w:r>
          </w:p>
        </w:tc>
        <w:tc>
          <w:tcPr>
            <w:tcW w:w="3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9"/>
                <w:szCs w:val="19"/>
                <w:color w:val="auto"/>
              </w:rPr>
              <w:t>(4,500)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Proceeds from sale of marketable securities</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40,635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39,353</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40,635</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9"/>
                <w:szCs w:val="19"/>
                <w:color w:val="auto"/>
              </w:rPr>
              <w:t>Proceeds from maturity of marketable securities</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6,564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9"/>
                <w:szCs w:val="19"/>
                <w:color w:val="auto"/>
              </w:rPr>
              <w:t>7,240</w:t>
            </w:r>
          </w:p>
        </w:tc>
        <w:tc>
          <w:tcPr>
            <w:tcW w:w="3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9"/>
                <w:szCs w:val="19"/>
                <w:color w:val="auto"/>
              </w:rPr>
              <w:t>3,210</w:t>
            </w:r>
          </w:p>
        </w:tc>
        <w:tc>
          <w:tcPr>
            <w:tcW w:w="3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9"/>
                <w:szCs w:val="19"/>
                <w:color w:val="auto"/>
              </w:rPr>
              <w:t>500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Purchase of marketable securities</w:t>
            </w:r>
          </w:p>
        </w:tc>
        <w:tc>
          <w:tcPr>
            <w:tcW w:w="3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(22,723)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(83,183)</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(6,043)</w:t>
            </w:r>
          </w:p>
        </w:tc>
        <w:tc>
          <w:tcPr>
            <w:tcW w:w="3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(3,928)</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27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54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20" w:type="dxa"/>
            <w:vAlign w:val="bottom"/>
            <w:vMerge w:val="continue"/>
          </w:tcPr>
          <w:p>
            <w:pPr>
              <w:spacing w:after="0"/>
              <w:rPr>
                <w:sz w:val="21"/>
                <w:szCs w:val="21"/>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Net cash provided by (used in) investing activities</w:t>
            </w:r>
          </w:p>
        </w:tc>
        <w:tc>
          <w:tcPr>
            <w:tcW w:w="3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16,682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(46,744)</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39,914</w:t>
            </w:r>
          </w:p>
        </w:tc>
        <w:tc>
          <w:tcPr>
            <w:tcW w:w="3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(8,047)</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27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54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340" w:type="dxa"/>
            <w:vAlign w:val="bottom"/>
            <w:gridSpan w:val="3"/>
            <w:shd w:val="clear" w:color="auto" w:fill="CCEEFF"/>
          </w:tcPr>
          <w:p>
            <w:pPr>
              <w:spacing w:after="0" w:line="185" w:lineRule="exact"/>
              <w:rPr>
                <w:sz w:val="20"/>
                <w:szCs w:val="20"/>
                <w:color w:val="auto"/>
              </w:rPr>
            </w:pPr>
            <w:r>
              <w:rPr>
                <w:rFonts w:ascii="Arial" w:cs="Arial" w:eastAsia="Arial" w:hAnsi="Arial"/>
                <w:sz w:val="19"/>
                <w:szCs w:val="19"/>
                <w:color w:val="auto"/>
              </w:rPr>
              <w:t>Cash flows from financing activities: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27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5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8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84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Proceeds from secondary offering, net</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35,077</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9"/>
                <w:szCs w:val="19"/>
                <w:color w:val="auto"/>
              </w:rPr>
              <w:t>Exercise of employee stock options</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6,425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9"/>
                <w:szCs w:val="19"/>
                <w:color w:val="auto"/>
              </w:rPr>
              <w:t>2,760</w:t>
            </w:r>
          </w:p>
        </w:tc>
        <w:tc>
          <w:tcPr>
            <w:tcW w:w="3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9"/>
                <w:szCs w:val="19"/>
                <w:color w:val="auto"/>
              </w:rPr>
              <w:t>4,428</w:t>
            </w:r>
          </w:p>
        </w:tc>
        <w:tc>
          <w:tcPr>
            <w:tcW w:w="3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9"/>
                <w:szCs w:val="19"/>
                <w:color w:val="auto"/>
              </w:rPr>
              <w:t>417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Payment of contingent consideration</w:t>
            </w:r>
          </w:p>
        </w:tc>
        <w:tc>
          <w:tcPr>
            <w:tcW w:w="3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(900)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(1,400)</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27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54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20" w:type="dxa"/>
            <w:vAlign w:val="bottom"/>
            <w:vMerge w:val="continue"/>
          </w:tcPr>
          <w:p>
            <w:pPr>
              <w:spacing w:after="0"/>
              <w:rPr>
                <w:sz w:val="21"/>
                <w:szCs w:val="21"/>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Net cash provided by financing activities</w:t>
            </w:r>
          </w:p>
        </w:tc>
        <w:tc>
          <w:tcPr>
            <w:tcW w:w="3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5,525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36,437</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4,428</w:t>
            </w:r>
          </w:p>
        </w:tc>
        <w:tc>
          <w:tcPr>
            <w:tcW w:w="3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417</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27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54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Foreign currency translation adjustments on cash and cash equivalents</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157</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(35)</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9"/>
                <w:szCs w:val="19"/>
                <w:color w:val="auto"/>
              </w:rPr>
              <w:t>Increase (decrease) in cash and cash equivalents</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55,575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9"/>
                <w:szCs w:val="19"/>
                <w:color w:val="auto"/>
              </w:rPr>
              <w:t>(4,317)</w:t>
            </w:r>
          </w:p>
        </w:tc>
        <w:tc>
          <w:tcPr>
            <w:tcW w:w="3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9"/>
                <w:szCs w:val="19"/>
                <w:color w:val="auto"/>
              </w:rPr>
              <w:t>60,067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Cash and cash equivalents at the beginning of the period</w:t>
            </w:r>
          </w:p>
        </w:tc>
        <w:tc>
          <w:tcPr>
            <w:tcW w:w="3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18,629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22,789</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14,099</w:t>
            </w:r>
          </w:p>
        </w:tc>
        <w:tc>
          <w:tcPr>
            <w:tcW w:w="3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14,290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9"/>
                <w:szCs w:val="19"/>
                <w:color w:val="auto"/>
              </w:rPr>
              <w:t>Cash and cash equivalents at the end of the period</w:t>
            </w: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63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74,132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9"/>
                <w:szCs w:val="19"/>
                <w:color w:val="auto"/>
              </w:rPr>
              <w:t>18,629</w:t>
            </w:r>
          </w:p>
        </w:tc>
        <w:tc>
          <w:tcPr>
            <w:tcW w:w="3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9"/>
                <w:szCs w:val="19"/>
                <w:color w:val="auto"/>
              </w:rPr>
              <w:t>74,132</w:t>
            </w:r>
          </w:p>
        </w:tc>
        <w:tc>
          <w:tcPr>
            <w:tcW w:w="38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9"/>
                <w:szCs w:val="19"/>
                <w:color w:val="auto"/>
              </w:rPr>
              <w:t>18,629</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27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5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9"/>
                <w:szCs w:val="19"/>
                <w:color w:val="auto"/>
              </w:rPr>
              <w:t>Non-cash investing and financing activities:</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9"/>
                <w:szCs w:val="19"/>
                <w:color w:val="auto"/>
              </w:rPr>
              <w:t>Purchase of property and equipment on credit</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9"/>
                <w:szCs w:val="19"/>
                <w:color w:val="auto"/>
              </w:rPr>
              <w:t>427</w:t>
            </w:r>
          </w:p>
        </w:tc>
        <w:tc>
          <w:tcPr>
            <w:tcW w:w="3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9"/>
                <w:szCs w:val="19"/>
                <w:color w:val="auto"/>
              </w:rPr>
              <w:t>222</w:t>
            </w:r>
          </w:p>
        </w:tc>
        <w:tc>
          <w:tcPr>
            <w:tcW w:w="3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9"/>
                <w:szCs w:val="19"/>
                <w:color w:val="auto"/>
              </w:rPr>
              <w:t>427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Inventory transferred to be used as property and equipment</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591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397</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192</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126</w:t>
            </w:r>
          </w:p>
        </w:tc>
        <w:tc>
          <w:tcPr>
            <w:tcW w:w="0" w:type="dxa"/>
            <w:vAlign w:val="bottom"/>
          </w:tcPr>
          <w:p>
            <w:pPr>
              <w:spacing w:after="0"/>
              <w:rPr>
                <w:sz w:val="1"/>
                <w:szCs w:val="1"/>
                <w:color w:val="auto"/>
              </w:rPr>
            </w:pPr>
          </w:p>
        </w:tc>
      </w:tr>
    </w:tbl>
    <w:p>
      <w:pPr>
        <w:sectPr>
          <w:pgSz w:w="12240" w:h="15840" w:orient="portrait"/>
          <w:cols w:equalWidth="0" w:num="1">
            <w:col w:w="12000"/>
          </w:cols>
          <w:pgMar w:left="120" w:top="764" w:right="120" w:bottom="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9525</wp:posOffset>
            </wp:positionV>
            <wp:extent cx="7625080"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sectPr>
      <w:pgSz w:w="12240" w:h="15840" w:orient="portrait"/>
      <w:cols w:equalWidth="0" w:num="1">
        <w:col w:w="9360"/>
      </w:cols>
      <w:pgMar w:left="1440" w:top="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03"/>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2019-12-15T17:45:49Z</dcterms:created>
  <dcterms:modified xsi:type="dcterms:W3CDTF">2019-12-15T17:45:49Z</dcterms:modified>
</cp:coreProperties>
</file>