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459"/>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ind w:right="459"/>
        <w:spacing w:after="0"/>
        <w:rPr>
          <w:sz w:val="20"/>
          <w:szCs w:val="20"/>
          <w:color w:val="auto"/>
        </w:rPr>
      </w:pPr>
      <w:r>
        <w:rPr>
          <w:rFonts w:ascii="Times New Roman" w:cs="Times New Roman" w:eastAsia="Times New Roman" w:hAnsi="Times New Roman"/>
          <w:sz w:val="18"/>
          <w:szCs w:val="18"/>
          <w:b w:val="1"/>
          <w:bCs w:val="1"/>
          <w:color w:val="auto"/>
        </w:rPr>
        <w:t>Registration No. 333-248784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REGISTRATION FEE</w:t>
      </w:r>
    </w:p>
    <w:p>
      <w:pPr>
        <w:spacing w:after="0" w:line="191" w:lineRule="exact"/>
        <w:rPr>
          <w:sz w:val="24"/>
          <w:szCs w:val="24"/>
          <w:color w:val="auto"/>
        </w:rPr>
      </w:pPr>
    </w:p>
    <w:tbl>
      <w:tblPr>
        <w:tblLayout w:type="fixed"/>
        <w:tblInd w:w="46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Proposed</w:t>
            </w:r>
          </w:p>
        </w:tc>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Proposed</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3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3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00" w:type="dxa"/>
            <w:vAlign w:val="bottom"/>
          </w:tcPr>
          <w:p>
            <w:pPr>
              <w:spacing w:after="0"/>
              <w:rPr>
                <w:sz w:val="17"/>
                <w:szCs w:val="17"/>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Offering</w:t>
            </w:r>
          </w:p>
        </w:tc>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Aggregate</w:t>
            </w:r>
          </w:p>
        </w:tc>
        <w:tc>
          <w:tcPr>
            <w:tcW w:w="120" w:type="dxa"/>
            <w:vAlign w:val="bottom"/>
          </w:tcPr>
          <w:p>
            <w:pPr>
              <w:spacing w:after="0"/>
              <w:rPr>
                <w:sz w:val="17"/>
                <w:szCs w:val="17"/>
                <w:color w:val="auto"/>
              </w:rPr>
            </w:pPr>
          </w:p>
        </w:tc>
        <w:tc>
          <w:tcPr>
            <w:tcW w:w="1120" w:type="dxa"/>
            <w:vAlign w:val="bottom"/>
          </w:tcPr>
          <w:p>
            <w:pPr>
              <w:jc w:val="center"/>
              <w:ind w:right="97"/>
              <w:spacing w:after="0"/>
              <w:rPr>
                <w:sz w:val="20"/>
                <w:szCs w:val="20"/>
                <w:color w:val="auto"/>
              </w:rPr>
            </w:pPr>
            <w:r>
              <w:rPr>
                <w:rFonts w:ascii="Times New Roman" w:cs="Times New Roman" w:eastAsia="Times New Roman" w:hAnsi="Times New Roman"/>
                <w:sz w:val="16"/>
                <w:szCs w:val="16"/>
                <w:b w:val="1"/>
                <w:bCs w:val="1"/>
                <w:color w:val="auto"/>
              </w:rPr>
              <w:t>Amount Of</w:t>
            </w:r>
          </w:p>
        </w:tc>
      </w:tr>
      <w:tr>
        <w:trPr>
          <w:trHeight w:val="203"/>
        </w:trPr>
        <w:tc>
          <w:tcPr>
            <w:tcW w:w="3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To Be</w:t>
            </w:r>
          </w:p>
        </w:tc>
        <w:tc>
          <w:tcPr>
            <w:tcW w:w="100" w:type="dxa"/>
            <w:vAlign w:val="bottom"/>
          </w:tcPr>
          <w:p>
            <w:pPr>
              <w:spacing w:after="0"/>
              <w:rPr>
                <w:sz w:val="17"/>
                <w:szCs w:val="17"/>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Offering</w:t>
            </w:r>
          </w:p>
        </w:tc>
        <w:tc>
          <w:tcPr>
            <w:tcW w:w="120" w:type="dxa"/>
            <w:vAlign w:val="bottom"/>
          </w:tcPr>
          <w:p>
            <w:pPr>
              <w:spacing w:after="0"/>
              <w:rPr>
                <w:sz w:val="17"/>
                <w:szCs w:val="17"/>
                <w:color w:val="auto"/>
              </w:rPr>
            </w:pPr>
          </w:p>
        </w:tc>
        <w:tc>
          <w:tcPr>
            <w:tcW w:w="1120" w:type="dxa"/>
            <w:vAlign w:val="bottom"/>
          </w:tcPr>
          <w:p>
            <w:pPr>
              <w:jc w:val="center"/>
              <w:ind w:right="97"/>
              <w:spacing w:after="0"/>
              <w:rPr>
                <w:sz w:val="20"/>
                <w:szCs w:val="20"/>
                <w:color w:val="auto"/>
              </w:rPr>
            </w:pPr>
            <w:r>
              <w:rPr>
                <w:rFonts w:ascii="Times New Roman" w:cs="Times New Roman" w:eastAsia="Times New Roman" w:hAnsi="Times New Roman"/>
                <w:sz w:val="16"/>
                <w:szCs w:val="16"/>
                <w:b w:val="1"/>
                <w:bCs w:val="1"/>
                <w:color w:val="auto"/>
              </w:rPr>
              <w:t>Registration</w:t>
            </w:r>
          </w:p>
        </w:tc>
      </w:tr>
      <w:tr>
        <w:trPr>
          <w:trHeight w:val="212"/>
        </w:trPr>
        <w:tc>
          <w:tcPr>
            <w:tcW w:w="36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Title Of Each Class Of Securities To Be Registered</w:t>
            </w: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Registered</w:t>
            </w:r>
          </w:p>
        </w:tc>
        <w:tc>
          <w:tcPr>
            <w:tcW w:w="100" w:type="dxa"/>
            <w:vAlign w:val="bottom"/>
          </w:tcPr>
          <w:p>
            <w:pPr>
              <w:spacing w:after="0"/>
              <w:rPr>
                <w:sz w:val="18"/>
                <w:szCs w:val="18"/>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Per Unit</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20" w:type="dxa"/>
            <w:vAlign w:val="bottom"/>
          </w:tcPr>
          <w:p>
            <w:pPr>
              <w:spacing w:after="0"/>
              <w:rPr>
                <w:sz w:val="18"/>
                <w:szCs w:val="18"/>
                <w:color w:val="auto"/>
              </w:rPr>
            </w:pPr>
          </w:p>
        </w:tc>
        <w:tc>
          <w:tcPr>
            <w:tcW w:w="1120" w:type="dxa"/>
            <w:vAlign w:val="bottom"/>
          </w:tcPr>
          <w:p>
            <w:pPr>
              <w:jc w:val="center"/>
              <w:ind w:right="37"/>
              <w:spacing w:after="0"/>
              <w:rPr>
                <w:sz w:val="20"/>
                <w:szCs w:val="20"/>
                <w:color w:val="auto"/>
              </w:rPr>
            </w:pPr>
            <w:r>
              <w:rPr>
                <w:rFonts w:ascii="Times New Roman" w:cs="Times New Roman" w:eastAsia="Times New Roman" w:hAnsi="Times New Roman"/>
                <w:sz w:val="16"/>
                <w:szCs w:val="16"/>
                <w:b w:val="1"/>
                <w:bCs w:val="1"/>
                <w:color w:val="auto"/>
                <w:w w:val="99"/>
              </w:rPr>
              <w:t>Fee</w:t>
            </w:r>
          </w:p>
        </w:tc>
      </w:tr>
      <w:tr>
        <w:trPr>
          <w:trHeight w:val="46"/>
        </w:trPr>
        <w:tc>
          <w:tcPr>
            <w:tcW w:w="35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263"/>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Ordinary Shares, par value NIS 0.01 per share</w:t>
            </w:r>
          </w:p>
        </w:tc>
        <w:tc>
          <w:tcPr>
            <w:tcW w:w="8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4,689,941</w:t>
            </w:r>
            <w:r>
              <w:rPr>
                <w:rFonts w:ascii="Times New Roman" w:cs="Times New Roman" w:eastAsia="Times New Roman" w:hAnsi="Times New Roman"/>
                <w:sz w:val="20"/>
                <w:szCs w:val="20"/>
                <w:color w:val="auto"/>
                <w:w w:val="95"/>
                <w:vertAlign w:val="superscript"/>
              </w:rPr>
              <w:t>(1)</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56.50</w:t>
            </w:r>
          </w:p>
        </w:tc>
        <w:tc>
          <w:tcPr>
            <w:tcW w:w="80" w:type="dxa"/>
            <w:vAlign w:val="bottom"/>
            <w:shd w:val="clear" w:color="auto" w:fill="CCEEFF"/>
          </w:tcPr>
          <w:p>
            <w:pPr>
              <w:spacing w:after="0"/>
              <w:rPr>
                <w:sz w:val="22"/>
                <w:szCs w:val="22"/>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$ 264,981,666.50</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34,394.62</w:t>
            </w:r>
            <w:r>
              <w:rPr>
                <w:rFonts w:ascii="Times New Roman" w:cs="Times New Roman" w:eastAsia="Times New Roman" w:hAnsi="Times New Roman"/>
                <w:sz w:val="20"/>
                <w:szCs w:val="20"/>
                <w:color w:val="auto"/>
                <w:vertAlign w:val="superscript"/>
              </w:rPr>
              <w:t>(2)(3)</w:t>
            </w:r>
          </w:p>
        </w:tc>
      </w:tr>
    </w:tbl>
    <w:p>
      <w:pPr>
        <w:spacing w:after="0" w:line="40"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26" w:lineRule="exact"/>
        <w:rPr>
          <w:sz w:val="24"/>
          <w:szCs w:val="24"/>
          <w:color w:val="auto"/>
        </w:rPr>
      </w:pPr>
    </w:p>
    <w:p>
      <w:pPr>
        <w:ind w:left="880" w:right="459" w:hanging="426"/>
        <w:spacing w:after="0" w:line="264" w:lineRule="auto"/>
        <w:tabs>
          <w:tab w:leader="none" w:pos="996"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611,731 shares that may be purchased by the underwriters upon exercise of the underwriters’ option to purchase additional shares.</w:t>
      </w:r>
    </w:p>
    <w:p>
      <w:pPr>
        <w:jc w:val="both"/>
        <w:ind w:left="880" w:right="459" w:hanging="426"/>
        <w:spacing w:after="0" w:line="264" w:lineRule="auto"/>
        <w:tabs>
          <w:tab w:leader="none" w:pos="8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registration fee is calculated and being paid pursuant to Rule 457(r) under the Securities Act of 1933, as amended (the “Securities Act”), and relates to the Registration Statement on Form F-3 (File No. 333-248784) filed by the Registrant on September 14, 2020 (“the Shelf Registration Statement”). This “Calculation of Registration Fee” table shall be deemed to update the “Calculation of Registration Fee” table in the Shelf Registration Statement in accordance with Rules 456(b) and 457(r) under the Securities Act.</w:t>
      </w:r>
    </w:p>
    <w:p>
      <w:pPr>
        <w:jc w:val="both"/>
        <w:ind w:left="880" w:right="459" w:hanging="426"/>
        <w:spacing w:after="0" w:line="276" w:lineRule="auto"/>
        <w:tabs>
          <w:tab w:leader="none" w:pos="969"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 previously paid a registration fee of $12,950.69 with respect to the registration of 1,689,942 of the offered shares. Accordingly, a filing fee of $22,001.10 is being paid at this time with respect to $169,499,943.50 of the maximum aggregate offering price for 2,999,999 of the offered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234950</wp:posOffset>
            </wp:positionV>
            <wp:extent cx="51435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6" w:right="1440" w:bottom="1440" w:gutter="0" w:footer="0" w:header="0"/>
        </w:sectPr>
      </w:pPr>
    </w:p>
    <w:bookmarkStart w:id="1" w:name="page2"/>
    <w:bookmarkEnd w:id="1"/>
    <w:p>
      <w:pPr>
        <w:ind w:left="46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(To prospectus dated September 14, 2020)</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4,078,210 Shares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Kornit Digital Ltd.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Ordinary Shares</w:t>
      </w:r>
    </w:p>
    <w:p>
      <w:pPr>
        <w:spacing w:after="0" w:line="20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_________________</w:t>
      </w:r>
    </w:p>
    <w:p>
      <w:pPr>
        <w:spacing w:after="0" w:line="243"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We are offering for sale 2,388,268 ordinary shares, par value NIS 0.01 per share. The selling shareholder identified in this prospectus supplement is offering an additional 1,689,942 ordinary shares. We will not receive any of the proceeds from the sale of shares being offered by the selling shareholder.</w:t>
      </w:r>
    </w:p>
    <w:p>
      <w:pPr>
        <w:spacing w:after="0" w:line="203"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Our ordinary shares are listed on the Nasdaq Global Select Market under the symbol “KRNT.” On September 16, 2020, the last reported sales price of our ordinary shares was $57.29 per share.</w:t>
      </w:r>
    </w:p>
    <w:p>
      <w:pPr>
        <w:spacing w:after="0" w:line="17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_________________</w:t>
      </w:r>
    </w:p>
    <w:p>
      <w:pPr>
        <w:spacing w:after="0" w:line="232"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46"/>
        </w:trPr>
        <w:tc>
          <w:tcPr>
            <w:tcW w:w="56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43"/>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56.50</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230,418,865</w:t>
            </w: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 and commissions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2.26</w:t>
            </w:r>
          </w:p>
        </w:tc>
        <w:tc>
          <w:tcPr>
            <w:tcW w:w="26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9,216,755</w:t>
            </w:r>
          </w:p>
        </w:tc>
      </w:tr>
      <w:tr>
        <w:trPr>
          <w:trHeight w:val="40"/>
        </w:trPr>
        <w:tc>
          <w:tcPr>
            <w:tcW w:w="5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54.24</w:t>
            </w:r>
          </w:p>
        </w:tc>
        <w:tc>
          <w:tcPr>
            <w:tcW w:w="260" w:type="dxa"/>
            <w:vAlign w:val="bottom"/>
            <w:tcBorders>
              <w:bottom w:val="single" w:sz="8" w:color="CCEEFF"/>
            </w:tcBorders>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129,539,656</w:t>
            </w: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Proceeds, before expenses, to the selling shareholder</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54.24</w:t>
            </w:r>
          </w:p>
        </w:tc>
        <w:tc>
          <w:tcPr>
            <w:tcW w:w="26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91,662,454</w:t>
            </w:r>
          </w:p>
        </w:tc>
      </w:tr>
    </w:tbl>
    <w:p>
      <w:pPr>
        <w:spacing w:after="0" w:line="23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underwriters may also exercise their option to purchase up to an additional 611,731 ordinary shares from us at the public offering price, less underwriting discounts and commissions, for 30 days after the date of this prospectus supplement.</w:t>
      </w:r>
    </w:p>
    <w:p>
      <w:pPr>
        <w:spacing w:after="0" w:line="172" w:lineRule="exact"/>
        <w:rPr>
          <w:sz w:val="20"/>
          <w:szCs w:val="20"/>
          <w:color w:val="auto"/>
        </w:rPr>
      </w:pPr>
    </w:p>
    <w:p>
      <w:pPr>
        <w:jc w:val="both"/>
        <w:ind w:left="460" w:right="479"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ordinary shares involves risks that are described in the “Risk Factors” section beginning on page S-7 of this prospectus supplement and in the documents incorporated by reference.</w:t>
      </w:r>
    </w:p>
    <w:p>
      <w:pPr>
        <w:spacing w:after="0" w:line="155" w:lineRule="exact"/>
        <w:rPr>
          <w:sz w:val="20"/>
          <w:szCs w:val="20"/>
          <w:color w:val="auto"/>
        </w:rPr>
      </w:pPr>
    </w:p>
    <w:p>
      <w:pPr>
        <w:jc w:val="both"/>
        <w:ind w:left="460" w:right="459" w:firstLine="432"/>
        <w:spacing w:after="0" w:line="262"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 securities being offered by this prospectus supplement or accompanying prospectus, or determined if this prospectus supplement or accompanying prospectus is truthful or complete. Any representation to the contrary is a criminal offense.</w:t>
      </w:r>
    </w:p>
    <w:p>
      <w:pPr>
        <w:spacing w:after="0" w:line="176"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_________________</w:t>
      </w:r>
    </w:p>
    <w:p>
      <w:pPr>
        <w:spacing w:after="0" w:line="2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underwriters expect to deliver the ordinary shares to purchasers on or about September 21, 2020.</w:t>
      </w:r>
    </w:p>
    <w:p>
      <w:pPr>
        <w:spacing w:after="0" w:line="22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_________________</w:t>
      </w:r>
    </w:p>
    <w:p>
      <w:pPr>
        <w:sectPr>
          <w:pgSz w:w="11900" w:h="16838" w:orient="portrait"/>
          <w:cols w:equalWidth="0" w:num="1">
            <w:col w:w="9019"/>
          </w:cols>
          <w:pgMar w:left="1440" w:top="401" w:right="1440" w:bottom="1440" w:gutter="0" w:footer="0" w:header="0"/>
        </w:sectPr>
      </w:pPr>
    </w:p>
    <w:p>
      <w:pPr>
        <w:spacing w:after="0" w:line="18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1"/>
          <w:szCs w:val="21"/>
          <w:b w:val="1"/>
          <w:bCs w:val="1"/>
          <w:color w:val="auto"/>
        </w:rPr>
        <w:t>Citigroup</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21"/>
          <w:szCs w:val="21"/>
          <w:b w:val="1"/>
          <w:bCs w:val="1"/>
          <w:color w:val="auto"/>
        </w:rPr>
        <w:t>Barclays</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Goldman Sachs &amp; Co. LLC</w:t>
      </w:r>
    </w:p>
    <w:p>
      <w:pPr>
        <w:spacing w:after="0" w:line="177" w:lineRule="exact"/>
        <w:rPr>
          <w:sz w:val="20"/>
          <w:szCs w:val="20"/>
          <w:color w:val="auto"/>
        </w:rPr>
      </w:pPr>
    </w:p>
    <w:p>
      <w:pPr>
        <w:sectPr>
          <w:pgSz w:w="11900" w:h="16838" w:orient="portrait"/>
          <w:cols w:equalWidth="0" w:num="3">
            <w:col w:w="2600" w:space="720"/>
            <w:col w:w="1680" w:space="720"/>
            <w:col w:w="3299"/>
          </w:cols>
          <w:pgMar w:left="1440" w:top="401" w:right="1440" w:bottom="1440" w:gutter="0" w:footer="0" w:header="0"/>
          <w:type w:val="continuous"/>
        </w:sectPr>
      </w:pPr>
    </w:p>
    <w:p>
      <w:pPr>
        <w:jc w:val="center"/>
        <w:ind w:left="560"/>
        <w:spacing w:after="0"/>
        <w:rPr>
          <w:sz w:val="20"/>
          <w:szCs w:val="20"/>
          <w:color w:val="auto"/>
        </w:rPr>
      </w:pPr>
      <w:r>
        <w:rPr>
          <w:rFonts w:ascii="Times New Roman" w:cs="Times New Roman" w:eastAsia="Times New Roman" w:hAnsi="Times New Roman"/>
          <w:sz w:val="21"/>
          <w:szCs w:val="21"/>
          <w:b w:val="1"/>
          <w:bCs w:val="1"/>
          <w:color w:val="auto"/>
        </w:rPr>
        <w:t>Needham &amp;</w:t>
      </w:r>
    </w:p>
    <w:p>
      <w:pPr>
        <w:spacing w:after="0" w:line="30"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22"/>
          <w:szCs w:val="22"/>
          <w:b w:val="1"/>
          <w:bCs w:val="1"/>
          <w:color w:val="auto"/>
        </w:rPr>
        <w:t>Company</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Stifel</w:t>
      </w:r>
    </w:p>
    <w:p>
      <w:pPr>
        <w:spacing w:after="0" w:line="20" w:lineRule="exact"/>
        <w:rPr>
          <w:sz w:val="20"/>
          <w:szCs w:val="20"/>
          <w:color w:val="auto"/>
        </w:rPr>
      </w:pPr>
      <w:r>
        <w:rPr>
          <w:sz w:val="20"/>
          <w:szCs w:val="20"/>
          <w:color w:val="auto"/>
        </w:rPr>
        <w:br w:type="column"/>
      </w:r>
    </w:p>
    <w:p>
      <w:pPr>
        <w:jc w:val="right"/>
        <w:ind w:right="80"/>
        <w:spacing w:after="0"/>
        <w:rPr>
          <w:sz w:val="20"/>
          <w:szCs w:val="20"/>
          <w:color w:val="auto"/>
        </w:rPr>
      </w:pPr>
      <w:r>
        <w:rPr>
          <w:rFonts w:ascii="Times New Roman" w:cs="Times New Roman" w:eastAsia="Times New Roman" w:hAnsi="Times New Roman"/>
          <w:sz w:val="22"/>
          <w:szCs w:val="22"/>
          <w:b w:val="1"/>
          <w:bCs w:val="1"/>
          <w:color w:val="auto"/>
        </w:rPr>
        <w:t>Craig-Hallum</w:t>
      </w:r>
    </w:p>
    <w:p>
      <w:pPr>
        <w:spacing w:after="0" w:line="18" w:lineRule="exact"/>
        <w:rPr>
          <w:sz w:val="20"/>
          <w:szCs w:val="20"/>
          <w:color w:val="auto"/>
        </w:rPr>
      </w:pPr>
    </w:p>
    <w:p>
      <w:pPr>
        <w:jc w:val="right"/>
        <w:ind w:right="60"/>
        <w:spacing w:after="0"/>
        <w:tabs>
          <w:tab w:leader="none" w:pos="1380" w:val="left"/>
        </w:tabs>
        <w:rPr>
          <w:sz w:val="20"/>
          <w:szCs w:val="20"/>
          <w:color w:val="auto"/>
        </w:rPr>
      </w:pPr>
      <w:r>
        <w:rPr>
          <w:rFonts w:ascii="Times New Roman" w:cs="Times New Roman" w:eastAsia="Times New Roman" w:hAnsi="Times New Roman"/>
          <w:sz w:val="22"/>
          <w:szCs w:val="22"/>
          <w:b w:val="1"/>
          <w:bCs w:val="1"/>
          <w:color w:val="auto"/>
        </w:rPr>
        <w:t>William Blair</w:t>
      </w:r>
      <w:r>
        <w:rPr>
          <w:sz w:val="20"/>
          <w:szCs w:val="20"/>
          <w:color w:val="auto"/>
        </w:rPr>
        <w:tab/>
      </w:r>
      <w:r>
        <w:rPr>
          <w:rFonts w:ascii="Times New Roman" w:cs="Times New Roman" w:eastAsia="Times New Roman" w:hAnsi="Times New Roman"/>
          <w:sz w:val="21"/>
          <w:szCs w:val="21"/>
          <w:b w:val="1"/>
          <w:bCs w:val="1"/>
          <w:color w:val="auto"/>
        </w:rPr>
        <w:t>Capital Group</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CJS Securities</w:t>
      </w:r>
    </w:p>
    <w:p>
      <w:pPr>
        <w:spacing w:after="0" w:line="239" w:lineRule="exact"/>
        <w:rPr>
          <w:sz w:val="20"/>
          <w:szCs w:val="20"/>
          <w:color w:val="auto"/>
        </w:rPr>
      </w:pPr>
    </w:p>
    <w:p>
      <w:pPr>
        <w:sectPr>
          <w:pgSz w:w="11900" w:h="16838" w:orient="portrait"/>
          <w:cols w:equalWidth="0" w:num="4">
            <w:col w:w="1680" w:space="420"/>
            <w:col w:w="480" w:space="400"/>
            <w:col w:w="2960" w:space="720"/>
            <w:col w:w="2359"/>
          </w:cols>
          <w:pgMar w:left="1440" w:top="401" w:right="1440" w:bottom="1440" w:gutter="0" w:footer="0" w:header="0"/>
          <w:type w:val="continuous"/>
        </w:sectPr>
      </w:pPr>
    </w:p>
    <w:p>
      <w:pPr>
        <w:spacing w:after="0" w:line="10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_________________</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date of this Prospectus Supplement is September 16,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274320</wp:posOffset>
            </wp:positionV>
            <wp:extent cx="51435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401" w:right="1440" w:bottom="1440" w:gutter="0" w:footer="0" w:header="0"/>
          <w:type w:val="continuous"/>
        </w:sectPr>
      </w:pPr>
    </w:p>
    <w:bookmarkStart w:id="2" w:name="page3"/>
    <w:bookmarkEnd w:id="2"/>
    <w:tbl>
      <w:tblPr>
        <w:tblLayout w:type="fixed"/>
        <w:tblInd w:w="460" w:type="dxa"/>
        <w:tblCellMar>
          <w:top w:w="0" w:type="dxa"/>
          <w:left w:w="0" w:type="dxa"/>
          <w:bottom w:w="0" w:type="dxa"/>
          <w:right w:w="0" w:type="dxa"/>
        </w:tblCellMar>
      </w:tblPr>
      <w:tr>
        <w:trPr>
          <w:trHeight w:val="238"/>
        </w:trPr>
        <w:tc>
          <w:tcPr>
            <w:tcW w:w="7500" w:type="dxa"/>
            <w:vAlign w:val="bottom"/>
            <w:gridSpan w:val="2"/>
          </w:tcPr>
          <w:p>
            <w:pPr>
              <w:ind w:left="30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00" w:type="dxa"/>
            <w:vAlign w:val="bottom"/>
          </w:tcPr>
          <w:p>
            <w:pPr>
              <w:spacing w:after="0"/>
              <w:rPr>
                <w:sz w:val="20"/>
                <w:szCs w:val="20"/>
                <w:color w:val="auto"/>
              </w:rPr>
            </w:pPr>
          </w:p>
        </w:tc>
      </w:tr>
      <w:tr>
        <w:trPr>
          <w:trHeight w:val="413"/>
        </w:trPr>
        <w:tc>
          <w:tcPr>
            <w:tcW w:w="75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Prospectus supplement</w:t>
            </w:r>
          </w:p>
        </w:tc>
        <w:tc>
          <w:tcPr>
            <w:tcW w:w="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Page</w:t>
            </w:r>
          </w:p>
        </w:tc>
      </w:tr>
      <w:tr>
        <w:trPr>
          <w:trHeight w:val="47"/>
        </w:trPr>
        <w:tc>
          <w:tcPr>
            <w:tcW w:w="74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r>
      <w:tr>
        <w:trPr>
          <w:trHeight w:val="243"/>
        </w:trPr>
        <w:tc>
          <w:tcPr>
            <w:tcW w:w="7400" w:type="dxa"/>
            <w:vAlign w:val="bottom"/>
            <w:tcBorders>
              <w:bottom w:val="single" w:sz="8" w:color="CCEEFF"/>
            </w:tcBorders>
            <w:shd w:val="clear" w:color="auto" w:fill="CCEEFF"/>
          </w:tcPr>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About this Prospectus Supplement</w:t>
              </w:r>
            </w:hyperlink>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S-ii</w:t>
            </w:r>
          </w:p>
        </w:tc>
      </w:tr>
      <w:tr>
        <w:trPr>
          <w:trHeight w:val="243"/>
        </w:trPr>
        <w:tc>
          <w:tcPr>
            <w:tcW w:w="7500" w:type="dxa"/>
            <w:vAlign w:val="bottom"/>
            <w:gridSpan w:val="2"/>
          </w:tcPr>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Forward-Looking Statements</w:t>
              </w:r>
            </w:hyperlink>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S-iii</w:t>
            </w:r>
          </w:p>
        </w:tc>
      </w:tr>
      <w:tr>
        <w:trPr>
          <w:trHeight w:val="41"/>
        </w:trPr>
        <w:tc>
          <w:tcPr>
            <w:tcW w:w="7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r>
      <w:tr>
        <w:trPr>
          <w:trHeight w:val="263"/>
        </w:trPr>
        <w:tc>
          <w:tcPr>
            <w:tcW w:w="7500" w:type="dxa"/>
            <w:vAlign w:val="bottom"/>
            <w:tcBorders>
              <w:bottom w:val="single" w:sz="8" w:color="CCEEFF"/>
            </w:tcBorders>
            <w:gridSpan w:val="2"/>
            <w:shd w:val="clear" w:color="auto" w:fill="CCEEFF"/>
          </w:tcPr>
          <w:p>
            <w:pPr>
              <w:spacing w:after="0"/>
              <w:rPr>
                <w:rFonts w:ascii="Times New Roman" w:cs="Times New Roman" w:eastAsia="Times New Roman" w:hAnsi="Times New Roman"/>
                <w:sz w:val="18"/>
                <w:szCs w:val="18"/>
                <w:u w:val="single" w:color="auto"/>
                <w:color w:val="0000EE"/>
              </w:rPr>
            </w:pPr>
            <w:hyperlink w:anchor="page12">
              <w:r>
                <w:rPr>
                  <w:rFonts w:ascii="Times New Roman" w:cs="Times New Roman" w:eastAsia="Times New Roman" w:hAnsi="Times New Roman"/>
                  <w:sz w:val="18"/>
                  <w:szCs w:val="18"/>
                  <w:u w:val="single" w:color="auto"/>
                  <w:color w:val="0000EE"/>
                </w:rPr>
                <w:t>Risk Factors</w:t>
              </w:r>
            </w:hyperlink>
          </w:p>
        </w:tc>
        <w:tc>
          <w:tcPr>
            <w:tcW w:w="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S-7</w:t>
            </w:r>
          </w:p>
        </w:tc>
      </w:tr>
      <w:tr>
        <w:trPr>
          <w:trHeight w:val="243"/>
        </w:trPr>
        <w:tc>
          <w:tcPr>
            <w:tcW w:w="7500" w:type="dxa"/>
            <w:vAlign w:val="bottom"/>
            <w:gridSpan w:val="2"/>
          </w:tcPr>
          <w:p>
            <w:pPr>
              <w:spacing w:after="0"/>
              <w:rPr>
                <w:rFonts w:ascii="Times New Roman" w:cs="Times New Roman" w:eastAsia="Times New Roman" w:hAnsi="Times New Roman"/>
                <w:sz w:val="18"/>
                <w:szCs w:val="18"/>
                <w:u w:val="single" w:color="auto"/>
                <w:color w:val="0000EE"/>
              </w:rPr>
            </w:pPr>
            <w:hyperlink w:anchor="page15">
              <w:r>
                <w:rPr>
                  <w:rFonts w:ascii="Times New Roman" w:cs="Times New Roman" w:eastAsia="Times New Roman" w:hAnsi="Times New Roman"/>
                  <w:sz w:val="18"/>
                  <w:szCs w:val="18"/>
                  <w:u w:val="single" w:color="auto"/>
                  <w:color w:val="0000EE"/>
                </w:rPr>
                <w:t>Use of Proceeds</w:t>
              </w:r>
            </w:hyperlink>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S-10</w:t>
            </w:r>
          </w:p>
        </w:tc>
      </w:tr>
      <w:tr>
        <w:trPr>
          <w:trHeight w:val="40"/>
        </w:trPr>
        <w:tc>
          <w:tcPr>
            <w:tcW w:w="7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r>
      <w:tr>
        <w:trPr>
          <w:trHeight w:val="263"/>
        </w:trPr>
        <w:tc>
          <w:tcPr>
            <w:tcW w:w="7500" w:type="dxa"/>
            <w:vAlign w:val="bottom"/>
            <w:tcBorders>
              <w:bottom w:val="single" w:sz="8" w:color="CCEEFF"/>
            </w:tcBorders>
            <w:gridSpan w:val="2"/>
            <w:shd w:val="clear" w:color="auto" w:fill="CCEEFF"/>
          </w:tcPr>
          <w:p>
            <w:pPr>
              <w:spacing w:after="0"/>
              <w:rPr>
                <w:rFonts w:ascii="Times New Roman" w:cs="Times New Roman" w:eastAsia="Times New Roman" w:hAnsi="Times New Roman"/>
                <w:sz w:val="18"/>
                <w:szCs w:val="18"/>
                <w:u w:val="single" w:color="auto"/>
                <w:color w:val="0000EE"/>
              </w:rPr>
            </w:pPr>
            <w:hyperlink w:anchor="page16">
              <w:r>
                <w:rPr>
                  <w:rFonts w:ascii="Times New Roman" w:cs="Times New Roman" w:eastAsia="Times New Roman" w:hAnsi="Times New Roman"/>
                  <w:sz w:val="18"/>
                  <w:szCs w:val="18"/>
                  <w:u w:val="single" w:color="auto"/>
                  <w:color w:val="0000EE"/>
                </w:rPr>
                <w:t>Capitalization</w:t>
              </w:r>
            </w:hyperlink>
          </w:p>
        </w:tc>
        <w:tc>
          <w:tcPr>
            <w:tcW w:w="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S-11</w:t>
            </w:r>
          </w:p>
        </w:tc>
      </w:tr>
      <w:tr>
        <w:trPr>
          <w:trHeight w:val="243"/>
        </w:trPr>
        <w:tc>
          <w:tcPr>
            <w:tcW w:w="7500" w:type="dxa"/>
            <w:vAlign w:val="bottom"/>
            <w:gridSpan w:val="2"/>
          </w:tcPr>
          <w:p>
            <w:pPr>
              <w:spacing w:after="0"/>
              <w:rPr>
                <w:rFonts w:ascii="Times New Roman" w:cs="Times New Roman" w:eastAsia="Times New Roman" w:hAnsi="Times New Roman"/>
                <w:sz w:val="18"/>
                <w:szCs w:val="18"/>
                <w:u w:val="single" w:color="auto"/>
                <w:color w:val="0000EE"/>
              </w:rPr>
            </w:pPr>
            <w:hyperlink w:anchor="page17">
              <w:r>
                <w:rPr>
                  <w:rFonts w:ascii="Times New Roman" w:cs="Times New Roman" w:eastAsia="Times New Roman" w:hAnsi="Times New Roman"/>
                  <w:sz w:val="18"/>
                  <w:szCs w:val="18"/>
                  <w:u w:val="single" w:color="auto"/>
                  <w:color w:val="0000EE"/>
                </w:rPr>
                <w:t>Selling Shareholder</w:t>
              </w:r>
            </w:hyperlink>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S-12</w:t>
            </w:r>
          </w:p>
        </w:tc>
      </w:tr>
      <w:tr>
        <w:trPr>
          <w:trHeight w:val="41"/>
        </w:trPr>
        <w:tc>
          <w:tcPr>
            <w:tcW w:w="7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r>
      <w:tr>
        <w:trPr>
          <w:trHeight w:val="263"/>
        </w:trPr>
        <w:tc>
          <w:tcPr>
            <w:tcW w:w="7500" w:type="dxa"/>
            <w:vAlign w:val="bottom"/>
            <w:tcBorders>
              <w:bottom w:val="single" w:sz="8" w:color="CCEEFF"/>
            </w:tcBorders>
            <w:gridSpan w:val="2"/>
            <w:shd w:val="clear" w:color="auto" w:fill="CCEEFF"/>
          </w:tcPr>
          <w:p>
            <w:pPr>
              <w:spacing w:after="0"/>
              <w:rPr>
                <w:rFonts w:ascii="Times New Roman" w:cs="Times New Roman" w:eastAsia="Times New Roman" w:hAnsi="Times New Roman"/>
                <w:sz w:val="18"/>
                <w:szCs w:val="18"/>
                <w:u w:val="single" w:color="auto"/>
                <w:color w:val="0000EE"/>
              </w:rPr>
            </w:pPr>
            <w:hyperlink w:anchor="page18">
              <w:r>
                <w:rPr>
                  <w:rFonts w:ascii="Times New Roman" w:cs="Times New Roman" w:eastAsia="Times New Roman" w:hAnsi="Times New Roman"/>
                  <w:sz w:val="18"/>
                  <w:szCs w:val="18"/>
                  <w:u w:val="single" w:color="auto"/>
                  <w:color w:val="0000EE"/>
                </w:rPr>
                <w:t>U.S. and Israeli Tax Considerations For Our Shareholders</w:t>
              </w:r>
            </w:hyperlink>
          </w:p>
        </w:tc>
        <w:tc>
          <w:tcPr>
            <w:tcW w:w="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S-13</w:t>
            </w:r>
          </w:p>
        </w:tc>
      </w:tr>
      <w:tr>
        <w:trPr>
          <w:trHeight w:val="243"/>
        </w:trPr>
        <w:tc>
          <w:tcPr>
            <w:tcW w:w="7500" w:type="dxa"/>
            <w:vAlign w:val="bottom"/>
            <w:gridSpan w:val="2"/>
          </w:tcPr>
          <w:p>
            <w:pPr>
              <w:spacing w:after="0"/>
              <w:rPr>
                <w:rFonts w:ascii="Times New Roman" w:cs="Times New Roman" w:eastAsia="Times New Roman" w:hAnsi="Times New Roman"/>
                <w:sz w:val="18"/>
                <w:szCs w:val="18"/>
                <w:u w:val="single" w:color="auto"/>
                <w:color w:val="0000EE"/>
              </w:rPr>
            </w:pPr>
            <w:hyperlink w:anchor="page26">
              <w:r>
                <w:rPr>
                  <w:rFonts w:ascii="Times New Roman" w:cs="Times New Roman" w:eastAsia="Times New Roman" w:hAnsi="Times New Roman"/>
                  <w:sz w:val="18"/>
                  <w:szCs w:val="18"/>
                  <w:u w:val="single" w:color="auto"/>
                  <w:color w:val="0000EE"/>
                </w:rPr>
                <w:t>Underwriting</w:t>
              </w:r>
            </w:hyperlink>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S-21</w:t>
            </w:r>
          </w:p>
        </w:tc>
      </w:tr>
      <w:tr>
        <w:trPr>
          <w:trHeight w:val="40"/>
        </w:trPr>
        <w:tc>
          <w:tcPr>
            <w:tcW w:w="7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r>
      <w:tr>
        <w:trPr>
          <w:trHeight w:val="263"/>
        </w:trPr>
        <w:tc>
          <w:tcPr>
            <w:tcW w:w="7500" w:type="dxa"/>
            <w:vAlign w:val="bottom"/>
            <w:tcBorders>
              <w:bottom w:val="single" w:sz="8" w:color="CCEEFF"/>
            </w:tcBorders>
            <w:gridSpan w:val="2"/>
            <w:shd w:val="clear" w:color="auto" w:fill="CCEEFF"/>
          </w:tcPr>
          <w:p>
            <w:pPr>
              <w:spacing w:after="0"/>
              <w:rPr>
                <w:rFonts w:ascii="Times New Roman" w:cs="Times New Roman" w:eastAsia="Times New Roman" w:hAnsi="Times New Roman"/>
                <w:sz w:val="18"/>
                <w:szCs w:val="18"/>
                <w:u w:val="single" w:color="auto"/>
                <w:color w:val="0000EE"/>
              </w:rPr>
            </w:pPr>
            <w:hyperlink w:anchor="page31">
              <w:r>
                <w:rPr>
                  <w:rFonts w:ascii="Times New Roman" w:cs="Times New Roman" w:eastAsia="Times New Roman" w:hAnsi="Times New Roman"/>
                  <w:sz w:val="18"/>
                  <w:szCs w:val="18"/>
                  <w:u w:val="single" w:color="auto"/>
                  <w:color w:val="0000EE"/>
                </w:rPr>
                <w:t>Legal Matters</w:t>
              </w:r>
            </w:hyperlink>
          </w:p>
        </w:tc>
        <w:tc>
          <w:tcPr>
            <w:tcW w:w="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S-26</w:t>
            </w:r>
          </w:p>
        </w:tc>
      </w:tr>
      <w:tr>
        <w:trPr>
          <w:trHeight w:val="243"/>
        </w:trPr>
        <w:tc>
          <w:tcPr>
            <w:tcW w:w="7500" w:type="dxa"/>
            <w:vAlign w:val="bottom"/>
            <w:gridSpan w:val="2"/>
          </w:tcPr>
          <w:p>
            <w:pPr>
              <w:spacing w:after="0"/>
              <w:rPr>
                <w:rFonts w:ascii="Times New Roman" w:cs="Times New Roman" w:eastAsia="Times New Roman" w:hAnsi="Times New Roman"/>
                <w:sz w:val="18"/>
                <w:szCs w:val="18"/>
                <w:u w:val="single" w:color="auto"/>
                <w:color w:val="0000EE"/>
              </w:rPr>
            </w:pPr>
            <w:hyperlink w:anchor="page31">
              <w:r>
                <w:rPr>
                  <w:rFonts w:ascii="Times New Roman" w:cs="Times New Roman" w:eastAsia="Times New Roman" w:hAnsi="Times New Roman"/>
                  <w:sz w:val="18"/>
                  <w:szCs w:val="18"/>
                  <w:u w:val="single" w:color="auto"/>
                  <w:color w:val="0000EE"/>
                </w:rPr>
                <w:t>Experts</w:t>
              </w:r>
            </w:hyperlink>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S-26</w:t>
            </w:r>
          </w:p>
        </w:tc>
      </w:tr>
      <w:tr>
        <w:trPr>
          <w:trHeight w:val="40"/>
        </w:trPr>
        <w:tc>
          <w:tcPr>
            <w:tcW w:w="7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r>
      <w:tr>
        <w:trPr>
          <w:trHeight w:val="263"/>
        </w:trPr>
        <w:tc>
          <w:tcPr>
            <w:tcW w:w="7500" w:type="dxa"/>
            <w:vAlign w:val="bottom"/>
            <w:tcBorders>
              <w:bottom w:val="single" w:sz="8" w:color="CCEEFF"/>
            </w:tcBorders>
            <w:gridSpan w:val="2"/>
            <w:shd w:val="clear" w:color="auto" w:fill="CCEEFF"/>
          </w:tcPr>
          <w:p>
            <w:pPr>
              <w:spacing w:after="0"/>
              <w:rPr>
                <w:rFonts w:ascii="Times New Roman" w:cs="Times New Roman" w:eastAsia="Times New Roman" w:hAnsi="Times New Roman"/>
                <w:sz w:val="18"/>
                <w:szCs w:val="18"/>
                <w:u w:val="single" w:color="auto"/>
                <w:color w:val="0000EE"/>
              </w:rPr>
            </w:pPr>
            <w:hyperlink w:anchor="page32">
              <w:r>
                <w:rPr>
                  <w:rFonts w:ascii="Times New Roman" w:cs="Times New Roman" w:eastAsia="Times New Roman" w:hAnsi="Times New Roman"/>
                  <w:sz w:val="18"/>
                  <w:szCs w:val="18"/>
                  <w:u w:val="single" w:color="auto"/>
                  <w:color w:val="0000EE"/>
                </w:rPr>
                <w:t>Enforceability of Civil Liabilities</w:t>
              </w:r>
            </w:hyperlink>
          </w:p>
        </w:tc>
        <w:tc>
          <w:tcPr>
            <w:tcW w:w="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S-27</w:t>
            </w:r>
          </w:p>
        </w:tc>
      </w:tr>
      <w:tr>
        <w:trPr>
          <w:trHeight w:val="243"/>
        </w:trPr>
        <w:tc>
          <w:tcPr>
            <w:tcW w:w="7500" w:type="dxa"/>
            <w:vAlign w:val="bottom"/>
            <w:gridSpan w:val="2"/>
          </w:tcPr>
          <w:p>
            <w:pPr>
              <w:spacing w:after="0"/>
              <w:rPr>
                <w:rFonts w:ascii="Times New Roman" w:cs="Times New Roman" w:eastAsia="Times New Roman" w:hAnsi="Times New Roman"/>
                <w:sz w:val="18"/>
                <w:szCs w:val="18"/>
                <w:u w:val="single" w:color="auto"/>
                <w:color w:val="0000EE"/>
              </w:rPr>
            </w:pPr>
            <w:hyperlink w:anchor="page33">
              <w:r>
                <w:rPr>
                  <w:rFonts w:ascii="Times New Roman" w:cs="Times New Roman" w:eastAsia="Times New Roman" w:hAnsi="Times New Roman"/>
                  <w:sz w:val="18"/>
                  <w:szCs w:val="18"/>
                  <w:u w:val="single" w:color="auto"/>
                  <w:color w:val="0000EE"/>
                </w:rPr>
                <w:t>Where You Can Find More Information</w:t>
              </w:r>
            </w:hyperlink>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S-28</w:t>
            </w:r>
          </w:p>
        </w:tc>
      </w:tr>
      <w:tr>
        <w:trPr>
          <w:trHeight w:val="41"/>
        </w:trPr>
        <w:tc>
          <w:tcPr>
            <w:tcW w:w="7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r>
      <w:tr>
        <w:trPr>
          <w:trHeight w:val="263"/>
        </w:trPr>
        <w:tc>
          <w:tcPr>
            <w:tcW w:w="7500" w:type="dxa"/>
            <w:vAlign w:val="bottom"/>
            <w:tcBorders>
              <w:bottom w:val="single" w:sz="8" w:color="CCEEFF"/>
            </w:tcBorders>
            <w:gridSpan w:val="2"/>
            <w:shd w:val="clear" w:color="auto" w:fill="CCEEFF"/>
          </w:tcPr>
          <w:p>
            <w:pPr>
              <w:spacing w:after="0"/>
              <w:rPr>
                <w:rFonts w:ascii="Times New Roman" w:cs="Times New Roman" w:eastAsia="Times New Roman" w:hAnsi="Times New Roman"/>
                <w:sz w:val="18"/>
                <w:szCs w:val="18"/>
                <w:u w:val="single" w:color="auto"/>
                <w:color w:val="0000EE"/>
              </w:rPr>
            </w:pPr>
            <w:hyperlink w:anchor="page34">
              <w:r>
                <w:rPr>
                  <w:rFonts w:ascii="Times New Roman" w:cs="Times New Roman" w:eastAsia="Times New Roman" w:hAnsi="Times New Roman"/>
                  <w:sz w:val="18"/>
                  <w:szCs w:val="18"/>
                  <w:u w:val="single" w:color="auto"/>
                  <w:color w:val="0000EE"/>
                </w:rPr>
                <w:t>Incorporation of Certain Documents By Reference</w:t>
              </w:r>
            </w:hyperlink>
          </w:p>
        </w:tc>
        <w:tc>
          <w:tcPr>
            <w:tcW w:w="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S-29</w:t>
            </w:r>
          </w:p>
        </w:tc>
      </w:tr>
      <w:tr>
        <w:trPr>
          <w:trHeight w:val="426"/>
        </w:trPr>
        <w:tc>
          <w:tcPr>
            <w:tcW w:w="75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Prospectus</w:t>
            </w:r>
          </w:p>
        </w:tc>
        <w:tc>
          <w:tcPr>
            <w:tcW w:w="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Page</w:t>
            </w:r>
          </w:p>
        </w:tc>
      </w:tr>
      <w:tr>
        <w:trPr>
          <w:trHeight w:val="47"/>
        </w:trPr>
        <w:tc>
          <w:tcPr>
            <w:tcW w:w="7500" w:type="dxa"/>
            <w:vAlign w:val="bottom"/>
            <w:gridSpan w:val="2"/>
          </w:tcPr>
          <w:p>
            <w:pPr>
              <w:spacing w:after="0"/>
              <w:rPr>
                <w:sz w:val="4"/>
                <w:szCs w:val="4"/>
                <w:color w:val="auto"/>
              </w:rPr>
            </w:pPr>
          </w:p>
        </w:tc>
        <w:tc>
          <w:tcPr>
            <w:tcW w:w="600" w:type="dxa"/>
            <w:vAlign w:val="bottom"/>
          </w:tcPr>
          <w:p>
            <w:pPr>
              <w:spacing w:after="0"/>
              <w:rPr>
                <w:sz w:val="4"/>
                <w:szCs w:val="4"/>
                <w:color w:val="auto"/>
              </w:rPr>
            </w:pPr>
          </w:p>
        </w:tc>
      </w:tr>
      <w:tr>
        <w:trPr>
          <w:trHeight w:val="243"/>
        </w:trPr>
        <w:tc>
          <w:tcPr>
            <w:tcW w:w="7400" w:type="dxa"/>
            <w:vAlign w:val="bottom"/>
            <w:tcBorders>
              <w:top w:val="single" w:sz="8" w:color="auto"/>
              <w:bottom w:val="single" w:sz="8" w:color="CCEEFF"/>
            </w:tcBorders>
            <w:shd w:val="clear" w:color="auto" w:fill="CCEEFF"/>
          </w:tcPr>
          <w:p>
            <w:pPr>
              <w:spacing w:after="0"/>
              <w:rPr>
                <w:rFonts w:ascii="Times New Roman" w:cs="Times New Roman" w:eastAsia="Times New Roman" w:hAnsi="Times New Roman"/>
                <w:sz w:val="18"/>
                <w:szCs w:val="18"/>
                <w:u w:val="single" w:color="auto"/>
                <w:color w:val="0000EE"/>
              </w:rPr>
            </w:pPr>
            <w:hyperlink w:anchor="page38">
              <w:r>
                <w:rPr>
                  <w:rFonts w:ascii="Times New Roman" w:cs="Times New Roman" w:eastAsia="Times New Roman" w:hAnsi="Times New Roman"/>
                  <w:sz w:val="18"/>
                  <w:szCs w:val="18"/>
                  <w:u w:val="single" w:color="auto"/>
                  <w:color w:val="0000EE"/>
                </w:rPr>
                <w:t>About this Prospectus</w:t>
              </w:r>
            </w:hyperlink>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ii</w:t>
            </w:r>
          </w:p>
        </w:tc>
      </w:tr>
      <w:tr>
        <w:trPr>
          <w:trHeight w:val="243"/>
        </w:trPr>
        <w:tc>
          <w:tcPr>
            <w:tcW w:w="7500" w:type="dxa"/>
            <w:vAlign w:val="bottom"/>
            <w:gridSpan w:val="2"/>
          </w:tcPr>
          <w:p>
            <w:pPr>
              <w:spacing w:after="0"/>
              <w:rPr>
                <w:rFonts w:ascii="Times New Roman" w:cs="Times New Roman" w:eastAsia="Times New Roman" w:hAnsi="Times New Roman"/>
                <w:sz w:val="18"/>
                <w:szCs w:val="18"/>
                <w:u w:val="single" w:color="auto"/>
                <w:color w:val="0000EE"/>
              </w:rPr>
            </w:pPr>
            <w:hyperlink w:anchor="page39">
              <w:r>
                <w:rPr>
                  <w:rFonts w:ascii="Times New Roman" w:cs="Times New Roman" w:eastAsia="Times New Roman" w:hAnsi="Times New Roman"/>
                  <w:sz w:val="18"/>
                  <w:szCs w:val="18"/>
                  <w:u w:val="single" w:color="auto"/>
                  <w:color w:val="0000EE"/>
                </w:rPr>
                <w:t>Kornit Digital Ltd.</w:t>
              </w:r>
            </w:hyperlink>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r>
      <w:tr>
        <w:trPr>
          <w:trHeight w:val="40"/>
        </w:trPr>
        <w:tc>
          <w:tcPr>
            <w:tcW w:w="7500" w:type="dxa"/>
            <w:vAlign w:val="bottom"/>
            <w:gridSpan w:val="2"/>
          </w:tcPr>
          <w:p>
            <w:pPr>
              <w:spacing w:after="0"/>
              <w:rPr>
                <w:sz w:val="3"/>
                <w:szCs w:val="3"/>
                <w:color w:val="auto"/>
              </w:rPr>
            </w:pPr>
          </w:p>
        </w:tc>
        <w:tc>
          <w:tcPr>
            <w:tcW w:w="600" w:type="dxa"/>
            <w:vAlign w:val="bottom"/>
          </w:tcPr>
          <w:p>
            <w:pPr>
              <w:spacing w:after="0"/>
              <w:rPr>
                <w:sz w:val="3"/>
                <w:szCs w:val="3"/>
                <w:color w:val="auto"/>
              </w:rPr>
            </w:pPr>
          </w:p>
        </w:tc>
      </w:tr>
      <w:tr>
        <w:trPr>
          <w:trHeight w:val="263"/>
        </w:trPr>
        <w:tc>
          <w:tcPr>
            <w:tcW w:w="7500" w:type="dxa"/>
            <w:vAlign w:val="bottom"/>
            <w:tcBorders>
              <w:bottom w:val="single" w:sz="8" w:color="CCEEFF"/>
            </w:tcBorders>
            <w:gridSpan w:val="2"/>
            <w:shd w:val="clear" w:color="auto" w:fill="CCEEFF"/>
          </w:tcPr>
          <w:p>
            <w:pPr>
              <w:spacing w:after="0"/>
              <w:rPr>
                <w:rFonts w:ascii="Times New Roman" w:cs="Times New Roman" w:eastAsia="Times New Roman" w:hAnsi="Times New Roman"/>
                <w:sz w:val="18"/>
                <w:szCs w:val="18"/>
                <w:u w:val="single" w:color="auto"/>
                <w:color w:val="0000EE"/>
              </w:rPr>
            </w:pPr>
            <w:hyperlink w:anchor="page40">
              <w:r>
                <w:rPr>
                  <w:rFonts w:ascii="Times New Roman" w:cs="Times New Roman" w:eastAsia="Times New Roman" w:hAnsi="Times New Roman"/>
                  <w:sz w:val="18"/>
                  <w:szCs w:val="18"/>
                  <w:u w:val="single" w:color="auto"/>
                  <w:color w:val="0000EE"/>
                </w:rPr>
                <w:t>Risk Factors</w:t>
              </w:r>
            </w:hyperlink>
          </w:p>
        </w:tc>
        <w:tc>
          <w:tcPr>
            <w:tcW w:w="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r>
      <w:tr>
        <w:trPr>
          <w:trHeight w:val="243"/>
        </w:trPr>
        <w:tc>
          <w:tcPr>
            <w:tcW w:w="7500" w:type="dxa"/>
            <w:vAlign w:val="bottom"/>
            <w:gridSpan w:val="2"/>
          </w:tcPr>
          <w:p>
            <w:pPr>
              <w:spacing w:after="0"/>
              <w:rPr>
                <w:rFonts w:ascii="Times New Roman" w:cs="Times New Roman" w:eastAsia="Times New Roman" w:hAnsi="Times New Roman"/>
                <w:sz w:val="18"/>
                <w:szCs w:val="18"/>
                <w:u w:val="single" w:color="auto"/>
                <w:color w:val="0000EE"/>
              </w:rPr>
            </w:pPr>
            <w:hyperlink w:anchor="page41">
              <w:r>
                <w:rPr>
                  <w:rFonts w:ascii="Times New Roman" w:cs="Times New Roman" w:eastAsia="Times New Roman" w:hAnsi="Times New Roman"/>
                  <w:sz w:val="18"/>
                  <w:szCs w:val="18"/>
                  <w:u w:val="single" w:color="auto"/>
                  <w:color w:val="0000EE"/>
                </w:rPr>
                <w:t>Forward-Looking Statements</w:t>
              </w:r>
            </w:hyperlink>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r>
      <w:tr>
        <w:trPr>
          <w:trHeight w:val="40"/>
        </w:trPr>
        <w:tc>
          <w:tcPr>
            <w:tcW w:w="7500" w:type="dxa"/>
            <w:vAlign w:val="bottom"/>
            <w:gridSpan w:val="2"/>
          </w:tcPr>
          <w:p>
            <w:pPr>
              <w:spacing w:after="0"/>
              <w:rPr>
                <w:sz w:val="3"/>
                <w:szCs w:val="3"/>
                <w:color w:val="auto"/>
              </w:rPr>
            </w:pPr>
          </w:p>
        </w:tc>
        <w:tc>
          <w:tcPr>
            <w:tcW w:w="600" w:type="dxa"/>
            <w:vAlign w:val="bottom"/>
          </w:tcPr>
          <w:p>
            <w:pPr>
              <w:spacing w:after="0"/>
              <w:rPr>
                <w:sz w:val="3"/>
                <w:szCs w:val="3"/>
                <w:color w:val="auto"/>
              </w:rPr>
            </w:pPr>
          </w:p>
        </w:tc>
      </w:tr>
      <w:tr>
        <w:trPr>
          <w:trHeight w:val="264"/>
        </w:trPr>
        <w:tc>
          <w:tcPr>
            <w:tcW w:w="7500" w:type="dxa"/>
            <w:vAlign w:val="bottom"/>
            <w:tcBorders>
              <w:bottom w:val="single" w:sz="8" w:color="CCEEFF"/>
            </w:tcBorders>
            <w:gridSpan w:val="2"/>
            <w:shd w:val="clear" w:color="auto" w:fill="CCEEFF"/>
          </w:tcPr>
          <w:p>
            <w:pPr>
              <w:spacing w:after="0"/>
              <w:rPr>
                <w:rFonts w:ascii="Times New Roman" w:cs="Times New Roman" w:eastAsia="Times New Roman" w:hAnsi="Times New Roman"/>
                <w:sz w:val="18"/>
                <w:szCs w:val="18"/>
                <w:u w:val="single" w:color="auto"/>
                <w:color w:val="0000EE"/>
              </w:rPr>
            </w:pPr>
            <w:hyperlink w:anchor="page42">
              <w:r>
                <w:rPr>
                  <w:rFonts w:ascii="Times New Roman" w:cs="Times New Roman" w:eastAsia="Times New Roman" w:hAnsi="Times New Roman"/>
                  <w:sz w:val="18"/>
                  <w:szCs w:val="18"/>
                  <w:u w:val="single" w:color="auto"/>
                  <w:color w:val="0000EE"/>
                </w:rPr>
                <w:t>Use of Proceeds</w:t>
              </w:r>
            </w:hyperlink>
          </w:p>
        </w:tc>
        <w:tc>
          <w:tcPr>
            <w:tcW w:w="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4</w:t>
            </w:r>
          </w:p>
        </w:tc>
      </w:tr>
      <w:tr>
        <w:trPr>
          <w:trHeight w:val="243"/>
        </w:trPr>
        <w:tc>
          <w:tcPr>
            <w:tcW w:w="7500" w:type="dxa"/>
            <w:vAlign w:val="bottom"/>
            <w:gridSpan w:val="2"/>
          </w:tcPr>
          <w:p>
            <w:pPr>
              <w:spacing w:after="0"/>
              <w:rPr>
                <w:rFonts w:ascii="Times New Roman" w:cs="Times New Roman" w:eastAsia="Times New Roman" w:hAnsi="Times New Roman"/>
                <w:sz w:val="18"/>
                <w:szCs w:val="18"/>
                <w:u w:val="single" w:color="auto"/>
                <w:color w:val="0000EE"/>
              </w:rPr>
            </w:pPr>
            <w:hyperlink w:anchor="page44">
              <w:r>
                <w:rPr>
                  <w:rFonts w:ascii="Times New Roman" w:cs="Times New Roman" w:eastAsia="Times New Roman" w:hAnsi="Times New Roman"/>
                  <w:sz w:val="18"/>
                  <w:szCs w:val="18"/>
                  <w:u w:val="single" w:color="auto"/>
                  <w:color w:val="0000EE"/>
                </w:rPr>
                <w:t>Description of Ordinary Shares</w:t>
              </w:r>
            </w:hyperlink>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r>
      <w:tr>
        <w:trPr>
          <w:trHeight w:val="40"/>
        </w:trPr>
        <w:tc>
          <w:tcPr>
            <w:tcW w:w="7500" w:type="dxa"/>
            <w:vAlign w:val="bottom"/>
            <w:gridSpan w:val="2"/>
          </w:tcPr>
          <w:p>
            <w:pPr>
              <w:spacing w:after="0"/>
              <w:rPr>
                <w:sz w:val="3"/>
                <w:szCs w:val="3"/>
                <w:color w:val="auto"/>
              </w:rPr>
            </w:pPr>
          </w:p>
        </w:tc>
        <w:tc>
          <w:tcPr>
            <w:tcW w:w="600" w:type="dxa"/>
            <w:vAlign w:val="bottom"/>
          </w:tcPr>
          <w:p>
            <w:pPr>
              <w:spacing w:after="0"/>
              <w:rPr>
                <w:sz w:val="3"/>
                <w:szCs w:val="3"/>
                <w:color w:val="auto"/>
              </w:rPr>
            </w:pPr>
          </w:p>
        </w:tc>
      </w:tr>
      <w:tr>
        <w:trPr>
          <w:trHeight w:val="263"/>
        </w:trPr>
        <w:tc>
          <w:tcPr>
            <w:tcW w:w="7500" w:type="dxa"/>
            <w:vAlign w:val="bottom"/>
            <w:tcBorders>
              <w:bottom w:val="single" w:sz="8" w:color="CCEEFF"/>
            </w:tcBorders>
            <w:gridSpan w:val="2"/>
            <w:shd w:val="clear" w:color="auto" w:fill="CCEEFF"/>
          </w:tcPr>
          <w:p>
            <w:pPr>
              <w:spacing w:after="0"/>
              <w:rPr>
                <w:rFonts w:ascii="Times New Roman" w:cs="Times New Roman" w:eastAsia="Times New Roman" w:hAnsi="Times New Roman"/>
                <w:sz w:val="18"/>
                <w:szCs w:val="18"/>
                <w:u w:val="single" w:color="auto"/>
                <w:color w:val="0000EE"/>
              </w:rPr>
            </w:pPr>
            <w:hyperlink w:anchor="page45">
              <w:r>
                <w:rPr>
                  <w:rFonts w:ascii="Times New Roman" w:cs="Times New Roman" w:eastAsia="Times New Roman" w:hAnsi="Times New Roman"/>
                  <w:sz w:val="18"/>
                  <w:szCs w:val="18"/>
                  <w:u w:val="single" w:color="auto"/>
                  <w:color w:val="0000EE"/>
                </w:rPr>
                <w:t>Plan of Distribution</w:t>
              </w:r>
            </w:hyperlink>
          </w:p>
        </w:tc>
        <w:tc>
          <w:tcPr>
            <w:tcW w:w="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7</w:t>
            </w:r>
          </w:p>
        </w:tc>
      </w:tr>
      <w:tr>
        <w:trPr>
          <w:trHeight w:val="243"/>
        </w:trPr>
        <w:tc>
          <w:tcPr>
            <w:tcW w:w="7500" w:type="dxa"/>
            <w:vAlign w:val="bottom"/>
            <w:gridSpan w:val="2"/>
          </w:tcPr>
          <w:p>
            <w:pPr>
              <w:spacing w:after="0"/>
              <w:rPr>
                <w:rFonts w:ascii="Times New Roman" w:cs="Times New Roman" w:eastAsia="Times New Roman" w:hAnsi="Times New Roman"/>
                <w:sz w:val="18"/>
                <w:szCs w:val="18"/>
                <w:u w:val="single" w:color="auto"/>
                <w:color w:val="0000EE"/>
              </w:rPr>
            </w:pPr>
            <w:hyperlink w:anchor="page47">
              <w:r>
                <w:rPr>
                  <w:rFonts w:ascii="Times New Roman" w:cs="Times New Roman" w:eastAsia="Times New Roman" w:hAnsi="Times New Roman"/>
                  <w:sz w:val="18"/>
                  <w:szCs w:val="18"/>
                  <w:u w:val="single" w:color="auto"/>
                  <w:color w:val="0000EE"/>
                </w:rPr>
                <w:t>Legal Matters</w:t>
              </w:r>
            </w:hyperlink>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9</w:t>
            </w:r>
          </w:p>
        </w:tc>
      </w:tr>
      <w:tr>
        <w:trPr>
          <w:trHeight w:val="40"/>
        </w:trPr>
        <w:tc>
          <w:tcPr>
            <w:tcW w:w="7500" w:type="dxa"/>
            <w:vAlign w:val="bottom"/>
            <w:gridSpan w:val="2"/>
          </w:tcPr>
          <w:p>
            <w:pPr>
              <w:spacing w:after="0"/>
              <w:rPr>
                <w:sz w:val="3"/>
                <w:szCs w:val="3"/>
                <w:color w:val="auto"/>
              </w:rPr>
            </w:pPr>
          </w:p>
        </w:tc>
        <w:tc>
          <w:tcPr>
            <w:tcW w:w="600" w:type="dxa"/>
            <w:vAlign w:val="bottom"/>
          </w:tcPr>
          <w:p>
            <w:pPr>
              <w:spacing w:after="0"/>
              <w:rPr>
                <w:sz w:val="3"/>
                <w:szCs w:val="3"/>
                <w:color w:val="auto"/>
              </w:rPr>
            </w:pPr>
          </w:p>
        </w:tc>
      </w:tr>
      <w:tr>
        <w:trPr>
          <w:trHeight w:val="264"/>
        </w:trPr>
        <w:tc>
          <w:tcPr>
            <w:tcW w:w="7500" w:type="dxa"/>
            <w:vAlign w:val="bottom"/>
            <w:tcBorders>
              <w:bottom w:val="single" w:sz="8" w:color="CCEEFF"/>
            </w:tcBorders>
            <w:gridSpan w:val="2"/>
            <w:shd w:val="clear" w:color="auto" w:fill="CCEEFF"/>
          </w:tcPr>
          <w:p>
            <w:pPr>
              <w:spacing w:after="0"/>
              <w:rPr>
                <w:rFonts w:ascii="Times New Roman" w:cs="Times New Roman" w:eastAsia="Times New Roman" w:hAnsi="Times New Roman"/>
                <w:sz w:val="18"/>
                <w:szCs w:val="18"/>
                <w:u w:val="single" w:color="auto"/>
                <w:color w:val="0000EE"/>
              </w:rPr>
            </w:pPr>
            <w:hyperlink w:anchor="page47">
              <w:r>
                <w:rPr>
                  <w:rFonts w:ascii="Times New Roman" w:cs="Times New Roman" w:eastAsia="Times New Roman" w:hAnsi="Times New Roman"/>
                  <w:sz w:val="18"/>
                  <w:szCs w:val="18"/>
                  <w:u w:val="single" w:color="auto"/>
                  <w:color w:val="0000EE"/>
                </w:rPr>
                <w:t>Experts</w:t>
              </w:r>
            </w:hyperlink>
          </w:p>
        </w:tc>
        <w:tc>
          <w:tcPr>
            <w:tcW w:w="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9</w:t>
            </w:r>
          </w:p>
        </w:tc>
      </w:tr>
      <w:tr>
        <w:trPr>
          <w:trHeight w:val="243"/>
        </w:trPr>
        <w:tc>
          <w:tcPr>
            <w:tcW w:w="7500" w:type="dxa"/>
            <w:vAlign w:val="bottom"/>
            <w:gridSpan w:val="2"/>
          </w:tcPr>
          <w:p>
            <w:pPr>
              <w:spacing w:after="0"/>
              <w:rPr>
                <w:rFonts w:ascii="Times New Roman" w:cs="Times New Roman" w:eastAsia="Times New Roman" w:hAnsi="Times New Roman"/>
                <w:sz w:val="18"/>
                <w:szCs w:val="18"/>
                <w:u w:val="single" w:color="auto"/>
                <w:color w:val="0000EE"/>
              </w:rPr>
            </w:pPr>
            <w:hyperlink w:anchor="page47">
              <w:r>
                <w:rPr>
                  <w:rFonts w:ascii="Times New Roman" w:cs="Times New Roman" w:eastAsia="Times New Roman" w:hAnsi="Times New Roman"/>
                  <w:sz w:val="18"/>
                  <w:szCs w:val="18"/>
                  <w:u w:val="single" w:color="auto"/>
                  <w:color w:val="0000EE"/>
                </w:rPr>
                <w:t>Where You Can Find More Information</w:t>
              </w:r>
            </w:hyperlink>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9</w:t>
            </w:r>
          </w:p>
        </w:tc>
      </w:tr>
      <w:tr>
        <w:trPr>
          <w:trHeight w:val="40"/>
        </w:trPr>
        <w:tc>
          <w:tcPr>
            <w:tcW w:w="7500" w:type="dxa"/>
            <w:vAlign w:val="bottom"/>
            <w:gridSpan w:val="2"/>
          </w:tcPr>
          <w:p>
            <w:pPr>
              <w:spacing w:after="0"/>
              <w:rPr>
                <w:sz w:val="3"/>
                <w:szCs w:val="3"/>
                <w:color w:val="auto"/>
              </w:rPr>
            </w:pPr>
          </w:p>
        </w:tc>
        <w:tc>
          <w:tcPr>
            <w:tcW w:w="600" w:type="dxa"/>
            <w:vAlign w:val="bottom"/>
          </w:tcPr>
          <w:p>
            <w:pPr>
              <w:spacing w:after="0"/>
              <w:rPr>
                <w:sz w:val="3"/>
                <w:szCs w:val="3"/>
                <w:color w:val="auto"/>
              </w:rPr>
            </w:pPr>
          </w:p>
        </w:tc>
      </w:tr>
      <w:tr>
        <w:trPr>
          <w:trHeight w:val="263"/>
        </w:trPr>
        <w:tc>
          <w:tcPr>
            <w:tcW w:w="7500" w:type="dxa"/>
            <w:vAlign w:val="bottom"/>
            <w:tcBorders>
              <w:bottom w:val="single" w:sz="8" w:color="CCEEFF"/>
            </w:tcBorders>
            <w:gridSpan w:val="2"/>
            <w:shd w:val="clear" w:color="auto" w:fill="CCEEFF"/>
          </w:tcPr>
          <w:p>
            <w:pPr>
              <w:spacing w:after="0"/>
              <w:rPr>
                <w:rFonts w:ascii="Times New Roman" w:cs="Times New Roman" w:eastAsia="Times New Roman" w:hAnsi="Times New Roman"/>
                <w:sz w:val="18"/>
                <w:szCs w:val="18"/>
                <w:u w:val="single" w:color="auto"/>
                <w:color w:val="0000EE"/>
              </w:rPr>
            </w:pPr>
            <w:hyperlink w:anchor="page48">
              <w:r>
                <w:rPr>
                  <w:rFonts w:ascii="Times New Roman" w:cs="Times New Roman" w:eastAsia="Times New Roman" w:hAnsi="Times New Roman"/>
                  <w:sz w:val="18"/>
                  <w:szCs w:val="18"/>
                  <w:u w:val="single" w:color="auto"/>
                  <w:color w:val="0000EE"/>
                </w:rPr>
                <w:t>Incorporation of Certain Documents By Reference</w:t>
              </w:r>
            </w:hyperlink>
          </w:p>
        </w:tc>
        <w:tc>
          <w:tcPr>
            <w:tcW w:w="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r>
      <w:tr>
        <w:trPr>
          <w:trHeight w:val="243"/>
        </w:trPr>
        <w:tc>
          <w:tcPr>
            <w:tcW w:w="7500" w:type="dxa"/>
            <w:vAlign w:val="bottom"/>
            <w:gridSpan w:val="2"/>
          </w:tcPr>
          <w:p>
            <w:pPr>
              <w:spacing w:after="0"/>
              <w:rPr>
                <w:rFonts w:ascii="Times New Roman" w:cs="Times New Roman" w:eastAsia="Times New Roman" w:hAnsi="Times New Roman"/>
                <w:sz w:val="18"/>
                <w:szCs w:val="18"/>
                <w:u w:val="single" w:color="auto"/>
                <w:color w:val="0000EE"/>
              </w:rPr>
            </w:pPr>
            <w:hyperlink w:anchor="page50">
              <w:r>
                <w:rPr>
                  <w:rFonts w:ascii="Times New Roman" w:cs="Times New Roman" w:eastAsia="Times New Roman" w:hAnsi="Times New Roman"/>
                  <w:sz w:val="18"/>
                  <w:szCs w:val="18"/>
                  <w:u w:val="single" w:color="auto"/>
                  <w:color w:val="0000EE"/>
                </w:rPr>
                <w:t>Enforceability of Civil Liabilities</w:t>
              </w:r>
            </w:hyperlink>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16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are part of a registration statement that we filed with the Securities and Exchange Commission (the “SEC”), utilizing a “shelf” registration process. The document is in two parts. The first part is the prospectus supplement, which describes the specific terms of this offering. The second part is the prospectus, which provides more general information about securities we or the selling shareholder referred to therein may offer from time to time, some of which may not apply to this offering. Generally, when we refer to this prospectus, we are referring to both parts of this document combined. We urge you to carefully read this prospectus supplement and the prospectus, and the documents incorporated by reference herein and therein, before buying any of the securities being offered under this prospectus supplement. This prospectus supplement may add or update information contained in the prospectus and the documents incorporated by reference therein. To the extent that any statement we make in this prospectus supplement is inconsistent with statements made in the accompanying prospectus or any documents incorporated by reference therein that were filed before the date of this prospectus supplement, the statements made in this prospectus supplement will be deemed to modify or supersede those made in the accompanying prospectus and such documents incorporated by reference therein.</w:t>
      </w:r>
    </w:p>
    <w:p>
      <w:pPr>
        <w:spacing w:after="0" w:line="116"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You should rely only on the information contained or incorporated by reference in this prospectus supplement and the accompanying prospectus, or contained in any free writing prospectus prepared by or on our behalf. We have not, and the underwriters have not, authorized anyone to provide you with different information. The distribution of this prospectus supplement and sale of these securities in certain jurisdictions may be restricted by law. We and the selling shareholder are not making an offer to sell these securities in any jurisdiction where the offer or sale is not permitted. This prospectus supplement and the accompanying prospectus are not, and under no circumstances are to be construed as, an advertisement or a public offering of securities in Israel. Any public offer or sale of securities in Israel may be made only in accordance with the Israeli Securities Law 1968 (which requires, among other things, the filing of a prospectus in Israel or an exemption therefrom). Persons in possession of this prospectus supplement or the accompanying prospectus are required to inform themselves about and observe any such restrictions. You should assume that the information appearing in this prospectus supplement, the accompanying prospectus and the documents incorporated by reference in this prospectus supplement and the accompanying prospectus, and in any free writing prospectus that we have authorized for use in connection with this offering, is accurate only as of the date of those respective documents.</w:t>
      </w:r>
    </w:p>
    <w:p>
      <w:pPr>
        <w:spacing w:after="0" w:line="129"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Unless otherwise mentioned or unless the context requires otherwise, all references in this prospectus supplement or prospectus to the “Company,” “we,” “us,” “our” and “Kornit” refer to Kornit Digital Ltd. and its subsidiaries.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the documents incorporated by reference herein and therein contain forward-looking statements within the meaning of the Private Securities Litigation Reform Act of 1995, Section 27A of the Securities Act of 1933, as amended (the “Securities Act”), and Section 21E of the Securities Exchange Act of 1934, as amended (the “Exchange Act”), and are based on our management’s beliefs and assumptions and on information currently available to our management. Forward-looking statements include information concerning our possible or assumed future results of our business, financial condition, results of operations, liquidity, plans and objectives including, without limitation, the impact of COVID-19 on our business. Forward-looking statements include all statements that are not historical facts and in some cases can be identified by terminology such as “believe,” “may,” “anticipate,” “estimate,” “continue,” “anticipate,” “intend,” “should,” “plan,” “expect,” “predict,” “project,” “potential,” “will,” or the negative of these terms or other similar expressions that convey uncertainty of future events or outcomes.</w:t>
      </w:r>
    </w:p>
    <w:p>
      <w:pPr>
        <w:spacing w:after="0" w:line="11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Our ability to predict the results of our operations or the effects of various events, including the COVID-19 pandemic, on our operating results is inherently uncertain. Therefore, we caution you to consider carefully the matters described under the caption “Risk Factors” and certain other matters discussed in this prospectus supplement, the accompanying prospectus and the documents incorporated by reference herein and therein, and other publicly available sources. Such factors and many other factors beyond the control of our management could cause our actual results, performance or achievements to differ materially from any future results, performance or achievements that may be expressed or implied by the forward-looking statements. Unless we are required to do so under U.S. federal securities laws or other applicable laws, we do not intend to update or revise any forward-looking statements.</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7983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47310" cy="7983220"/>
                    </a:xfrm>
                    <a:prstGeom prst="rect">
                      <a:avLst/>
                    </a:prstGeom>
                    <a:noFill/>
                  </pic:spPr>
                </pic:pic>
              </a:graphicData>
            </a:graphic>
          </wp:anchor>
        </w:drawing>
        <w:t>Prospectus Supplement Summary</w:t>
      </w:r>
    </w:p>
    <w:p>
      <w:pPr>
        <w:spacing w:after="0" w:line="146" w:lineRule="exact"/>
        <w:rPr>
          <w:sz w:val="20"/>
          <w:szCs w:val="20"/>
          <w:color w:val="auto"/>
        </w:rPr>
      </w:pPr>
    </w:p>
    <w:p>
      <w:pPr>
        <w:jc w:val="both"/>
        <w:ind w:left="540" w:right="559" w:firstLine="432"/>
        <w:spacing w:after="0" w:line="256"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concerning our company and the offering, including information contained elsewhere in this prospectus supplement, the accompanying prospectus or in documents incorporated by reference herein or therein. This summary does not contain all of the information you should consider before investing in our ordinary shares. You should read the entire prospectus supplement and the accompanying prospectus carefully, including “Risk Factors” and our consolidated financial statements and notes to those consolidated financial statements, before making an investment decision.</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162" w:lineRule="exact"/>
        <w:rPr>
          <w:sz w:val="20"/>
          <w:szCs w:val="20"/>
          <w:color w:val="auto"/>
        </w:rPr>
      </w:pPr>
    </w:p>
    <w:p>
      <w:pPr>
        <w:jc w:val="both"/>
        <w:ind w:left="540" w:right="559" w:firstLine="432"/>
        <w:spacing w:after="0" w:line="282" w:lineRule="auto"/>
        <w:rPr>
          <w:sz w:val="20"/>
          <w:szCs w:val="20"/>
          <w:color w:val="auto"/>
        </w:rPr>
      </w:pPr>
      <w:r>
        <w:rPr>
          <w:rFonts w:ascii="Times New Roman" w:cs="Times New Roman" w:eastAsia="Times New Roman" w:hAnsi="Times New Roman"/>
          <w:sz w:val="18"/>
          <w:szCs w:val="18"/>
          <w:color w:val="auto"/>
        </w:rPr>
        <w:t>We develop, manufacture and market innovative digital printing solutions for the global printed textile industry, with a major focus on the fashion, apparel and home décor segments of the industry.</w:t>
      </w:r>
    </w:p>
    <w:p>
      <w:pPr>
        <w:spacing w:after="0" w:line="94" w:lineRule="exact"/>
        <w:rPr>
          <w:sz w:val="20"/>
          <w:szCs w:val="20"/>
          <w:color w:val="auto"/>
        </w:rPr>
      </w:pPr>
    </w:p>
    <w:p>
      <w:pPr>
        <w:jc w:val="both"/>
        <w:ind w:left="540" w:right="559" w:firstLine="432"/>
        <w:spacing w:after="0" w:line="282" w:lineRule="auto"/>
        <w:rPr>
          <w:sz w:val="20"/>
          <w:szCs w:val="20"/>
          <w:color w:val="auto"/>
        </w:rPr>
      </w:pPr>
      <w:r>
        <w:rPr>
          <w:rFonts w:ascii="Times New Roman" w:cs="Times New Roman" w:eastAsia="Times New Roman" w:hAnsi="Times New Roman"/>
          <w:sz w:val="18"/>
          <w:szCs w:val="18"/>
          <w:color w:val="auto"/>
        </w:rPr>
        <w:t>Our vision is to create a world where everybody can bond, design and express their identities, one impression at a time.</w:t>
      </w:r>
    </w:p>
    <w:p>
      <w:pPr>
        <w:spacing w:after="0" w:line="81" w:lineRule="exact"/>
        <w:rPr>
          <w:sz w:val="20"/>
          <w:szCs w:val="20"/>
          <w:color w:val="auto"/>
        </w:rPr>
      </w:pPr>
    </w:p>
    <w:p>
      <w:pPr>
        <w:jc w:val="both"/>
        <w:ind w:left="540" w:right="559" w:firstLine="432"/>
        <w:spacing w:after="0" w:line="258" w:lineRule="auto"/>
        <w:rPr>
          <w:sz w:val="20"/>
          <w:szCs w:val="20"/>
          <w:color w:val="auto"/>
        </w:rPr>
      </w:pPr>
      <w:r>
        <w:rPr>
          <w:rFonts w:ascii="Times New Roman" w:cs="Times New Roman" w:eastAsia="Times New Roman" w:hAnsi="Times New Roman"/>
          <w:sz w:val="18"/>
          <w:szCs w:val="18"/>
          <w:color w:val="auto"/>
        </w:rPr>
        <w:t>Our mission is to revolutionize the fast-changing printed textile industry by facilitating and expediting the transition from analog processes that have not evolved for decades and are not suited to the rapidly changing business models and self-disruption needs of the industry, to digital methods of garment, apparel and home décor, finished-goods production and decoration that address the contemporary supply, demand, social and environmental needs of the industry in which we operate.</w:t>
      </w:r>
    </w:p>
    <w:p>
      <w:pPr>
        <w:spacing w:after="0" w:line="116" w:lineRule="exact"/>
        <w:rPr>
          <w:sz w:val="20"/>
          <w:szCs w:val="20"/>
          <w:color w:val="auto"/>
        </w:rPr>
      </w:pPr>
    </w:p>
    <w:p>
      <w:pPr>
        <w:jc w:val="both"/>
        <w:ind w:left="540" w:right="559" w:firstLine="432"/>
        <w:spacing w:after="0" w:line="253" w:lineRule="auto"/>
        <w:rPr>
          <w:sz w:val="20"/>
          <w:szCs w:val="20"/>
          <w:color w:val="auto"/>
        </w:rPr>
      </w:pPr>
      <w:r>
        <w:rPr>
          <w:rFonts w:ascii="Times New Roman" w:cs="Times New Roman" w:eastAsia="Times New Roman" w:hAnsi="Times New Roman"/>
          <w:sz w:val="18"/>
          <w:szCs w:val="18"/>
          <w:color w:val="auto"/>
        </w:rPr>
        <w:t>We focus on the rapidly growing high-throughput, direct-to-garment, or DTG, and direct-to-fabric, or DTF, segments of the printed and decorated textile industry. In the DTG segment, based on our extrapolations from third party market data, we project the number of annual impressions to grow from approximately 16 billion in 2018 to approximately 25 billion on an annualized run-rate basis by the end of 2023, without adjusting for the potential impact of the COVID-19 pandemic. Within the DTG market, without adjusting for the potential impact of the COVID-19 pandemic, we estimate that there were approximately 12.2 billion impressions in 2018 in brands and private labels making it the largest portion of this market, while we estimate that there were approximately 2.7 billion impressions in the promotional portion of the market and approximately 1.1 billion impressions in the customized design portion of the market. In the roll-to-roll market, based on our extrapolations from third party market data, we project the total square meters of fabric printed to grow from approximately 39 billion in 2018 to approximately 42 billion by the end of 2023, without adjusting for the potential impact of the COVID-19 pandemic.</w:t>
      </w:r>
    </w:p>
    <w:p>
      <w:pPr>
        <w:spacing w:after="0" w:line="122" w:lineRule="exact"/>
        <w:rPr>
          <w:sz w:val="20"/>
          <w:szCs w:val="20"/>
          <w:color w:val="auto"/>
        </w:rPr>
      </w:pPr>
    </w:p>
    <w:p>
      <w:pPr>
        <w:jc w:val="both"/>
        <w:ind w:left="540" w:right="559" w:firstLine="432"/>
        <w:spacing w:after="0" w:line="254" w:lineRule="auto"/>
        <w:rPr>
          <w:sz w:val="20"/>
          <w:szCs w:val="20"/>
          <w:color w:val="auto"/>
        </w:rPr>
      </w:pPr>
      <w:r>
        <w:rPr>
          <w:rFonts w:ascii="Times New Roman" w:cs="Times New Roman" w:eastAsia="Times New Roman" w:hAnsi="Times New Roman"/>
          <w:sz w:val="18"/>
          <w:szCs w:val="18"/>
          <w:color w:val="auto"/>
        </w:rPr>
        <w:t>Our solutions include our proprietary digital printing systems, ink and other consumables, associated software and value-added services that allow for quality and cost-effective large-scale printing of short runs of complex images and designs directly on finished garments and fabrics. Our solutions address the growing production gaps reflected in the need to shift to shorter runs, proximity production, proximity decoration, partial or full on-demand production and microfactory models by enabling our customers to print and decorate high quality products in a time efficient, cost-effective and environmentally-friendly manner. This allows textile manufacturers to transition from their traditional business and operating models of supply based on demand predictions, to partial or full on-demand or made-to-order models, by which decoration of fabric and production of finished goods only takes place once a customer order has been issued.</w:t>
      </w:r>
    </w:p>
    <w:p>
      <w:pPr>
        <w:spacing w:after="0" w:line="107" w:lineRule="exact"/>
        <w:rPr>
          <w:sz w:val="20"/>
          <w:szCs w:val="20"/>
          <w:color w:val="auto"/>
        </w:rPr>
      </w:pPr>
    </w:p>
    <w:p>
      <w:pPr>
        <w:jc w:val="both"/>
        <w:ind w:left="540" w:right="559" w:firstLine="432"/>
        <w:spacing w:after="0" w:line="255" w:lineRule="auto"/>
        <w:rPr>
          <w:sz w:val="20"/>
          <w:szCs w:val="20"/>
          <w:color w:val="auto"/>
        </w:rPr>
      </w:pPr>
      <w:r>
        <w:rPr>
          <w:rFonts w:ascii="Times New Roman" w:cs="Times New Roman" w:eastAsia="Times New Roman" w:hAnsi="Times New Roman"/>
          <w:sz w:val="18"/>
          <w:szCs w:val="18"/>
          <w:color w:val="auto"/>
        </w:rPr>
        <w:t>Our solutions are differentiated from other digital methods of production because they eliminate the need to pre-treat fabrics prior to printing, thereby offering our customers the ability to digitally print high quality images and designs on a variety of fabrics in a streamlined and environmentally-friendly manner. When compared to analog methods of production, our solutions also significantly reduce production lead times and enable customers to more efficiently and cost-effectively produce smaller quantities of individually printed designs, thereby mitigating the risk of excess inventory, which is a significant challenge for the industry.</w:t>
      </w:r>
    </w:p>
    <w:p>
      <w:pPr>
        <w:spacing w:after="0" w:line="121" w:lineRule="exact"/>
        <w:rPr>
          <w:sz w:val="20"/>
          <w:szCs w:val="20"/>
          <w:color w:val="auto"/>
        </w:rPr>
      </w:pPr>
    </w:p>
    <w:p>
      <w:pPr>
        <w:jc w:val="both"/>
        <w:ind w:left="540" w:right="559" w:firstLine="432"/>
        <w:spacing w:after="0" w:line="266" w:lineRule="auto"/>
        <w:rPr>
          <w:sz w:val="20"/>
          <w:szCs w:val="20"/>
          <w:color w:val="auto"/>
        </w:rPr>
      </w:pPr>
      <w:r>
        <w:rPr>
          <w:rFonts w:ascii="Times New Roman" w:cs="Times New Roman" w:eastAsia="Times New Roman" w:hAnsi="Times New Roman"/>
          <w:sz w:val="18"/>
          <w:szCs w:val="18"/>
          <w:color w:val="auto"/>
        </w:rPr>
        <w:t>We have a worldwide sales, marketing and support infrastructure that is comprised of independent distributors and value added resellers, and our own personnel resulting in a sales, marketing and support presence in over 80 countries and 46 states in the United States.</w:t>
      </w: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536" w:right="1440"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7383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7310" cy="7383145"/>
                    </a:xfrm>
                    <a:prstGeom prst="rect">
                      <a:avLst/>
                    </a:prstGeom>
                    <a:noFill/>
                  </pic:spPr>
                </pic:pic>
              </a:graphicData>
            </a:graphic>
          </wp:anchor>
        </w:drawing>
        <w:t>Recent Developments</w:t>
      </w: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Agreements with Amazon</w:t>
      </w: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Master Purchase Agreement</w:t>
      </w:r>
    </w:p>
    <w:p>
      <w:pPr>
        <w:spacing w:after="0" w:line="148" w:lineRule="exact"/>
        <w:rPr>
          <w:sz w:val="20"/>
          <w:szCs w:val="20"/>
          <w:color w:val="auto"/>
        </w:rPr>
      </w:pPr>
    </w:p>
    <w:p>
      <w:pPr>
        <w:jc w:val="both"/>
        <w:ind w:left="540" w:right="559" w:firstLine="432"/>
        <w:spacing w:after="0" w:line="256" w:lineRule="auto"/>
        <w:rPr>
          <w:sz w:val="20"/>
          <w:szCs w:val="20"/>
          <w:color w:val="auto"/>
        </w:rPr>
      </w:pPr>
      <w:r>
        <w:rPr>
          <w:rFonts w:ascii="Times New Roman" w:cs="Times New Roman" w:eastAsia="Times New Roman" w:hAnsi="Times New Roman"/>
          <w:sz w:val="18"/>
          <w:szCs w:val="18"/>
          <w:color w:val="auto"/>
        </w:rPr>
        <w:t>In January 2017, we entered into a Master Purchase Agreement (the “Purchase Agreement”) with Amazon Corporate LLC, a subsidiary of Amazon.com, Inc., or Amazon. Under the Purchase Agreement, as amended in March 2017, January 2018, June 2018 and May 2020, Amazon may purchase, and we have committed to supply, Kornit AVHD6 and Kornit Atlas digital direct-to-garment printers, NeoPigment ink and other consumables at agreed-upon prices that are subject to volume discounts. We also agreed to provide maintenance services and extended warranties to Amazon at agreed-upon prices.</w:t>
      </w:r>
    </w:p>
    <w:p>
      <w:pPr>
        <w:spacing w:after="0" w:line="120" w:lineRule="exact"/>
        <w:rPr>
          <w:sz w:val="20"/>
          <w:szCs w:val="20"/>
          <w:color w:val="auto"/>
        </w:rPr>
      </w:pPr>
    </w:p>
    <w:p>
      <w:pPr>
        <w:jc w:val="both"/>
        <w:ind w:left="540" w:right="559" w:firstLine="432"/>
        <w:spacing w:after="0" w:line="253" w:lineRule="auto"/>
        <w:rPr>
          <w:sz w:val="20"/>
          <w:szCs w:val="20"/>
          <w:color w:val="auto"/>
        </w:rPr>
      </w:pPr>
      <w:r>
        <w:rPr>
          <w:rFonts w:ascii="Times New Roman" w:cs="Times New Roman" w:eastAsia="Times New Roman" w:hAnsi="Times New Roman"/>
          <w:sz w:val="18"/>
          <w:szCs w:val="18"/>
          <w:color w:val="auto"/>
        </w:rPr>
        <w:t>The Purchase Agreement provides for an “end of life” program. We are required to notify Amazon 12 months in advance if we intend to stop supporting one of the products or services supplied by us and to continue to manufacture the product or provide such service during the applicable period. Subject to certain exceptions, we are required to continue to supply ink in such quantities as Amazon requires for at least 36 months after the earlier of (1) the end of the term of the Purchase Agreement or (2) 18 months following the purchase of the last product sold pursuant to the Purchase Agreement. The Purchase Agreement requires us to make arrangements to ensure continuity of our supply of products if we do not comply with its requirements to supply the products or the services under the agreement or we become insolvent. The Purchase Agreement also provides for penalties on a sliding scale in the case of late delivery or if our systems are unavailable for certain specific periods. There are no minimum spending commitments under the Purchase Agreement.</w:t>
      </w:r>
    </w:p>
    <w:p>
      <w:pPr>
        <w:spacing w:after="0" w:line="127" w:lineRule="exact"/>
        <w:rPr>
          <w:sz w:val="20"/>
          <w:szCs w:val="20"/>
          <w:color w:val="auto"/>
        </w:rPr>
      </w:pPr>
    </w:p>
    <w:p>
      <w:pPr>
        <w:jc w:val="both"/>
        <w:ind w:left="540" w:right="559" w:firstLine="432"/>
        <w:spacing w:after="0" w:line="258" w:lineRule="auto"/>
        <w:rPr>
          <w:sz w:val="20"/>
          <w:szCs w:val="20"/>
          <w:color w:val="auto"/>
        </w:rPr>
      </w:pPr>
      <w:r>
        <w:rPr>
          <w:rFonts w:ascii="Times New Roman" w:cs="Times New Roman" w:eastAsia="Times New Roman" w:hAnsi="Times New Roman"/>
          <w:sz w:val="18"/>
          <w:szCs w:val="18"/>
          <w:color w:val="auto"/>
        </w:rPr>
        <w:t>The term of the Purchase Agreement is five years beginning on May 1, 2016 and extends automatically for additional one-year periods unless terminated by Amazon. The Purchase Agreement is subject to customary termination provisions, including material uncured breaches, insolvency or our acquisition by a competitor of Amazon. The Purchase Agreement may also be terminated by Amazon without cause subject to an agreed advance notice period.</w:t>
      </w:r>
    </w:p>
    <w:p>
      <w:pPr>
        <w:spacing w:after="0" w:line="17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Original Transaction Agreement and Original Warrant</w:t>
      </w:r>
    </w:p>
    <w:p>
      <w:pPr>
        <w:spacing w:after="0" w:line="148" w:lineRule="exact"/>
        <w:rPr>
          <w:sz w:val="20"/>
          <w:szCs w:val="20"/>
          <w:color w:val="auto"/>
        </w:rPr>
      </w:pPr>
    </w:p>
    <w:p>
      <w:pPr>
        <w:jc w:val="both"/>
        <w:ind w:left="540" w:right="559" w:firstLine="432"/>
        <w:spacing w:after="0" w:line="256" w:lineRule="auto"/>
        <w:rPr>
          <w:sz w:val="20"/>
          <w:szCs w:val="20"/>
          <w:color w:val="auto"/>
        </w:rPr>
      </w:pPr>
      <w:r>
        <w:rPr>
          <w:rFonts w:ascii="Times New Roman" w:cs="Times New Roman" w:eastAsia="Times New Roman" w:hAnsi="Times New Roman"/>
          <w:sz w:val="18"/>
          <w:szCs w:val="18"/>
          <w:color w:val="auto"/>
        </w:rPr>
        <w:t>Concurrently with the Purchase Agreement, we and Amazon entered into a Transaction Agreement (the “Original Transaction Agreement” pursuant to which we agreed to issue to an affiliate of Amazon a warrant, or the Warrant, as amended (the “Original Warrant”), to acquire up to 2,932,176 of our ordinary shares at a purchase price of $13.04 per share, which was based on the 30-trading day VWAP, as adjusted, prior to the execution of the Original Transaction Agreement. The Original Warrant also allows for cashless (net) exercise.</w:t>
      </w:r>
    </w:p>
    <w:p>
      <w:pPr>
        <w:spacing w:after="0" w:line="120" w:lineRule="exact"/>
        <w:rPr>
          <w:sz w:val="20"/>
          <w:szCs w:val="20"/>
          <w:color w:val="auto"/>
        </w:rPr>
      </w:pPr>
    </w:p>
    <w:p>
      <w:pPr>
        <w:jc w:val="both"/>
        <w:ind w:left="540" w:right="559" w:firstLine="432"/>
        <w:spacing w:after="0" w:line="256" w:lineRule="auto"/>
        <w:rPr>
          <w:sz w:val="20"/>
          <w:szCs w:val="20"/>
          <w:color w:val="auto"/>
        </w:rPr>
      </w:pPr>
      <w:r>
        <w:rPr>
          <w:rFonts w:ascii="Times New Roman" w:cs="Times New Roman" w:eastAsia="Times New Roman" w:hAnsi="Times New Roman"/>
          <w:sz w:val="18"/>
          <w:szCs w:val="18"/>
          <w:color w:val="auto"/>
        </w:rPr>
        <w:t>The shares underlying the Original Warrant are subject to vesting as a function of payments for purchased products and services of up to $150 million over a five-year period, with the shares vesting incrementally each time Amazon or its affiliates make a payment totaling $5 million to us. As of September 16, 2020, 2,162,463 shares underlying the Original Warrant were vested and exercisable. Amazon is exercising the Original Warrant on a cashless (net) exercise basis in connection with this offering resulting in the issuance to it, and the sale of, 1,689,942 ordinary shares.</w:t>
      </w:r>
    </w:p>
    <w:p>
      <w:pPr>
        <w:spacing w:after="0" w:line="18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New Transaction Agreement and New Warrant</w:t>
      </w:r>
    </w:p>
    <w:p>
      <w:pPr>
        <w:spacing w:after="0" w:line="162" w:lineRule="exact"/>
        <w:rPr>
          <w:sz w:val="20"/>
          <w:szCs w:val="20"/>
          <w:color w:val="auto"/>
        </w:rPr>
      </w:pPr>
    </w:p>
    <w:p>
      <w:pPr>
        <w:jc w:val="both"/>
        <w:ind w:left="540" w:right="559" w:firstLine="432"/>
        <w:spacing w:after="0" w:line="258" w:lineRule="auto"/>
        <w:rPr>
          <w:sz w:val="20"/>
          <w:szCs w:val="20"/>
          <w:color w:val="auto"/>
        </w:rPr>
      </w:pPr>
      <w:r>
        <w:rPr>
          <w:rFonts w:ascii="Times New Roman" w:cs="Times New Roman" w:eastAsia="Times New Roman" w:hAnsi="Times New Roman"/>
          <w:sz w:val="18"/>
          <w:szCs w:val="18"/>
          <w:color w:val="auto"/>
        </w:rPr>
        <w:t>On September 14, 2020, we and Amazon entered into a new Transaction Agreement (the “New Transaction Agreement”) pursuant to which we have agreed to issue to an affiliate of Amazon a warrant (the “New Warrant”) to acquire up to 3,401,028 of our ordinary shares at a purchase price of $59.26 per share, which is based on the 30-trading day VWAP prior to the execution of the New Transaction Agreement. The New Warrant also provides for cashless (net) exercise.</w:t>
      </w: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536" w:right="1440" w:bottom="1440" w:gutter="0" w:footer="0" w:header="0"/>
        </w:sectPr>
      </w:pPr>
    </w:p>
    <w:bookmarkStart w:id="7" w:name="page8"/>
    <w:bookmarkEnd w:id="7"/>
    <w:p>
      <w:pPr>
        <w:jc w:val="both"/>
        <w:ind w:left="540" w:right="559" w:firstLine="432"/>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79228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7310" cy="7922895"/>
                    </a:xfrm>
                    <a:prstGeom prst="rect">
                      <a:avLst/>
                    </a:prstGeom>
                    <a:noFill/>
                  </pic:spPr>
                </pic:pic>
              </a:graphicData>
            </a:graphic>
          </wp:anchor>
        </w:drawing>
        <w:t>The shares underlying the New Warrant are subject to vesting as a function of payments up to an aggregate of $400 million by Amazon and its affiliates over a five-year period for two different categories of product lines and services as follows:</w:t>
      </w:r>
    </w:p>
    <w:p>
      <w:pPr>
        <w:spacing w:after="0" w:line="151" w:lineRule="exact"/>
        <w:rPr>
          <w:sz w:val="20"/>
          <w:szCs w:val="20"/>
          <w:color w:val="auto"/>
        </w:rPr>
      </w:pPr>
    </w:p>
    <w:tbl>
      <w:tblPr>
        <w:tblLayout w:type="fixed"/>
        <w:tblInd w:w="540" w:type="dxa"/>
        <w:tblCellMar>
          <w:top w:w="0" w:type="dxa"/>
          <w:left w:w="0" w:type="dxa"/>
          <w:bottom w:w="0" w:type="dxa"/>
          <w:right w:w="0" w:type="dxa"/>
        </w:tblCellMar>
      </w:tblPr>
      <w:tr>
        <w:trPr>
          <w:trHeight w:val="203"/>
        </w:trPr>
        <w:tc>
          <w:tcPr>
            <w:tcW w:w="4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00" w:type="dxa"/>
            <w:vAlign w:val="bottom"/>
            <w:gridSpan w:val="3"/>
          </w:tcPr>
          <w:p>
            <w:pPr>
              <w:jc w:val="center"/>
              <w:ind w:right="136"/>
              <w:spacing w:after="0"/>
              <w:rPr>
                <w:sz w:val="20"/>
                <w:szCs w:val="20"/>
                <w:color w:val="auto"/>
              </w:rPr>
            </w:pPr>
            <w:r>
              <w:rPr>
                <w:rFonts w:ascii="Times New Roman" w:cs="Times New Roman" w:eastAsia="Times New Roman" w:hAnsi="Times New Roman"/>
                <w:sz w:val="16"/>
                <w:szCs w:val="16"/>
                <w:b w:val="1"/>
                <w:bCs w:val="1"/>
                <w:color w:val="auto"/>
                <w:w w:val="99"/>
              </w:rPr>
              <w:t>“Existing”</w:t>
            </w:r>
          </w:p>
        </w:tc>
        <w:tc>
          <w:tcPr>
            <w:tcW w:w="114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“New”</w:t>
            </w:r>
          </w:p>
        </w:tc>
      </w:tr>
      <w:tr>
        <w:trPr>
          <w:trHeight w:val="203"/>
        </w:trPr>
        <w:tc>
          <w:tcPr>
            <w:tcW w:w="4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00" w:type="dxa"/>
            <w:vAlign w:val="bottom"/>
            <w:gridSpan w:val="3"/>
          </w:tcPr>
          <w:p>
            <w:pPr>
              <w:jc w:val="center"/>
              <w:ind w:right="136"/>
              <w:spacing w:after="0"/>
              <w:rPr>
                <w:sz w:val="20"/>
                <w:szCs w:val="20"/>
                <w:color w:val="auto"/>
              </w:rPr>
            </w:pPr>
            <w:r>
              <w:rPr>
                <w:rFonts w:ascii="Times New Roman" w:cs="Times New Roman" w:eastAsia="Times New Roman" w:hAnsi="Times New Roman"/>
                <w:sz w:val="16"/>
                <w:szCs w:val="16"/>
                <w:b w:val="1"/>
                <w:bCs w:val="1"/>
                <w:color w:val="auto"/>
                <w:w w:val="99"/>
              </w:rPr>
              <w:t>Product Lines</w:t>
            </w:r>
          </w:p>
        </w:tc>
        <w:tc>
          <w:tcPr>
            <w:tcW w:w="114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9"/>
              </w:rPr>
              <w:t>Product Lines</w:t>
            </w:r>
          </w:p>
        </w:tc>
      </w:tr>
      <w:tr>
        <w:trPr>
          <w:trHeight w:val="212"/>
        </w:trPr>
        <w:tc>
          <w:tcPr>
            <w:tcW w:w="4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00" w:type="dxa"/>
            <w:vAlign w:val="bottom"/>
            <w:gridSpan w:val="3"/>
          </w:tcPr>
          <w:p>
            <w:pPr>
              <w:jc w:val="center"/>
              <w:ind w:right="96"/>
              <w:spacing w:after="0"/>
              <w:rPr>
                <w:sz w:val="20"/>
                <w:szCs w:val="20"/>
                <w:color w:val="auto"/>
              </w:rPr>
            </w:pPr>
            <w:r>
              <w:rPr>
                <w:rFonts w:ascii="Times New Roman" w:cs="Times New Roman" w:eastAsia="Times New Roman" w:hAnsi="Times New Roman"/>
                <w:sz w:val="16"/>
                <w:szCs w:val="16"/>
                <w:b w:val="1"/>
                <w:bCs w:val="1"/>
                <w:color w:val="auto"/>
              </w:rPr>
              <w:t>and Services</w:t>
            </w:r>
          </w:p>
        </w:tc>
        <w:tc>
          <w:tcPr>
            <w:tcW w:w="1140" w:type="dxa"/>
            <w:vAlign w:val="bottom"/>
          </w:tcPr>
          <w:p>
            <w:pPr>
              <w:jc w:val="center"/>
              <w:ind w:right="15"/>
              <w:spacing w:after="0"/>
              <w:rPr>
                <w:sz w:val="20"/>
                <w:szCs w:val="20"/>
                <w:color w:val="auto"/>
              </w:rPr>
            </w:pPr>
            <w:r>
              <w:rPr>
                <w:rFonts w:ascii="Times New Roman" w:cs="Times New Roman" w:eastAsia="Times New Roman" w:hAnsi="Times New Roman"/>
                <w:sz w:val="16"/>
                <w:szCs w:val="16"/>
                <w:b w:val="1"/>
                <w:bCs w:val="1"/>
                <w:color w:val="auto"/>
              </w:rPr>
              <w:t>and Services</w:t>
            </w:r>
          </w:p>
        </w:tc>
      </w:tr>
      <w:tr>
        <w:trPr>
          <w:trHeight w:val="46"/>
        </w:trPr>
        <w:tc>
          <w:tcPr>
            <w:tcW w:w="4540" w:type="dxa"/>
            <w:vAlign w:val="bottom"/>
            <w:tcBorders>
              <w:bottom w:val="single" w:sz="8" w:color="CCEEFF"/>
            </w:tcBorders>
          </w:tcPr>
          <w:p>
            <w:pPr>
              <w:spacing w:after="0"/>
              <w:rPr>
                <w:sz w:val="4"/>
                <w:szCs w:val="4"/>
                <w:color w:val="auto"/>
              </w:rPr>
            </w:pPr>
          </w:p>
        </w:tc>
        <w:tc>
          <w:tcPr>
            <w:tcW w:w="94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44"/>
        </w:trPr>
        <w:tc>
          <w:tcPr>
            <w:tcW w:w="4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Purchased amount</w:t>
            </w:r>
          </w:p>
        </w:tc>
        <w:tc>
          <w:tcPr>
            <w:tcW w:w="9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250 million</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 million</w:t>
            </w:r>
          </w:p>
        </w:tc>
      </w:tr>
      <w:tr>
        <w:trPr>
          <w:trHeight w:val="243"/>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Maximum number of vesting shares</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1,943,445</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1,457,583</w:t>
            </w:r>
          </w:p>
        </w:tc>
      </w:tr>
      <w:tr>
        <w:trPr>
          <w:trHeight w:val="41"/>
        </w:trPr>
        <w:tc>
          <w:tcPr>
            <w:tcW w:w="45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43"/>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vesting shares per $5 million payment</w:t>
            </w:r>
          </w:p>
        </w:tc>
        <w:tc>
          <w:tcPr>
            <w:tcW w:w="2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38,869</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48,587</w:t>
            </w:r>
          </w:p>
        </w:tc>
      </w:tr>
      <w:tr>
        <w:trPr>
          <w:trHeight w:val="41"/>
        </w:trPr>
        <w:tc>
          <w:tcPr>
            <w:tcW w:w="454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r>
    </w:tbl>
    <w:p>
      <w:pPr>
        <w:spacing w:after="0" w:line="157" w:lineRule="exact"/>
        <w:rPr>
          <w:sz w:val="20"/>
          <w:szCs w:val="20"/>
          <w:color w:val="auto"/>
        </w:rPr>
      </w:pPr>
    </w:p>
    <w:p>
      <w:pPr>
        <w:jc w:val="both"/>
        <w:ind w:left="540" w:right="559" w:firstLine="432"/>
        <w:spacing w:after="0" w:line="254" w:lineRule="auto"/>
        <w:rPr>
          <w:sz w:val="20"/>
          <w:szCs w:val="20"/>
          <w:color w:val="auto"/>
        </w:rPr>
      </w:pPr>
      <w:r>
        <w:rPr>
          <w:rFonts w:ascii="Times New Roman" w:cs="Times New Roman" w:eastAsia="Times New Roman" w:hAnsi="Times New Roman"/>
          <w:sz w:val="18"/>
          <w:szCs w:val="18"/>
          <w:color w:val="auto"/>
        </w:rPr>
        <w:t>“Existing” products refers to any product line that has been purchased by Amazon from Kornit before the date of the issuance of the New Warrant, for example, products from the Kornit Avalanche and the Kornit Atlas printing system family and related ink and spare parts. “New” products refers to any product line that has not been purchased by Amazon before the date of the issuance of the New Warrants and may be purchased by Amazon in the future. “New” products includes any future potential new applications that are printed using existing products. Neither the New Warrant nor the Purchase Agreement, as amended, contain any pricing terms or minimum purchase agreements for “New” products, and no “New” product has been qualified for use by Amazon.</w:t>
      </w:r>
    </w:p>
    <w:p>
      <w:pPr>
        <w:spacing w:after="0" w:line="124" w:lineRule="exact"/>
        <w:rPr>
          <w:sz w:val="20"/>
          <w:szCs w:val="20"/>
          <w:color w:val="auto"/>
        </w:rPr>
      </w:pPr>
    </w:p>
    <w:p>
      <w:pPr>
        <w:jc w:val="both"/>
        <w:ind w:left="540" w:right="559" w:firstLine="432"/>
        <w:spacing w:after="0" w:line="261" w:lineRule="auto"/>
        <w:rPr>
          <w:sz w:val="20"/>
          <w:szCs w:val="20"/>
          <w:color w:val="auto"/>
        </w:rPr>
      </w:pPr>
      <w:r>
        <w:rPr>
          <w:rFonts w:ascii="Times New Roman" w:cs="Times New Roman" w:eastAsia="Times New Roman" w:hAnsi="Times New Roman"/>
          <w:sz w:val="18"/>
          <w:szCs w:val="18"/>
          <w:color w:val="auto"/>
        </w:rPr>
        <w:t>The New Warrant is exercisable through the earlier of (1) January 10, 2027 and (2) the fifth anniversary of the date that all shares underlying under the Original Warrant are vested (i.e., the date on which Amazon and its affiliates have collectively made gross payments totaling $150 million to the Company or its affiliates in connection with invoices in respect of orders placed under the Purchase Agreement).</w:t>
      </w:r>
    </w:p>
    <w:p>
      <w:pPr>
        <w:spacing w:after="0" w:line="99" w:lineRule="exact"/>
        <w:rPr>
          <w:sz w:val="20"/>
          <w:szCs w:val="20"/>
          <w:color w:val="auto"/>
        </w:rPr>
      </w:pPr>
    </w:p>
    <w:p>
      <w:pPr>
        <w:jc w:val="both"/>
        <w:ind w:left="540" w:right="559" w:firstLine="432"/>
        <w:spacing w:after="0" w:line="282" w:lineRule="auto"/>
        <w:rPr>
          <w:sz w:val="20"/>
          <w:szCs w:val="20"/>
          <w:color w:val="auto"/>
        </w:rPr>
      </w:pPr>
      <w:r>
        <w:rPr>
          <w:rFonts w:ascii="Times New Roman" w:cs="Times New Roman" w:eastAsia="Times New Roman" w:hAnsi="Times New Roman"/>
          <w:sz w:val="18"/>
          <w:szCs w:val="18"/>
          <w:color w:val="auto"/>
        </w:rPr>
        <w:t>Upon the consummation of a change of control transaction (as defined in the New Warrant), subject to certain exceptions, the unvested portion of the New Warrant will vest in full and become fully exercisable.</w:t>
      </w:r>
    </w:p>
    <w:p>
      <w:pPr>
        <w:spacing w:after="0" w:line="94" w:lineRule="exact"/>
        <w:rPr>
          <w:sz w:val="20"/>
          <w:szCs w:val="20"/>
          <w:color w:val="auto"/>
        </w:rPr>
      </w:pPr>
    </w:p>
    <w:p>
      <w:pPr>
        <w:jc w:val="both"/>
        <w:ind w:left="540" w:right="559" w:firstLine="432"/>
        <w:spacing w:after="0" w:line="282" w:lineRule="auto"/>
        <w:rPr>
          <w:sz w:val="20"/>
          <w:szCs w:val="20"/>
          <w:color w:val="auto"/>
        </w:rPr>
      </w:pPr>
      <w:r>
        <w:rPr>
          <w:rFonts w:ascii="Times New Roman" w:cs="Times New Roman" w:eastAsia="Times New Roman" w:hAnsi="Times New Roman"/>
          <w:sz w:val="18"/>
          <w:szCs w:val="18"/>
          <w:color w:val="auto"/>
        </w:rPr>
        <w:t>The exercise price and the number of ordinary shares issuable upon exercise of the New Warrant are subject to customary anti-dilution adjustments.</w:t>
      </w:r>
    </w:p>
    <w:p>
      <w:pPr>
        <w:spacing w:after="0" w:line="94" w:lineRule="exact"/>
        <w:rPr>
          <w:sz w:val="20"/>
          <w:szCs w:val="20"/>
          <w:color w:val="auto"/>
        </w:rPr>
      </w:pPr>
    </w:p>
    <w:p>
      <w:pPr>
        <w:jc w:val="both"/>
        <w:ind w:left="540" w:right="559" w:firstLine="432"/>
        <w:spacing w:after="0" w:line="266" w:lineRule="auto"/>
        <w:rPr>
          <w:sz w:val="20"/>
          <w:szCs w:val="20"/>
          <w:color w:val="auto"/>
        </w:rPr>
      </w:pPr>
      <w:r>
        <w:rPr>
          <w:rFonts w:ascii="Times New Roman" w:cs="Times New Roman" w:eastAsia="Times New Roman" w:hAnsi="Times New Roman"/>
          <w:sz w:val="18"/>
          <w:szCs w:val="18"/>
          <w:color w:val="auto"/>
        </w:rPr>
        <w:t>The New Warrant also limits Amazon’s beneficial ownership to 4.999% of our outstanding shares unless Amazon waives this limit upon 61 days’ notice, in which case Amazon’s beneficial ownership is then limited to 9.999% of our outstanding shares.</w:t>
      </w:r>
    </w:p>
    <w:p>
      <w:pPr>
        <w:spacing w:after="0" w:line="95" w:lineRule="exact"/>
        <w:rPr>
          <w:sz w:val="20"/>
          <w:szCs w:val="20"/>
          <w:color w:val="auto"/>
        </w:rPr>
      </w:pPr>
    </w:p>
    <w:p>
      <w:pPr>
        <w:jc w:val="both"/>
        <w:ind w:left="540" w:right="559" w:firstLine="432"/>
        <w:spacing w:after="0" w:line="266" w:lineRule="auto"/>
        <w:rPr>
          <w:sz w:val="20"/>
          <w:szCs w:val="20"/>
          <w:color w:val="auto"/>
        </w:rPr>
      </w:pPr>
      <w:r>
        <w:rPr>
          <w:rFonts w:ascii="Times New Roman" w:cs="Times New Roman" w:eastAsia="Times New Roman" w:hAnsi="Times New Roman"/>
          <w:sz w:val="18"/>
          <w:szCs w:val="18"/>
          <w:color w:val="auto"/>
        </w:rPr>
        <w:t>The New Transaction Agreement includes customary representations, warranties and covenants of our company and Amazon. The New Transaction Agreement restricts any transfer of the New Warrant and ordinary shares thereunder, except under certain circumstances set forth in the New Transaction Agreement.</w:t>
      </w:r>
    </w:p>
    <w:p>
      <w:pPr>
        <w:spacing w:after="0" w:line="108" w:lineRule="exact"/>
        <w:rPr>
          <w:sz w:val="20"/>
          <w:szCs w:val="20"/>
          <w:color w:val="auto"/>
        </w:rPr>
      </w:pPr>
    </w:p>
    <w:p>
      <w:pPr>
        <w:jc w:val="both"/>
        <w:ind w:left="540" w:right="559" w:firstLine="432"/>
        <w:spacing w:after="0" w:line="258" w:lineRule="auto"/>
        <w:rPr>
          <w:sz w:val="20"/>
          <w:szCs w:val="20"/>
          <w:color w:val="auto"/>
        </w:rPr>
      </w:pPr>
      <w:r>
        <w:rPr>
          <w:rFonts w:ascii="Times New Roman" w:cs="Times New Roman" w:eastAsia="Times New Roman" w:hAnsi="Times New Roman"/>
          <w:sz w:val="18"/>
          <w:szCs w:val="18"/>
          <w:color w:val="auto"/>
        </w:rPr>
        <w:t>The New Transaction Agreement also contains certain customary standstill restrictions with respect to an acquisition of our shares (other than an acquisition of the shares underlying the Original Warrant and the New Warrant), solicitation of proxies and other actions that seek to influence the control of our company. These standstill restrictions remain in effect until such time as the shares issued under the New Warrant or that remain unexercised under the New Warrant represent less than 2% of our outstanding shares.</w:t>
      </w:r>
    </w:p>
    <w:p>
      <w:pPr>
        <w:spacing w:after="0" w:line="17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 for Shares Underlying Warrants</w:t>
      </w:r>
    </w:p>
    <w:p>
      <w:pPr>
        <w:spacing w:after="0" w:line="162" w:lineRule="exact"/>
        <w:rPr>
          <w:sz w:val="20"/>
          <w:szCs w:val="20"/>
          <w:color w:val="auto"/>
        </w:rPr>
      </w:pPr>
    </w:p>
    <w:p>
      <w:pPr>
        <w:jc w:val="both"/>
        <w:ind w:left="540" w:right="559" w:firstLine="432"/>
        <w:spacing w:after="0" w:line="253" w:lineRule="auto"/>
        <w:rPr>
          <w:sz w:val="20"/>
          <w:szCs w:val="20"/>
          <w:color w:val="auto"/>
        </w:rPr>
      </w:pPr>
      <w:r>
        <w:rPr>
          <w:rFonts w:ascii="Times New Roman" w:cs="Times New Roman" w:eastAsia="Times New Roman" w:hAnsi="Times New Roman"/>
          <w:sz w:val="18"/>
          <w:szCs w:val="18"/>
          <w:color w:val="auto"/>
        </w:rPr>
        <w:t>Under the Original Transaction Agreement, Amazon is entitled to certain registration rights with respect to the shares underlying the Original Warrant. Amazon may request up to two times in any 12-month period that we file a shelf registration statement on Form F-3 or S-3, and we are required to keep the shelf registration effective for four 90-day periods. If we are ineligible to file a registration statement on Form F-3 or Form S-3, Amazon may request up to four times that we file a long form registration statement to facilitate the sale of its shares. In addition, Amazon is entitled to piggyback registration rights on underwritten offerings effected by us. We are subject to customary obligations upon Amazon’s request for registration, including cooperation in case of an underwritten offering. The ordinary shares being offered by Amazon under this prospectus supplement are being offered pursuant to Amazon’s foregoing registration rights. These registration rights also apply to our ordinary shares issuable under the New Warrant.</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459" w:right="1440" w:bottom="1440" w:gutter="0" w:footer="0" w:header="0"/>
        </w:sectPr>
      </w:pPr>
    </w:p>
    <w:bookmarkStart w:id="8" w:name="page9"/>
    <w:bookmarkEnd w:id="8"/>
    <w:p>
      <w:pPr>
        <w:ind w:left="5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1629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7310" cy="8162925"/>
                    </a:xfrm>
                    <a:prstGeom prst="rect">
                      <a:avLst/>
                    </a:prstGeom>
                    <a:noFill/>
                  </pic:spPr>
                </pic:pic>
              </a:graphicData>
            </a:graphic>
          </wp:anchor>
        </w:drawing>
        <w:t>Acquisition of Custom Gateway</w:t>
      </w:r>
    </w:p>
    <w:p>
      <w:pPr>
        <w:spacing w:after="0" w:line="148" w:lineRule="exact"/>
        <w:rPr>
          <w:sz w:val="20"/>
          <w:szCs w:val="20"/>
          <w:color w:val="auto"/>
        </w:rPr>
      </w:pPr>
    </w:p>
    <w:p>
      <w:pPr>
        <w:jc w:val="both"/>
        <w:ind w:left="540" w:right="559" w:firstLine="432"/>
        <w:spacing w:after="0" w:line="261" w:lineRule="auto"/>
        <w:rPr>
          <w:sz w:val="20"/>
          <w:szCs w:val="20"/>
          <w:color w:val="auto"/>
        </w:rPr>
      </w:pPr>
      <w:r>
        <w:rPr>
          <w:rFonts w:ascii="Times New Roman" w:cs="Times New Roman" w:eastAsia="Times New Roman" w:hAnsi="Times New Roman"/>
          <w:sz w:val="18"/>
          <w:szCs w:val="18"/>
          <w:color w:val="auto"/>
        </w:rPr>
        <w:t>On August 7, 2020, we closed the acquisition of Custom Gateway, a leading global provider of cloud-based software workflow solutions for both B2B and B2C business models. Custom Gateway has over 300 customers, including leading brands and retailers. The purchase price was approximately $17 million subject to pending working capital adjustments.</w:t>
      </w:r>
    </w:p>
    <w:p>
      <w:pPr>
        <w:spacing w:after="0" w:line="112" w:lineRule="exact"/>
        <w:rPr>
          <w:sz w:val="20"/>
          <w:szCs w:val="20"/>
          <w:color w:val="auto"/>
        </w:rPr>
      </w:pPr>
    </w:p>
    <w:p>
      <w:pPr>
        <w:jc w:val="both"/>
        <w:ind w:left="540" w:right="559" w:firstLine="432"/>
        <w:spacing w:after="0" w:line="255" w:lineRule="auto"/>
        <w:rPr>
          <w:sz w:val="20"/>
          <w:szCs w:val="20"/>
          <w:color w:val="auto"/>
        </w:rPr>
      </w:pPr>
      <w:r>
        <w:rPr>
          <w:rFonts w:ascii="Times New Roman" w:cs="Times New Roman" w:eastAsia="Times New Roman" w:hAnsi="Times New Roman"/>
          <w:sz w:val="18"/>
          <w:szCs w:val="18"/>
          <w:color w:val="auto"/>
        </w:rPr>
        <w:t>Custom Gateway offers a cloud-based platform that enables content sourcing, creation, management and display at the front end. An order management system captures orders and uses proprietary algorithms to direct them to the appropriate production site. On the production floor, orders are routed and managed to facilitate efficient on-demand production on a mass scale. The technology enables customers to realize the full efficiency, scalability and profitability benefits of digitization by seamlessly connecting the front end, whether online or storefront, to the most suitable back end element, such as on-demand production and logistics operations.</w:t>
      </w:r>
    </w:p>
    <w:p>
      <w:pPr>
        <w:spacing w:after="0" w:line="121" w:lineRule="exact"/>
        <w:rPr>
          <w:sz w:val="20"/>
          <w:szCs w:val="20"/>
          <w:color w:val="auto"/>
        </w:rPr>
      </w:pPr>
    </w:p>
    <w:p>
      <w:pPr>
        <w:jc w:val="both"/>
        <w:ind w:left="540" w:right="559" w:firstLine="432"/>
        <w:spacing w:after="0" w:line="261" w:lineRule="auto"/>
        <w:rPr>
          <w:sz w:val="20"/>
          <w:szCs w:val="20"/>
          <w:color w:val="auto"/>
        </w:rPr>
      </w:pPr>
      <w:r>
        <w:rPr>
          <w:rFonts w:ascii="Times New Roman" w:cs="Times New Roman" w:eastAsia="Times New Roman" w:hAnsi="Times New Roman"/>
          <w:sz w:val="18"/>
          <w:szCs w:val="18"/>
          <w:color w:val="auto"/>
        </w:rPr>
        <w:t>We believe this acquisition will strategically accelerate our broad-scale development effort and strengthen our value proposition for brands, retailers and fulfillers in the area of digital transformation. We expect the combination of Custom Gateway software workflow portfolio with our existing and future technologies to bring to the market an end-to-end solution for on-demand production.</w:t>
      </w:r>
    </w:p>
    <w:p>
      <w:pPr>
        <w:spacing w:after="0" w:line="1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COVID-19 Update</w:t>
      </w:r>
    </w:p>
    <w:p>
      <w:pPr>
        <w:spacing w:after="0" w:line="148" w:lineRule="exact"/>
        <w:rPr>
          <w:sz w:val="20"/>
          <w:szCs w:val="20"/>
          <w:color w:val="auto"/>
        </w:rPr>
      </w:pPr>
    </w:p>
    <w:p>
      <w:pPr>
        <w:jc w:val="both"/>
        <w:ind w:left="540" w:right="559" w:firstLine="432"/>
        <w:spacing w:after="0" w:line="255" w:lineRule="auto"/>
        <w:rPr>
          <w:sz w:val="20"/>
          <w:szCs w:val="20"/>
          <w:color w:val="auto"/>
        </w:rPr>
      </w:pPr>
      <w:r>
        <w:rPr>
          <w:rFonts w:ascii="Times New Roman" w:cs="Times New Roman" w:eastAsia="Times New Roman" w:hAnsi="Times New Roman"/>
          <w:sz w:val="18"/>
          <w:szCs w:val="18"/>
          <w:color w:val="auto"/>
        </w:rPr>
        <w:t>Over the past several months, the COVID-19 pandemic has disrupted the global economy and adversely impacted our business, including demand for our products. At the start of the pandemic, we acted decisively to ensure the safety and health of our staff while maintaining business continuity. Our manufacturing sites and R&amp;D facilities operated in staggered shifts and our service teams worked closely with our customers, and our global staff shifted to work from home where needed. During the second quarter of 2020, all our manufacturing and R&amp;D sites returned to full service and our experience centers re-opened and continue to operate in line with safety guidelines of the local authorities.</w:t>
      </w:r>
    </w:p>
    <w:p>
      <w:pPr>
        <w:spacing w:after="0" w:line="121" w:lineRule="exact"/>
        <w:rPr>
          <w:sz w:val="20"/>
          <w:szCs w:val="20"/>
          <w:color w:val="auto"/>
        </w:rPr>
      </w:pPr>
    </w:p>
    <w:p>
      <w:pPr>
        <w:jc w:val="both"/>
        <w:ind w:left="540" w:right="559" w:firstLine="432"/>
        <w:spacing w:after="0" w:line="253" w:lineRule="auto"/>
        <w:rPr>
          <w:sz w:val="20"/>
          <w:szCs w:val="20"/>
          <w:color w:val="auto"/>
        </w:rPr>
      </w:pPr>
      <w:r>
        <w:rPr>
          <w:rFonts w:ascii="Times New Roman" w:cs="Times New Roman" w:eastAsia="Times New Roman" w:hAnsi="Times New Roman"/>
          <w:sz w:val="18"/>
          <w:szCs w:val="18"/>
          <w:color w:val="auto"/>
        </w:rPr>
        <w:t>We experienced an adverse impact from COVID-19 on our results of operations starting in the quarter ended March 31, 2020 as the timing of the initial impact of COVID-19 resulted in significant deferrals of orders that we had expected that would otherwise be placed before the end of that quarter. Total revenue for the first quarter of 2020 decreased to $26.2 million, net of $0.6 million attributed to the non-cash impact of warrants, compared to $38.6 million, net of $0.6 million attributed to the non-cash impact of warrants in the prior year period. We experienced a meaningful rebound in orders during the quarter ended June 30, 2020 with total revenue of $37.4 million, net of $0.8 million attributed to the non-cash impact of warrants, compared to $45.3 million, net of $1.0 million attributed to the non-cash impact of warrants in the prior year period. We nevertheless continue to experience an impact on our sales and marketing activities due to the inability to hold in-person meetings and attend industry events which has resulted in longer sales cycles compared to before the pandemic.</w:t>
      </w:r>
    </w:p>
    <w:p>
      <w:pPr>
        <w:spacing w:after="0" w:line="124" w:lineRule="exact"/>
        <w:rPr>
          <w:sz w:val="20"/>
          <w:szCs w:val="20"/>
          <w:color w:val="auto"/>
        </w:rPr>
      </w:pPr>
    </w:p>
    <w:p>
      <w:pPr>
        <w:jc w:val="both"/>
        <w:ind w:left="540" w:right="559" w:firstLine="432"/>
        <w:spacing w:after="0" w:line="256" w:lineRule="auto"/>
        <w:rPr>
          <w:sz w:val="20"/>
          <w:szCs w:val="20"/>
          <w:color w:val="auto"/>
        </w:rPr>
      </w:pPr>
      <w:r>
        <w:rPr>
          <w:rFonts w:ascii="Times New Roman" w:cs="Times New Roman" w:eastAsia="Times New Roman" w:hAnsi="Times New Roman"/>
          <w:sz w:val="18"/>
          <w:szCs w:val="18"/>
          <w:color w:val="auto"/>
        </w:rPr>
        <w:t>COVID-19 also adversely impacted our cost of goods sold and our gross margin due to its impact on our supply chain. Although our products are manufactured solely at our facility in Israel, we source components from around the world, most notably from certain suppliers in China. Due to the impact of COVID -19, we paid additional fees to alternate suppliers, to expedite shipping and for increased costs related to shipments of spare parts. Our gross margin for the six months ended June 30, 2020 was 37.4% compared to 42.7% for the same period in 2019.</w:t>
      </w:r>
    </w:p>
    <w:p>
      <w:pPr>
        <w:spacing w:after="0" w:line="106" w:lineRule="exact"/>
        <w:rPr>
          <w:sz w:val="20"/>
          <w:szCs w:val="20"/>
          <w:color w:val="auto"/>
        </w:rPr>
      </w:pPr>
    </w:p>
    <w:p>
      <w:pPr>
        <w:jc w:val="both"/>
        <w:ind w:left="540" w:right="559" w:firstLine="432"/>
        <w:spacing w:after="0" w:line="253" w:lineRule="auto"/>
        <w:rPr>
          <w:sz w:val="20"/>
          <w:szCs w:val="20"/>
          <w:color w:val="auto"/>
        </w:rPr>
      </w:pPr>
      <w:r>
        <w:rPr>
          <w:rFonts w:ascii="Times New Roman" w:cs="Times New Roman" w:eastAsia="Times New Roman" w:hAnsi="Times New Roman"/>
          <w:sz w:val="18"/>
          <w:szCs w:val="18"/>
          <w:color w:val="auto"/>
        </w:rPr>
        <w:t>Despite the adverse impact of COVID-19 on our recent results of operation, we believe that COVID-19 may be accelerating existing trends that are favorable to our business and prospects. COVID-19 has resulted in a significant increase in e-commerce. According to an August 2020 report by McKinsey, U.S. e-commerce penetration levels grew from 16% in 2019 to 33% in April 2020. In addition, given the disruption to global supply chains, fashion and apparel retailers have looked to “re-shore” a portion of their supply chain more locally which has accelerated the need for digital printing capabilities. Finally, customers’ increased focus on hygiene due to COVID-19 has also led to a focus on sustainability which is addressed by our digital printing systems due to their reduced industrial water consumption and discharge of toxic chemicals compared to analog systems. We believe that our business is in a strong position to take advantage of the acceleration in these trends as indicated by the significant increase in our revenues in the second quarter of 2020.</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536" w:right="1440" w:bottom="1440" w:gutter="0" w:footer="0" w:header="0"/>
        </w:sectPr>
      </w:pPr>
    </w:p>
    <w:bookmarkStart w:id="9" w:name="page10"/>
    <w:bookmarkEnd w:id="9"/>
    <w:p>
      <w:pPr>
        <w:jc w:val="both"/>
        <w:ind w:left="540" w:right="559" w:firstLine="432"/>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24968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7310" cy="2496820"/>
                    </a:xfrm>
                    <a:prstGeom prst="rect">
                      <a:avLst/>
                    </a:prstGeom>
                    <a:noFill/>
                  </pic:spPr>
                </pic:pic>
              </a:graphicData>
            </a:graphic>
          </wp:anchor>
        </w:drawing>
        <w:t>In the final analysis, the extent of the impact of the COVID-19 outbreak on our operational and financial performance will depend on factors outside of our control, including the duration and spread of the outbreak, its impact on our customers and suppliers and the range of governmental and community reactions to the pandemic, which are uncertain and cannot be fully predicted at this time. We will continue to proactively respond to the situation and may take further actions that alter our business operations as may be required by governmental authorities or that we determine are in the best interests of our employees and customers.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62" w:lineRule="exact"/>
        <w:rPr>
          <w:sz w:val="20"/>
          <w:szCs w:val="20"/>
          <w:color w:val="auto"/>
        </w:rPr>
      </w:pPr>
    </w:p>
    <w:p>
      <w:pPr>
        <w:jc w:val="both"/>
        <w:ind w:left="540" w:right="559" w:firstLine="432"/>
        <w:spacing w:after="0" w:line="256" w:lineRule="auto"/>
        <w:rPr>
          <w:sz w:val="20"/>
          <w:szCs w:val="20"/>
          <w:color w:val="auto"/>
        </w:rPr>
      </w:pPr>
      <w:r>
        <w:rPr>
          <w:rFonts w:ascii="Times New Roman" w:cs="Times New Roman" w:eastAsia="Times New Roman" w:hAnsi="Times New Roman"/>
          <w:sz w:val="18"/>
          <w:szCs w:val="18"/>
          <w:color w:val="auto"/>
        </w:rPr>
        <w:t xml:space="preserve">We are incorporated under the laws of the State of Israel and our principal executive offices are located at 12 Ha’Amal Street, Rosh Ha’Ayin 4809246, Israel, and our telephone number is +972-3-908-5800. Our website address is </w:t>
      </w:r>
      <w:r>
        <w:rPr>
          <w:rFonts w:ascii="Times New Roman" w:cs="Times New Roman" w:eastAsia="Times New Roman" w:hAnsi="Times New Roman"/>
          <w:sz w:val="18"/>
          <w:szCs w:val="18"/>
          <w:i w:val="1"/>
          <w:iCs w:val="1"/>
          <w:color w:val="auto"/>
        </w:rPr>
        <w:t>www.kornit.com</w:t>
      </w:r>
      <w:r>
        <w:rPr>
          <w:rFonts w:ascii="Times New Roman" w:cs="Times New Roman" w:eastAsia="Times New Roman" w:hAnsi="Times New Roman"/>
          <w:sz w:val="18"/>
          <w:szCs w:val="18"/>
          <w:color w:val="auto"/>
        </w:rPr>
        <w:t xml:space="preserve"> (the information contained therein or linked thereto shall not be considered incorporated by reference in this prospectus supplement or the accompanying prospectus). Our agent for service of process in the United States is Kornit Digital North America Inc., located at 480 South Dean Street, Englewood, New Jersey 07631, and its telephone number is (888) 456-7648.</w:t>
      </w: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459" w:right="1440"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4804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7310" cy="8480425"/>
                    </a:xfrm>
                    <a:prstGeom prst="rect">
                      <a:avLst/>
                    </a:prstGeom>
                    <a:noFill/>
                  </pic:spPr>
                </pic:pic>
              </a:graphicData>
            </a:graphic>
          </wp:anchor>
        </w:drawing>
        <w:t>The Offering</w:t>
      </w:r>
    </w:p>
    <w:p>
      <w:pPr>
        <w:spacing w:after="0" w:line="18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Ordinary shares being offered</w:t>
      </w:r>
    </w:p>
    <w:p>
      <w:pPr>
        <w:spacing w:after="0" w:line="27" w:lineRule="exact"/>
        <w:rPr>
          <w:sz w:val="20"/>
          <w:szCs w:val="20"/>
          <w:color w:val="auto"/>
        </w:rPr>
      </w:pPr>
    </w:p>
    <w:p>
      <w:pPr>
        <w:ind w:left="720"/>
        <w:spacing w:after="0"/>
        <w:tabs>
          <w:tab w:leader="none" w:pos="3160" w:val="left"/>
          <w:tab w:leader="none" w:pos="4040" w:val="left"/>
          <w:tab w:leader="none" w:pos="4780" w:val="left"/>
          <w:tab w:leader="none" w:pos="5380" w:val="left"/>
          <w:tab w:leader="none" w:pos="5740" w:val="left"/>
          <w:tab w:leader="none" w:pos="6600" w:val="left"/>
          <w:tab w:leader="none" w:pos="7360" w:val="left"/>
          <w:tab w:leader="none" w:pos="7940" w:val="left"/>
          <w:tab w:leader="none" w:pos="8200" w:val="left"/>
        </w:tabs>
        <w:rPr>
          <w:sz w:val="20"/>
          <w:szCs w:val="20"/>
          <w:color w:val="auto"/>
        </w:rPr>
      </w:pPr>
      <w:r>
        <w:rPr>
          <w:rFonts w:ascii="Times New Roman" w:cs="Times New Roman" w:eastAsia="Times New Roman" w:hAnsi="Times New Roman"/>
          <w:sz w:val="18"/>
          <w:szCs w:val="18"/>
          <w:color w:val="auto"/>
        </w:rPr>
        <w:t>by us</w:t>
      </w:r>
      <w:r>
        <w:rPr>
          <w:sz w:val="20"/>
          <w:szCs w:val="20"/>
          <w:color w:val="auto"/>
        </w:rPr>
        <w:tab/>
      </w:r>
      <w:r>
        <w:rPr>
          <w:rFonts w:ascii="Times New Roman" w:cs="Times New Roman" w:eastAsia="Times New Roman" w:hAnsi="Times New Roman"/>
          <w:sz w:val="18"/>
          <w:szCs w:val="18"/>
          <w:color w:val="auto"/>
        </w:rPr>
        <w:t>2,388,268</w:t>
        <w:tab/>
        <w:t>ordinary</w:t>
        <w:tab/>
        <w:t>shares</w:t>
        <w:tab/>
        <w:t>(or</w:t>
        <w:tab/>
        <w:t>2,999,999</w:t>
        <w:tab/>
        <w:t>ordinary</w:t>
        <w:tab/>
        <w:t>shares</w:t>
        <w:tab/>
        <w:t>if</w:t>
        <w:tab/>
        <w:t>the</w:t>
      </w:r>
    </w:p>
    <w:p>
      <w:pPr>
        <w:spacing w:after="0" w:line="9" w:lineRule="exact"/>
        <w:rPr>
          <w:sz w:val="20"/>
          <w:szCs w:val="20"/>
          <w:color w:val="auto"/>
        </w:rPr>
      </w:pPr>
    </w:p>
    <w:p>
      <w:pPr>
        <w:ind w:left="3180" w:right="579"/>
        <w:spacing w:after="0" w:line="260" w:lineRule="auto"/>
        <w:rPr>
          <w:sz w:val="20"/>
          <w:szCs w:val="20"/>
          <w:color w:val="auto"/>
        </w:rPr>
      </w:pPr>
      <w:r>
        <w:rPr>
          <w:rFonts w:ascii="Times New Roman" w:cs="Times New Roman" w:eastAsia="Times New Roman" w:hAnsi="Times New Roman"/>
          <w:sz w:val="18"/>
          <w:szCs w:val="18"/>
          <w:color w:val="auto"/>
        </w:rPr>
        <w:t>underwriters exercise in full their option to purchase additional ordinary shares).</w:t>
      </w:r>
    </w:p>
    <w:p>
      <w:pPr>
        <w:spacing w:after="0" w:line="15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Ordinary shares being offered by</w:t>
      </w:r>
    </w:p>
    <w:p>
      <w:pPr>
        <w:spacing w:after="0" w:line="27" w:lineRule="exact"/>
        <w:rPr>
          <w:sz w:val="20"/>
          <w:szCs w:val="20"/>
          <w:color w:val="auto"/>
        </w:rPr>
      </w:pPr>
    </w:p>
    <w:p>
      <w:pPr>
        <w:ind w:left="720"/>
        <w:spacing w:after="0"/>
        <w:tabs>
          <w:tab w:leader="none" w:pos="3160" w:val="left"/>
        </w:tabs>
        <w:rPr>
          <w:sz w:val="20"/>
          <w:szCs w:val="20"/>
          <w:color w:val="auto"/>
        </w:rPr>
      </w:pPr>
      <w:r>
        <w:rPr>
          <w:rFonts w:ascii="Times New Roman" w:cs="Times New Roman" w:eastAsia="Times New Roman" w:hAnsi="Times New Roman"/>
          <w:sz w:val="18"/>
          <w:szCs w:val="18"/>
          <w:color w:val="auto"/>
        </w:rPr>
        <w:t>the selling shareholder</w:t>
      </w:r>
      <w:r>
        <w:rPr>
          <w:sz w:val="20"/>
          <w:szCs w:val="20"/>
          <w:color w:val="auto"/>
        </w:rPr>
        <w:tab/>
      </w:r>
      <w:r>
        <w:rPr>
          <w:rFonts w:ascii="Times New Roman" w:cs="Times New Roman" w:eastAsia="Times New Roman" w:hAnsi="Times New Roman"/>
          <w:sz w:val="18"/>
          <w:szCs w:val="18"/>
          <w:color w:val="auto"/>
        </w:rPr>
        <w:t>1,689,942 ordinary shares.</w:t>
      </w:r>
    </w:p>
    <w:p>
      <w:pPr>
        <w:spacing w:after="0" w:line="18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Ordinary shares outstanding</w:t>
      </w:r>
    </w:p>
    <w:p>
      <w:pPr>
        <w:spacing w:after="0" w:line="2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immediately prior to this</w:t>
      </w:r>
    </w:p>
    <w:p>
      <w:pPr>
        <w:spacing w:after="0" w:line="9" w:lineRule="exact"/>
        <w:rPr>
          <w:sz w:val="20"/>
          <w:szCs w:val="20"/>
          <w:color w:val="auto"/>
        </w:rPr>
      </w:pPr>
    </w:p>
    <w:p>
      <w:pPr>
        <w:ind w:left="720"/>
        <w:spacing w:after="0"/>
        <w:tabs>
          <w:tab w:leader="none" w:pos="3160" w:val="left"/>
        </w:tabs>
        <w:rPr>
          <w:sz w:val="20"/>
          <w:szCs w:val="20"/>
          <w:color w:val="auto"/>
        </w:rPr>
      </w:pPr>
      <w:r>
        <w:rPr>
          <w:rFonts w:ascii="Times New Roman" w:cs="Times New Roman" w:eastAsia="Times New Roman" w:hAnsi="Times New Roman"/>
          <w:sz w:val="18"/>
          <w:szCs w:val="18"/>
          <w:color w:val="auto"/>
        </w:rPr>
        <w:t>offering</w:t>
      </w:r>
      <w:r>
        <w:rPr>
          <w:sz w:val="20"/>
          <w:szCs w:val="20"/>
          <w:color w:val="auto"/>
        </w:rPr>
        <w:tab/>
      </w:r>
      <w:r>
        <w:rPr>
          <w:rFonts w:ascii="Times New Roman" w:cs="Times New Roman" w:eastAsia="Times New Roman" w:hAnsi="Times New Roman"/>
          <w:sz w:val="18"/>
          <w:szCs w:val="18"/>
          <w:color w:val="auto"/>
        </w:rPr>
        <w:t>40,941,575</w:t>
      </w:r>
    </w:p>
    <w:p>
      <w:pPr>
        <w:spacing w:after="0" w:line="18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Ordinary shares outstanding upon</w:t>
      </w:r>
    </w:p>
    <w:p>
      <w:pPr>
        <w:spacing w:after="0" w:line="27" w:lineRule="exact"/>
        <w:rPr>
          <w:sz w:val="20"/>
          <w:szCs w:val="20"/>
          <w:color w:val="auto"/>
        </w:rPr>
      </w:pPr>
    </w:p>
    <w:p>
      <w:pPr>
        <w:ind w:left="720"/>
        <w:spacing w:after="0"/>
        <w:tabs>
          <w:tab w:leader="none" w:pos="3160" w:val="left"/>
        </w:tabs>
        <w:rPr>
          <w:sz w:val="20"/>
          <w:szCs w:val="20"/>
          <w:color w:val="auto"/>
        </w:rPr>
      </w:pPr>
      <w:r>
        <w:rPr>
          <w:rFonts w:ascii="Times New Roman" w:cs="Times New Roman" w:eastAsia="Times New Roman" w:hAnsi="Times New Roman"/>
          <w:sz w:val="18"/>
          <w:szCs w:val="18"/>
          <w:color w:val="auto"/>
        </w:rPr>
        <w:t>completion of this offering</w:t>
      </w:r>
      <w:r>
        <w:rPr>
          <w:sz w:val="20"/>
          <w:szCs w:val="20"/>
          <w:color w:val="auto"/>
        </w:rPr>
        <w:tab/>
      </w:r>
      <w:r>
        <w:rPr>
          <w:rFonts w:ascii="Times New Roman" w:cs="Times New Roman" w:eastAsia="Times New Roman" w:hAnsi="Times New Roman"/>
          <w:sz w:val="18"/>
          <w:szCs w:val="18"/>
          <w:color w:val="auto"/>
        </w:rPr>
        <w:t>45,019,785  ordinary  shares  (or  45,631,516  ordinary  shares  if  the</w:t>
      </w:r>
    </w:p>
    <w:p>
      <w:pPr>
        <w:spacing w:after="0" w:line="9" w:lineRule="exact"/>
        <w:rPr>
          <w:sz w:val="20"/>
          <w:szCs w:val="20"/>
          <w:color w:val="auto"/>
        </w:rPr>
      </w:pPr>
    </w:p>
    <w:p>
      <w:pPr>
        <w:ind w:left="3180" w:right="579"/>
        <w:spacing w:after="0" w:line="260" w:lineRule="auto"/>
        <w:rPr>
          <w:sz w:val="20"/>
          <w:szCs w:val="20"/>
          <w:color w:val="auto"/>
        </w:rPr>
      </w:pPr>
      <w:r>
        <w:rPr>
          <w:rFonts w:ascii="Times New Roman" w:cs="Times New Roman" w:eastAsia="Times New Roman" w:hAnsi="Times New Roman"/>
          <w:sz w:val="18"/>
          <w:szCs w:val="18"/>
          <w:color w:val="auto"/>
        </w:rPr>
        <w:t>underwriters exercise in full their option to purchase additional ordinary shares).</w:t>
      </w:r>
    </w:p>
    <w:p>
      <w:pPr>
        <w:spacing w:after="0" w:line="154" w:lineRule="exact"/>
        <w:rPr>
          <w:sz w:val="20"/>
          <w:szCs w:val="20"/>
          <w:color w:val="auto"/>
        </w:rPr>
      </w:pPr>
    </w:p>
    <w:p>
      <w:pPr>
        <w:ind w:left="540"/>
        <w:spacing w:after="0"/>
        <w:tabs>
          <w:tab w:leader="none" w:pos="3160" w:val="left"/>
        </w:tabs>
        <w:rPr>
          <w:sz w:val="20"/>
          <w:szCs w:val="20"/>
          <w:color w:val="auto"/>
        </w:rPr>
      </w:pPr>
      <w:r>
        <w:rPr>
          <w:rFonts w:ascii="Times New Roman" w:cs="Times New Roman" w:eastAsia="Times New Roman" w:hAnsi="Times New Roman"/>
          <w:sz w:val="18"/>
          <w:szCs w:val="18"/>
          <w:color w:val="auto"/>
        </w:rPr>
        <w:t>Use of proceeds</w:t>
      </w:r>
      <w:r>
        <w:rPr>
          <w:sz w:val="20"/>
          <w:szCs w:val="20"/>
          <w:color w:val="auto"/>
        </w:rPr>
        <w:tab/>
      </w:r>
      <w:r>
        <w:rPr>
          <w:rFonts w:ascii="Times New Roman" w:cs="Times New Roman" w:eastAsia="Times New Roman" w:hAnsi="Times New Roman"/>
          <w:sz w:val="18"/>
          <w:szCs w:val="18"/>
          <w:color w:val="auto"/>
        </w:rPr>
        <w:t>We expect to receive net proceeds from this offering of approximately</w:t>
      </w:r>
    </w:p>
    <w:p>
      <w:pPr>
        <w:spacing w:after="0" w:line="27"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color w:val="auto"/>
        </w:rPr>
        <w:t>$128.9, or approximately $162.1 million if the underwriters exercise in</w:t>
      </w:r>
    </w:p>
    <w:p>
      <w:pPr>
        <w:spacing w:after="0" w:line="9"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color w:val="auto"/>
        </w:rPr>
        <w:t>full their option to purchase additional ordinary shares, after deducting</w:t>
      </w:r>
    </w:p>
    <w:p>
      <w:pPr>
        <w:spacing w:after="0" w:line="9" w:lineRule="exact"/>
        <w:rPr>
          <w:sz w:val="20"/>
          <w:szCs w:val="20"/>
          <w:color w:val="auto"/>
        </w:rPr>
      </w:pPr>
    </w:p>
    <w:p>
      <w:pPr>
        <w:ind w:left="3180"/>
        <w:spacing w:after="0"/>
        <w:tabs>
          <w:tab w:leader="none" w:pos="4260" w:val="left"/>
          <w:tab w:leader="none" w:pos="5080" w:val="left"/>
          <w:tab w:leader="none" w:pos="5500" w:val="left"/>
          <w:tab w:leader="none" w:pos="6600" w:val="left"/>
          <w:tab w:leader="none" w:pos="7000" w:val="left"/>
          <w:tab w:leader="none" w:pos="7840" w:val="left"/>
        </w:tabs>
        <w:rPr>
          <w:sz w:val="20"/>
          <w:szCs w:val="20"/>
          <w:color w:val="auto"/>
        </w:rPr>
      </w:pPr>
      <w:r>
        <w:rPr>
          <w:rFonts w:ascii="Times New Roman" w:cs="Times New Roman" w:eastAsia="Times New Roman" w:hAnsi="Times New Roman"/>
          <w:sz w:val="18"/>
          <w:szCs w:val="18"/>
          <w:color w:val="auto"/>
        </w:rPr>
        <w:t>underwriting</w:t>
        <w:tab/>
        <w:t>discounts</w:t>
        <w:tab/>
        <w:t>and</w:t>
        <w:tab/>
        <w:t>commissions</w:t>
        <w:tab/>
        <w:t>and</w:t>
        <w:tab/>
        <w:t>estimated</w:t>
        <w:tab/>
        <w:t>offering</w:t>
      </w:r>
    </w:p>
    <w:p>
      <w:pPr>
        <w:spacing w:after="0" w:line="9"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color w:val="auto"/>
        </w:rPr>
        <w:t>expenses payable by us. We intend to use the net proceeds from this</w:t>
      </w:r>
    </w:p>
    <w:p>
      <w:pPr>
        <w:spacing w:after="0" w:line="9"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color w:val="auto"/>
        </w:rPr>
        <w:t>offering  for  future  potential  acquisitions,  including  complementary</w:t>
      </w:r>
    </w:p>
    <w:p>
      <w:pPr>
        <w:spacing w:after="0" w:line="9"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color w:val="auto"/>
        </w:rPr>
        <w:t>businesses, technologies or assets, and for general corporate purposes,</w:t>
      </w:r>
    </w:p>
    <w:p>
      <w:pPr>
        <w:spacing w:after="0" w:line="9"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color w:val="auto"/>
        </w:rPr>
        <w:t>including  working  capital  and  capital  expenditures.  We  have  no</w:t>
      </w:r>
    </w:p>
    <w:p>
      <w:pPr>
        <w:spacing w:after="0" w:line="9"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color w:val="auto"/>
        </w:rPr>
        <w:t>agreements  or  understandings  with  respect  to  any  acquisition  or</w:t>
      </w:r>
    </w:p>
    <w:p>
      <w:pPr>
        <w:spacing w:after="0" w:line="9"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color w:val="auto"/>
        </w:rPr>
        <w:t>investment at this time. See “Use of Proceeds.”</w:t>
      </w:r>
    </w:p>
    <w:p>
      <w:pPr>
        <w:spacing w:after="0" w:line="180" w:lineRule="exact"/>
        <w:rPr>
          <w:sz w:val="20"/>
          <w:szCs w:val="20"/>
          <w:color w:val="auto"/>
        </w:rPr>
      </w:pPr>
    </w:p>
    <w:p>
      <w:pPr>
        <w:ind w:left="3180" w:right="579"/>
        <w:spacing w:after="0" w:line="282" w:lineRule="auto"/>
        <w:rPr>
          <w:sz w:val="20"/>
          <w:szCs w:val="20"/>
          <w:color w:val="auto"/>
        </w:rPr>
      </w:pPr>
      <w:r>
        <w:rPr>
          <w:rFonts w:ascii="Times New Roman" w:cs="Times New Roman" w:eastAsia="Times New Roman" w:hAnsi="Times New Roman"/>
          <w:sz w:val="18"/>
          <w:szCs w:val="18"/>
          <w:color w:val="auto"/>
        </w:rPr>
        <w:t>We will not receive any of the proceeds from the sale of shares by the selling shareholder.</w:t>
      </w:r>
    </w:p>
    <w:p>
      <w:pPr>
        <w:spacing w:after="0" w:line="13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Nasdaq Global Select Market</w:t>
      </w:r>
    </w:p>
    <w:p>
      <w:pPr>
        <w:spacing w:after="0" w:line="27" w:lineRule="exact"/>
        <w:rPr>
          <w:sz w:val="20"/>
          <w:szCs w:val="20"/>
          <w:color w:val="auto"/>
        </w:rPr>
      </w:pPr>
    </w:p>
    <w:p>
      <w:pPr>
        <w:ind w:left="720"/>
        <w:spacing w:after="0"/>
        <w:tabs>
          <w:tab w:leader="none" w:pos="3160" w:val="left"/>
        </w:tabs>
        <w:rPr>
          <w:sz w:val="20"/>
          <w:szCs w:val="20"/>
          <w:color w:val="auto"/>
        </w:rPr>
      </w:pPr>
      <w:r>
        <w:rPr>
          <w:rFonts w:ascii="Times New Roman" w:cs="Times New Roman" w:eastAsia="Times New Roman" w:hAnsi="Times New Roman"/>
          <w:sz w:val="18"/>
          <w:szCs w:val="18"/>
          <w:color w:val="auto"/>
        </w:rPr>
        <w:t>symbol</w:t>
      </w:r>
      <w:r>
        <w:rPr>
          <w:sz w:val="20"/>
          <w:szCs w:val="20"/>
          <w:color w:val="auto"/>
        </w:rPr>
        <w:tab/>
      </w:r>
      <w:r>
        <w:rPr>
          <w:rFonts w:ascii="Times New Roman" w:cs="Times New Roman" w:eastAsia="Times New Roman" w:hAnsi="Times New Roman"/>
          <w:sz w:val="18"/>
          <w:szCs w:val="18"/>
          <w:color w:val="auto"/>
        </w:rPr>
        <w:t>“KRNT”</w:t>
      </w:r>
    </w:p>
    <w:p>
      <w:pPr>
        <w:spacing w:after="0" w:line="180" w:lineRule="exact"/>
        <w:rPr>
          <w:sz w:val="20"/>
          <w:szCs w:val="20"/>
          <w:color w:val="auto"/>
        </w:rPr>
      </w:pPr>
    </w:p>
    <w:p>
      <w:pPr>
        <w:ind w:left="540"/>
        <w:spacing w:after="0"/>
        <w:tabs>
          <w:tab w:leader="none" w:pos="3160" w:val="left"/>
        </w:tabs>
        <w:rPr>
          <w:sz w:val="20"/>
          <w:szCs w:val="20"/>
          <w:color w:val="auto"/>
        </w:rPr>
      </w:pPr>
      <w:r>
        <w:rPr>
          <w:rFonts w:ascii="Times New Roman" w:cs="Times New Roman" w:eastAsia="Times New Roman" w:hAnsi="Times New Roman"/>
          <w:sz w:val="18"/>
          <w:szCs w:val="18"/>
          <w:color w:val="auto"/>
        </w:rPr>
        <w:t>Risk factors</w:t>
      </w:r>
      <w:r>
        <w:rPr>
          <w:sz w:val="20"/>
          <w:szCs w:val="20"/>
          <w:color w:val="auto"/>
        </w:rPr>
        <w:tab/>
      </w:r>
      <w:r>
        <w:rPr>
          <w:rFonts w:ascii="Times New Roman" w:cs="Times New Roman" w:eastAsia="Times New Roman" w:hAnsi="Times New Roman"/>
          <w:sz w:val="18"/>
          <w:szCs w:val="18"/>
          <w:color w:val="auto"/>
        </w:rPr>
        <w:t>See “Risk Factors” and other information included and incorporated by</w:t>
      </w:r>
    </w:p>
    <w:p>
      <w:pPr>
        <w:spacing w:after="0" w:line="27" w:lineRule="exact"/>
        <w:rPr>
          <w:sz w:val="20"/>
          <w:szCs w:val="20"/>
          <w:color w:val="auto"/>
        </w:rPr>
      </w:pPr>
    </w:p>
    <w:p>
      <w:pPr>
        <w:ind w:left="3180"/>
        <w:spacing w:after="0"/>
        <w:tabs>
          <w:tab w:leader="none" w:pos="4000" w:val="left"/>
          <w:tab w:leader="none" w:pos="4280" w:val="left"/>
          <w:tab w:leader="none" w:pos="4700" w:val="left"/>
          <w:tab w:leader="none" w:pos="5620" w:val="left"/>
          <w:tab w:leader="none" w:pos="6600" w:val="left"/>
          <w:tab w:leader="none" w:pos="7000" w:val="left"/>
          <w:tab w:leader="none" w:pos="7380" w:val="left"/>
        </w:tabs>
        <w:rPr>
          <w:sz w:val="20"/>
          <w:szCs w:val="20"/>
          <w:color w:val="auto"/>
        </w:rPr>
      </w:pPr>
      <w:r>
        <w:rPr>
          <w:rFonts w:ascii="Times New Roman" w:cs="Times New Roman" w:eastAsia="Times New Roman" w:hAnsi="Times New Roman"/>
          <w:sz w:val="18"/>
          <w:szCs w:val="18"/>
          <w:color w:val="auto"/>
        </w:rPr>
        <w:t>reference</w:t>
        <w:tab/>
        <w:t>in</w:t>
        <w:tab/>
        <w:t>this</w:t>
        <w:tab/>
        <w:t>prospectus</w:t>
        <w:tab/>
        <w:t>supplement</w:t>
        <w:tab/>
        <w:t>and</w:t>
        <w:tab/>
        <w:t>the</w:t>
      </w:r>
      <w:r>
        <w:rPr>
          <w:sz w:val="20"/>
          <w:szCs w:val="20"/>
          <w:color w:val="auto"/>
        </w:rPr>
        <w:tab/>
      </w:r>
      <w:r>
        <w:rPr>
          <w:rFonts w:ascii="Times New Roman" w:cs="Times New Roman" w:eastAsia="Times New Roman" w:hAnsi="Times New Roman"/>
          <w:sz w:val="17"/>
          <w:szCs w:val="17"/>
          <w:color w:val="auto"/>
        </w:rPr>
        <w:t>accompanying</w:t>
      </w:r>
    </w:p>
    <w:p>
      <w:pPr>
        <w:spacing w:after="0" w:line="9"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color w:val="auto"/>
        </w:rPr>
        <w:t>prospectus for a discussion of factors you should carefully consider</w:t>
      </w:r>
    </w:p>
    <w:p>
      <w:pPr>
        <w:spacing w:after="0" w:line="9"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color w:val="auto"/>
        </w:rPr>
        <w:t>before deciding to invest in our ordinary shares.</w:t>
      </w:r>
    </w:p>
    <w:p>
      <w:pPr>
        <w:spacing w:after="0" w:line="207" w:lineRule="exact"/>
        <w:rPr>
          <w:sz w:val="20"/>
          <w:szCs w:val="20"/>
          <w:color w:val="auto"/>
        </w:rPr>
      </w:pPr>
    </w:p>
    <w:p>
      <w:pPr>
        <w:jc w:val="both"/>
        <w:ind w:left="540" w:right="559" w:firstLine="432"/>
        <w:spacing w:after="0" w:line="261" w:lineRule="auto"/>
        <w:rPr>
          <w:sz w:val="20"/>
          <w:szCs w:val="20"/>
          <w:color w:val="auto"/>
        </w:rPr>
      </w:pPr>
      <w:r>
        <w:rPr>
          <w:rFonts w:ascii="Times New Roman" w:cs="Times New Roman" w:eastAsia="Times New Roman" w:hAnsi="Times New Roman"/>
          <w:sz w:val="18"/>
          <w:szCs w:val="18"/>
          <w:color w:val="auto"/>
        </w:rPr>
        <w:t>Unless otherwise indicated, the number of ordinary shares outstanding before and after this offering is based on the number of ordinary shares outstanding as of June 30, 2020 and excludes as of that date:</w:t>
      </w:r>
    </w:p>
    <w:p>
      <w:pPr>
        <w:jc w:val="both"/>
        <w:ind w:left="540" w:right="559" w:firstLine="4"/>
        <w:spacing w:after="0" w:line="251" w:lineRule="auto"/>
        <w:tabs>
          <w:tab w:leader="none" w:pos="80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2,981,902 ordinary shares available for future awards under our equity incentive plans, (2) an additional 861,174 ordinary shares underlying outstanding options under our equity incentive plans, at a weighted average exercise price of $17.83 per share, and 920,263 shares issuable pursuant to restricted share units and performance share units outstanding under our equity incentive plans. It also excludes (1) 2,932,176 ordinary shares issuable pursuant the Original Warrant, 2,162,463 of which were vested and exercisable as of September 16, 2020 at an exercise price of $13.04 per share and (2) 3,401,028 ordinary shares issuable pursuant to the New Warrant, none of which were vested and exercisable as of September 16, 2020 at an exercise price of $59.26 per share. The selling shareholder exercised the Original Warrant on a cashless (net) exercise basis in connection with this offering resulting in the issuance to it of 1,689,942 ordinary shares.</w:t>
      </w:r>
    </w:p>
    <w:p>
      <w:pPr>
        <w:spacing w:after="0" w:line="12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Unless otherwise indicated, all information contained in this prospectus:</w:t>
      </w:r>
    </w:p>
    <w:p>
      <w:pPr>
        <w:spacing w:after="0" w:line="158" w:lineRule="exact"/>
        <w:rPr>
          <w:sz w:val="20"/>
          <w:szCs w:val="20"/>
          <w:color w:val="auto"/>
        </w:rPr>
      </w:pPr>
    </w:p>
    <w:p>
      <w:pPr>
        <w:ind w:left="1400" w:right="559" w:hanging="424"/>
        <w:spacing w:after="0" w:line="282" w:lineRule="auto"/>
        <w:tabs>
          <w:tab w:leader="none" w:pos="143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no exercise of the option granted to the underwriters to purchase from us up to 611,731 additional ordinary shares; and</w:t>
      </w:r>
    </w:p>
    <w:p>
      <w:pPr>
        <w:spacing w:after="0" w:line="80" w:lineRule="exact"/>
        <w:rPr>
          <w:rFonts w:ascii="Times New Roman" w:cs="Times New Roman" w:eastAsia="Times New Roman" w:hAnsi="Times New Roman"/>
          <w:sz w:val="18"/>
          <w:szCs w:val="18"/>
          <w:color w:val="auto"/>
        </w:rPr>
      </w:pPr>
    </w:p>
    <w:p>
      <w:pPr>
        <w:jc w:val="both"/>
        <w:ind w:left="1400" w:right="559" w:hanging="424"/>
        <w:spacing w:after="0" w:line="266" w:lineRule="auto"/>
        <w:tabs>
          <w:tab w:leader="none" w:pos="144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gives effect to the exercise of the Original Warrant held by the selling shareholder on a cashless (net) basis using the 30-day trailing VWAP as of September 15, 2020, resulting in the issuance to it of 1,689,942 ordinary shares.</w:t>
      </w:r>
    </w:p>
    <w:p>
      <w:pPr>
        <w:sectPr>
          <w:pgSz w:w="11900" w:h="16838" w:orient="portrait"/>
          <w:cols w:equalWidth="0" w:num="1">
            <w:col w:w="9019"/>
          </w:cols>
          <w:pgMar w:left="1440" w:top="536" w:right="1440" w:bottom="1440" w:gutter="0" w:footer="0" w:header="0"/>
        </w:sect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536" w:right="1440" w:bottom="1440" w:gutter="0" w:footer="0" w:header="0"/>
          <w:type w:val="continuous"/>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6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i w:val="1"/>
          <w:iCs w:val="1"/>
          <w:color w:val="auto"/>
        </w:rPr>
        <w:t>Investing in our ordinary shares involves a high degree of risk. You should consider carefully the risks and uncertainties described below together with the other information included in this prospectus supplement, the accompanying prospectus and incorporated by reference herein, before deciding to purchase our ordinary shares. In addition, you should carefully consider, among other things, the section entitled “Risk Factors” beginning on page 2 of our Annual Report on Form 20-F for the year ended December 31, 2019 and in other documents that we subsequently file or furnish with the SEC, of which all of the filed documents and, to the extent specifically designated therein, the furnished documents are incorporated by reference into this prospectus supplement. The risks described below and incorporated herein by reference are those which we believe are the material risks that we face. The occurrence of any of these risks may materially and adversely affect our business, financial condition, results of operations and future prospects. In such an event, the market price of our ordinary shares could decline, and you could lose part or all of your investment.</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Related to Our Business, Our Ordinary Shares and the Offering</w:t>
      </w:r>
    </w:p>
    <w:p>
      <w:pPr>
        <w:spacing w:after="0" w:line="225"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our ordinary shares could be negatively affected by this offering and future sales of our ordinary shares.</w:t>
      </w:r>
    </w:p>
    <w:p>
      <w:pPr>
        <w:spacing w:after="0" w:line="7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Future sales by us or our shareholders of a substantial number of ordinary shares in the public market, or the perception that these sales might occur, could cause the market price of our ordinary shares to decline or could impair our ability to raise capital through a future sale of, or pay for acquisitions using, our equity securities.</w:t>
      </w:r>
    </w:p>
    <w:p>
      <w:pPr>
        <w:spacing w:after="0" w:line="11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the selling shareholder and our directors and officers have agreed with the underwriters that, subject to limited exceptions, for a period of 90 days after the date of this prospectus supplement, we and they will not directly or indirectly offer, pledge, sell, contract to sell, grant any option to purchase or otherwise dispose of any ordinary shares or any securities convertible into or exercisable or exchangeable for ordinary shares (other than, with respect to us, ordinary shares issued pursuant to employee benefit plans, qualified share option plans, or other employee compensation plans existing on the date of this prospectus supplement or upon exercise of currently outstanding options, warrants or rights, and with respect to our directors and executive officers, ordinary shares sold pursuant to pre-existing plans established pursuant to Rule 10b5-1 under the Exchange Act), or in any manner transfer all or a portion of the economic consequences associated with the ownership of ordinary shares, or cause a registration statement covering any ordinary shares to be filed except for the ordinary shares offered in this offering, without the prior written consent of Citigroup Global Markets, Barclays Capital Inc. and Goldman Sachs &amp; Co. LLC., who may, in their sole discretion and at any time without notice, release all or any portion of the shares subject to those lock-up agreements. See “Underwriting.”</w:t>
      </w:r>
    </w:p>
    <w:p>
      <w:pPr>
        <w:spacing w:after="0" w:line="120"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Amazon is entitled to certain registration rights with respect to shares underlying the new warrant, once vested. All shares sold pursuant to an offering covered by a registration statement will be freely transferable except if purchased by an affiliate.</w:t>
      </w:r>
    </w:p>
    <w:p>
      <w:pPr>
        <w:spacing w:after="0" w:line="95"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In addition, as of June 30, 2020, 2,981,902 ordinary shares were available for future awards under our equity incentive plans, and an additional 861,174 ordinary shares were issuable pursuant to outstanding options granted under our equity incentive plans and 920,263 were issuable pursuant to restricted share units and performance share units under our equity incentive plans. We have filed registration statements on Form S-8 under the Securities Act registering ordinary shares that we may issue under our equity incentive plans. Shares included in such registration statements may be freely sold in the public market upon issuance, except for shares held by affiliates who have certain restrictions on their ability to sell.</w:t>
      </w:r>
    </w:p>
    <w:p>
      <w:pPr>
        <w:spacing w:after="0" w:line="185"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broad discretion to determine how to use the funds that we receive from this offering, and we may use them in ways that may not enhance our results of operations or the price of our ordinary shares.</w:t>
      </w:r>
    </w:p>
    <w:p>
      <w:pPr>
        <w:spacing w:after="0" w:line="9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currently intend to use the net proceeds that we receive from this offering for future acquisitions, including complementary businesses, technologies or assets, and for general corporate purposes, including working capital and capital expenditures. We have no agreements or understandings with respect to any acquisition or investment at this time. Accordingly, we will have broad discretion as to how we use the net proceeds that we receive from this offering. We could spend the proceeds that we receive from this offering in ways that our shareholders may not agree with or that do not yield a favorable return. You will not have the opportunity as part of your investment decision to assess whether the net proceeds are being used appropriately. Investors in this offering will need to rely upon the judgment</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2" w:name="page13"/>
    <w:bookmarkEnd w:id="12"/>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of our Board of Directors and management with respect to the use of proceeds. If we do not use the net proceeds that we receive in this offering effectively, our business, financial condition, results of operations and prospects could be harmed, and the market price of our ordinary shares could decline.</w:t>
      </w:r>
    </w:p>
    <w:p>
      <w:pPr>
        <w:spacing w:after="0" w:line="9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We will not receive any of the proceeds from the sale of shares by the selling shareholder.</w:t>
      </w:r>
    </w:p>
    <w:p>
      <w:pPr>
        <w:spacing w:after="0" w:line="221"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recent global COVID-19 outbreak has had, and could continue to have, harmful effects on our business and results of operations.</w:t>
      </w:r>
    </w:p>
    <w:p>
      <w:pPr>
        <w:spacing w:after="0" w:line="91"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COVID-19 pandemic and efforts to control its spread have significantly curtailed the movement of people, goods and services worldwide, including in most or all of the regions in which we sell our products and services and conduct our business operations.</w:t>
      </w:r>
    </w:p>
    <w:p>
      <w:pPr>
        <w:spacing w:after="0" w:line="10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At the start of the pandemic, we acted decisively to ensure the safety and health of our staff while maintaining business continuity. In the second quarter of 2020, most of our offices were temporarily closed and most of our employees were working remotely as a precautionary measure intended to minimize the risk of the virus to them, our customers, partners and the communities in which we operate. In addition, our manufacturing sites and R&amp;D facilities operated in staggered shifts and our service teams worked closely with our customers, and our global staff shifted to work from home where needed. During the second quarter of 2020, all our manufacturing and R&amp;D sites returned to full service and our experience centers re-opened and continue to operate in line with safety guidelines of the local authorities. We cannot provide any assurance that our manufacturing and R&amp;D sites will continue to operate without interruption, particularly if there is a resurgence in the pandemic.</w:t>
      </w:r>
    </w:p>
    <w:p>
      <w:pPr>
        <w:spacing w:after="0" w:line="113"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While the move to remote working has not to date materially impacted our business operations and research and development activity, if our employees are to be able to continue working effectively as a result of the COVID-19 pandemic, including because of illness, quarantines, office closures, ineffective remote work arrangements or technology failures or limitations, our operations would be adversely impacted. Further, remote work arrangements may increase the risk of cybersecurity incidents, data breaches or cyber-attacks, which could have a material adverse effect on our business and results of operations, due to, among other things, the loss of proprietary data, interruptions or delays in the operation of our business, damage to our reputation and any government imposed penalty. While the move to remote working and virtual-only customer experience has not to date materially impacted our sales, we have had to postpone or cancel customer and industry events or conduct them virtually, and we cannot predict with certainty the impact these changes may have on our sales.</w:t>
      </w:r>
    </w:p>
    <w:p>
      <w:pPr>
        <w:spacing w:after="0" w:line="127"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The timing of the initial impact of COVID-19 resulted in significant deferrals of orders that we had expected would otherwise be placed before the end of the first quarter in 2020. Total revenue for the first quarter of 2020 was significantly below our expectations and, while orders rebounded in the second quarter of 2020, they are still lower than the comparable period in 2019. In addition, the pandemic also adversely impacted our cost of goods sold and our gross margin due to its impact on our supply chain. We perceive that the pandemic may be accelerating existing trends that are favorable to our business and prospects, including with respect to the penetration of e-commerce and “re-shoring” of manufacturing capabilities. Nevertheless, we continue to experience an impact on our sales and marketing due to the inability to hold in-person meetings and attend industry events which has overall resulted in longer sales cycles compared to before the pandemic. We also cannot be certain of the impact on sales of any resurgence in COVID-19 that may occur in the future. As a result of these factors and the impact of the pandemic on our customers, it is more difficult to predict our future performance and we expect it will continue to be more challenging to estimate pipeline conversion rates due to the economic uncertainty, and there is a greater risk that any guidance we provide to the market may turn out to be incorrect.</w:t>
      </w:r>
    </w:p>
    <w:p>
      <w:pPr>
        <w:spacing w:after="0" w:line="130"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In addition to other risks discussed in this prospectus supplement, the COVID-19 pandemic gives rise to a number of risks, including, but not limited to, the following:</w:t>
      </w:r>
    </w:p>
    <w:p>
      <w:pPr>
        <w:spacing w:after="0" w:line="81" w:lineRule="exact"/>
        <w:rPr>
          <w:sz w:val="20"/>
          <w:szCs w:val="20"/>
          <w:color w:val="auto"/>
        </w:rPr>
      </w:pPr>
    </w:p>
    <w:p>
      <w:pPr>
        <w:ind w:left="1320" w:right="479" w:hanging="434"/>
        <w:spacing w:after="0" w:line="282" w:lineRule="auto"/>
        <w:tabs>
          <w:tab w:leader="none" w:pos="141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sales to existing customers and to enter key adjacent markets due to more cautious purchasing and investment strategies by corporate customers;</w:t>
      </w:r>
    </w:p>
    <w:p>
      <w:pPr>
        <w:spacing w:after="0" w:line="94"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economic activity which could lead to a prolonged recession, which could negatively impact consumer discretionary spending on garments and apparel, which in turn could severely impact our business operations, financial condition and liquidity;</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 w:name="page14"/>
    <w:bookmarkEnd w:id="13"/>
    <w:p>
      <w:pPr>
        <w:jc w:val="both"/>
        <w:ind w:left="1320" w:right="459" w:hanging="434"/>
        <w:spacing w:after="0" w:line="266" w:lineRule="auto"/>
        <w:tabs>
          <w:tab w:leader="none" w:pos="136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negatively affect our customer success efforts, our ability to enter into new markets and our ability to acquire new customers, in part due to potentially lower conversion rates on risk assessments and delay and lengthen our sales cycles due to virtual meetings;</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0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bad debt reserves as customers face economic hardship and collectability becomes more uncertain, including the risk of bankruptcies;</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attract and recruit employees;</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our operating effectiveness, employee productivity, sales and marketing efforts, as our employees work from home;</w:t>
      </w:r>
    </w:p>
    <w:p>
      <w:pPr>
        <w:spacing w:after="0" w:line="80"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51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negative impact on the health of our personnel and staff, particularly if a significant number of them are impacted, which could result in a deterioration in our ability to ensure business continuity during this disruption;</w:t>
      </w:r>
    </w:p>
    <w:p>
      <w:pPr>
        <w:spacing w:after="0" w:line="108"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remotely develop and enhance our products; and</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capital.</w:t>
      </w:r>
    </w:p>
    <w:p>
      <w:pPr>
        <w:spacing w:after="0" w:line="144"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 full impact of COVID-19 on our business and our future performance may also have the effect of heightening many of our previously disclosed risk factors, including those discussed in this prospectus supplement, and is difficult to predict so that there is some level of risk that any guidance we provide to the market may turn out to be incorrect.</w:t>
      </w:r>
    </w:p>
    <w:p>
      <w:pPr>
        <w:spacing w:after="0" w:line="176"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risks associated with the provision of cloud-based software as a result of our acquisition of Custom Gateway.</w:t>
      </w:r>
    </w:p>
    <w:p>
      <w:pPr>
        <w:spacing w:after="0" w:line="9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Prior to our acquisition of Custom Gateway, we had not offered customers a subscription-based software service to manage on-demand production. We do not expect this service offering to significantly impact our results of operations in the near term; however, we believe that it exposes us to a number of potential risks, including the following:</w:t>
      </w:r>
    </w:p>
    <w:p>
      <w:pPr>
        <w:spacing w:after="0" w:line="112" w:lineRule="exact"/>
        <w:rPr>
          <w:sz w:val="20"/>
          <w:szCs w:val="20"/>
          <w:color w:val="auto"/>
        </w:rPr>
      </w:pPr>
    </w:p>
    <w:p>
      <w:pPr>
        <w:ind w:left="1300" w:hanging="41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software bugs and defects that adversely impact our customer’s production processes;</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unauthorized access, data breaches and/or loss of customer data;</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unauthorized open source software or other infringements of third-party intellectual property; and</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providing support to software users.</w:t>
      </w:r>
    </w:p>
    <w:p>
      <w:pPr>
        <w:spacing w:after="0" w:line="144"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If any of the foregoing risks materialize, our reputation may be adversely impacted which could, in turn, impact sales of our products and diminish customer confidence in us.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We expect to receive net proceeds from this offering of approximately $128.9 million, or approximately $162.1 million if the underwriters exercise in full their option to purchase additional ordinary shares from us, after deducting underwriting discounts and commissions and estimated offering expenses payable by us.</w:t>
      </w:r>
    </w:p>
    <w:p>
      <w:pPr>
        <w:spacing w:after="0" w:line="95"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We intend to use the net proceeds from this offering for future potential acquisitions, including complementary businesses, technologies or assets, and for general corporate purposes, including working capital and capital expenditures. We have no agreements or understandings with respect to any acquisition or investment at this time.</w:t>
      </w:r>
    </w:p>
    <w:p>
      <w:pPr>
        <w:spacing w:after="0" w:line="11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We will not receive any of the proceeds from the sale of shares by the selling shareholder.</w:t>
      </w:r>
    </w:p>
    <w:p>
      <w:pPr>
        <w:spacing w:after="0" w:line="185"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162" w:lineRule="exact"/>
        <w:rPr>
          <w:sz w:val="20"/>
          <w:szCs w:val="20"/>
          <w:color w:val="auto"/>
        </w:rPr>
      </w:pPr>
    </w:p>
    <w:p>
      <w:pPr>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cash and cash equivalents, available for sale marketable securities and total capitalization as of June 30, 2020:</w:t>
      </w:r>
    </w:p>
    <w:p>
      <w:pPr>
        <w:spacing w:after="0" w:line="81" w:lineRule="exact"/>
        <w:rPr>
          <w:sz w:val="20"/>
          <w:szCs w:val="20"/>
          <w:color w:val="auto"/>
        </w:rPr>
      </w:pPr>
    </w:p>
    <w:p>
      <w:pPr>
        <w:ind w:left="1300" w:hanging="41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 and</w:t>
      </w:r>
    </w:p>
    <w:p>
      <w:pPr>
        <w:spacing w:after="0" w:line="157"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5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as adjusted basis to give effect to the issuance and sale of 2,388,268 ordinary shares by us in this offering at a public offering price of $56.50, after deducting underwriting discounts and commissions and estimated offering expenses payable by us.</w:t>
      </w:r>
    </w:p>
    <w:p>
      <w:pPr>
        <w:spacing w:after="0" w:line="10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There has been no material change in our capitalization from debt or equity issuances, re-capitalizations or special dividends between June 30, 2020 and the date of this prospectus supplement. This table should be read in conjunction with “Risk Factors” above (including those incorporated by reference therein), “ITEM 5: Operating and Financial Review and Prospects” and our consolidated financial statements and the related notes incorporated by reference from our Annual Report on Form 20-F for the year ended December 31, 2019 and the financial information for the three months ended June 30, 2020 incorporated by reference from our Report of Foreign Private Issuer on Form 6-K furnished to the SEC on August 11, 2020. See “Where You Can Find More Information.”</w:t>
      </w:r>
    </w:p>
    <w:p>
      <w:pPr>
        <w:spacing w:after="0" w:line="194"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60" w:type="dxa"/>
            <w:vAlign w:val="bottom"/>
            <w:gridSpan w:val="5"/>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As of June 30, 2020</w:t>
            </w:r>
          </w:p>
        </w:tc>
        <w:tc>
          <w:tcPr>
            <w:tcW w:w="0" w:type="dxa"/>
            <w:vAlign w:val="bottom"/>
          </w:tcPr>
          <w:p>
            <w:pPr>
              <w:spacing w:after="0"/>
              <w:rPr>
                <w:sz w:val="1"/>
                <w:szCs w:val="1"/>
                <w:color w:val="auto"/>
              </w:rPr>
            </w:pPr>
          </w:p>
        </w:tc>
      </w:tr>
      <w:tr>
        <w:trPr>
          <w:trHeight w:val="47"/>
        </w:trPr>
        <w:tc>
          <w:tcPr>
            <w:tcW w:w="56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Actual</w:t>
            </w:r>
          </w:p>
        </w:tc>
        <w:tc>
          <w:tcPr>
            <w:tcW w:w="14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As Adjusted</w:t>
            </w: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360" w:type="dxa"/>
            <w:vAlign w:val="bottom"/>
            <w:tcBorders>
              <w:bottom w:val="single" w:sz="8" w:color="auto"/>
            </w:tcBorders>
            <w:gridSpan w:val="5"/>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5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60" w:type="dxa"/>
            <w:vAlign w:val="bottom"/>
            <w:gridSpan w:val="5"/>
          </w:tcPr>
          <w:p>
            <w:pPr>
              <w:jc w:val="right"/>
              <w:ind w:right="180"/>
              <w:spacing w:after="0"/>
              <w:rPr>
                <w:sz w:val="20"/>
                <w:szCs w:val="20"/>
                <w:color w:val="auto"/>
              </w:rPr>
            </w:pPr>
            <w:r>
              <w:rPr>
                <w:rFonts w:ascii="Times New Roman" w:cs="Times New Roman" w:eastAsia="Times New Roman" w:hAnsi="Times New Roman"/>
                <w:sz w:val="16"/>
                <w:szCs w:val="16"/>
                <w:color w:val="auto"/>
              </w:rPr>
              <w:t>(in thousands, except share data)</w:t>
            </w:r>
          </w:p>
        </w:tc>
        <w:tc>
          <w:tcPr>
            <w:tcW w:w="0" w:type="dxa"/>
            <w:vAlign w:val="bottom"/>
          </w:tcPr>
          <w:p>
            <w:pPr>
              <w:spacing w:after="0"/>
              <w:rPr>
                <w:sz w:val="1"/>
                <w:szCs w:val="1"/>
                <w:color w:val="auto"/>
              </w:rPr>
            </w:pPr>
          </w:p>
        </w:tc>
      </w:tr>
      <w:tr>
        <w:trPr>
          <w:trHeight w:val="46"/>
        </w:trPr>
        <w:tc>
          <w:tcPr>
            <w:tcW w:w="5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56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Cash and cash equivalents, deposits and short and long-term marketable</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237,392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366,332</w:t>
            </w: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spacing w:after="0" w:line="198" w:lineRule="exact"/>
              <w:rPr>
                <w:sz w:val="20"/>
                <w:szCs w:val="20"/>
                <w:color w:val="auto"/>
              </w:rPr>
            </w:pPr>
            <w:r>
              <w:rPr>
                <w:rFonts w:ascii="Times New Roman" w:cs="Times New Roman" w:eastAsia="Times New Roman" w:hAnsi="Times New Roman"/>
                <w:sz w:val="18"/>
                <w:szCs w:val="18"/>
                <w:color w:val="auto"/>
              </w:rPr>
              <w:t>Ordinary shares, NIS 0.01 par value: 200,000,000 shares authorized, actual;</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56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40,941,575 shares issued and outstanding, actual, and 45,019,785 shares</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issued and outstanding, as adjusted</w:t>
            </w:r>
          </w:p>
        </w:tc>
        <w:tc>
          <w:tcPr>
            <w:tcW w:w="14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106</w:t>
            </w: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313,469</w:t>
            </w: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442,397</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4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2,815</w:t>
            </w: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2,815</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18,112</w:t>
            </w: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18,112</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Receivable on account of shares</w:t>
            </w:r>
          </w:p>
        </w:tc>
        <w:tc>
          <w:tcPr>
            <w:tcW w:w="140" w:type="dxa"/>
            <w:vAlign w:val="bottom"/>
          </w:tcPr>
          <w:p>
            <w:pPr>
              <w:spacing w:after="0"/>
              <w:rPr>
                <w:sz w:val="22"/>
                <w:szCs w:val="22"/>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22"/>
                <w:szCs w:val="22"/>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334,489</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463,429</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Total capitalization</w:t>
            </w: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600" w:type="dxa"/>
            <w:vAlign w:val="bottom"/>
            <w:vMerge w:val="continue"/>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334,489</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463,429</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foregoing table excludes as of June 30, 2020: (1) 2,981,902 ordinary shares available for future awards under our equity incentive plans, (2) an additional 861,174 ordinary shares underlying outstanding options under our equity incentive plans, at a weighted average exercise price of $17.83 per share, and 920,263 shares issuable pursuant to restricted share units and performance share units outstanding under our equity incentive plans. It also excludes (1) 2,932,176 ordinary shares issuable pursuant to the Original Warrant, 2,162,463 of which were vested and exercisable as of September 16, 2020 at an exercise price of $13.04 per share and (2) 3,401,028 ordinary shares issuable pursuant to the New Warrant, none of which were vested and exercisable as of September 16, 2020 at an exercise price of $59.26 per share. The selling shareholder exercised the Original Warrant on a cashless (net) exercise basis in connection with this offering resulting in the issuance to it of 1,689,942 ordinary shares.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SELLING SHAREHOLDER</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with respect to the beneficial ownership of the selling shareholder of our ordinary shares as of September 16, 2020. On September 16, we had a total of 41,199,718 of our ordinary shares outstanding.</w:t>
      </w:r>
    </w:p>
    <w:p>
      <w:pPr>
        <w:spacing w:after="0" w:line="95"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Except as otherwise indicated, to our knowledge, the selling shareholder has sole voting and investment power with respect to all ordinary shares shown as beneficially owned by it.</w:t>
      </w:r>
    </w:p>
    <w:p>
      <w:pPr>
        <w:spacing w:after="0" w:line="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For more information regarding our relationships with the selling shareholder and its affiliates, see “Major</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Shareholders and Related Party Transactions” in our Annual Report on Form 20-F for the year ended</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December 31, 2019 filed with the SEC on March 23, 2020.</w:t>
      </w:r>
    </w:p>
    <w:p>
      <w:pPr>
        <w:spacing w:after="0" w:line="16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Shares Beneficially</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Shares Beneficially</w:t>
            </w:r>
          </w:p>
        </w:tc>
        <w:tc>
          <w:tcPr>
            <w:tcW w:w="0" w:type="dxa"/>
            <w:vAlign w:val="bottom"/>
          </w:tcPr>
          <w:p>
            <w:pPr>
              <w:spacing w:after="0"/>
              <w:rPr>
                <w:sz w:val="1"/>
                <w:szCs w:val="1"/>
                <w:color w:val="auto"/>
              </w:rPr>
            </w:pPr>
          </w:p>
        </w:tc>
      </w:tr>
      <w:tr>
        <w:trPr>
          <w:trHeight w:val="203"/>
        </w:trPr>
        <w:tc>
          <w:tcPr>
            <w:tcW w:w="2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3"/>
          </w:tcPr>
          <w:p>
            <w:pPr>
              <w:jc w:val="center"/>
              <w:ind w:left="617"/>
              <w:spacing w:after="0"/>
              <w:rPr>
                <w:sz w:val="20"/>
                <w:szCs w:val="20"/>
                <w:color w:val="auto"/>
              </w:rPr>
            </w:pPr>
            <w:r>
              <w:rPr>
                <w:rFonts w:ascii="Times New Roman" w:cs="Times New Roman" w:eastAsia="Times New Roman" w:hAnsi="Times New Roman"/>
                <w:sz w:val="16"/>
                <w:szCs w:val="16"/>
                <w:b w:val="1"/>
                <w:bCs w:val="1"/>
                <w:color w:val="auto"/>
                <w:w w:val="98"/>
              </w:rPr>
              <w:t>Owned</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280" w:type="dxa"/>
            <w:vAlign w:val="bottom"/>
            <w:gridSpan w:val="3"/>
          </w:tcPr>
          <w:p>
            <w:pPr>
              <w:jc w:val="center"/>
              <w:ind w:left="697"/>
              <w:spacing w:after="0"/>
              <w:rPr>
                <w:sz w:val="20"/>
                <w:szCs w:val="20"/>
                <w:color w:val="auto"/>
              </w:rPr>
            </w:pPr>
            <w:r>
              <w:rPr>
                <w:rFonts w:ascii="Times New Roman" w:cs="Times New Roman" w:eastAsia="Times New Roman" w:hAnsi="Times New Roman"/>
                <w:sz w:val="16"/>
                <w:szCs w:val="16"/>
                <w:b w:val="1"/>
                <w:bCs w:val="1"/>
                <w:color w:val="auto"/>
              </w:rPr>
              <w:t>Owned</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2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96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Prior to Offering</w:t>
            </w:r>
          </w:p>
        </w:tc>
        <w:tc>
          <w:tcPr>
            <w:tcW w:w="100" w:type="dxa"/>
            <w:vAlign w:val="bottom"/>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210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After Offering</w:t>
            </w:r>
          </w:p>
        </w:tc>
        <w:tc>
          <w:tcPr>
            <w:tcW w:w="0" w:type="dxa"/>
            <w:vAlign w:val="bottom"/>
          </w:tcPr>
          <w:p>
            <w:pPr>
              <w:spacing w:after="0"/>
              <w:rPr>
                <w:sz w:val="1"/>
                <w:szCs w:val="1"/>
                <w:color w:val="auto"/>
              </w:rPr>
            </w:pPr>
          </w:p>
        </w:tc>
      </w:tr>
      <w:tr>
        <w:trPr>
          <w:trHeight w:val="118"/>
        </w:trPr>
        <w:tc>
          <w:tcPr>
            <w:tcW w:w="2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60" w:type="dxa"/>
            <w:vAlign w:val="bottom"/>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vMerge w:val="restart"/>
          </w:tcPr>
          <w:p>
            <w:pPr>
              <w:ind w:left="220"/>
              <w:spacing w:after="0" w:line="145" w:lineRule="exact"/>
              <w:rPr>
                <w:sz w:val="20"/>
                <w:szCs w:val="20"/>
                <w:color w:val="auto"/>
              </w:rPr>
            </w:pPr>
            <w:r>
              <w:rPr>
                <w:rFonts w:ascii="Times New Roman" w:cs="Times New Roman" w:eastAsia="Times New Roman" w:hAnsi="Times New Roman"/>
                <w:sz w:val="16"/>
                <w:szCs w:val="16"/>
                <w:b w:val="1"/>
                <w:bCs w:val="1"/>
                <w:color w:val="auto"/>
              </w:rPr>
              <w:t>Shares</w:t>
            </w:r>
          </w:p>
        </w:tc>
        <w:tc>
          <w:tcPr>
            <w:tcW w:w="210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7"/>
        </w:trPr>
        <w:tc>
          <w:tcPr>
            <w:tcW w:w="2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29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220" w:type="dxa"/>
            <w:vAlign w:val="bottom"/>
            <w:gridSpan w:val="3"/>
          </w:tcPr>
          <w:p>
            <w:pPr>
              <w:ind w:left="18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740" w:type="dxa"/>
            <w:vAlign w:val="bottom"/>
          </w:tcPr>
          <w:p>
            <w:pPr>
              <w:jc w:val="right"/>
              <w:ind w:right="115"/>
              <w:spacing w:after="0"/>
              <w:rPr>
                <w:sz w:val="20"/>
                <w:szCs w:val="20"/>
                <w:color w:val="auto"/>
              </w:rPr>
            </w:pPr>
            <w:r>
              <w:rPr>
                <w:rFonts w:ascii="Times New Roman" w:cs="Times New Roman" w:eastAsia="Times New Roman" w:hAnsi="Times New Roman"/>
                <w:sz w:val="16"/>
                <w:szCs w:val="16"/>
                <w:b w:val="1"/>
                <w:bCs w:val="1"/>
                <w:color w:val="auto"/>
                <w:w w:val="99"/>
              </w:rPr>
              <w:t>Percent</w:t>
            </w:r>
          </w:p>
        </w:tc>
        <w:tc>
          <w:tcPr>
            <w:tcW w:w="100" w:type="dxa"/>
            <w:vAlign w:val="bottom"/>
          </w:tcPr>
          <w:p>
            <w:pPr>
              <w:spacing w:after="0"/>
              <w:rPr>
                <w:sz w:val="20"/>
                <w:szCs w:val="20"/>
                <w:color w:val="auto"/>
              </w:rPr>
            </w:pPr>
          </w:p>
        </w:tc>
        <w:tc>
          <w:tcPr>
            <w:tcW w:w="10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Offered</w:t>
            </w:r>
          </w:p>
        </w:tc>
        <w:tc>
          <w:tcPr>
            <w:tcW w:w="1280" w:type="dxa"/>
            <w:vAlign w:val="bottom"/>
            <w:gridSpan w:val="3"/>
          </w:tcPr>
          <w:p>
            <w:pPr>
              <w:ind w:left="18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0" w:type="dxa"/>
            <w:vAlign w:val="bottom"/>
          </w:tcPr>
          <w:p>
            <w:pPr>
              <w:spacing w:after="0"/>
              <w:rPr>
                <w:sz w:val="1"/>
                <w:szCs w:val="1"/>
                <w:color w:val="auto"/>
              </w:rPr>
            </w:pPr>
          </w:p>
        </w:tc>
      </w:tr>
      <w:tr>
        <w:trPr>
          <w:trHeight w:val="46"/>
        </w:trPr>
        <w:tc>
          <w:tcPr>
            <w:tcW w:w="28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80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Amazon.com NV Investment</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2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Holdings LLC</w:t>
            </w:r>
            <w:r>
              <w:rPr>
                <w:rFonts w:ascii="Times New Roman" w:cs="Times New Roman" w:eastAsia="Times New Roman" w:hAnsi="Times New Roman"/>
                <w:sz w:val="20"/>
                <w:szCs w:val="20"/>
                <w:color w:val="auto"/>
                <w:vertAlign w:val="superscript"/>
              </w:rPr>
              <w:t>(1)</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2,162,463</w:t>
            </w: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14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1,689,942</w:t>
            </w:r>
          </w:p>
        </w:tc>
        <w:tc>
          <w:tcPr>
            <w:tcW w:w="1280" w:type="dxa"/>
            <w:vAlign w:val="bottom"/>
            <w:gridSpan w:val="3"/>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26" w:lineRule="exact"/>
        <w:rPr>
          <w:sz w:val="20"/>
          <w:szCs w:val="20"/>
          <w:color w:val="auto"/>
        </w:rPr>
      </w:pPr>
    </w:p>
    <w:p>
      <w:pPr>
        <w:ind w:left="880" w:right="899" w:hanging="426"/>
        <w:spacing w:after="0" w:line="288" w:lineRule="auto"/>
        <w:tabs>
          <w:tab w:leader="none" w:pos="877"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selling shareholder is a wholly owned subsidiary of Amazon.com, Inc., whose address is 440 Terry Avenue North, Seattle, WA 98109.</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U.S. AND ISRAELI TAX CONSIDERATIONS FOR OUR SHAREHOLDERS</w:t>
      </w:r>
    </w:p>
    <w:p>
      <w:pPr>
        <w:spacing w:after="0" w:line="162"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The following is a discussion of the material U.S. and Israeli tax consequences relevant to an investment decision by a U.S. Holder, as defined below, with respect to our ordinary shares. It is not intended to constitute a complete analysis of all tax consequences relating to the acquisition, ownership and disposition of our ordinary shares. You should consult your own tax advisor concerning the tax consequences of your particular situation, as well as any tax consequences that may arise under the laws of any state, local, foreign or other taxing jurisdiction.</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Israeli Tax Consequences</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This section contains a discussion of material Israeli tax consequences concerning the ownership and disposition of our ordinary shares purchased by investors in this offering. This summary does not discuss all the aspects of Israeli tax law that may be relevant to a particular investor in light of his or her personal investment circumstances or to some types of investors subject to special treatment under Israeli law. Examples of such investors include residents of Israel or traders in securities who are subject to special tax regimes not covered in this discussion. Because parts of this discussion are based on tax legislation that has not yet been subject to judicial or administrative interpretation, we cannot assure you that the appropriate tax authorities or the courts will accept the views expressed in this discussion. The discussion below is subject to change, including due to amendments under Israeli law or changes to the applicable judicial or administrative interpretations of Israeli law, which change could affect the tax consequences described below.</w:t>
      </w:r>
    </w:p>
    <w:p>
      <w:pPr>
        <w:spacing w:after="0" w:line="19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Taxation of Our Shareholders</w:t>
      </w:r>
    </w:p>
    <w:p>
      <w:pPr>
        <w:spacing w:after="0" w:line="160"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Capital Gains Taxes Applicable to Non-Israeli Resident Shareholders. </w:t>
      </w:r>
      <w:r>
        <w:rPr>
          <w:rFonts w:ascii="Times New Roman" w:cs="Times New Roman" w:eastAsia="Times New Roman" w:hAnsi="Times New Roman"/>
          <w:sz w:val="18"/>
          <w:szCs w:val="18"/>
          <w:color w:val="auto"/>
        </w:rPr>
        <w:t>Generally, a non-Israeli resident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(whether an individual or a corporation) who derives capital gains from the sale of shares in an Israeli resident company that are not listed for trading on the Tel-Aviv Stock Exchange on the date of sale should be exempt from Israeli capital gains tax unless, among others, (i) the shares were held through a permanent establishment that the non-Israeli resident shareholder maintains in Israel, or (ii) most of the assets held, directly or indirectly, by the Israeli company — on the date of acquisition of the assets and during two years before their sale — stem from one or several of: real estate rights or real estate association rights, a right to use real estate or any asset connected to real estate in Israel, a right to exploit natural resources in Israel or a right to income from real estate located in Israel. If not exempt, a non-Israeli resident shareholder would generally be subject to tax on capital gain at the ordinary corporate tax rate (23% in 2020), if generated by a company, or at the rate of 25%, if generated by an individual, or 30%, if generated by an individual who is a “substantial shareholder” (as defined under the Israeli Income Tax Ordinance [New Version], 5721-1961), at the time of sale or at any time during the preceding 12-month period (or if the shareholder claims a deduction for interest and linkage differences expenses in connection with the purchase and holding of such shares). A “substantial shareholder” is generally a person who alone or together with such person’s relative or another person who collaborates with such person on a permanent basis, holds, directly or indirectly, at least 10% of any of the “means of control” of the corporation. “Means of control” generally include, among others, the right to vote, receive profits, nominate a director or an executive officer, receive assets upon liquidation, or order someone who holds any of the aforesaid rights how to act, regardless of the source of such right. Individual and corporate shareholders dealing in securities in Israel are taxed at the tax rates applicable to business income (a corporate tax rate for a corporation (23% in 2020) and a marginal tax rate of up to 47% for an individual in 2020 (excluding excess tax as discussed below)) unless contrary provisions in a relevant tax treaty apply. Non-Israeli corporations will not be entitled to the foregoing exemption if Israeli residents: (i) have a controlling interest of more than 25% in such non-Israeli corporation or (ii) are the beneficiaries of, or are entitled to, 25% or more of the revenues or profits of such non-Israeli corporation, whether directly or indirectly. Such exemption is not applicable, inter alia, to a person whose gains from selling or otherwise disposing of the shares are deemed to be business income.</w:t>
      </w:r>
    </w:p>
    <w:p>
      <w:pPr>
        <w:spacing w:after="0" w:line="13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Additionally, a sale of shares by a non-Israeli resident may be exempt from Israeli capital gains tax under the provisions of an applicable tax treaty between Israel and the shareholder’s country of residence. For example, under the United States-Israel Tax Treaty, the disposition of shares by a shareholder who (i) is a U.S. resident (for purposes of the United States-Israel Tax Treaty), (ii) holds the shares as a capital asset and (iii) is entitled to claim the benefits afforded to such person by the United States-Israel Tax Treaty, is generally exempt from Israeli capital gains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8" w:name="page19"/>
    <w:bookmarkEnd w:id="18"/>
    <w:p>
      <w:pPr>
        <w:jc w:val="both"/>
        <w:ind w:left="460" w:right="459"/>
        <w:spacing w:after="0" w:line="253" w:lineRule="auto"/>
        <w:rPr>
          <w:sz w:val="20"/>
          <w:szCs w:val="20"/>
          <w:color w:val="auto"/>
        </w:rPr>
      </w:pPr>
      <w:r>
        <w:rPr>
          <w:rFonts w:ascii="Times New Roman" w:cs="Times New Roman" w:eastAsia="Times New Roman" w:hAnsi="Times New Roman"/>
          <w:sz w:val="18"/>
          <w:szCs w:val="18"/>
          <w:color w:val="auto"/>
        </w:rPr>
        <w:t>tax. Such exemption will not apply, inter alia, if (a) the capital gain arising from such sale, exchange or disposition can be allocated to a permanent establishment that the shareholder maintained in Israel, (b) the shareholder holds, directly or indirectly, shares representing 10% or more of the voting capital of the company during any part of the 12-month period preceding such sale, exchange or disposition, subject to certain conditions, (c) such U.S. resident is an individual and was present in Israel for a period or periods aggregating to 183 days or more during the relevant taxable year, (d) the capital gains arising from such sale, exchange or disposition is attributed to real estate located in Israel, or (e) the capital gain arising from such sale, exchange or disposition is attributed to royalties. In each case, the sale, exchange or disposition of our ordinary shares would be subject to Israeli tax, to the extent applicable; however, under the United States-Israel Tax Treaty, the taxpayer may be permitted to claim a credit for such taxes against the U.S. federal income tax imposed with respect to such sale, exchange or disposition, subject to the limitations under U.S. law applicable to foreign tax credits.</w:t>
      </w:r>
    </w:p>
    <w:p>
      <w:pPr>
        <w:spacing w:after="0" w:line="109" w:lineRule="exact"/>
        <w:rPr>
          <w:sz w:val="20"/>
          <w:szCs w:val="20"/>
          <w:color w:val="auto"/>
        </w:rPr>
      </w:pPr>
    </w:p>
    <w:p>
      <w:pPr>
        <w:jc w:val="both"/>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In some instances where our shareholders may be liable for Israeli tax on the sale of their ordinary shares, the payment of the consideration may be subject to the withholding of Israeli tax at source. Shareholders may be required to demonstrate that they are exempt from tax on their capital gains in order to avoid withholding at source at the time of sale. Specifically, in transactions involving a sale of all of the shares of an Israeli resident company, in the form of a merger or otherwise, the Israel Tax Authority may require from shareholders who are not liable for Israeli tax to sign declarations in forms specified by this authority or obtain a specific exemption from the Israel Tax Authority to confirm their status as non-Israeli resident, and, in the absence of such declarations or exemptions, may require the purchaser of the shares to withhold taxes at source.</w:t>
      </w:r>
    </w:p>
    <w:p>
      <w:pPr>
        <w:spacing w:after="0" w:line="12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In addition, with respect to mergers involving an exchange of shares, Israeli tax law allows for tax deferral in certain circumstances but makes the deferral contingent on the fulfillment of a number of conditions, including, in some cases, a holding period of two years from the date of the transaction during which sales and dispositions of shares of the participating companies are subject to certain restrictions. Moreover, with respect to certain share swap transactions in which the sellers receive shares in the acquiring entity that are publicly traded on a stock exchange, the tax deferral is limited in time, and when such time expires, the tax becomes payable even if no disposition of such shares has occurred. In order to benefit from the tax deferral, a pre-ruling from the Israel Tax Authority might be required.</w:t>
      </w:r>
    </w:p>
    <w:p>
      <w:pPr>
        <w:spacing w:after="0" w:line="12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i w:val="1"/>
          <w:iCs w:val="1"/>
          <w:color w:val="auto"/>
        </w:rPr>
        <w:t>Taxation of Non-Israeli Resident Shareholders on Receipt of Dividends</w:t>
      </w:r>
      <w:r>
        <w:rPr>
          <w:rFonts w:ascii="Times New Roman" w:cs="Times New Roman" w:eastAsia="Times New Roman" w:hAnsi="Times New Roman"/>
          <w:sz w:val="18"/>
          <w:szCs w:val="18"/>
          <w:color w:val="auto"/>
        </w:rPr>
        <w:t>. Non-Israeli residents (whether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individuals or corporations) are generally subject to Israeli income tax on the receipt of dividends paid on our ordinary shares at the rate of 25%, unless relief is provided under the provisions of an applicable tax treaty between Israel and the shareholder’s country of residence (provided that a certificate from the Israel Tax Authority allowing for a reduced withholding tax rate or a tax exemption is obtained in advance). With respect to a person who is a “substantial shareholder” at the time of receiving the dividend or on any time during the preceding 12 months, the applicable tax rate is 30%. Dividends paid on publicly traded shares, like our ordinary shares, to non-Israeli residents, are generally subject to Israeli withholding tax at a rate of 25%, so long as the shares are registered with a nominee company (whether or not the recipient is a substantial shareholder), unless a lower rate is provided under an applicable tax treaty (provided that a certificate from the Israel Tax Authority allowing for a reduced withholding tax rate is obtained in advance). However, a distribution of dividends to non-Israeli residents is generally subject to withholding tax at source at a rate of 15% if the dividend is distributed from income attributed to an “Approved Enterprise” or a “Benefited Enterprise” (and 20% if the dividend is distributed from income attributed to a “Preferred Enterprise”) (as such terms are defined in the Law for the Encouragement of Capital Investments, 5719-1959), unless a reduced tax rate is provided under an applicable tax treaty (provided that a certificate from the Israel Tax Authority allowing for a reduced withholding tax rate is obtained in advance).</w:t>
      </w:r>
    </w:p>
    <w:p>
      <w:pPr>
        <w:spacing w:after="0" w:line="11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For example, under the United States-Israel Tax Treaty, the maximum rate of tax withheld at source in Israel on dividends paid to a holder of our ordinary shares who is a U.S. resident (for purposes of the United States-Israel Tax Treaty) is 25%. However, for dividends not generated by an Approved Enterprise or a Benefited Enterprise and paid to a U.S. corporation holding 10% or more of the outstanding voting capital throughout the tax year in which the dividend is distributed as well as during the previous tax year, the maximum rate of withholding tax is generally 12.5%, provided that not more than 25% of the gross income for such preceding year consists of certain types of dividends and interest. Notwithstanding the foregoing, dividends distributed from income attributed to an Approved Enterprise or a Benefited Enterprise are not entitled to such reduction under such tax treaty but are subject to withholding tax at the rate of 15% for such a United States corporate shareholder, provided that the condition related to our gross income for the previous year (as set forth in the previous sentence) is met.</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 w:name="page20"/>
    <w:bookmarkEnd w:id="19"/>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If the dividend is attributable partly to income derived from an Approved Enterprise, Benefited Enterprise or Preferred Enterprise, and partly to other sources of income, the withholding rate will be a blended rate reflecting the relative portions of the two types of income. U.S. residents (for purposes of the United States-Israel Tax Treaty) who are subject to Israeli withholding tax on a dividend may be entitled to a credit or deduction for United States federal income tax purposes up to the amount of the taxes withheld, subject to detailed rules contained in U.S. tax legislation.</w:t>
      </w:r>
    </w:p>
    <w:p>
      <w:pPr>
        <w:spacing w:after="0" w:line="106"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We cannot assure you that we will designate the profits that we may distribute in a way that will reduce shareholders’ tax liability.</w:t>
      </w:r>
    </w:p>
    <w:p>
      <w:pPr>
        <w:spacing w:after="0" w:line="9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A non-Israeli resident who receives dividends from which tax was withheld is generally exempt from the obligation to file tax returns in Israel in respect of such income, provided, inter alia, that (i) such income was not derived from a business conducted in Israel by the taxpayer, (ii) the taxpayer has no other taxable sources of income in Israel with respect to which a tax return is required to be filed and (iii) the taxpayer is not obliged to pay excess tax (as further explained below).</w:t>
      </w:r>
    </w:p>
    <w:p>
      <w:pPr>
        <w:spacing w:after="0" w:line="17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Excess Tax</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Individuals who are subject to tax in Israel (whether any such individual is an Israeli resident or non-Israeli resident) are also subject to an additional tax at a rate of 3% on annual income exceeding NIS 649,560 for 2019 and 651,600 for 2020 (which amount is linked to the annual change in the Israeli consumer price index), including, but not limited to, dividends, interest and capital gain.</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Estate and Gift Tax</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Israeli tax law presently does not impose estate or gift taxes.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U.S. Federal Income Tax Considerations</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following is a discussion of the material U.S. federal income tax considerations relating to the ownership and disposition of our ordinary shares by a U.S. Holder (as defined below). This discussion addresses only the U.S. federal income tax consequences to U.S. Holders of our ordinary shares that will hold such ordinary shares as capital assets. Except as otherwise provided herein, this discussion does not address tax considerations applicable to U.S. Holders that may be subject to special tax rules, including, without limitation:</w:t>
      </w:r>
    </w:p>
    <w:p>
      <w:pPr>
        <w:spacing w:after="0" w:line="116" w:lineRule="exact"/>
        <w:rPr>
          <w:sz w:val="20"/>
          <w:szCs w:val="20"/>
          <w:color w:val="auto"/>
        </w:rPr>
      </w:pPr>
    </w:p>
    <w:p>
      <w:pPr>
        <w:ind w:left="1300" w:hanging="41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financial institutions or insurance companies;</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 regulated investment companies or grantor trusts;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dealers or traders in securities, commodities or currencies;</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 or organizations, including an “individual retirement account” or “Roth IRA” as defined in Section 408 or 408A of the Code, respectively;</w:t>
      </w:r>
    </w:p>
    <w:p>
      <w:pPr>
        <w:spacing w:after="0" w:line="8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former citizens or residents of the United States;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receive our shares as compensation for the performance of services;</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3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will hold our shares as part of a “hedging,” “integrated” or “conversion” transaction or as a position in a “straddle” for U.S. federal income tax purposes;</w:t>
      </w:r>
    </w:p>
    <w:p>
      <w:pPr>
        <w:spacing w:after="0" w:line="80"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9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(including entities classified as partnerships for U.S. federal income tax purposes) or other pass-through entities, or persons that will hold our shares through such an entity;</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S-corporations;</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66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our shares in connection with a trade or business conducted outside the United States;</w:t>
      </w:r>
    </w:p>
    <w:p>
      <w:pPr>
        <w:spacing w:after="0" w:line="8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elect to mark their securities to market;</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whose “functional currency” is not the U.S. Dollar;</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 w:name="page21"/>
    <w:bookmarkEnd w:id="20"/>
    <w:p>
      <w:pPr>
        <w:ind w:left="1320" w:right="459" w:hanging="434"/>
        <w:spacing w:after="0" w:line="282" w:lineRule="auto"/>
        <w:tabs>
          <w:tab w:leader="none" w:pos="137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own or acquire directly, indirectly or through attribution 10.0% or more of the voting power or value of our shares; or</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5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accrual method taxpayers subject to special tax accounting rules as a result of their use of financial statements under Section 451(b) of the Code.</w:t>
      </w:r>
    </w:p>
    <w:p>
      <w:pPr>
        <w:spacing w:after="0" w:line="94"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Moreover, this discussion does not address the United States federal estate, gift or alternative minimum tax or Medicare contribution tax considerations, or any state, local or foreign tax considerations, of the ownership and disposition of our ordinary shares.</w:t>
      </w:r>
    </w:p>
    <w:p>
      <w:pPr>
        <w:spacing w:after="0" w:line="10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This discussion is based on the U.S. Internal Revenue Code of 1986, as amended (the “Code”), existing, proposed and temporary U.S. Treasury Regulations and judicial and administrative interpretations thereof, in each case as in effect and available on the date hereof. All of the foregoing are subject to change, which change could apply retroactively and could affect the tax consequences described below. There can be no assurances that the U.S. Internal Revenue Service (“IRS”) will not take a different position concerning the tax considerations of the ownership and disposition of our ordinary shares or that such a position would not be sustained. U.S. Holders should consult their own tax advisors concerning the U.S. federal, state, local and foreign tax consequences of owning and disposing of our ordinary shares in their particular circumstances.</w:t>
      </w:r>
    </w:p>
    <w:p>
      <w:pPr>
        <w:spacing w:after="0" w:line="11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For purposes of this description, a “U.S. Holder” is a beneficial owner of our ordinary shares that, for U.S.</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federal income tax purposes, is:</w:t>
      </w:r>
    </w:p>
    <w:p>
      <w:pPr>
        <w:spacing w:after="0" w:line="139" w:lineRule="exact"/>
        <w:rPr>
          <w:sz w:val="20"/>
          <w:szCs w:val="20"/>
          <w:color w:val="auto"/>
        </w:rPr>
      </w:pPr>
    </w:p>
    <w:p>
      <w:pPr>
        <w:ind w:left="1300" w:hanging="41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holder that is a citizen or resident of the United States;</w:t>
      </w:r>
    </w:p>
    <w:p>
      <w:pPr>
        <w:spacing w:after="0" w:line="157"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6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U.S. federal income tax purposes, created or organized in or under the laws of the United States or any state thereof, including the District of Columbia;</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157"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47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such trust has validly elected to be treated as a United States person for U.S. federal income tax purposes or if (1) a court within the United States is able to exercise primary supervision over its administration and (2) one or more United States persons have the authority to control all of the substantial decisions of such trust.</w:t>
      </w:r>
    </w:p>
    <w:p>
      <w:pPr>
        <w:spacing w:after="0" w:line="112"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If a partnership (or any other entity treated as a partnership for U.S. federal income tax purposes) holds our ordinary shares, the tax treatment of a partner in such partnership will generally depend on the status of the partner and the activities of the partnership. Partners or partnerships considering an investment in our ordinary shares should consult their tax advisors regarding the U.S. federal income tax considerations of owning and disposing of our ordinary shares to their particular circumstances.</w:t>
      </w:r>
    </w:p>
    <w:p>
      <w:pPr>
        <w:spacing w:after="0" w:line="179" w:lineRule="exact"/>
        <w:rPr>
          <w:sz w:val="20"/>
          <w:szCs w:val="20"/>
          <w:color w:val="auto"/>
        </w:rPr>
      </w:pPr>
    </w:p>
    <w:p>
      <w:pPr>
        <w:ind w:left="460" w:right="599"/>
        <w:spacing w:after="0" w:line="286" w:lineRule="auto"/>
        <w:rPr>
          <w:sz w:val="20"/>
          <w:szCs w:val="20"/>
          <w:color w:val="auto"/>
        </w:rPr>
      </w:pPr>
      <w:r>
        <w:rPr>
          <w:rFonts w:ascii="Times New Roman" w:cs="Times New Roman" w:eastAsia="Times New Roman" w:hAnsi="Times New Roman"/>
          <w:sz w:val="18"/>
          <w:szCs w:val="18"/>
          <w:b w:val="1"/>
          <w:bCs w:val="1"/>
          <w:color w:val="auto"/>
        </w:rPr>
        <w:t>You should consult your tax advisor with respect to the United States federal, state, local and foreign tax consequences of owning and disposing of our ordinary shares.</w:t>
      </w:r>
    </w:p>
    <w:p>
      <w:pPr>
        <w:spacing w:after="0" w:line="1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14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Subject to the discussion under “— Passive foreign investment company considerations” below, any distribution of cash or property with respect to our ordinary shares (including any amount of any Israeli tax withheld) will generally be treated as a dividend to the extent paid out of our current and accumulated earnings and profits, as determined under U.S. federal income tax principles, and will be includible in the gross income of a U.S. Holder on the date the distribution is actually or constructively received (other than certain pro rata distributions of shares to all shareholders). To the extent that the amount of any distribution exceeds our current and accumulated earnings and profits for a taxable year (as determined under U.S. federal income tax principles), the distribution will first be treated as a tax-free return of capital, causing a reduction in the tax basis of the ordinary shares, and thereafter the excess will be taxed as capital gain recognized on a sale or exchange of the ordinary shares (as discussed below under “— Sale, exchange, redemption or other taxable disposition of ordinary shares”). The company does not intend to maintain calculations of its earnings and profits under U.S. federal income tax principles; therefore, any distribution (including any amount of any Israeli withholding tax) will generally be treated as a “dividend” for U.S. federal income tax purposes. Any such dividend income will not be eligible for the dividends-received deduction allowed to corporate U.S. Holders.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 w:name="page22"/>
    <w:bookmarkEnd w:id="21"/>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Subject to the discussion under “— Passive foreign investment company considerations” below, and subject to certain holding period requirements and other conditions, dividends paid to non-corporate U.S. Holders, including individual U.S. Holders, may be eligible for preferential rates of taxation if the dividends constitute “qualified dividend income” for U.S. federal income tax purposes. Dividends received with respect to our ordinary shares will constitute qualified dividend income provided that (i) our ordinary shares are readily tradable on an established securities market in the United States or the company is eligible for the benefits of a comprehensive income tax treaty with the United States that the IRS has approved for the purposes of the qualified dividend rules and (ii) the company was not, in the year prior to the year in which the dividend was paid, and is not, in the year in which the dividend is paid, a passive foreign investment company, or PFIC, for U.S. federal income tax purposes. Although no assurances can be given, we believe that dividends the company pays on its ordinary shares generally will constitute qualified dividend income provided that we are not classified as a PFIC in the last year prior to the year in which such dividend is paid and the year in which such dividend is paid.</w:t>
      </w:r>
    </w:p>
    <w:p>
      <w:pPr>
        <w:spacing w:after="0" w:line="106"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If you are a U.S. Holder, subject to the discussion below, dividends that we pay you with respect to our ordinary shares will be treated as foreign source income, which may be relevant in calculating your foreign tax credit limitation. Subject to certain conditions and limitations, non-U.S. tax withheld on dividends may be deducted from your taxable income or credited against your U.S. federal income tax liability. The limitation on foreign taxes eligible for credit is calculated separately with respect to specific classes of income. For this purpose, dividends that we distribute generally should constitute “passive category income,” or, in the case of certain U.S. Holders, “general category income.” A foreign tax credit for foreign taxes imposed on distributions may be denied if you do not satisfy certain minimum holding period requirements. The rules relating to the determination of the foreign tax credit are complex, and you should consult your tax advisor to determine whether and to what extent you will be entitled to this credit.</w:t>
      </w:r>
    </w:p>
    <w:p>
      <w:pPr>
        <w:spacing w:after="0" w:line="127"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Although, as discussed above, dividends that we pay to a U.S. Holder will generally be treated as foreign source income, for periods in which we are a “United States-owned foreign corporation,” a portion of dividends paid by us may be treated as U.S. source income solely for purposes of the foreign tax credit. We would be treated as a United States-owned foreign corporation if 50% or more of the total value or total voting power of our stock is owned, directly, indirectly or by attribution, by United States persons. To the extent any portion of our dividends is treated as U.S. source income pursuant to this rule, the ability of a U.S. Holder to claim a foreign tax credit for any Israeli withholding taxes payable in respect of our dividends may be limited. A U.S. Holder entitled to benefits under the United States-Israel Tax Treaty may, however, elect to treat any dividends as foreign source income for foreign tax credit purposes if the dividend income is separated from other income items for purposes of calculating the U.S. Holder’s foreign tax credit. U.S. Holders should consult their own tax advisors about the impact of, and any exception available to, the special sourcing rule described in this paragraph, and the desirability of making, and the method of making, such an election.</w:t>
      </w:r>
    </w:p>
    <w:p>
      <w:pPr>
        <w:spacing w:after="0" w:line="12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amount of any dividend paid in a currency other than the U.S. dollar, or foreign currency, will be the U.S. dollar amount calculated by reference to the exchange rate in effect on the date of receipt, regardless of whether the payment is, in fact, converted into U.S. dollars at that time. If the dividend is converted into U.S. dollars on the date of receipt, U.S. Holders generally will not be required to recognize foreign currency gain or loss in respect of the dividend income. However, a U.S. Holder may have foreign currency gain or loss if the dividend is converted into U.S. dollars after the date of receipt. The gain or loss will be equal to the difference, if any, between (i) the U.S. dollar value of the amount included in income when the dividend was received and</w:t>
      </w:r>
    </w:p>
    <w:p>
      <w:pPr>
        <w:spacing w:after="0" w:line="3" w:lineRule="exact"/>
        <w:rPr>
          <w:sz w:val="20"/>
          <w:szCs w:val="20"/>
          <w:color w:val="auto"/>
        </w:rPr>
      </w:pPr>
    </w:p>
    <w:p>
      <w:pPr>
        <w:jc w:val="both"/>
        <w:ind w:left="460" w:right="459" w:hanging="6"/>
        <w:spacing w:after="0" w:line="253" w:lineRule="auto"/>
        <w:tabs>
          <w:tab w:leader="none" w:pos="72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received on the conversion of the foreign currency into U.S. dollars. Generally, any such gain or loss will be treated as ordinary income or loss and generally will be treated as U.S. source income for U.S. foreign tax credit purposes. U.S. Holders should consult their tax advisers regarding the treatment of foreign currency gain or loss on any foreign currency received that is converted into U.S. dollars on a date subsequent to the date of receipt.</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Sale, exchange, redemption or other taxable disposition of ordinary shares</w:t>
      </w:r>
    </w:p>
    <w:p>
      <w:pPr>
        <w:spacing w:after="0" w:line="14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Subject to the discussion below under “Passive foreign investment company considerations,” a U.S. Holder generally will recognize gain or loss, for U.S. federal income tax purposes, on the sale, exchange or other taxable disposition of our ordinary shares, in an amount equal to the difference, if any, between the amount realized on such sale, exchange or other taxable disposition and the U.S. Holder’s adjusted tax basis in such ordinary shares, and such gain or loss will be capital gain or loss, and will be long-term capital gain or loss if the ordinary shares have been held for more than one year. The adjusted tax basis in an ordinary share generally will be equal to the cost of such</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 w:name="page23"/>
    <w:bookmarkEnd w:id="22"/>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ordinary share. If you are a non-corporate U.S. Holder, long-term capital gain from the sale, exchange or other taxable disposition of ordinary shares is generally eligible for a preferential rate of taxation applicable to capital gains. The deductibility of capital losses for U.S. federal income tax purposes is subject to limitations under the Code. Any such gain or loss that a U.S. Holder recognizes generally will be treated as U.S. source income or loss for foreign tax credit limitation purposes.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considerations</w:t>
      </w:r>
    </w:p>
    <w:p>
      <w:pPr>
        <w:spacing w:after="0" w:line="14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If we were to be classified as a PFIC in any taxable year, a U.S. Holder would be subject to special rules generally intended to reduce or eliminate any benefits from the deferral of U.S. federal income tax that a U.S. Holder could derive from investing in a non-U.S. company that does not distribute all of its earnings on a current basis.</w:t>
      </w:r>
    </w:p>
    <w:p>
      <w:pPr>
        <w:spacing w:after="0" w:line="11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A non-U.S. corporation, such as our company, will be classified as a PFIC for federal income tax purposes in any taxable year in which, after applying certain look-through rules with respect to the income and assets of subsidiaries, either:</w:t>
      </w:r>
    </w:p>
    <w:p>
      <w:pPr>
        <w:spacing w:after="0" w:line="108" w:lineRule="exact"/>
        <w:rPr>
          <w:sz w:val="20"/>
          <w:szCs w:val="20"/>
          <w:color w:val="auto"/>
        </w:rPr>
      </w:pPr>
    </w:p>
    <w:p>
      <w:pPr>
        <w:ind w:left="1300" w:hanging="414"/>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75% of its gross income is “passive income”; or</w:t>
      </w:r>
    </w:p>
    <w:p>
      <w:pPr>
        <w:spacing w:after="0" w:line="144" w:lineRule="exact"/>
        <w:rPr>
          <w:rFonts w:ascii="Times New Roman" w:cs="Times New Roman" w:eastAsia="Times New Roman" w:hAnsi="Times New Roman"/>
          <w:sz w:val="18"/>
          <w:szCs w:val="18"/>
          <w:color w:val="auto"/>
        </w:rPr>
      </w:pPr>
    </w:p>
    <w:p>
      <w:pPr>
        <w:jc w:val="both"/>
        <w:ind w:left="1320" w:right="479" w:hanging="434"/>
        <w:spacing w:after="0" w:line="261" w:lineRule="auto"/>
        <w:tabs>
          <w:tab w:leader="none" w:pos="13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50% of the average quarterly value of its total gross assets (the total value of our assets may be measured in part by the market value of our ordinary shares, which is subject to change) is attributable to assets that produce “passive income” or are held for the production of passive income.</w:t>
      </w:r>
    </w:p>
    <w:p>
      <w:pPr>
        <w:spacing w:after="0" w:line="11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Passive income for this purpose generally includes dividends, interest, royalties, rents, gains from commodities and securities transactions, the excess of gains over losses from the disposition of assets which produce passive income, and includes amounts derived by reason of the temporary investment of funds raised in offerings of our ordinary shares. If a non-U.S. corporation owns directly or indirectly at least 25% by value of the stock of another corporation, the non-U.S. corporation is treated for purposes of the PFIC tests as owning its proportionate share of the assets of the other corporation and as receiving directly its proportionate share of the other corporation’s income. If we are classified as a PFIC in any year with respect to which a U.S. Holder owns our ordinary shares, we will generally continue to be treated as a PFIC with respect to such U.S. Holder in all succeeding years during which the U.S. Holder owns our ordinary shares, regardless of whether we continue to meet the tests described above.</w:t>
      </w:r>
    </w:p>
    <w:p>
      <w:pPr>
        <w:spacing w:after="0" w:line="127"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Based on historic and certain estimates of our gross income, gross assets, and market capitalization (which may fluctuate from time to time) and the nature of our business, we do not believe that we were a PFIC for the taxable year ending December 31, 2019 and we do not expect that we will be classified as a PFIC for the taxable year ending December 31, 2020. However, because PFIC status is based on our income, assets and activities for the entire taxable year, it is not possible to determine whether we will be characterized as a PFIC for the 2020 taxable year until after the close of the year. Moreover, we must determine our PFIC status annually based on tests which are factual in nature, and our status in future years will depend on our income, assets, market capitalization and activities in those years. In addition, our status as a PFIC may depend on how quickly we utilize the cash proceeds from this offering in our business. There can be no assurance that we will not be considered a PFIC for any taxable year.</w:t>
      </w:r>
    </w:p>
    <w:p>
      <w:pPr>
        <w:spacing w:after="0" w:line="113"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Under certain attribution rules, if we are a PFIC, U.S. Holders will be deemed to own their proportionate share of our PFIC subsidiaries, such subsidiaries referred to as “lower-tier PFICs,” and will be subject to U.S. federal income tax in the manner discussed below on (1) a distribution to us on the shares of a “lower-tier PFIC” and (2) a disposition by us of shares of a “lower-tier PFIC,” both as if the U.S. Holder directly held the shares of such “lower-tier PFIC.”</w:t>
      </w:r>
    </w:p>
    <w:p>
      <w:pPr>
        <w:spacing w:after="0" w:line="116"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If we, or any of our subsidiaries, are treated as a PFIC for any taxable year during which a U.S. Holder holds (or, as discussed in the previous paragraph, is deemed to hold) its ordinary shares, such holder will be subject to adverse U.S. federal income tax rules. In general, if a U.S. Holder disposes of shares of a PFIC (including an indirect disposition or a constructive disposition of shares of a “lower-tier PFIC”), gain recognized or deemed recognized by such holder would be allocated ratably over such holder’s holding period for the shares. The amounts allocated to the taxable year of disposition and to years before the entity became a PFIC, if any, would be treated as ordinary income. The amount allocated to each other taxable year would be subject to tax at the highest rate in effect for such taxable year for individuals or corporations, as appropriate, and an interest charge would be imposed on the tax attributable to such allocated amounts. Further, any distribution in respect of shares of a PFIC (or a distribution by a lower-tier PFIC to its shareholders that is deemed to be received by a U.S. Holder) in excess of 125% of the average of the annual distributions on such shares received or deemed to be received during the preceding three years or the U.S. Holder’s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 w:name="page24"/>
    <w:bookmarkEnd w:id="23"/>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holding period, whichever is shorter, would be subject to taxation in the manner described above. In addition, dividend distributions made to you will not qualify for the preferential rates of taxation applicable to qualified dividend income discussed above under “Distributions.”</w:t>
      </w:r>
    </w:p>
    <w:p>
      <w:pPr>
        <w:spacing w:after="0" w:line="95"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Where a company that is a PFIC meets certain reporting requirements, a U.S. Holder can avoid certain adverse PFIC consequences described above by making a “qualified electing fund,” or QEF, election to be taxed currently on its proportionate share of the PFIC’s ordinary income and net capital gains. Generally, if we were a PFIC, a QEF election should be made on or before the due date for filing a U.S. Holder’s federal income tax return for the first taxable year in which it held our ordinary shares. If a timely QEF election is made, an electing U.S. Holder of our ordinary shares will be required to include in its ordinary income such U.S. Holder’s pro rata share of our ordinary earnings and to include in its long-term capital gain income such U.S. Holder’s pro rata share of our net capital gain, whether or not distributed. Under Section 1293 of the Code, a U.S. Holder’s pro rata share of our ordinary income and net capital gain is the amount which would have been distributed with respect to such U.S. Holder’s ordinary shares if, on each day during our taxable year, we had distributed to each holder of our ordinary shares a pro rata share of that day’s ratable share of our ordinary earnings and net capital gain for such year. In certain cases in which a QEF does not distribute all of its earnings in a taxable year, its U.S. Holders may also be permitted to elect to defer payment of some or all of the taxes on the QEF’s undistributed income but will then be subject to an interest charge on the deferred amount.</w:t>
      </w:r>
    </w:p>
    <w:p>
      <w:pPr>
        <w:spacing w:after="0" w:line="130"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intend to provide, upon request, all information that a U.S. Holder making a QEF election is required to obtain for U.S. federal income tax purposes (e.g., the U.S. Holder’s pro rata share of ordinary income and net capital gain), and intend to provide, upon request, a “PFIC Annual Information Statement” as described in Treasury Regulation section 1.1295-1 (or in any successor IRS release or Treasury regulation), including all representations and statements required by such statement. U.S. Holders should consult their tax advisors to determine whether any of these elections would be available and if so, what the consequences of the alternative treatments would be in their particular circumstances.</w:t>
      </w:r>
    </w:p>
    <w:p>
      <w:pPr>
        <w:spacing w:after="0" w:line="12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If we are a PFIC and our ordinary shares are “regularly traded” on a “qualified exchange,” a U.S. Holder may make a mark-to-market election with respect to our ordinary shares (but not the shares of any lower-tier PFICs), which may help to mitigate the adverse tax consequences resulting from our PFIC status (but not that of any lower-tier PFICs). Our ordinary shares will be treated as “regularly traded” in any calendar year in which more than a de minimis quantity of the ordinary shares are traded on a qualified exchange on at least 15 days during each calendar quarter (subject to the rule that trades that have as one of their principal purposes the meeting of the trading requirement are disregarded). The Nasdaq Global Select Market is a qualified exchange for this purpose and, consequently, if the ordinary shares are regularly traded, the mark-to-market election will be available to a U.S. Holder; however, there can be no assurance that trading volumes will be sufficient to permit a mark-to-market election. In addition, because a mark-to-market election with respect to us does not apply to any equity interests in “lower-tier PFICs” that we own, a U.S. Holder generally will continue to be subject to the PFIC rules with respect to its indirect interest in any investments held by us that are treated as equity interests in a PFIC for U.S. federal income tax purposes.</w:t>
      </w:r>
    </w:p>
    <w:p>
      <w:pPr>
        <w:spacing w:after="0" w:line="106"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If a U.S. Holder makes a valid mark-to-market election, for each year in which we are a PFIC, such holder will generally include as ordinary income the excess, if any, of the fair market value of ordinary shares at the end of the taxable year over their adjusted tax basis, and will be permitted an ordinary loss in respect of the excess, if any, of the adjusted tax basis of our ordinary shares over their fair market value at the end of the taxable year (but only to the extent of the net amount of previously included income as a result of the mark-to-market election). If a U.S. Holder makes the election, such holder’s tax basis in our ordinary shares will be adjusted to reflect any such income or loss amounts. Any gain recognized on a sale or other disposition of our ordinary shares will be treated as ordinary income. Any losses recognized on a sale or other disposition of our ordinary shares will be treated as ordinary loss to the extent of any net mark-to-market gains for prior years. U.S. Holders should consult their own tax advisors regarding the availability and consequences of making a mark-to-market election in their particular circumstances. In particular, U.S. Holders should consider carefully the impact of a mark-to-market election with respect to our ordinary shares if we have “lower-tier PFICs” for which such election is not available. Once made, the mark-to-market election cannot be revoked without the consent of the IRS unless our ordinary shares cease to be “regularly traded.”</w:t>
      </w:r>
    </w:p>
    <w:p>
      <w:pPr>
        <w:spacing w:after="0" w:line="130"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If a U.S. Holder owns ordinary shares during any year in which we are a PFIC, the U.S. Holder generally will be required to file an IRS Form 8621 (Information Return by a Shareholder of a Passive Foreign Investment Company or Qualified Electing Fund) with respect to the company, generally with the U.S. Holder’s federal income tax return for that year. If our company were a PFIC for a given taxable year, then you should consult your tax advisor concerning your annual filing requirements.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4" w:name="page25"/>
    <w:bookmarkEnd w:id="24"/>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U.S. Holders should consult their tax advisors regarding the potential application of the PFIC rules to their investment in our ordinary shares.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Backup withholding tax and information reporting requirements</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U.S. backup withholding tax and information reporting requirements may apply to certain payments to certain U.S. Holders of stock. Information reporting generally will apply to payments of dividends on, and to proceeds from the sale or redemption of, our ordinary shares made within the United States, or by a U.S. payor or U.S. middleman, to a U.S. Holder of our ordinary shares, other than an exempt recipient. A payor will be required to withhold backup withholding tax from any payments of dividends on, or the proceeds from the sale or redemption of, ordinary shares within the United States, or by a U.S. payor or U.S. middleman, to a U.S. Holder, other than an exempt recipient, if such holder fails to furnish its correct taxpayer identification number or otherwise fails to comply with, or establish an exemption from, such backup withholding tax requirements. Any amounts withheld under the backup withholding rules will be allowed as a credit against the beneficial owner’s U.S. federal income tax liability, if any, and any excess amounts withheld under the backup withholding rules may be refunded, provided that the required information is timely furnished to the IRS.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Foreign asset reporting</w:t>
      </w:r>
    </w:p>
    <w:p>
      <w:pPr>
        <w:spacing w:after="0" w:line="162"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Certain U.S. Holders who are individuals (and certain entities) may be required to report information relating to an interest in our ordinary shares, subject to certain exceptions (including an exception for shares held in accounts maintained by U.S. financial institutions) by filing IRS Form 8938 (Statement of Specified Foreign Financial Assets) with their federal income tax return. U.S. Holders should consult their tax advisors regarding their information reporting obligations, if any, with respect to their ownership and disposition of our ordinary shares and the significant penalties for noncompliance.</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Citigroup Global Markets Inc., Barclays Capital Inc. and Goldman Sachs &amp; Co. LLC are acting as representatives of the underwriters of this offering. Under the terms of an underwriting agreement, dated September 16, 2020, each of the underwriters named below has severally agreed to purchase from us and the selling shareholder the respective number of ordinary shares shown opposite its name below:</w:t>
      </w:r>
    </w:p>
    <w:p>
      <w:pPr>
        <w:spacing w:after="0" w:line="142"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Number of</w:t>
            </w:r>
          </w:p>
        </w:tc>
      </w:tr>
      <w:tr>
        <w:trPr>
          <w:trHeight w:val="212"/>
        </w:trPr>
        <w:tc>
          <w:tcPr>
            <w:tcW w:w="68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Underwriters</w:t>
            </w:r>
          </w:p>
        </w:tc>
        <w:tc>
          <w:tcPr>
            <w:tcW w:w="1260" w:type="dxa"/>
            <w:vAlign w:val="bottom"/>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Shares</w:t>
            </w:r>
          </w:p>
        </w:tc>
      </w:tr>
      <w:tr>
        <w:trPr>
          <w:trHeight w:val="46"/>
        </w:trPr>
        <w:tc>
          <w:tcPr>
            <w:tcW w:w="6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43"/>
        </w:trPr>
        <w:tc>
          <w:tcPr>
            <w:tcW w:w="6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Citigroup Global Markets Inc.</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1,141,900</w:t>
            </w:r>
          </w:p>
        </w:tc>
      </w:tr>
      <w:tr>
        <w:trPr>
          <w:trHeight w:val="243"/>
        </w:trPr>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Barclays Capital Inc.</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1,141,900</w:t>
            </w:r>
          </w:p>
        </w:tc>
      </w:tr>
      <w:tr>
        <w:trPr>
          <w:trHeight w:val="41"/>
        </w:trPr>
        <w:tc>
          <w:tcPr>
            <w:tcW w:w="6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3"/>
        </w:trPr>
        <w:tc>
          <w:tcPr>
            <w:tcW w:w="68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Goldman Sachs &amp; Co. LLC</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1,019,552</w:t>
            </w:r>
          </w:p>
        </w:tc>
      </w:tr>
      <w:tr>
        <w:trPr>
          <w:trHeight w:val="243"/>
        </w:trPr>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Needham &amp; Company, LLC</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203,910</w:t>
            </w:r>
          </w:p>
        </w:tc>
      </w:tr>
      <w:tr>
        <w:trPr>
          <w:trHeight w:val="40"/>
        </w:trPr>
        <w:tc>
          <w:tcPr>
            <w:tcW w:w="6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3"/>
        </w:trPr>
        <w:tc>
          <w:tcPr>
            <w:tcW w:w="68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Stifel, Nicolaus &amp; Company, Incorporated</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203,910</w:t>
            </w:r>
          </w:p>
        </w:tc>
      </w:tr>
      <w:tr>
        <w:trPr>
          <w:trHeight w:val="243"/>
        </w:trPr>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William Blair &amp; Company, L.L.C.</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203,910</w:t>
            </w:r>
          </w:p>
        </w:tc>
      </w:tr>
      <w:tr>
        <w:trPr>
          <w:trHeight w:val="40"/>
        </w:trPr>
        <w:tc>
          <w:tcPr>
            <w:tcW w:w="6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63"/>
        </w:trPr>
        <w:tc>
          <w:tcPr>
            <w:tcW w:w="68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Craig-Hallum Capital Group LLC</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81,564</w:t>
            </w:r>
          </w:p>
        </w:tc>
      </w:tr>
      <w:tr>
        <w:trPr>
          <w:trHeight w:val="257"/>
        </w:trPr>
        <w:tc>
          <w:tcPr>
            <w:tcW w:w="6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CJS Securities, Inc.</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81,564</w:t>
            </w:r>
          </w:p>
        </w:tc>
      </w:tr>
      <w:tr>
        <w:trPr>
          <w:trHeight w:val="27"/>
        </w:trPr>
        <w:tc>
          <w:tcPr>
            <w:tcW w:w="6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68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4,078,210</w:t>
            </w:r>
          </w:p>
        </w:tc>
      </w:tr>
      <w:tr>
        <w:trPr>
          <w:trHeight w:val="20"/>
        </w:trPr>
        <w:tc>
          <w:tcPr>
            <w:tcW w:w="6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underwriters have advised us that they propose initially to offer the ordinary shares to the public at the public offering price set forth on the cover page of this prospectus and to dealers at that price less a concession not in excess of $1.356 per share. After the initial offering, the public offering price, concession or any other term of this offering may be changed.</w:t>
      </w:r>
    </w:p>
    <w:p>
      <w:pPr>
        <w:spacing w:after="0" w:line="11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shows the public offering price, underwriting discounts and commissions and proceeds to us and to the selling shareholder, before expenses.</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4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140" w:type="dxa"/>
            <w:vAlign w:val="bottom"/>
          </w:tcPr>
          <w:p>
            <w:pPr>
              <w:spacing w:after="0"/>
              <w:rPr>
                <w:sz w:val="18"/>
                <w:szCs w:val="18"/>
                <w:color w:val="auto"/>
              </w:rPr>
            </w:pPr>
          </w:p>
        </w:tc>
        <w:tc>
          <w:tcPr>
            <w:tcW w:w="116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47"/>
        </w:trPr>
        <w:tc>
          <w:tcPr>
            <w:tcW w:w="4660" w:type="dxa"/>
            <w:vAlign w:val="bottom"/>
            <w:tcBorders>
              <w:bottom w:val="single" w:sz="8" w:color="CCEEFF"/>
            </w:tcBorders>
          </w:tcPr>
          <w:p>
            <w:pPr>
              <w:spacing w:after="0"/>
              <w:rPr>
                <w:sz w:val="4"/>
                <w:szCs w:val="4"/>
                <w:color w:val="auto"/>
              </w:rPr>
            </w:pPr>
          </w:p>
        </w:tc>
        <w:tc>
          <w:tcPr>
            <w:tcW w:w="86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r>
        <w:trPr>
          <w:trHeight w:val="243"/>
        </w:trPr>
        <w:tc>
          <w:tcPr>
            <w:tcW w:w="4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Price to the public</w:t>
            </w:r>
          </w:p>
        </w:tc>
        <w:tc>
          <w:tcPr>
            <w:tcW w:w="8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56.50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230,418,865</w:t>
            </w:r>
          </w:p>
        </w:tc>
      </w:tr>
      <w:tr>
        <w:trPr>
          <w:trHeight w:val="243"/>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 and commissions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9,216,755</w:t>
            </w:r>
          </w:p>
        </w:tc>
      </w:tr>
      <w:tr>
        <w:trPr>
          <w:trHeight w:val="40"/>
        </w:trPr>
        <w:tc>
          <w:tcPr>
            <w:tcW w:w="46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64"/>
        </w:trPr>
        <w:tc>
          <w:tcPr>
            <w:tcW w:w="4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54.24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129,539,656</w:t>
            </w:r>
          </w:p>
        </w:tc>
      </w:tr>
      <w:tr>
        <w:trPr>
          <w:trHeight w:val="243"/>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Proceeds, before expenses, to the selling shareholder</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54.24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91,662,454</w:t>
            </w:r>
          </w:p>
        </w:tc>
      </w:tr>
    </w:tbl>
    <w:p>
      <w:pPr>
        <w:spacing w:after="0" w:line="211"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underwriters reserve the right to withdraw, cancel or modify offers to the public and to reject orders in whole or in part. The underwriters are obligated to take and pay for all of the ordinary shares offered by this prospectus if any such shares are taken.</w:t>
      </w:r>
    </w:p>
    <w:p>
      <w:pPr>
        <w:spacing w:after="0" w:line="81"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underwriting agreement provides that the underwriters’ obligation to purchase ordinary shares depends on the satisfaction of the conditions contained in the underwriting agreement including:</w:t>
      </w:r>
    </w:p>
    <w:p>
      <w:pPr>
        <w:spacing w:after="0" w:line="67" w:lineRule="exact"/>
        <w:rPr>
          <w:sz w:val="20"/>
          <w:szCs w:val="20"/>
          <w:color w:val="auto"/>
        </w:rPr>
      </w:pPr>
    </w:p>
    <w:p>
      <w:pPr>
        <w:ind w:left="1320" w:right="479" w:hanging="434"/>
        <w:spacing w:after="0" w:line="282" w:lineRule="auto"/>
        <w:tabs>
          <w:tab w:leader="none" w:pos="155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to purchase all of the ordinary shares offered hereby, if any of the shares are purchased;</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0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made by us and the selling shareholder to the underwriters are true;</w:t>
      </w:r>
    </w:p>
    <w:p>
      <w:pPr>
        <w:spacing w:after="0" w:line="6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material change in our business or the financial markets; and</w:t>
      </w:r>
    </w:p>
    <w:p>
      <w:pPr>
        <w:spacing w:after="0" w:line="13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of customary closing documents to the underwriters.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16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We estimate that our expenses for the offering, excluding underwriting discounts and commissions, will be approximately $600,000.</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Option to Purchase Additional Shares</w:t>
      </w:r>
    </w:p>
    <w:p>
      <w:pPr>
        <w:spacing w:after="0" w:line="135"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We have granted the underwriters an option exercisable for 30 days after the date of this prospectus supplement to purchase, from time to time, in whole or in part, up to an aggregate of 611,731 shares from us at the public offering price less underwriting discounts and commissions. To the extent that this option is exercised, each underwriter will be obligated, subject to certain conditions, to purchase its pro rata portion of these additional shares based on the underwriter’s percentage underwriting commitment in the offering as indicated in the table at the beginning of this Underwriting Section.</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26" w:name="page27"/>
    <w:bookmarkEnd w:id="26"/>
    <w:p>
      <w:pPr>
        <w:ind w:left="460"/>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162"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We, all of our directors and executive officers and the selling shareholder have agreed that, for a period of 90 days after the date of this prospectus supplement subject to certain limited exceptions, including those described below, we and they will not directly or indirectly, without the prior written consent of each of Citigroup Global Markets Inc., Barclays Capital Inc. and Goldman Sachs &amp; Co. LLC, (1) offer for sale, sell, pledge, or otherwise dispose of (or enter into any transaction or device that is designed to, or could be expected to, result in the disposition by any person at any time in the future of) any ordinary shares (including, without limitation, ordinary shares that may be deemed to be beneficially owned by us or them in accordance with the rules and regulations of the SEC and ordinary shares that may be issued upon exercise of any options) or securities convertible into or exercisable or exchangeable for ordinary shares (other than, with respect to us, ordinary shares issued pursuant to employee benefit plans, qualified share option plans, or other employee compensation plans existing on the date of this prospectus supplement, and with respect to our directors and executive officers, ordinary shares sold pursuant to pre-existing plans established pursuant to Rule 10b5-1 under the Exchange Act), or sell or grant options or rights with respect to any ordinary shares or securities convertible into or exchangeable for ordinary shares (other than, with respect to us, the grant of options pursuant to option plans existing on the date of this prospectus supplement), (2) enter into any swap or other derivatives transaction that transfers to another, in whole or in part, any of the economic benefits or risks of ownership of ordinary shares, whether any such transaction described in clause (1) or (2) above is to be settled by delivery of ordinary shares or other securities, in cash or otherwise, (3) make any demand for or exercise any right or file or cause to be filed a registration statement, including any amendments thereto, with respect to the registration of any ordinary shares or securities convertible into or exercisable or exchangeable for ordinary shares or any of our other securities (other than any registration statement on Form S-8), or (4) publicly disclose the intention to do any of the foregoing.</w:t>
      </w:r>
    </w:p>
    <w:p>
      <w:pPr>
        <w:spacing w:after="0" w:line="125"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Citigroup Global Markets Inc., Barclays Capital Inc. and Goldman Sachs &amp; Co. LLC, in their sole discretion, may release the ordinary shares and other securities subject to the lock-up agreements described above in whole or in part at any time. When determining whether or not to release ordinary shares and other securities from lock-up agreements, Citigroup Global Markets Inc., Barclays Capital Inc. and Goldman Sachs &amp; Co. LLC will consider, among other factors, the holder’s reasons for requesting the release, the number of ordinary shares and other securities for which the release is being requested and market conditions at the time.</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We and the selling shareholder have agreed to indemnify the underwriters against certain liabilities, including liabilities under the Securities Act, and to contribute to payments that the underwriters may be required to make for these liabilities.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Stabilization, Short Positions and Penalty Bids</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underwriters may engage in stabilizing transactions, short sales and purchases to cover positions created by short sales, and penalty bids or purchases for the purpose of pegging, fixing or maintaining the price of the ordinary shares, in accordance with Regulation M under the Exchange Act:</w:t>
      </w:r>
    </w:p>
    <w:p>
      <w:pPr>
        <w:spacing w:after="0" w:line="95" w:lineRule="exact"/>
        <w:rPr>
          <w:sz w:val="20"/>
          <w:szCs w:val="20"/>
          <w:color w:val="auto"/>
        </w:rPr>
      </w:pPr>
    </w:p>
    <w:p>
      <w:pPr>
        <w:ind w:left="1320" w:right="479" w:hanging="434"/>
        <w:spacing w:after="0" w:line="282" w:lineRule="auto"/>
        <w:tabs>
          <w:tab w:leader="none" w:pos="141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Stabilizing transactions permit bids to purchase the underlying security so long as the stabilizing bids do not exceed a specified maximum.</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55" w:lineRule="auto"/>
        <w:tabs>
          <w:tab w:leader="none" w:pos="135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short position involves a sale by the underwriters of shares in excess of the number of shares the underwriters are obligated to purchase in the offering, which creates the syndicate short position. This short position, also referred to as a naked short position, must be closed out by the purchase of ordinary shares in the open market after the distribution has been completed. A naked short position is more likely to be created if the underwriters are concerned that there could be downward pressure on the price of the shares in the open market after pricing that could adversely affect investors who purchase in the offering.</w:t>
      </w:r>
    </w:p>
    <w:p>
      <w:pPr>
        <w:spacing w:after="0" w:line="121"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9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Syndicate covering transactions involve purchases of the ordinary shares in the open market after the distribution has been completed in order to cover syndicate short positions.</w:t>
      </w:r>
    </w:p>
    <w:p>
      <w:pPr>
        <w:spacing w:after="0" w:line="80"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Penalty bids permit the underwriters to reclaim a selling concession from a syndicate member when the ordinary shares originally sold by the syndicate member is purchased in a stabilizing or syndicate covering transaction to cover syndicate short positions.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27" w:name="page28"/>
    <w:bookmarkEnd w:id="27"/>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These stabilizing transactions, short positions, syndicate covering transactions and penalty bids may have the effect of raising or maintaining the market price of our ordinary shares or preventing or retarding a decline in the market price of the ordinary shares. As a result, the price of the ordinary shares may be higher than the price that might otherwise exist in the open market. These transactions may be effected on the Nasdaq Global Select Market or otherwise and, if commenced, may be discontinued at any time.</w:t>
      </w:r>
    </w:p>
    <w:p>
      <w:pPr>
        <w:spacing w:after="0" w:line="102"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Neither we nor any of the underwriters make any representation or prediction as to the direction or magnitude of any effect that the transactions described above may have on the price of the ordinary shares. In addition, neither we nor any of the underwriters make any representation that the underwriters will engage in these stabilizing transactions or that any transaction, once commenced, will not be discontinued without notice.</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Passive Market Making</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In connection with the offering, underwriters and any selling group members may engage in passive market making transactions in the ordinary shares on the Nasdaq Global Select Market in accordance with Rule 103 of Regulation M under the Exchange Act during the period before the commencement of offers or sales of the ordinary shares and extending through the completion of distribution. A passive market maker must display its bids at a price not in excess of the highest independent bid of the security. However, if all independent bids are lowered below the passive market maker’s bid that bid must be lowered when specified purchase limits are exceeded.</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Electronic Distribution</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A prospectus in electronic format may be made available on the Internet sites or through other online services maintained by one or more of the underwriters participating in this offering, or by their affiliates. In those cases, prospective investors may view offering terms online and, depending upon the particular underwriter or selling group member, prospective investors may be allowed to place orders online. The underwriters may agree with us to allocate a specific amount of ordinary shares for sale to online brokerage account holders.</w:t>
      </w:r>
    </w:p>
    <w:p>
      <w:pPr>
        <w:spacing w:after="0" w:line="106"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Other than the prospectus in electronic format, the information on any underwriter’s web site and any information contained in any other web site maintained by an underwriter or selling group member is not part of the prospectus or the registration statement of which this prospectus forms a part, has not been approved and/or endorsed by us or any underwriter or selling group member in its capacity as underwriter or selling group member and should not be relied upon by investors.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Listing on the Nasdaq Global Select Market</w:t>
      </w:r>
    </w:p>
    <w:p>
      <w:pPr>
        <w:spacing w:after="0" w:line="16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Our ordinary shares (including the offered shares) are listed on the Nasdaq Global Select Market under the symbol “KRNT.”</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Stamp Taxes</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If you purchase ordinary shares offered in this prospectus outside the United States, you may be required to pay stamp taxes and other charges under the laws and practices of the country of purchase, in addition to the offering price listed on the cover page of this prospectus.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48"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certain of their affiliates may in the future perform various commercial and investment banking and financial advisory services for the issuer and its affiliates, for which they may receive customary fees and expenses.</w:t>
      </w:r>
    </w:p>
    <w:p>
      <w:pPr>
        <w:spacing w:after="0" w:line="120"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In the ordinary course of their various business activities, the underwriters and certain of their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of the issuer or its affiliates. If the underwriters or their affiliates have a lending relationship with us, the underwriters or their affiliates may hedge, their</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8" w:name="page29"/>
    <w:bookmarkEnd w:id="28"/>
    <w:p>
      <w:pPr>
        <w:jc w:val="both"/>
        <w:ind w:left="460" w:right="459"/>
        <w:spacing w:after="0" w:line="254" w:lineRule="auto"/>
        <w:rPr>
          <w:sz w:val="20"/>
          <w:szCs w:val="20"/>
          <w:color w:val="auto"/>
        </w:rPr>
      </w:pPr>
      <w:r>
        <w:rPr>
          <w:rFonts w:ascii="Times New Roman" w:cs="Times New Roman" w:eastAsia="Times New Roman" w:hAnsi="Times New Roman"/>
          <w:sz w:val="18"/>
          <w:szCs w:val="18"/>
          <w:color w:val="auto"/>
        </w:rPr>
        <w:t>credit exposure to us consistent with their customary risk management policies. Typically, the underwriters and their affiliates would hedge such exposure by entering into transactions which consist of either the purchase of credit default swaps or the creation of short positions in our securities or the securities of our affiliates, including potentially the ordinary shares offered hereby. Any such credit default swaps or short positions could adversely affect future trading prices of the ordinary shares offered hereby. The underwriters and certain of their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Selling Restrictions Outside the United States</w:t>
      </w:r>
    </w:p>
    <w:p>
      <w:pPr>
        <w:spacing w:after="0" w:line="14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This prospectus supplement does not constitute an offer to sell to, or a solicitation of an offer to buy from, anyone in any country or jurisdiction (i) in which such an offer or solicitation is not authorized, (ii) in which any person making such offer or solicitation is not qualified to do so or (iii) in which any such offer or solicitation would otherwise be unlawful. No action has been taken that would, or is intended to, permit a public offer of the ordinary shares or possession or distribution of this prospectus or any other offering or publicity material relating to the ordinary shares in any country or jurisdiction (other than the United States) where any such action for that purpose is required. Accordingly, each underwriter has undertaken that it will not, directly or indirectly, offer or sell any ordinary shares or have in its possession, distribute or publish any prospectus, form of application, advertisement or other document or information in any country or jurisdiction except under circumstances that will, to the best of its knowledge and belief, result in compliance with any applicable laws and regulations and all offers and sales of ordinary shares by it will be made on the same terms.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Canada</w:t>
      </w:r>
    </w:p>
    <w:p>
      <w:pPr>
        <w:spacing w:after="0" w:line="148"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93"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93"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European Economic Area</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Solely for the purposes of each manufacturer’s product approval process, the target market assessment in respect of the securities has led to the conclusion that: (i) the target market for the securities is eligible counterparties and professional clients only, each as defined in Directive 2014/65/EU (as amended, “MiFID II”); and (ii) all channels for distribution of the securities to eligible counterparties and professional clients are appropriate. Any person subsequently offering, selling or recommending the securities (referred to as a “distributor”) should take into consideration the manufacturer’s target market assessment; however, a distributor subject to MiFID II is responsible for undertaking its own target market assessment in respect of the securities (by either adopting or refining the manufacturer’s target market assessment) and determining appropriate distribution channels.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9" w:name="page30"/>
    <w:bookmarkEnd w:id="29"/>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Any distributor subject to MiFID II that is offering, selling or recommending the securities is responsible for undertaking its own target market assessment in respect of the securities and determining its own distribution channels for the purposes of the MiFID product governance rules under Commission Delegated Directive (EU) 2017/593 (the “Delegated Directive”). None of we, the selling stockholders or any of the underwriters make or makes any representations or warranties as to a distributor’s compliance with the Delegated Directive.</w:t>
      </w:r>
    </w:p>
    <w:p>
      <w:pPr>
        <w:spacing w:after="0" w:line="106"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and the United Kingdom (each, a “Relevant State”), an offer to the public of any securities which are the subject of the offering contemplated by this prospectus supplement may not be made in that Relevant State, except that an offer to the public in that Relevant State of any securities may be made at any time under the following exemptions under the Prospectus Regulation:</w:t>
      </w:r>
    </w:p>
    <w:p>
      <w:pPr>
        <w:spacing w:after="0" w:line="116" w:lineRule="exact"/>
        <w:rPr>
          <w:sz w:val="20"/>
          <w:szCs w:val="20"/>
          <w:color w:val="auto"/>
        </w:rPr>
      </w:pPr>
    </w:p>
    <w:p>
      <w:pPr>
        <w:ind w:left="1300" w:hanging="41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in the Prospectus Regulation;</w:t>
      </w:r>
    </w:p>
    <w:p>
      <w:pPr>
        <w:spacing w:after="0" w:line="157"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58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in the Prospectus Regulation), as permitted under the Prospectus Regulation, subject to obtaining the prior consent of the underwriters or the underwriters nominated by us for any such offer; or</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pacing w:after="0" w:line="158" w:lineRule="exact"/>
        <w:rPr>
          <w:sz w:val="20"/>
          <w:szCs w:val="20"/>
          <w:color w:val="auto"/>
        </w:rPr>
      </w:pPr>
    </w:p>
    <w:p>
      <w:pPr>
        <w:jc w:val="both"/>
        <w:ind w:left="460" w:right="459"/>
        <w:spacing w:after="0" w:line="256" w:lineRule="auto"/>
        <w:rPr>
          <w:sz w:val="20"/>
          <w:szCs w:val="20"/>
          <w:color w:val="auto"/>
        </w:rPr>
      </w:pPr>
      <w:r>
        <w:rPr>
          <w:rFonts w:ascii="Times New Roman" w:cs="Times New Roman" w:eastAsia="Times New Roman" w:hAnsi="Times New Roman"/>
          <w:sz w:val="18"/>
          <w:szCs w:val="18"/>
          <w:color w:val="auto"/>
        </w:rPr>
        <w:t>provided that no such offer of ordinary shares shall require us, the selling stockholders or any of the underwriters to publish a prospectus pursuant to Article 3 of the Prospectus Regulation or supplement a prospectus pursuant to Article 23 of the Prospectus Regulation and each person who initially acquires any ordinary shares or to whom any offer is made will be deemed to have represented, acknowledged and agreed to and with each of the underwriters that it is a “qualified investor” within the meaning of Article 2(e) of the Prospectus Regulation.</w:t>
      </w:r>
    </w:p>
    <w:p>
      <w:pPr>
        <w:spacing w:after="0" w:line="120"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of ordinary shares to the public” in relation to the ordinary shares in any Relevant State means the communication in any form and by any means of sufficient information on the terms of the offer and the ordinary shares to be offered, so as to enable an investor to decide to purchase or subscribe the ordinary shares and the expression “Prospectus Regulation” means Regulation (EU) 2017/1129.</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United Kingdom</w:t>
      </w:r>
    </w:p>
    <w:p>
      <w:pPr>
        <w:spacing w:after="0" w:line="14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This prospectus supplement is only being distributed to, and is only directed at, persons in the United Kingdom that are qualified investors within the meaning of Article 2(e) of the Prospectus Regulation that are also (i) investment professionals falling within Article 19(5) of the Financial Services and Markets Act 2000 (Financial Promotion) Order 2005, as amended (the “Order”) and/or (ii) high net worth entities falling within Article 49(2)(a) to (d) of the Order and/or other persons to whom it may lawfully be communicated (each such person being referred to as a “relevant person”).</w:t>
      </w:r>
    </w:p>
    <w:p>
      <w:pPr>
        <w:spacing w:after="0" w:line="120"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This prospectus supplement and its contents are confidential and should not be distributed, published or reproduced (in whole or in part) or disclosed by recipients to any other persons in the United Kingdom. Any person in the United Kingdom that is not a relevant person should not act or rely on this prospectus supplement or any of its contents.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Israel</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This document does not constitute a prospectus under the Israeli Securities Law, 5728-1968, or the Securities Law, and has not been filed with or approved by the Israel Securities Authority. In Israel, this document is being distributed only to, and is directed only at, and any offer of the securities offered hereby is directed only at, investors listed in the first addendum, or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shall be required to submit written confirmation that they fall within the scope of the Addendum, are aware of the meaning of same and agree to it.</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validity of the ordinary shares being offered by this prospectus supplement and other legal matters concerning this offering relating to Israeli law will be passed upon for us by Meitar Law Offices, Ramat Gan, Israel. Certain legal matters in connection with this offering relating to U.S. law will be passed upon for us by White &amp; Case LLP, New York, New York. Certain legal matters in connection with this offering will be passed upon for the underwriters by Gornitzky &amp; Co., Tel Aviv, Israel, with respect to Israeli law, and by Skadden, Arps, Slate, Meagher &amp; Flom LLP, New York, New York, with respect to U.S. law.</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4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of Kornit Digital Ltd. incorporated by reference in this prospectus supplement by reference to Kornit Digital Ltd.’s Annual Report on Form 20-F for the year ended December 31, 2019 have been audited by Kost Forer Gabbay &amp; Kasierer, a member of Ernst &amp; Young Global, an independent registered public accounting firm, as set forth in their report therein, included therein and incorporated herein by reference. Such consolidated financial statements are incorporated by reference in reliance upon such report given on the authority of such firm as experts in accounting and auditing.</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ENFORCEABILITY OF CIVIL LIABILITIES</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We are incorporated under the laws of the State of Israel. Service of process upon us and upon our directors, officers and any Israeli experts named in this prospectus supplement, substantially all of whom reside outside of the United States, may be difficult to obtain within the United States. Furthermore, because substantially all of our assets and substantially all of our directors and officers are located outside of the United States, any judgment obtained in the United States against us or any of our directors and officers may not be collectible within the United States.</w:t>
      </w:r>
    </w:p>
    <w:p>
      <w:pPr>
        <w:spacing w:after="0" w:line="106"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have been informed by our legal counsel in Israel, Meitar Law Offices, that it may be difficult to assert U.S. securities law claims in original actions instituted in Israel. Israeli courts may refuse to hear a claim based on an alleged violation of U.S. securities laws because Israel is not the most appropriate forum in which to bring such a claim. In addition, even if an Israeli court agrees to hear a claim, it may determine that Israeli law and not U.S. law is applicable to the claim. If U.S. law is found to be applicable, the content of applicable U.S. law must be proven as a fact, which can be a time-consuming and costly process. Certain matters of procedure will also be governed by Israeli law.</w:t>
      </w:r>
    </w:p>
    <w:p>
      <w:pPr>
        <w:spacing w:after="0" w:line="12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have irrevocably appointed Kornit Digital North America Inc. as our agent to receive service of process in any action against us in any United States federal or state court arising out of the offering under this prospectus supplement or any purchase or sale of securities in connection with any such offering. Subject to specified time limitations and legal procedures, Israeli courts may enforce a United States judgment in a civil matter which, subject to certain exceptions, is non-appealable, including a judgment based upon the civil liability provisions of the Securities Act or the Exchange Act and including a monetary or compensatory judgment in a non-civil matter, provided that, among other things:</w:t>
      </w:r>
    </w:p>
    <w:p>
      <w:pPr>
        <w:spacing w:after="0" w:line="121" w:lineRule="exact"/>
        <w:rPr>
          <w:sz w:val="20"/>
          <w:szCs w:val="20"/>
          <w:color w:val="auto"/>
        </w:rPr>
      </w:pPr>
    </w:p>
    <w:p>
      <w:pPr>
        <w:jc w:val="both"/>
        <w:ind w:left="1320" w:right="479" w:hanging="434"/>
        <w:spacing w:after="0" w:line="266" w:lineRule="auto"/>
        <w:tabs>
          <w:tab w:leader="none" w:pos="13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is obtained after due process before a court of competent jurisdiction, according to the laws of the state in which the judgment is given and the rules of private international law prevailing in Israel;</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is executory in the state in which it was given;</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prevailing law of the foreign state in which the judgment is rendered allows for the enforcement of judgments of Israeli courts;</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 service of process has been effected and the defendant has had a reasonable opportunity to be heard and to present his or her evidence;</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is not contrary to public policy of Israel, and the enforcement of the civil liabilities set forth in the judgment is not likely to impair the security or sovereignty of Israel;</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6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was not obtained by fraud and does not conflict with any other valid judgment in the same matter between the same parties;</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40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action between the same parties in the same matter was not pending in any Israeli court at the time at which the lawsuit was instituted in the foreign court; and</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6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is enforceable according to the laws of Israel and according to the law of the foreign state in which the relief was granted.</w:t>
      </w:r>
    </w:p>
    <w:p>
      <w:pPr>
        <w:spacing w:after="0" w:line="94" w:lineRule="exact"/>
        <w:rPr>
          <w:sz w:val="20"/>
          <w:szCs w:val="20"/>
          <w:color w:val="auto"/>
        </w:rPr>
      </w:pPr>
    </w:p>
    <w:p>
      <w:pPr>
        <w:jc w:val="both"/>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If a foreign judgment is enforced by an Israeli court, it generally will be payable in Israeli currency, which can then be converted into non-Israeli currency and transferred out of Israel. Under existing Israeli law, a foreign judgment payable in foreign currency may be paid in Israeli currency at the rate of exchange in force on the date of the payment. Current Israeli exchange control regulations also permit a judgment debtor to make payment in foreign currency. Pending collection, the amount of the judgment of an Israeli court stated in Israeli currency ordinarily will be linked to the Israeli consumer price index plus interest at the annual statutory rate set by Israeli regulations prevailing at the time. Judgment creditors must bear the risk of unfavorable exchange rates.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have filed with the SEC an automatic shelf registration statement on Form F-3ASR under the Securities Act, with respect to the securities offered by this prospectus supplement. This prospectus supplement and the accompanying prospectus do not contain all the information contained in the registration statement, including its exhibits and schedules. You should refer to the registration statement, including the exhibits and schedules, for further information about us and the securities we may offer. Statements we make in this prospectus supplement and the accompanying prospectus about certain contracts or other documents are not necessarily complete. When we make such statements, we refer you to the copies of the contracts or documents that are filed as exhibits to the registration statement, because those statements are qualified in all respects by reference to those exhibits. The registration statement, including exhibits and schedules, is on file at the offices of the SEC and may be inspected without charge.</w:t>
      </w:r>
    </w:p>
    <w:p>
      <w:pPr>
        <w:spacing w:after="0" w:line="113"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are subject to the information reporting requirements of the Exchange Act. Under the Exchange Act, we are required to file annual reports and certain special reports with, and to furnish current reports and certain other information to the SEC. As a foreign private issuer, we are exempt from the rules under the Exchange Act prescribing the furnishing and content of proxy statements and our officers, directors and principal shareholders are exempt from the reporting and short-swing profit recovery provisions contained in Section 16 of the Exchange Act. In addition, we are not required under the Exchange Act to file annual, quarterly and current reports and financial statements as frequently or as promptly as U.S. companies whose securities are registered under the Exchange Act. However, we file with the SEC, within 120 days after the end of each fiscal year, or such applicable time as required by the SEC, an annual report on Form 20-F containing financial statements audited by an independent registered public accounting firm, and we submit to the SEC, on Form 6-K, unaudited quarterly financial information.</w:t>
      </w:r>
    </w:p>
    <w:p>
      <w:pPr>
        <w:spacing w:after="0" w:line="124"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 xml:space="preserve">The SEC maintains a website that contains reports, proxy and information statements and other information about issuers, such as us, who file electronically with the SEC. The address of that website is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w:t>
      </w:r>
    </w:p>
    <w:p>
      <w:pPr>
        <w:spacing w:after="0" w:line="106" w:lineRule="exact"/>
        <w:rPr>
          <w:sz w:val="20"/>
          <w:szCs w:val="20"/>
          <w:color w:val="auto"/>
        </w:rPr>
      </w:pPr>
    </w:p>
    <w:p>
      <w:pPr>
        <w:jc w:val="both"/>
        <w:ind w:left="460" w:right="459" w:firstLine="432"/>
        <w:spacing w:after="0" w:line="267" w:lineRule="auto"/>
        <w:rPr>
          <w:sz w:val="20"/>
          <w:szCs w:val="20"/>
          <w:color w:val="auto"/>
        </w:rPr>
      </w:pPr>
      <w:r>
        <w:rPr>
          <w:rFonts w:ascii="Times New Roman" w:cs="Times New Roman" w:eastAsia="Times New Roman" w:hAnsi="Times New Roman"/>
          <w:sz w:val="18"/>
          <w:szCs w:val="18"/>
          <w:color w:val="auto"/>
        </w:rPr>
        <w:t xml:space="preserve">We maintain a corporate website at </w:t>
      </w:r>
      <w:r>
        <w:rPr>
          <w:rFonts w:ascii="Times New Roman" w:cs="Times New Roman" w:eastAsia="Times New Roman" w:hAnsi="Times New Roman"/>
          <w:sz w:val="18"/>
          <w:szCs w:val="18"/>
          <w:i w:val="1"/>
          <w:iCs w:val="1"/>
          <w:color w:val="auto"/>
        </w:rPr>
        <w:t>www.kornit.com.</w:t>
      </w:r>
      <w:r>
        <w:rPr>
          <w:rFonts w:ascii="Times New Roman" w:cs="Times New Roman" w:eastAsia="Times New Roman" w:hAnsi="Times New Roman"/>
          <w:sz w:val="18"/>
          <w:szCs w:val="18"/>
          <w:color w:val="auto"/>
        </w:rPr>
        <w:t xml:space="preserve"> Information contained on, or that can be accessed through, our website does not constitute a part of this prospectus supplement or the accompanying prospectus. We have included our website address in this prospectus supplement solely as an inactive textual reference.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DOCUMENTS BY REFERENCE</w:t>
      </w:r>
    </w:p>
    <w:p>
      <w:pPr>
        <w:spacing w:after="0" w:line="16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The SEC allows us to “incorporate by reference” into this prospectus supplement and the accompanying prospectus the information in documents we file with, or furnish to, it. This means that we can disclose important information to you by referring you another document filed or furnished by us with or to the SEC. Each document incorporated by reference is current only as of the date of such document, and the incorporation by reference of such documents shall not create any implication that there has been no change in our affairs since the date thereof or that the information contained therein is current as of any time subsequent to its date. The information incorporated by reference is considered to be a part of this prospectus supplement and the accompanying prospectus and should be read with the same care. When we update the information contained in documents that have been incorporated by reference by making future filings with, or specially-designated submissions to, the SEC, the information incorporated by reference in this prospectus supplement and the accompanying prospectus is considered to be automatically updated and superseded. In other words, in the case of a conflict or inconsistency between information contained in this prospectus supplement and the accompanying prospectus and information incorporated by reference into this prospectus supplement and the accompanying prospectus, you should rely on the information contained in the document that was filed or furnished later.</w:t>
      </w:r>
    </w:p>
    <w:p>
      <w:pPr>
        <w:spacing w:after="0" w:line="115"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We incorporate by reference into this prospectus supplement and the accompanying prospectus those documents listed below and any future filings made with the SEC under Sections 13(a), 13(c), 14 or 15(d) of the Exchange Act, and, to the extent specifically designated therein or in a future prospectus supplement, those reports of foreign private issuer on Form 6-K (and related exhibits) that we furnish to the SEC until we terminate the offering:</w:t>
      </w:r>
    </w:p>
    <w:p>
      <w:pPr>
        <w:spacing w:after="0" w:line="116" w:lineRule="exact"/>
        <w:rPr>
          <w:sz w:val="20"/>
          <w:szCs w:val="20"/>
          <w:color w:val="auto"/>
        </w:rPr>
      </w:pPr>
    </w:p>
    <w:p>
      <w:pPr>
        <w:ind w:left="1320" w:right="459" w:hanging="434"/>
        <w:spacing w:after="0" w:line="282" w:lineRule="auto"/>
        <w:tabs>
          <w:tab w:leader="none" w:pos="132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47">
        <w:r>
          <w:rPr>
            <w:rFonts w:ascii="Times New Roman" w:cs="Times New Roman" w:eastAsia="Times New Roman" w:hAnsi="Times New Roman"/>
            <w:sz w:val="18"/>
            <w:szCs w:val="18"/>
            <w:u w:val="single" w:color="auto"/>
            <w:color w:val="0000EE"/>
          </w:rPr>
          <w:t>Form 20-F</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2019, filed with the SEC on March 23, 2020 (the “2019 Form 20-F”);</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reports of foreign private issuer on Form 6-K furnished to the SEC on:</w:t>
      </w:r>
    </w:p>
    <w:p>
      <w:pPr>
        <w:spacing w:after="0" w:line="144" w:lineRule="exact"/>
        <w:rPr>
          <w:rFonts w:ascii="Times New Roman" w:cs="Times New Roman" w:eastAsia="Times New Roman" w:hAnsi="Times New Roman"/>
          <w:sz w:val="18"/>
          <w:szCs w:val="18"/>
          <w:color w:val="auto"/>
        </w:rPr>
      </w:pPr>
    </w:p>
    <w:p>
      <w:pPr>
        <w:jc w:val="both"/>
        <w:ind w:left="1760" w:right="479" w:hanging="442"/>
        <w:spacing w:after="0" w:line="266" w:lineRule="auto"/>
        <w:tabs>
          <w:tab w:leader="none" w:pos="1751" w:val="left"/>
        </w:tabs>
        <w:numPr>
          <w:ilvl w:val="1"/>
          <w:numId w:val="18"/>
        </w:numPr>
        <w:rPr>
          <w:rFonts w:ascii="Times New Roman" w:cs="Times New Roman" w:eastAsia="Times New Roman" w:hAnsi="Times New Roman"/>
          <w:sz w:val="18"/>
          <w:szCs w:val="18"/>
          <w:color w:val="0000EE"/>
        </w:rPr>
      </w:pPr>
      <w:hyperlink r:id="rId48">
        <w:r>
          <w:rPr>
            <w:rFonts w:ascii="Times New Roman" w:cs="Times New Roman" w:eastAsia="Times New Roman" w:hAnsi="Times New Roman"/>
            <w:sz w:val="18"/>
            <w:szCs w:val="18"/>
            <w:u w:val="single" w:color="auto"/>
            <w:color w:val="0000EE"/>
          </w:rPr>
          <w:t>May 19, 2020</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(solely</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with respect to (i) the portions specified therein, (ii) the paragraph under</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the caption “Non-GAAP Discussion Disclosure” and (iii) the table under “Reconciliation of GAAP to Non-GAAP Consolidated Statements Of Operations”);</w:t>
      </w:r>
    </w:p>
    <w:p>
      <w:pPr>
        <w:spacing w:after="0" w:line="108" w:lineRule="exact"/>
        <w:rPr>
          <w:rFonts w:ascii="Times New Roman" w:cs="Times New Roman" w:eastAsia="Times New Roman" w:hAnsi="Times New Roman"/>
          <w:sz w:val="18"/>
          <w:szCs w:val="18"/>
          <w:color w:val="0000EE"/>
        </w:rPr>
      </w:pPr>
    </w:p>
    <w:p>
      <w:pPr>
        <w:ind w:left="1740" w:hanging="422"/>
        <w:spacing w:after="0"/>
        <w:tabs>
          <w:tab w:leader="none" w:pos="1740" w:val="left"/>
        </w:tabs>
        <w:numPr>
          <w:ilvl w:val="1"/>
          <w:numId w:val="18"/>
        </w:numPr>
        <w:rPr>
          <w:rFonts w:ascii="Times New Roman" w:cs="Times New Roman" w:eastAsia="Times New Roman" w:hAnsi="Times New Roman"/>
          <w:sz w:val="18"/>
          <w:szCs w:val="18"/>
          <w:color w:val="0000EE"/>
        </w:rPr>
      </w:pPr>
      <w:hyperlink r:id="rId49">
        <w:r>
          <w:rPr>
            <w:rFonts w:ascii="Times New Roman" w:cs="Times New Roman" w:eastAsia="Times New Roman" w:hAnsi="Times New Roman"/>
            <w:sz w:val="18"/>
            <w:szCs w:val="18"/>
            <w:u w:val="single" w:color="auto"/>
            <w:color w:val="0000EE"/>
          </w:rPr>
          <w:t>July 2, 2020</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(solely</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with respect to the portions specified therein);</w:t>
      </w:r>
    </w:p>
    <w:p>
      <w:pPr>
        <w:spacing w:after="0" w:line="157" w:lineRule="exact"/>
        <w:rPr>
          <w:rFonts w:ascii="Times New Roman" w:cs="Times New Roman" w:eastAsia="Times New Roman" w:hAnsi="Times New Roman"/>
          <w:sz w:val="18"/>
          <w:szCs w:val="18"/>
          <w:color w:val="0000EE"/>
        </w:rPr>
      </w:pPr>
    </w:p>
    <w:p>
      <w:pPr>
        <w:ind w:left="1740" w:hanging="422"/>
        <w:spacing w:after="0"/>
        <w:tabs>
          <w:tab w:leader="none" w:pos="1740" w:val="left"/>
        </w:tabs>
        <w:numPr>
          <w:ilvl w:val="1"/>
          <w:numId w:val="18"/>
        </w:numPr>
        <w:rPr>
          <w:rFonts w:ascii="Times New Roman" w:cs="Times New Roman" w:eastAsia="Times New Roman" w:hAnsi="Times New Roman"/>
          <w:sz w:val="18"/>
          <w:szCs w:val="18"/>
          <w:color w:val="0000EE"/>
        </w:rPr>
      </w:pPr>
      <w:hyperlink r:id="rId50">
        <w:r>
          <w:rPr>
            <w:rFonts w:ascii="Times New Roman" w:cs="Times New Roman" w:eastAsia="Times New Roman" w:hAnsi="Times New Roman"/>
            <w:sz w:val="18"/>
            <w:szCs w:val="18"/>
            <w:u w:val="single" w:color="auto"/>
            <w:color w:val="0000EE"/>
          </w:rPr>
          <w:t>July 27, 2020</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(solely</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with respect to the portions specified therein);</w:t>
      </w:r>
    </w:p>
    <w:p>
      <w:pPr>
        <w:spacing w:after="0" w:line="144" w:lineRule="exact"/>
        <w:rPr>
          <w:rFonts w:ascii="Times New Roman" w:cs="Times New Roman" w:eastAsia="Times New Roman" w:hAnsi="Times New Roman"/>
          <w:sz w:val="18"/>
          <w:szCs w:val="18"/>
          <w:color w:val="0000EE"/>
        </w:rPr>
      </w:pPr>
    </w:p>
    <w:p>
      <w:pPr>
        <w:jc w:val="both"/>
        <w:ind w:left="1760" w:right="459" w:hanging="442"/>
        <w:spacing w:after="0" w:line="266" w:lineRule="auto"/>
        <w:tabs>
          <w:tab w:leader="none" w:pos="1845" w:val="left"/>
        </w:tabs>
        <w:numPr>
          <w:ilvl w:val="1"/>
          <w:numId w:val="18"/>
        </w:numPr>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u w:val="single" w:color="auto"/>
            <w:color w:val="0000EE"/>
          </w:rPr>
          <w:t>August 11, 2020</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(solely</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with respect to (i) the portions specified therein, (ii) the paragraph</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under the caption “Non-GAAP Discussion Disclosure” and (iii) the table under “Reconciliation of GAAP to Non-GAAP Consolidated Statements Of Operations”);</w:t>
      </w:r>
    </w:p>
    <w:p>
      <w:pPr>
        <w:spacing w:after="0" w:line="108" w:lineRule="exact"/>
        <w:rPr>
          <w:rFonts w:ascii="Times New Roman" w:cs="Times New Roman" w:eastAsia="Times New Roman" w:hAnsi="Times New Roman"/>
          <w:sz w:val="18"/>
          <w:szCs w:val="18"/>
          <w:color w:val="0000EE"/>
        </w:rPr>
      </w:pPr>
    </w:p>
    <w:p>
      <w:pPr>
        <w:ind w:left="1740" w:hanging="422"/>
        <w:spacing w:after="0"/>
        <w:tabs>
          <w:tab w:leader="none" w:pos="1740" w:val="left"/>
        </w:tabs>
        <w:numPr>
          <w:ilvl w:val="1"/>
          <w:numId w:val="18"/>
        </w:numPr>
        <w:rPr>
          <w:rFonts w:ascii="Times New Roman" w:cs="Times New Roman" w:eastAsia="Times New Roman" w:hAnsi="Times New Roman"/>
          <w:sz w:val="18"/>
          <w:szCs w:val="18"/>
          <w:color w:val="0000EE"/>
        </w:rPr>
      </w:pPr>
      <w:hyperlink r:id="rId52">
        <w:r>
          <w:rPr>
            <w:rFonts w:ascii="Times New Roman" w:cs="Times New Roman" w:eastAsia="Times New Roman" w:hAnsi="Times New Roman"/>
            <w:sz w:val="18"/>
            <w:szCs w:val="18"/>
            <w:u w:val="single" w:color="auto"/>
            <w:color w:val="0000EE"/>
          </w:rPr>
          <w:t>August 11, 2020</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(solely</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with respect to the portions specified therein);</w:t>
      </w:r>
    </w:p>
    <w:p>
      <w:pPr>
        <w:spacing w:after="0" w:line="157" w:lineRule="exact"/>
        <w:rPr>
          <w:rFonts w:ascii="Times New Roman" w:cs="Times New Roman" w:eastAsia="Times New Roman" w:hAnsi="Times New Roman"/>
          <w:sz w:val="18"/>
          <w:szCs w:val="18"/>
          <w:color w:val="0000EE"/>
        </w:rPr>
      </w:pPr>
    </w:p>
    <w:p>
      <w:pPr>
        <w:ind w:left="1740" w:hanging="422"/>
        <w:spacing w:after="0"/>
        <w:tabs>
          <w:tab w:leader="none" w:pos="1740" w:val="left"/>
        </w:tabs>
        <w:numPr>
          <w:ilvl w:val="1"/>
          <w:numId w:val="18"/>
        </w:numPr>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u w:val="single" w:color="auto"/>
            <w:color w:val="0000EE"/>
          </w:rPr>
          <w:t>August 12, 2020</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(solely</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with respect to the portions specified therein);</w:t>
      </w:r>
    </w:p>
    <w:p>
      <w:pPr>
        <w:spacing w:after="0" w:line="144" w:lineRule="exact"/>
        <w:rPr>
          <w:rFonts w:ascii="Times New Roman" w:cs="Times New Roman" w:eastAsia="Times New Roman" w:hAnsi="Times New Roman"/>
          <w:sz w:val="18"/>
          <w:szCs w:val="18"/>
          <w:color w:val="0000EE"/>
        </w:rPr>
      </w:pPr>
    </w:p>
    <w:p>
      <w:pPr>
        <w:ind w:left="1740" w:hanging="422"/>
        <w:spacing w:after="0"/>
        <w:tabs>
          <w:tab w:leader="none" w:pos="1740" w:val="left"/>
        </w:tabs>
        <w:numPr>
          <w:ilvl w:val="1"/>
          <w:numId w:val="18"/>
        </w:numPr>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u w:val="single" w:color="auto"/>
            <w:color w:val="0000EE"/>
          </w:rPr>
          <w:t>September 14, 2020</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(solely</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with respect to the portions specified therein);</w:t>
      </w:r>
    </w:p>
    <w:p>
      <w:pPr>
        <w:spacing w:after="0" w:line="157" w:lineRule="exact"/>
        <w:rPr>
          <w:rFonts w:ascii="Times New Roman" w:cs="Times New Roman" w:eastAsia="Times New Roman" w:hAnsi="Times New Roman"/>
          <w:sz w:val="18"/>
          <w:szCs w:val="18"/>
          <w:color w:val="0000EE"/>
        </w:rPr>
      </w:pPr>
    </w:p>
    <w:p>
      <w:pPr>
        <w:ind w:left="1740" w:hanging="422"/>
        <w:spacing w:after="0"/>
        <w:tabs>
          <w:tab w:leader="none" w:pos="1740" w:val="left"/>
        </w:tabs>
        <w:numPr>
          <w:ilvl w:val="1"/>
          <w:numId w:val="18"/>
        </w:numPr>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u w:val="single" w:color="auto"/>
            <w:color w:val="0000EE"/>
          </w:rPr>
          <w:t>September 15, 2020</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(solely</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with respect to the portions specified therein); and</w:t>
      </w:r>
    </w:p>
    <w:p>
      <w:pPr>
        <w:spacing w:after="0" w:line="157" w:lineRule="exact"/>
        <w:rPr>
          <w:rFonts w:ascii="Times New Roman" w:cs="Times New Roman" w:eastAsia="Times New Roman" w:hAnsi="Times New Roman"/>
          <w:sz w:val="18"/>
          <w:szCs w:val="18"/>
          <w:color w:val="0000EE"/>
        </w:rPr>
      </w:pPr>
    </w:p>
    <w:p>
      <w:pPr>
        <w:jc w:val="both"/>
        <w:ind w:left="1320" w:right="459" w:hanging="434"/>
        <w:spacing w:after="0" w:line="258" w:lineRule="auto"/>
        <w:tabs>
          <w:tab w:leader="none" w:pos="159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ordinary shares contained under the heading “Item 1. Description of Registrant’s Securities to be Registered” in our registration statement on </w:t>
      </w:r>
      <w:hyperlink r:id="rId56">
        <w:r>
          <w:rPr>
            <w:rFonts w:ascii="Times New Roman" w:cs="Times New Roman" w:eastAsia="Times New Roman" w:hAnsi="Times New Roman"/>
            <w:sz w:val="18"/>
            <w:szCs w:val="18"/>
            <w:u w:val="single" w:color="auto"/>
            <w:color w:val="0000EE"/>
          </w:rPr>
          <w:t>Form 8-A</w:t>
        </w:r>
      </w:hyperlink>
      <w:r>
        <w:rPr>
          <w:rFonts w:ascii="Times New Roman" w:cs="Times New Roman" w:eastAsia="Times New Roman" w:hAnsi="Times New Roman"/>
          <w:sz w:val="18"/>
          <w:szCs w:val="18"/>
          <w:color w:val="auto"/>
        </w:rPr>
        <w:t xml:space="preserve">, as filed with the SEC on March 31, 2015, as updated by </w:t>
      </w:r>
      <w:hyperlink r:id="rId57">
        <w:r>
          <w:rPr>
            <w:rFonts w:ascii="Times New Roman" w:cs="Times New Roman" w:eastAsia="Times New Roman" w:hAnsi="Times New Roman"/>
            <w:sz w:val="18"/>
            <w:szCs w:val="18"/>
            <w:u w:val="single" w:color="auto"/>
            <w:color w:val="0000EE"/>
          </w:rPr>
          <w:t>Exhibit 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2019 Form 20-F (“Description of Ordinary Shares of Kornit Digital Ltd.”), including any subsequent amendment or any report filed for the purpose of further updating such description.</w:t>
      </w:r>
    </w:p>
    <w:p>
      <w:pPr>
        <w:spacing w:after="0" w:line="102" w:lineRule="exact"/>
        <w:rPr>
          <w:rFonts w:ascii="Times New Roman" w:cs="Times New Roman" w:eastAsia="Times New Roman" w:hAnsi="Times New Roman"/>
          <w:sz w:val="18"/>
          <w:szCs w:val="18"/>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Any statement contained herein or in a document all or a portion of which is incorporated or deemed to be incorporated by reference herein shall be deemed to be modified or superseded for purposes of this prospectus supplement and the accompanying prospectus to the extent that a statement contained herein or in any other subsequently filed or furnished document which also is (or is deemed to be) incorporated by reference herein modifies or supersedes such statement. Any such statement so modified or superseded shall not be deemed, except as so modified or superseded, to constitute a part of this prospectus supplement or the accompanying prospectus.</w:t>
      </w:r>
    </w:p>
    <w:p>
      <w:pPr>
        <w:spacing w:after="0" w:line="162"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S-29</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34" w:name="page35"/>
    <w:bookmarkEnd w:id="34"/>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Unless expressly incorporated by reference, nothing in this prospectus supplement or the accompanying prospectus shall be deemed to incorporate by reference information furnished to, but not filed with, the SEC. Copies of all documents incorporated by reference in this prospectus supplement and the accompanying prospectus, other than exhibits to those documents unless such exhibits are specially incorporated by reference in this prospectus supplement and the accompanying prospectus, will be provided at no cost to each person, including any beneficial owner, who receives a copy of this prospectus supplement and the accompanying prospectus on the written or oral request of that person made to:</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Kornit Digital Ltd.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Attention: 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 Ha’Amal Street, Afek Park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Rosh Ha’Ayin 4809246, Israel</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Tel: +972-3-908-5800</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20"/>
          <w:szCs w:val="20"/>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2054225</wp:posOffset>
            </wp:positionH>
            <wp:positionV relativeFrom="paragraph">
              <wp:posOffset>153670</wp:posOffset>
            </wp:positionV>
            <wp:extent cx="1611630" cy="9944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1611630" cy="994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560" w:right="1659" w:hanging="915"/>
        <w:spacing w:after="0" w:line="460" w:lineRule="auto"/>
        <w:rPr>
          <w:sz w:val="20"/>
          <w:szCs w:val="20"/>
          <w:color w:val="auto"/>
        </w:rPr>
      </w:pPr>
      <w:r>
        <w:rPr>
          <w:rFonts w:ascii="Times New Roman" w:cs="Times New Roman" w:eastAsia="Times New Roman" w:hAnsi="Times New Roman"/>
          <w:sz w:val="21"/>
          <w:szCs w:val="21"/>
          <w:b w:val="1"/>
          <w:bCs w:val="1"/>
          <w:color w:val="auto"/>
        </w:rPr>
        <w:t>2,932,176 Ordinary Shares Offered by the Selling Shareholder Ordinary Shares Offered by the Company</w:t>
      </w:r>
    </w:p>
    <w:p>
      <w:pPr>
        <w:spacing w:after="0" w:line="1" w:lineRule="exact"/>
        <w:rPr>
          <w:sz w:val="20"/>
          <w:szCs w:val="20"/>
          <w:color w:val="auto"/>
        </w:rPr>
      </w:pPr>
    </w:p>
    <w:p>
      <w:pPr>
        <w:jc w:val="both"/>
        <w:ind w:left="460" w:right="459" w:firstLine="432"/>
        <w:spacing w:after="0" w:line="274" w:lineRule="auto"/>
        <w:rPr>
          <w:sz w:val="20"/>
          <w:szCs w:val="20"/>
          <w:color w:val="auto"/>
        </w:rPr>
      </w:pPr>
      <w:r>
        <w:rPr>
          <w:rFonts w:ascii="Times New Roman" w:cs="Times New Roman" w:eastAsia="Times New Roman" w:hAnsi="Times New Roman"/>
          <w:sz w:val="19"/>
          <w:szCs w:val="19"/>
          <w:color w:val="auto"/>
        </w:rPr>
        <w:t>We may offer ordinary shares from time to time in one or more issuances. In addition, the selling shareholder named in this prospectus may offer and sell up to 2,932,176 of our ordinary shares. We will not receive any of the proceeds from the sale of ordinary shares by the selling shareholder.</w:t>
      </w:r>
    </w:p>
    <w:p>
      <w:pPr>
        <w:spacing w:after="0" w:line="156" w:lineRule="exact"/>
        <w:rPr>
          <w:sz w:val="20"/>
          <w:szCs w:val="20"/>
          <w:color w:val="auto"/>
        </w:rPr>
      </w:pPr>
    </w:p>
    <w:p>
      <w:pPr>
        <w:jc w:val="both"/>
        <w:ind w:left="460" w:right="459" w:firstLine="432"/>
        <w:spacing w:after="0" w:line="245" w:lineRule="auto"/>
        <w:rPr>
          <w:sz w:val="20"/>
          <w:szCs w:val="20"/>
          <w:color w:val="auto"/>
        </w:rPr>
      </w:pPr>
      <w:r>
        <w:rPr>
          <w:rFonts w:ascii="Times New Roman" w:cs="Times New Roman" w:eastAsia="Times New Roman" w:hAnsi="Times New Roman"/>
          <w:sz w:val="20"/>
          <w:szCs w:val="20"/>
          <w:color w:val="auto"/>
        </w:rPr>
        <w:t>We are registering the sale of ordinary shares proposed to be sold by the selling shareholder pursuant to registration rights that we have granted to such shareholder. These ordinary shares underlie a warrant that we have issued to the selling shareholder. The selling shareholder may offer and sell ordinary shares in public or private transactions, or both. These sales may occur at fixed prices, at market prices prevailing at the time of sale, at prices related to prevailing market prices, or at negotiated prices. See “Plan of Distribution.”</w:t>
      </w:r>
    </w:p>
    <w:p>
      <w:pPr>
        <w:spacing w:after="0" w:line="184" w:lineRule="exact"/>
        <w:rPr>
          <w:sz w:val="20"/>
          <w:szCs w:val="20"/>
          <w:color w:val="auto"/>
        </w:rPr>
      </w:pPr>
    </w:p>
    <w:p>
      <w:pPr>
        <w:jc w:val="both"/>
        <w:ind w:left="460" w:right="459" w:firstLine="432"/>
        <w:spacing w:after="0" w:line="244" w:lineRule="auto"/>
        <w:rPr>
          <w:sz w:val="20"/>
          <w:szCs w:val="20"/>
          <w:color w:val="auto"/>
        </w:rPr>
      </w:pPr>
      <w:r>
        <w:rPr>
          <w:rFonts w:ascii="Times New Roman" w:cs="Times New Roman" w:eastAsia="Times New Roman" w:hAnsi="Times New Roman"/>
          <w:sz w:val="20"/>
          <w:szCs w:val="20"/>
          <w:color w:val="auto"/>
        </w:rPr>
        <w:t>This prospectus describes the general manner in which the shares will be offered. Each time we or, if required under the Securities Act of 1933, as amended, the selling shareholder, sells securities pursuant to this prospectus, we will provide a supplement to this prospectus that contains specific information about the offering. The prospectus supplement will also describe the specific manner in which these securities will be offered and may also supplement, update or amend information contained in this prospectus. You should read this prospectus and any applicable prospectus supplement before you invest.</w:t>
      </w:r>
    </w:p>
    <w:p>
      <w:pPr>
        <w:spacing w:after="0" w:line="186" w:lineRule="exact"/>
        <w:rPr>
          <w:sz w:val="20"/>
          <w:szCs w:val="20"/>
          <w:color w:val="auto"/>
        </w:rPr>
      </w:pPr>
    </w:p>
    <w:p>
      <w:pPr>
        <w:jc w:val="both"/>
        <w:ind w:left="460" w:right="479" w:firstLine="432"/>
        <w:spacing w:after="0" w:line="254" w:lineRule="auto"/>
        <w:rPr>
          <w:sz w:val="20"/>
          <w:szCs w:val="20"/>
          <w:color w:val="auto"/>
        </w:rPr>
      </w:pPr>
      <w:r>
        <w:rPr>
          <w:rFonts w:ascii="Times New Roman" w:cs="Times New Roman" w:eastAsia="Times New Roman" w:hAnsi="Times New Roman"/>
          <w:sz w:val="20"/>
          <w:szCs w:val="20"/>
          <w:color w:val="auto"/>
        </w:rPr>
        <w:t>Our ordinary shares are traded on the Nasdaq Global Select Market under the symbol “KRNT.” The closing price of our ordinary shares, as reported on the Nasdaq Global Select Market on September 11, 2020 was $60.26.</w:t>
      </w:r>
    </w:p>
    <w:p>
      <w:pPr>
        <w:spacing w:after="0" w:line="107"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_________________</w:t>
      </w:r>
    </w:p>
    <w:p>
      <w:pPr>
        <w:spacing w:after="0" w:line="221" w:lineRule="exact"/>
        <w:rPr>
          <w:sz w:val="20"/>
          <w:szCs w:val="20"/>
          <w:color w:val="auto"/>
        </w:rPr>
      </w:pPr>
    </w:p>
    <w:p>
      <w:pPr>
        <w:jc w:val="both"/>
        <w:ind w:left="460" w:right="459" w:firstLine="432"/>
        <w:spacing w:after="0" w:line="268" w:lineRule="auto"/>
        <w:rPr>
          <w:sz w:val="20"/>
          <w:szCs w:val="20"/>
          <w:color w:val="auto"/>
        </w:rPr>
      </w:pPr>
      <w:r>
        <w:rPr>
          <w:rFonts w:ascii="Times New Roman" w:cs="Times New Roman" w:eastAsia="Times New Roman" w:hAnsi="Times New Roman"/>
          <w:sz w:val="19"/>
          <w:szCs w:val="19"/>
          <w:b w:val="1"/>
          <w:bCs w:val="1"/>
          <w:color w:val="auto"/>
        </w:rPr>
        <w:t>Investing in our ordinary shares involves certain risks. Please carefully consider the “Risk Factors” in Item 3 of our most recent annual report on Form 20-F incorporated by reference in this prospectus and in any applicable supplement to this prospectus, for a discussion of the factors you should consider carefully before deciding to purchase these ordinary shares.</w:t>
      </w:r>
    </w:p>
    <w:p>
      <w:pPr>
        <w:spacing w:after="0" w:line="95"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_________________</w:t>
      </w:r>
    </w:p>
    <w:p>
      <w:pPr>
        <w:spacing w:after="0" w:line="221" w:lineRule="exact"/>
        <w:rPr>
          <w:sz w:val="20"/>
          <w:szCs w:val="20"/>
          <w:color w:val="auto"/>
        </w:rPr>
      </w:pPr>
    </w:p>
    <w:p>
      <w:pPr>
        <w:jc w:val="both"/>
        <w:ind w:left="460" w:right="459" w:firstLine="432"/>
        <w:spacing w:after="0" w:line="250" w:lineRule="auto"/>
        <w:rPr>
          <w:sz w:val="20"/>
          <w:szCs w:val="20"/>
          <w:color w:val="auto"/>
        </w:rPr>
      </w:pPr>
      <w:r>
        <w:rPr>
          <w:rFonts w:ascii="Times New Roman" w:cs="Times New Roman" w:eastAsia="Times New Roman" w:hAnsi="Times New Roman"/>
          <w:sz w:val="20"/>
          <w:szCs w:val="20"/>
          <w:b w:val="1"/>
          <w:bCs w:val="1"/>
          <w:color w:val="auto"/>
        </w:rPr>
        <w:t>Neither the Securities and Exchange Commission nor any state securities commission has approved or disapproved of the ordinary shares being offered by this prospectus, or determined if this prospectus is truthful or complete. Any representation to the contrary is a criminal offense.</w:t>
      </w:r>
    </w:p>
    <w:p>
      <w:pPr>
        <w:spacing w:after="0" w:line="9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_________________</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date of this prospectus is September 14,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271145</wp:posOffset>
            </wp:positionV>
            <wp:extent cx="51435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29" w:right="1440" w:bottom="1440" w:gutter="0" w:footer="0" w:header="0"/>
        </w:sectPr>
      </w:pPr>
    </w:p>
    <w:bookmarkStart w:id="36" w:name="page37"/>
    <w:bookmarkEnd w:id="36"/>
    <w:tbl>
      <w:tblPr>
        <w:tblLayout w:type="fixed"/>
        <w:tblInd w:w="460" w:type="dxa"/>
        <w:tblCellMar>
          <w:top w:w="0" w:type="dxa"/>
          <w:left w:w="0" w:type="dxa"/>
          <w:bottom w:w="0" w:type="dxa"/>
          <w:right w:w="0" w:type="dxa"/>
        </w:tblCellMar>
      </w:tblPr>
      <w:tr>
        <w:trPr>
          <w:trHeight w:val="238"/>
        </w:trPr>
        <w:tc>
          <w:tcPr>
            <w:tcW w:w="7480" w:type="dxa"/>
            <w:vAlign w:val="bottom"/>
          </w:tcPr>
          <w:p>
            <w:pPr>
              <w:ind w:left="30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20" w:type="dxa"/>
            <w:vAlign w:val="bottom"/>
          </w:tcPr>
          <w:p>
            <w:pPr>
              <w:spacing w:after="0"/>
              <w:rPr>
                <w:sz w:val="20"/>
                <w:szCs w:val="20"/>
                <w:color w:val="auto"/>
              </w:rPr>
            </w:pPr>
          </w:p>
        </w:tc>
      </w:tr>
      <w:tr>
        <w:trPr>
          <w:trHeight w:val="413"/>
        </w:trPr>
        <w:tc>
          <w:tcPr>
            <w:tcW w:w="748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46"/>
        </w:trPr>
        <w:tc>
          <w:tcPr>
            <w:tcW w:w="748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r>
      <w:tr>
        <w:trPr>
          <w:trHeight w:val="244"/>
        </w:trPr>
        <w:tc>
          <w:tcPr>
            <w:tcW w:w="7480" w:type="dxa"/>
            <w:vAlign w:val="bottom"/>
            <w:tcBorders>
              <w:bottom w:val="single" w:sz="8" w:color="CCEEFF"/>
            </w:tcBorders>
            <w:shd w:val="clear" w:color="auto" w:fill="CCEEFF"/>
          </w:tcPr>
          <w:p>
            <w:pPr>
              <w:spacing w:after="0"/>
              <w:rPr>
                <w:rFonts w:ascii="Times New Roman" w:cs="Times New Roman" w:eastAsia="Times New Roman" w:hAnsi="Times New Roman"/>
                <w:sz w:val="18"/>
                <w:szCs w:val="18"/>
                <w:u w:val="single" w:color="auto"/>
                <w:color w:val="0000EE"/>
              </w:rPr>
            </w:pPr>
            <w:hyperlink w:anchor="page38">
              <w:r>
                <w:rPr>
                  <w:rFonts w:ascii="Times New Roman" w:cs="Times New Roman" w:eastAsia="Times New Roman" w:hAnsi="Times New Roman"/>
                  <w:sz w:val="18"/>
                  <w:szCs w:val="18"/>
                  <w:u w:val="single" w:color="auto"/>
                  <w:color w:val="0000EE"/>
                </w:rPr>
                <w:t>About this Prospectus</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ii</w:t>
            </w:r>
          </w:p>
        </w:tc>
      </w:tr>
      <w:tr>
        <w:trPr>
          <w:trHeight w:val="243"/>
        </w:trPr>
        <w:tc>
          <w:tcPr>
            <w:tcW w:w="7480" w:type="dxa"/>
            <w:vAlign w:val="bottom"/>
          </w:tcPr>
          <w:p>
            <w:pPr>
              <w:spacing w:after="0"/>
              <w:rPr>
                <w:rFonts w:ascii="Times New Roman" w:cs="Times New Roman" w:eastAsia="Times New Roman" w:hAnsi="Times New Roman"/>
                <w:sz w:val="18"/>
                <w:szCs w:val="18"/>
                <w:u w:val="single" w:color="auto"/>
                <w:color w:val="0000EE"/>
              </w:rPr>
            </w:pPr>
            <w:hyperlink w:anchor="page39">
              <w:r>
                <w:rPr>
                  <w:rFonts w:ascii="Times New Roman" w:cs="Times New Roman" w:eastAsia="Times New Roman" w:hAnsi="Times New Roman"/>
                  <w:sz w:val="18"/>
                  <w:szCs w:val="18"/>
                  <w:u w:val="single" w:color="auto"/>
                  <w:color w:val="0000EE"/>
                </w:rPr>
                <w:t>Kornit Digital Ltd.</w:t>
              </w:r>
            </w:hyperlink>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r>
      <w:tr>
        <w:trPr>
          <w:trHeight w:val="41"/>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Times New Roman" w:cs="Times New Roman" w:eastAsia="Times New Roman" w:hAnsi="Times New Roman"/>
                <w:sz w:val="18"/>
                <w:szCs w:val="18"/>
                <w:u w:val="single" w:color="auto"/>
                <w:color w:val="0000EE"/>
              </w:rPr>
            </w:pPr>
            <w:hyperlink w:anchor="page40">
              <w:r>
                <w:rPr>
                  <w:rFonts w:ascii="Times New Roman" w:cs="Times New Roman" w:eastAsia="Times New Roman" w:hAnsi="Times New Roman"/>
                  <w:sz w:val="18"/>
                  <w:szCs w:val="18"/>
                  <w:u w:val="single" w:color="auto"/>
                  <w:color w:val="0000EE"/>
                </w:rPr>
                <w:t>Risk Factors</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r>
      <w:tr>
        <w:trPr>
          <w:trHeight w:val="243"/>
        </w:trPr>
        <w:tc>
          <w:tcPr>
            <w:tcW w:w="7480" w:type="dxa"/>
            <w:vAlign w:val="bottom"/>
          </w:tcPr>
          <w:p>
            <w:pPr>
              <w:spacing w:after="0"/>
              <w:rPr>
                <w:rFonts w:ascii="Times New Roman" w:cs="Times New Roman" w:eastAsia="Times New Roman" w:hAnsi="Times New Roman"/>
                <w:sz w:val="18"/>
                <w:szCs w:val="18"/>
                <w:u w:val="single" w:color="auto"/>
                <w:color w:val="0000EE"/>
              </w:rPr>
            </w:pPr>
            <w:hyperlink w:anchor="page41">
              <w:r>
                <w:rPr>
                  <w:rFonts w:ascii="Times New Roman" w:cs="Times New Roman" w:eastAsia="Times New Roman" w:hAnsi="Times New Roman"/>
                  <w:sz w:val="18"/>
                  <w:szCs w:val="18"/>
                  <w:u w:val="single" w:color="auto"/>
                  <w:color w:val="0000EE"/>
                </w:rPr>
                <w:t>Forward-Looking Statements</w:t>
              </w:r>
            </w:hyperlink>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r>
      <w:tr>
        <w:trPr>
          <w:trHeight w:val="40"/>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Times New Roman" w:cs="Times New Roman" w:eastAsia="Times New Roman" w:hAnsi="Times New Roman"/>
                <w:sz w:val="18"/>
                <w:szCs w:val="18"/>
                <w:u w:val="single" w:color="auto"/>
                <w:color w:val="0000EE"/>
              </w:rPr>
            </w:pPr>
            <w:hyperlink w:anchor="page42">
              <w:r>
                <w:rPr>
                  <w:rFonts w:ascii="Times New Roman" w:cs="Times New Roman" w:eastAsia="Times New Roman" w:hAnsi="Times New Roman"/>
                  <w:sz w:val="18"/>
                  <w:szCs w:val="18"/>
                  <w:u w:val="single" w:color="auto"/>
                  <w:color w:val="0000EE"/>
                </w:rPr>
                <w:t>Use of Proceeds</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4</w:t>
            </w:r>
          </w:p>
        </w:tc>
      </w:tr>
      <w:tr>
        <w:trPr>
          <w:trHeight w:val="243"/>
        </w:trPr>
        <w:tc>
          <w:tcPr>
            <w:tcW w:w="7480" w:type="dxa"/>
            <w:vAlign w:val="bottom"/>
          </w:tcPr>
          <w:p>
            <w:pPr>
              <w:spacing w:after="0"/>
              <w:rPr>
                <w:rFonts w:ascii="Times New Roman" w:cs="Times New Roman" w:eastAsia="Times New Roman" w:hAnsi="Times New Roman"/>
                <w:sz w:val="18"/>
                <w:szCs w:val="18"/>
                <w:u w:val="single" w:color="auto"/>
                <w:color w:val="0000EE"/>
              </w:rPr>
            </w:pPr>
            <w:hyperlink w:anchor="page44">
              <w:r>
                <w:rPr>
                  <w:rFonts w:ascii="Times New Roman" w:cs="Times New Roman" w:eastAsia="Times New Roman" w:hAnsi="Times New Roman"/>
                  <w:sz w:val="18"/>
                  <w:szCs w:val="18"/>
                  <w:u w:val="single" w:color="auto"/>
                  <w:color w:val="0000EE"/>
                </w:rPr>
                <w:t>Description of Ordinary Shares</w:t>
              </w:r>
            </w:hyperlink>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r>
      <w:tr>
        <w:trPr>
          <w:trHeight w:val="40"/>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4"/>
        </w:trPr>
        <w:tc>
          <w:tcPr>
            <w:tcW w:w="7480" w:type="dxa"/>
            <w:vAlign w:val="bottom"/>
            <w:tcBorders>
              <w:bottom w:val="single" w:sz="8" w:color="CCEEFF"/>
            </w:tcBorders>
            <w:shd w:val="clear" w:color="auto" w:fill="CCEEFF"/>
          </w:tcPr>
          <w:p>
            <w:pPr>
              <w:spacing w:after="0"/>
              <w:rPr>
                <w:rFonts w:ascii="Times New Roman" w:cs="Times New Roman" w:eastAsia="Times New Roman" w:hAnsi="Times New Roman"/>
                <w:sz w:val="18"/>
                <w:szCs w:val="18"/>
                <w:u w:val="single" w:color="auto"/>
                <w:color w:val="0000EE"/>
              </w:rPr>
            </w:pPr>
            <w:hyperlink w:anchor="page45">
              <w:r>
                <w:rPr>
                  <w:rFonts w:ascii="Times New Roman" w:cs="Times New Roman" w:eastAsia="Times New Roman" w:hAnsi="Times New Roman"/>
                  <w:sz w:val="18"/>
                  <w:szCs w:val="18"/>
                  <w:u w:val="single" w:color="auto"/>
                  <w:color w:val="0000EE"/>
                </w:rPr>
                <w:t>Plan of Distribution</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7</w:t>
            </w:r>
          </w:p>
        </w:tc>
      </w:tr>
      <w:tr>
        <w:trPr>
          <w:trHeight w:val="243"/>
        </w:trPr>
        <w:tc>
          <w:tcPr>
            <w:tcW w:w="7480" w:type="dxa"/>
            <w:vAlign w:val="bottom"/>
          </w:tcPr>
          <w:p>
            <w:pPr>
              <w:spacing w:after="0"/>
              <w:rPr>
                <w:rFonts w:ascii="Times New Roman" w:cs="Times New Roman" w:eastAsia="Times New Roman" w:hAnsi="Times New Roman"/>
                <w:sz w:val="18"/>
                <w:szCs w:val="18"/>
                <w:u w:val="single" w:color="auto"/>
                <w:color w:val="0000EE"/>
              </w:rPr>
            </w:pPr>
            <w:hyperlink w:anchor="page47">
              <w:r>
                <w:rPr>
                  <w:rFonts w:ascii="Times New Roman" w:cs="Times New Roman" w:eastAsia="Times New Roman" w:hAnsi="Times New Roman"/>
                  <w:sz w:val="18"/>
                  <w:szCs w:val="18"/>
                  <w:u w:val="single" w:color="auto"/>
                  <w:color w:val="0000EE"/>
                </w:rPr>
                <w:t>Legal Matters</w:t>
              </w:r>
            </w:hyperlink>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9</w:t>
            </w:r>
          </w:p>
        </w:tc>
      </w:tr>
      <w:tr>
        <w:trPr>
          <w:trHeight w:val="41"/>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Times New Roman" w:cs="Times New Roman" w:eastAsia="Times New Roman" w:hAnsi="Times New Roman"/>
                <w:sz w:val="18"/>
                <w:szCs w:val="18"/>
                <w:u w:val="single" w:color="auto"/>
                <w:color w:val="0000EE"/>
              </w:rPr>
            </w:pPr>
            <w:hyperlink w:anchor="page47">
              <w:r>
                <w:rPr>
                  <w:rFonts w:ascii="Times New Roman" w:cs="Times New Roman" w:eastAsia="Times New Roman" w:hAnsi="Times New Roman"/>
                  <w:sz w:val="18"/>
                  <w:szCs w:val="18"/>
                  <w:u w:val="single" w:color="auto"/>
                  <w:color w:val="0000EE"/>
                </w:rPr>
                <w:t>Experts</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9</w:t>
            </w:r>
          </w:p>
        </w:tc>
      </w:tr>
      <w:tr>
        <w:trPr>
          <w:trHeight w:val="243"/>
        </w:trPr>
        <w:tc>
          <w:tcPr>
            <w:tcW w:w="7480" w:type="dxa"/>
            <w:vAlign w:val="bottom"/>
          </w:tcPr>
          <w:p>
            <w:pPr>
              <w:spacing w:after="0"/>
              <w:rPr>
                <w:rFonts w:ascii="Times New Roman" w:cs="Times New Roman" w:eastAsia="Times New Roman" w:hAnsi="Times New Roman"/>
                <w:sz w:val="18"/>
                <w:szCs w:val="18"/>
                <w:u w:val="single" w:color="auto"/>
                <w:color w:val="0000EE"/>
              </w:rPr>
            </w:pPr>
            <w:hyperlink w:anchor="page47">
              <w:r>
                <w:rPr>
                  <w:rFonts w:ascii="Times New Roman" w:cs="Times New Roman" w:eastAsia="Times New Roman" w:hAnsi="Times New Roman"/>
                  <w:sz w:val="18"/>
                  <w:szCs w:val="18"/>
                  <w:u w:val="single" w:color="auto"/>
                  <w:color w:val="0000EE"/>
                </w:rPr>
                <w:t>Where You Can Find More Information</w:t>
              </w:r>
            </w:hyperlink>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9</w:t>
            </w:r>
          </w:p>
        </w:tc>
      </w:tr>
      <w:tr>
        <w:trPr>
          <w:trHeight w:val="40"/>
        </w:trPr>
        <w:tc>
          <w:tcPr>
            <w:tcW w:w="7480" w:type="dxa"/>
            <w:vAlign w:val="bottom"/>
          </w:tcPr>
          <w:p>
            <w:pPr>
              <w:spacing w:after="0"/>
              <w:rPr>
                <w:sz w:val="3"/>
                <w:szCs w:val="3"/>
                <w:color w:val="auto"/>
              </w:rPr>
            </w:pPr>
          </w:p>
        </w:tc>
        <w:tc>
          <w:tcPr>
            <w:tcW w:w="620" w:type="dxa"/>
            <w:vAlign w:val="bottom"/>
          </w:tcPr>
          <w:p>
            <w:pPr>
              <w:spacing w:after="0"/>
              <w:rPr>
                <w:sz w:val="3"/>
                <w:szCs w:val="3"/>
                <w:color w:val="auto"/>
              </w:rPr>
            </w:pPr>
          </w:p>
        </w:tc>
      </w:tr>
      <w:tr>
        <w:trPr>
          <w:trHeight w:val="263"/>
        </w:trPr>
        <w:tc>
          <w:tcPr>
            <w:tcW w:w="7480" w:type="dxa"/>
            <w:vAlign w:val="bottom"/>
            <w:tcBorders>
              <w:bottom w:val="single" w:sz="8" w:color="CCEEFF"/>
            </w:tcBorders>
            <w:shd w:val="clear" w:color="auto" w:fill="CCEEFF"/>
          </w:tcPr>
          <w:p>
            <w:pPr>
              <w:spacing w:after="0"/>
              <w:rPr>
                <w:rFonts w:ascii="Times New Roman" w:cs="Times New Roman" w:eastAsia="Times New Roman" w:hAnsi="Times New Roman"/>
                <w:sz w:val="18"/>
                <w:szCs w:val="18"/>
                <w:u w:val="single" w:color="auto"/>
                <w:color w:val="0000EE"/>
              </w:rPr>
            </w:pPr>
            <w:hyperlink w:anchor="page48">
              <w:r>
                <w:rPr>
                  <w:rFonts w:ascii="Times New Roman" w:cs="Times New Roman" w:eastAsia="Times New Roman" w:hAnsi="Times New Roman"/>
                  <w:sz w:val="18"/>
                  <w:szCs w:val="18"/>
                  <w:u w:val="single" w:color="auto"/>
                  <w:color w:val="0000EE"/>
                </w:rPr>
                <w:t>Incorporation of Certain Documents By Reference</w:t>
              </w:r>
            </w:hyperlink>
          </w:p>
        </w:tc>
        <w:tc>
          <w:tcPr>
            <w:tcW w:w="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r>
      <w:tr>
        <w:trPr>
          <w:trHeight w:val="243"/>
        </w:trPr>
        <w:tc>
          <w:tcPr>
            <w:tcW w:w="7480" w:type="dxa"/>
            <w:vAlign w:val="bottom"/>
          </w:tcPr>
          <w:p>
            <w:pPr>
              <w:spacing w:after="0"/>
              <w:rPr>
                <w:rFonts w:ascii="Times New Roman" w:cs="Times New Roman" w:eastAsia="Times New Roman" w:hAnsi="Times New Roman"/>
                <w:sz w:val="18"/>
                <w:szCs w:val="18"/>
                <w:u w:val="single" w:color="auto"/>
                <w:color w:val="0000EE"/>
              </w:rPr>
            </w:pPr>
            <w:hyperlink w:anchor="page50">
              <w:r>
                <w:rPr>
                  <w:rFonts w:ascii="Times New Roman" w:cs="Times New Roman" w:eastAsia="Times New Roman" w:hAnsi="Times New Roman"/>
                  <w:sz w:val="18"/>
                  <w:szCs w:val="18"/>
                  <w:u w:val="single" w:color="auto"/>
                  <w:color w:val="0000EE"/>
                </w:rPr>
                <w:t>Enforceability of Civil Liabilities</w:t>
              </w:r>
            </w:hyperlink>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r>
    </w:tbl>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have filed with the Securities and Exchange Commission, or SEC, as a “well-known seasoned issuer” as defined in Rule 405 of the Securities Act, as amended, utilizing a “shelf” registration process. Under this process, we may offer and sell our ordinary shares under this prospectus from time to time, in one or more offerings. This prospectus provides you with a general description of the ordinary shares we may offer. Each time we sell ordinary shares under the shelf registration statement of which this prospectus forms a part, we will provide a prospectus supplement that will contain specific information about the terms of that offering, if required. The prospectus supplement may also add, update or change information contained in this prospectus, and may also contain information about any material federal income tax considerations relating to the ordinary shares covered by the prospectus supplement. You should read both this prospectus and any prospectus supplement together with additional information under the headings “Where You Can Find More Information” and “Incorporation of Certain Documents by Reference.”</w:t>
      </w:r>
    </w:p>
    <w:p>
      <w:pPr>
        <w:spacing w:after="0" w:line="11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This summary may not contain all of the information that may be important to you. You should read this entire prospectus, including the financial data and related notes incorporated by reference in this prospectus, before making an investment decision. This summary contains forward-looking statements that involve risks and uncertainties. Our actual results may differ significantly from the results discussed in the forward-looking statements. Factors that might cause or contribute to such differences include those discussed in “Risk Factors” and “Forward-Looking Statements.”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KORNIT DIGITAL LTD.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We develop, manufacture and market innovative digital printing solutions for the global printed textile industry, with a major focus on the fashion, apparel and home décor segments of the industry.</w:t>
      </w:r>
    </w:p>
    <w:p>
      <w:pPr>
        <w:spacing w:after="0" w:line="81"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Our vision is to create a world where everybody can bond, design and express their identities, one impression at a time.</w:t>
      </w:r>
    </w:p>
    <w:p>
      <w:pPr>
        <w:spacing w:after="0" w:line="9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Our mission is to revolutionize the fast-changing printed textile industry by facilitating and expediting the transition from analog processes that have not evolved for decades and are not suited to the rapidly changing business models and self-disruption needs of the industry, to digital methods of garment, apparel and home décor, finished-goods production and decoration that address the contemporary supply, demand, social and environmental needs of the industry in which we operate.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6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Our legal name is Kornit Digital Ltd. and we were incorporated under the laws of the State of Israel on January 16, 2002. Our registration number with the Israeli Registrar of Companies is 513195420. Our purpose as set forth in our amended and restated articles of association is to engage in any lawful activity.</w:t>
      </w:r>
    </w:p>
    <w:p>
      <w:pPr>
        <w:spacing w:after="0" w:line="95"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 xml:space="preserve">We are subject to the provisions of the Israeli Companies Law, 5759-1999, or the Israeli Companies Law. Our principal executive offices are located at 12 Ha’Amal Street, Rosh Ha’Ayin 4809246, Israel, and our telephone number is +972-3-908-5800. Our website address is </w:t>
      </w:r>
      <w:r>
        <w:rPr>
          <w:rFonts w:ascii="Times New Roman" w:cs="Times New Roman" w:eastAsia="Times New Roman" w:hAnsi="Times New Roman"/>
          <w:sz w:val="18"/>
          <w:szCs w:val="18"/>
          <w:i w:val="1"/>
          <w:iCs w:val="1"/>
          <w:color w:val="auto"/>
        </w:rPr>
        <w:t>www.kornit.com</w:t>
      </w:r>
      <w:r>
        <w:rPr>
          <w:rFonts w:ascii="Times New Roman" w:cs="Times New Roman" w:eastAsia="Times New Roman" w:hAnsi="Times New Roman"/>
          <w:sz w:val="18"/>
          <w:szCs w:val="18"/>
          <w:color w:val="auto"/>
        </w:rPr>
        <w:t xml:space="preserve"> (the information contained therein or linked thereto shall not be considered incorporated by reference in this prospectus). Our agent for service of process in the United States is Kornit Digital North America Inc., located at 480 South Dean Street, Englewood, New Jersey 07631, and its telephone number is (888) 456-7648.</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39" w:name="page40"/>
    <w:bookmarkEnd w:id="3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62" w:lineRule="exact"/>
        <w:rPr>
          <w:sz w:val="20"/>
          <w:szCs w:val="20"/>
          <w:color w:val="auto"/>
        </w:rPr>
      </w:pPr>
    </w:p>
    <w:p>
      <w:pPr>
        <w:jc w:val="both"/>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An investment in our securities involves a high degree of risk. Our business, financial condition or results of operations could be adversely affected by any of these risks. If any of these risks occurs, the value of our ordinary shares and our other securities may decline. You should carefully consider the risk factors discussed under the caption “Risk Factors” in our annual report on Form 20-F for the year ended December 31, 2019 and in any other filings we make with the Securities and Exchange Commission (the “SEC”) subsequent to the date of this prospectus which are incorporated herein by reference, and in any supplement to this prospectus, before making your investment decision.</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This prospectus and the documents incorporated in it by reference contain forward-looking statements within the meaning of Section 27A of the Securities Act of 1933, as amended, or the Securities Act, Section 21E of the Securities Exchange Act of 1934, as amended, or the Exchange Act, and the safe harbor provisions of the U.S. Private Securities Litigation Reform Act of 1995, which are based on our management’s beliefs and assumptions and on information currently available to our management. Forward-looking statements include information concerning our possible or assumed future results of our business, financial condition, results of operations, liquidity, plans and objectives. Forward-looking statements include all statements that are not historical facts and in some cases can be identified by terminology such as “believe,” “may,” “estimate,” “continue,” “anticipate,” “intend,” “should,” “plan,” “expect,” “predict,” “potential,” or the negative of these terms or other similar expressions that convey uncertainty of future events or outcomes.</w:t>
      </w:r>
    </w:p>
    <w:p>
      <w:pPr>
        <w:spacing w:after="0" w:line="113"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Our ability to predict the results of our operations or the effects of various events on our operating results is inherently uncertain. Therefore, we caution you to consider carefully the matters described under the caption “Risk Factors” and certain other matters discussed in this prospectus, the documents incorporated by reference in this prospectus, and other publicly available sources. Such factors and many other factors beyond the control of our management could cause our actual results, level of activity, performance or achievements to differ materially from any future results, level of activity, performance or achievements that may be expressed or implied by the forward-looking statements. Unless we are required to do so under U.S. federal securities laws or other applicable laws, we do not intend to update or revise any forward-looking statements.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we intend to use the net proceeds from the sale of securities offered by us pursuant to this prospectus for general corporate and working capital purposes.</w:t>
      </w:r>
    </w:p>
    <w:p>
      <w:pPr>
        <w:spacing w:after="0" w:line="9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We will not receive any proceeds from the sale of ordinary shares by the selling shareholder.</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SELLING SHAREHOLDER</w:t>
      </w:r>
    </w:p>
    <w:p>
      <w:pPr>
        <w:spacing w:after="0" w:line="16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with respect to the beneficial ownership of the selling shareholder of our ordinary shares as of September 11, 2020. On September 11, we had a total of 41,197,714 of our ordinary shares outstanding.</w:t>
      </w:r>
    </w:p>
    <w:p>
      <w:pPr>
        <w:spacing w:after="0" w:line="95"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Except as otherwise indicated, to our knowledge, the selling shareholder has sole voting and investment power with respect to all ordinary shares shown as beneficially owned by it.</w:t>
      </w:r>
    </w:p>
    <w:p>
      <w:pPr>
        <w:spacing w:after="0" w:line="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For more information regarding our relationships with the selling shareholder and its affiliates, see “Major</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Shareholders and Related Party Transactions” in our Annual Report on Form 20-F for the year ended</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December 31, 2019 filed with the SEC on March 23, 2020.</w:t>
      </w:r>
    </w:p>
    <w:p>
      <w:pPr>
        <w:spacing w:after="0" w:line="16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Shares Beneficially</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Shares Beneficially</w:t>
            </w:r>
          </w:p>
        </w:tc>
        <w:tc>
          <w:tcPr>
            <w:tcW w:w="0" w:type="dxa"/>
            <w:vAlign w:val="bottom"/>
          </w:tcPr>
          <w:p>
            <w:pPr>
              <w:spacing w:after="0"/>
              <w:rPr>
                <w:sz w:val="1"/>
                <w:szCs w:val="1"/>
                <w:color w:val="auto"/>
              </w:rPr>
            </w:pPr>
          </w:p>
        </w:tc>
      </w:tr>
      <w:tr>
        <w:trPr>
          <w:trHeight w:val="203"/>
        </w:trPr>
        <w:tc>
          <w:tcPr>
            <w:tcW w:w="3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Owned</w:t>
            </w:r>
          </w:p>
        </w:tc>
        <w:tc>
          <w:tcPr>
            <w:tcW w:w="100" w:type="dxa"/>
            <w:vAlign w:val="bottom"/>
          </w:tcPr>
          <w:p>
            <w:pPr>
              <w:spacing w:after="0"/>
              <w:rPr>
                <w:sz w:val="17"/>
                <w:szCs w:val="17"/>
                <w:color w:val="auto"/>
              </w:rPr>
            </w:pPr>
          </w:p>
        </w:tc>
        <w:tc>
          <w:tcPr>
            <w:tcW w:w="9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68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Owned</w:t>
            </w:r>
          </w:p>
        </w:tc>
        <w:tc>
          <w:tcPr>
            <w:tcW w:w="0" w:type="dxa"/>
            <w:vAlign w:val="bottom"/>
          </w:tcPr>
          <w:p>
            <w:pPr>
              <w:spacing w:after="0"/>
              <w:rPr>
                <w:sz w:val="1"/>
                <w:szCs w:val="1"/>
                <w:color w:val="auto"/>
              </w:rPr>
            </w:pPr>
          </w:p>
        </w:tc>
      </w:tr>
      <w:tr>
        <w:trPr>
          <w:trHeight w:val="95"/>
        </w:trPr>
        <w:tc>
          <w:tcPr>
            <w:tcW w:w="3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7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Prior to Offering</w:t>
            </w:r>
          </w:p>
        </w:tc>
        <w:tc>
          <w:tcPr>
            <w:tcW w:w="10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16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After Offering</w:t>
            </w:r>
          </w:p>
        </w:tc>
        <w:tc>
          <w:tcPr>
            <w:tcW w:w="0" w:type="dxa"/>
            <w:vAlign w:val="bottom"/>
          </w:tcPr>
          <w:p>
            <w:pPr>
              <w:spacing w:after="0"/>
              <w:rPr>
                <w:sz w:val="1"/>
                <w:szCs w:val="1"/>
                <w:color w:val="auto"/>
              </w:rPr>
            </w:pPr>
          </w:p>
        </w:tc>
      </w:tr>
      <w:tr>
        <w:trPr>
          <w:trHeight w:val="118"/>
        </w:trPr>
        <w:tc>
          <w:tcPr>
            <w:tcW w:w="3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0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vMerge w:val="restart"/>
          </w:tcPr>
          <w:p>
            <w:pPr>
              <w:jc w:val="center"/>
              <w:ind w:right="140"/>
              <w:spacing w:after="0" w:line="145" w:lineRule="exact"/>
              <w:rPr>
                <w:sz w:val="20"/>
                <w:szCs w:val="20"/>
                <w:color w:val="auto"/>
              </w:rPr>
            </w:pPr>
            <w:r>
              <w:rPr>
                <w:rFonts w:ascii="Times New Roman" w:cs="Times New Roman" w:eastAsia="Times New Roman" w:hAnsi="Times New Roman"/>
                <w:sz w:val="16"/>
                <w:szCs w:val="16"/>
                <w:b w:val="1"/>
                <w:bCs w:val="1"/>
                <w:color w:val="auto"/>
              </w:rPr>
              <w:t>Shares</w:t>
            </w:r>
          </w:p>
        </w:tc>
        <w:tc>
          <w:tcPr>
            <w:tcW w:w="16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7"/>
        </w:trPr>
        <w:tc>
          <w:tcPr>
            <w:tcW w:w="3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37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9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740" w:type="dxa"/>
            <w:vAlign w:val="bottom"/>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100" w:type="dxa"/>
            <w:vAlign w:val="bottom"/>
          </w:tcPr>
          <w:p>
            <w:pPr>
              <w:spacing w:after="0"/>
              <w:rPr>
                <w:sz w:val="20"/>
                <w:szCs w:val="20"/>
                <w:color w:val="auto"/>
              </w:rPr>
            </w:pP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Offered</w:t>
            </w: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86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0" w:type="dxa"/>
            <w:vAlign w:val="bottom"/>
          </w:tcPr>
          <w:p>
            <w:pPr>
              <w:spacing w:after="0"/>
              <w:rPr>
                <w:sz w:val="1"/>
                <w:szCs w:val="1"/>
                <w:color w:val="auto"/>
              </w:rPr>
            </w:pPr>
          </w:p>
        </w:tc>
      </w:tr>
      <w:tr>
        <w:trPr>
          <w:trHeight w:val="46"/>
        </w:trPr>
        <w:tc>
          <w:tcPr>
            <w:tcW w:w="36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Amazon.com NV Investment Holdings LLC</w:t>
            </w:r>
            <w:r>
              <w:rPr>
                <w:rFonts w:ascii="Times New Roman" w:cs="Times New Roman" w:eastAsia="Times New Roman" w:hAnsi="Times New Roman"/>
                <w:sz w:val="20"/>
                <w:szCs w:val="20"/>
                <w:color w:val="auto"/>
                <w:vertAlign w:val="superscript"/>
              </w:rPr>
              <w:t>(1)</w:t>
            </w:r>
          </w:p>
        </w:tc>
        <w:tc>
          <w:tcPr>
            <w:tcW w:w="100" w:type="dxa"/>
            <w:vAlign w:val="bottom"/>
            <w:shd w:val="clear" w:color="auto" w:fill="CCEEFF"/>
          </w:tcPr>
          <w:p>
            <w:pPr>
              <w:spacing w:after="0"/>
              <w:rPr>
                <w:sz w:val="22"/>
                <w:szCs w:val="22"/>
                <w:color w:val="auto"/>
              </w:rPr>
            </w:pPr>
          </w:p>
        </w:tc>
        <w:tc>
          <w:tcPr>
            <w:tcW w:w="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7"/>
              </w:rPr>
              <w:t>2,052,507</w:t>
            </w: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2,932,176</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22"/>
                <w:szCs w:val="22"/>
                <w:color w:val="auto"/>
              </w:rPr>
            </w:pPr>
          </w:p>
        </w:tc>
        <w:tc>
          <w:tcPr>
            <w:tcW w:w="8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jc w:val="both"/>
        <w:ind w:left="880" w:right="459" w:hanging="426"/>
        <w:spacing w:after="0" w:line="281" w:lineRule="auto"/>
        <w:tabs>
          <w:tab w:leader="none" w:pos="995"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selling shareholder is a wholly owned subsidiary of Amazon.com, Inc., whose address is 440 Terry Avenue North, Seattle, WA 98109. Shares beneficially owned consist of vested shares underlying a warrant granted to the selling shareholder assuming full exercise of the warrant for cash.</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ORDINARY SHARES</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A description of our ordinary shares can be found under the heading “Item 1. Description of Registrant’s Securities to be Registered” in our registration statement on Form 8-A as filed with the SEC on March 31, 2015, as updated by Exhibit 2.2 to our annual report on Form 20-F for the year ended December 31, 2019, which description is incorporated by reference herein.</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62" w:lineRule="exact"/>
        <w:rPr>
          <w:sz w:val="20"/>
          <w:szCs w:val="20"/>
          <w:color w:val="auto"/>
        </w:rPr>
      </w:pPr>
    </w:p>
    <w:p>
      <w:pPr>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We or the selling shareholder may sell the securities in one or more of the following ways (or in any combination) from time to time:</w:t>
      </w:r>
    </w:p>
    <w:p>
      <w:pPr>
        <w:spacing w:after="0" w:line="81" w:lineRule="exact"/>
        <w:rPr>
          <w:sz w:val="20"/>
          <w:szCs w:val="20"/>
          <w:color w:val="auto"/>
        </w:rPr>
      </w:pPr>
    </w:p>
    <w:p>
      <w:pPr>
        <w:ind w:left="1300" w:hanging="41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underwriters or dealers;</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a limited number of purchasers or to a single purchaser;</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 or</w:t>
      </w:r>
    </w:p>
    <w:p>
      <w:pPr>
        <w:spacing w:after="0" w:line="14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9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any other method permitted by applicable law and described in the applicable prospectus supplement.</w:t>
      </w:r>
    </w:p>
    <w:p>
      <w:pPr>
        <w:spacing w:after="0" w:line="94"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distribution of our securities or the selling shareholder’s ordinary shares may be carried out, from time to time, in one or more transactions, including:</w:t>
      </w:r>
    </w:p>
    <w:p>
      <w:pPr>
        <w:spacing w:after="0" w:line="94" w:lineRule="exact"/>
        <w:rPr>
          <w:sz w:val="20"/>
          <w:szCs w:val="20"/>
          <w:color w:val="auto"/>
        </w:rPr>
      </w:pPr>
    </w:p>
    <w:p>
      <w:pPr>
        <w:ind w:left="1320" w:right="459" w:hanging="434"/>
        <w:spacing w:after="0" w:line="282" w:lineRule="auto"/>
        <w:tabs>
          <w:tab w:leader="none" w:pos="145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transactions and transactions on the Nasdaq Global Select Market or any other organized market where the securities may be traded;</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51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own account pursuant to a prospectus supplement;</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a broker-dealer solicits purchasers;</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51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“at the market” to or through a market maker or into an existing trading market, on an exchange or otherwise; or</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43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in other ways not involving market makers or established trading markets, including direct sales to purchasers.</w:t>
      </w:r>
    </w:p>
    <w:p>
      <w:pPr>
        <w:spacing w:after="0" w:line="94"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A prospectus supplement or supplements (and any related free writing prospectus that we or the selling shareholders may authorize to be provided to you) will describe the terms of the offering of the securities, including, to the extent applicable:</w:t>
      </w:r>
    </w:p>
    <w:p>
      <w:pPr>
        <w:spacing w:after="0" w:line="108" w:lineRule="exact"/>
        <w:rPr>
          <w:sz w:val="20"/>
          <w:szCs w:val="20"/>
          <w:color w:val="auto"/>
        </w:rPr>
      </w:pPr>
    </w:p>
    <w:p>
      <w:pPr>
        <w:ind w:left="1300" w:hanging="414"/>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underwriters, dealers or agents;</w:t>
      </w:r>
    </w:p>
    <w:p>
      <w:pPr>
        <w:spacing w:after="0" w:line="14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method of distribution;</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offering price or purchase price and the proceeds to us from that sale;</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62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details regarding over-allotment options under which underwriters may purchase additional securities from us, if any;</w:t>
      </w:r>
    </w:p>
    <w:p>
      <w:pPr>
        <w:spacing w:after="0" w:line="8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of the offering;</w:t>
      </w:r>
    </w:p>
    <w:p>
      <w:pPr>
        <w:spacing w:after="0" w:line="15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to be allowed or paid to the underwriters, dealers or agents;</w:t>
      </w:r>
    </w:p>
    <w:p>
      <w:pPr>
        <w:spacing w:after="0" w:line="14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9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items constituting underwriting compensation and the discounts to be allowed or paid to dealers, if any; and</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regarding the distribution of the securities that we believe to be material.</w:t>
      </w:r>
    </w:p>
    <w:p>
      <w:pPr>
        <w:spacing w:after="0" w:line="15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Underwriters may offer and sell the securities at a fixed price or prices, which may be changed, or from time to time at market prices prevailing at the time of sale, at prices related to prevailing market prices or at negotiated prices. We or the selling shareholder may, from time to time, authorize agents acting on a best or reasonable efforts basis as our agents to solicit or receive offers to purchase the securities upon the terms and conditions as are set forth in the applicable prospectus supplement. In connection with the sale of securities, underwriters or agents may be deemed to have received compensation from us or the selling shareholder in the form of underwriting discounts and may also receive commissions from purchasers of securities for whom they may act as agent. Underwriters may sell securities to or through dealers, and dealers may receive compensation in the form of discounts or concessions from the underwriters and commissions from the purchasers for whom they may act as agent.</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45" w:name="page46"/>
    <w:bookmarkEnd w:id="45"/>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Underwriters, dealers and agents who participate in the distribution of securities and their controlling persons may be entitled, under agreements that may be entered into with us or the selling shareholder to indemnification by us against certain liabilities, including liabilities under the Securities Act, or to contribution with respect to payments that the underwriters, dealers or agents and their controlling persons may be required to make in respect of those liabilities.</w:t>
      </w:r>
    </w:p>
    <w:p>
      <w:pPr>
        <w:spacing w:after="0" w:line="10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We or the selling shareholder may also make direct sales through subscription rights distributed to our existing shareholders on a pro rata basis, which may or may not be transferable. In any distribution of subscription rights to our shareholders, if all of the underlying securities are not subscribed for, we may then sell the unsubscribed securities directly to third parties or may engage the services of one or more underwriters, dealers or agents, including standby underwriters, to sell the unsubscribed securities to third parties.</w:t>
      </w:r>
    </w:p>
    <w:p>
      <w:pPr>
        <w:spacing w:after="0" w:line="11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Certain persons participating in an offering may engage in over-allotment, stabilizing transactions, short-covering transactions and penalty bids in accordance with Regulation M under the Exchange Act that stabilize, maintain or otherwise affect the price of the offered securities. If any such activities will occur, they will be described in the applicable prospectus supplement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6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Certain legal matters with respect to Israeli law and with respect to the validity of the offered securities under Israeli law will be passed upon for us by Meitar Law Offices, Ramat Gan, Israel.</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4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of Kornit Digital Ltd. incorporated by reference in this prospectus by reference to Kornit Digital Ltd.’s annual report on Form 20-F for the year ended December 31, 2019 have been audited by Kost Forer Gabbay &amp; Kasierer, a member of Ernst &amp; Young Global, an independent registered public accounting firm, as set forth in their report therein, included therein and incorporated herein by reference. Such consolidated financial statements are incorporated by reference in reliance upon such report given on the authority of such firm as experts in accounting and auditing.</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F-3 under the Securities Act, with respect to the securities offered by this prospectus. This prospectus and any accompanying prospectus supplement do not contain all the information contained in the registration statement, including its exhibits and schedules. You should refer to the registration statement, including the exhibits and schedules, for further information about us and the securities we may offer. Statements we make in this prospectus and any accompanying prospectus supplement about certain contracts or other documents are not necessarily complete. When we make such statements, we refer you to the copies of the contracts or documents that are filed as exhibits to the registration statement, because those statements are qualified in all respects by reference to those exhibits. The registration statement, including exhibits and schedules, is on file at the office of the SEC and may be inspected without charge.</w:t>
      </w:r>
    </w:p>
    <w:p>
      <w:pPr>
        <w:spacing w:after="0" w:line="127"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are subject to the information reporting requirements of the Exchange Act. Under the Exchange Act, we are required to file annual reports and certain special reports with, and to furnish current reports and certain other information to, the SEC. As a foreign private issuer, we are exempt from the rules under the Exchange Act prescribing the furnishing and content of proxy statements and our officers, directors and principal shareholders are exempt from the reporting and short-swing profit recovery provisions contained in Section 16 of the Exchange Act. In addition, we are not required under the Exchange Act to file annual, quarterly and current reports and financial statements as frequently or as promptly as U.S. companies whose securities are registered under the Exchange Act. However, we file with the SEC, within 120 days after the end of each fiscal year, or such applicable time as required by the SEC, an annual report on Form 20-F containing financial statements audited by an independent registered public accounting firm, and we submit to the SEC, on Form 6-K, unaudited quarterly financial information.</w:t>
      </w:r>
    </w:p>
    <w:p>
      <w:pPr>
        <w:spacing w:after="0" w:line="111"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 xml:space="preserve">The SEC maintains a website that contains reports, proxy and information statements and other information about issuers, such as us, who file electronically with the SEC. The address of that website is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w:t>
      </w:r>
    </w:p>
    <w:p>
      <w:pPr>
        <w:spacing w:after="0" w:line="106" w:lineRule="exact"/>
        <w:rPr>
          <w:sz w:val="20"/>
          <w:szCs w:val="20"/>
          <w:color w:val="auto"/>
        </w:rPr>
      </w:pPr>
    </w:p>
    <w:p>
      <w:pPr>
        <w:jc w:val="both"/>
        <w:ind w:left="460" w:right="459" w:firstLine="432"/>
        <w:spacing w:after="0" w:line="267" w:lineRule="auto"/>
        <w:rPr>
          <w:sz w:val="20"/>
          <w:szCs w:val="20"/>
          <w:color w:val="auto"/>
        </w:rPr>
      </w:pPr>
      <w:r>
        <w:rPr>
          <w:rFonts w:ascii="Times New Roman" w:cs="Times New Roman" w:eastAsia="Times New Roman" w:hAnsi="Times New Roman"/>
          <w:sz w:val="18"/>
          <w:szCs w:val="18"/>
          <w:color w:val="auto"/>
        </w:rPr>
        <w:t xml:space="preserve">We maintain a corporate website at </w:t>
      </w:r>
      <w:r>
        <w:rPr>
          <w:rFonts w:ascii="Times New Roman" w:cs="Times New Roman" w:eastAsia="Times New Roman" w:hAnsi="Times New Roman"/>
          <w:sz w:val="18"/>
          <w:szCs w:val="18"/>
          <w:i w:val="1"/>
          <w:iCs w:val="1"/>
          <w:color w:val="auto"/>
        </w:rPr>
        <w:t>www.kornit.com.</w:t>
      </w:r>
      <w:r>
        <w:rPr>
          <w:rFonts w:ascii="Times New Roman" w:cs="Times New Roman" w:eastAsia="Times New Roman" w:hAnsi="Times New Roman"/>
          <w:sz w:val="18"/>
          <w:szCs w:val="18"/>
          <w:color w:val="auto"/>
        </w:rPr>
        <w:t xml:space="preserve"> Information contained on, or that can be accessed through, our website does not constitute a part of this prospectus. We have included our website address in this prospectus solely as an inactive textual reference.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DOCUMENTS BY REFERENCE</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SEC allows us to “incorporate by reference” into this prospectus the information in documents we file with, or furnish to, it. This means that we can disclose important information to you by referring you to another document filed or furnished by us with or to the SEC. Each document incorporated by reference is current only as of the date of such document, and the incorporation by reference of such documents shall not create any implication that there has been no change in our affairs since the date thereof or that the information contained therein is current as of any time subsequent to its date. The information incorporated by reference is considered to be a part of this prospectus and should be read with the same care. When we update the information contained in documents that have been incorporated by reference by making future filings with, or specially-designated submissions to, the SEC, the information incorporated by reference in this prospectus is considered to be automatically updated and superseded. In other words, in the case of a conflict or inconsistency between information contained in this prospectus and information incorporated by reference into this prospectus, you should rely on the information contained in the document that was filed or furnished later.</w:t>
      </w:r>
    </w:p>
    <w:p>
      <w:pPr>
        <w:spacing w:after="0" w:line="109"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We incorporate by reference into this prospectus documents listed below and any future filings made with the SEC under Sections 13(a), 13(c), 14 or 15(d) of the Exchange Act, and, to the extent specifically designated therein, reports on Form 6-K we furnish to the SEC on or after the date on which this registration statement is first filed with the SEC and until the termination or completion of that offering under this prospectus:</w:t>
      </w:r>
    </w:p>
    <w:p>
      <w:pPr>
        <w:spacing w:after="0" w:line="112" w:lineRule="exact"/>
        <w:rPr>
          <w:sz w:val="20"/>
          <w:szCs w:val="20"/>
          <w:color w:val="auto"/>
        </w:rPr>
      </w:pPr>
    </w:p>
    <w:p>
      <w:pPr>
        <w:ind w:left="1320" w:right="459" w:hanging="434"/>
        <w:spacing w:after="0" w:line="282" w:lineRule="auto"/>
        <w:tabs>
          <w:tab w:leader="none" w:pos="132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47">
        <w:r>
          <w:rPr>
            <w:rFonts w:ascii="Times New Roman" w:cs="Times New Roman" w:eastAsia="Times New Roman" w:hAnsi="Times New Roman"/>
            <w:sz w:val="18"/>
            <w:szCs w:val="18"/>
            <w:u w:val="single" w:color="auto"/>
            <w:color w:val="0000EE"/>
          </w:rPr>
          <w:t>Form 20-F</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2019, filed with the SEC on March 23, 2020 (the “2019 Form 20-F”);</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reports of foreign private issuer on Form 6-K furnished to the SEC on:</w:t>
      </w:r>
    </w:p>
    <w:p>
      <w:pPr>
        <w:spacing w:after="0" w:line="144" w:lineRule="exact"/>
        <w:rPr>
          <w:rFonts w:ascii="Times New Roman" w:cs="Times New Roman" w:eastAsia="Times New Roman" w:hAnsi="Times New Roman"/>
          <w:sz w:val="18"/>
          <w:szCs w:val="18"/>
          <w:color w:val="auto"/>
        </w:rPr>
      </w:pPr>
    </w:p>
    <w:p>
      <w:pPr>
        <w:jc w:val="both"/>
        <w:ind w:left="1760" w:right="479" w:hanging="442"/>
        <w:spacing w:after="0" w:line="266" w:lineRule="auto"/>
        <w:tabs>
          <w:tab w:leader="none" w:pos="1751" w:val="left"/>
        </w:tabs>
        <w:numPr>
          <w:ilvl w:val="1"/>
          <w:numId w:val="23"/>
        </w:numPr>
        <w:rPr>
          <w:rFonts w:ascii="Times New Roman" w:cs="Times New Roman" w:eastAsia="Times New Roman" w:hAnsi="Times New Roman"/>
          <w:sz w:val="18"/>
          <w:szCs w:val="18"/>
          <w:color w:val="0000EE"/>
        </w:rPr>
      </w:pPr>
      <w:hyperlink r:id="rId48">
        <w:r>
          <w:rPr>
            <w:rFonts w:ascii="Times New Roman" w:cs="Times New Roman" w:eastAsia="Times New Roman" w:hAnsi="Times New Roman"/>
            <w:sz w:val="18"/>
            <w:szCs w:val="18"/>
            <w:u w:val="single" w:color="auto"/>
            <w:color w:val="0000EE"/>
          </w:rPr>
          <w:t>May 19, 2020</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(solely</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with respect to (i) the portions specified therein, (ii) the paragraph under</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the caption “Non-GAAP Discussion Disclosure” and (iii) the table under “Reconciliation of GAAP to Non-GAAP Consolidated Statements Of Operations”);</w:t>
      </w:r>
    </w:p>
    <w:p>
      <w:pPr>
        <w:spacing w:after="0" w:line="108" w:lineRule="exact"/>
        <w:rPr>
          <w:rFonts w:ascii="Times New Roman" w:cs="Times New Roman" w:eastAsia="Times New Roman" w:hAnsi="Times New Roman"/>
          <w:sz w:val="18"/>
          <w:szCs w:val="18"/>
          <w:color w:val="0000EE"/>
        </w:rPr>
      </w:pPr>
    </w:p>
    <w:p>
      <w:pPr>
        <w:ind w:left="1740" w:hanging="422"/>
        <w:spacing w:after="0"/>
        <w:tabs>
          <w:tab w:leader="none" w:pos="1740" w:val="left"/>
        </w:tabs>
        <w:numPr>
          <w:ilvl w:val="1"/>
          <w:numId w:val="23"/>
        </w:numPr>
        <w:rPr>
          <w:rFonts w:ascii="Times New Roman" w:cs="Times New Roman" w:eastAsia="Times New Roman" w:hAnsi="Times New Roman"/>
          <w:sz w:val="18"/>
          <w:szCs w:val="18"/>
          <w:color w:val="0000EE"/>
        </w:rPr>
      </w:pPr>
      <w:hyperlink r:id="rId49">
        <w:r>
          <w:rPr>
            <w:rFonts w:ascii="Times New Roman" w:cs="Times New Roman" w:eastAsia="Times New Roman" w:hAnsi="Times New Roman"/>
            <w:sz w:val="18"/>
            <w:szCs w:val="18"/>
            <w:u w:val="single" w:color="auto"/>
            <w:color w:val="0000EE"/>
          </w:rPr>
          <w:t>July 2, 2020</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(solely</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with respect to the portions specified therein);</w:t>
      </w:r>
    </w:p>
    <w:p>
      <w:pPr>
        <w:spacing w:after="0" w:line="157" w:lineRule="exact"/>
        <w:rPr>
          <w:rFonts w:ascii="Times New Roman" w:cs="Times New Roman" w:eastAsia="Times New Roman" w:hAnsi="Times New Roman"/>
          <w:sz w:val="18"/>
          <w:szCs w:val="18"/>
          <w:color w:val="0000EE"/>
        </w:rPr>
      </w:pPr>
    </w:p>
    <w:p>
      <w:pPr>
        <w:ind w:left="1740" w:hanging="422"/>
        <w:spacing w:after="0"/>
        <w:tabs>
          <w:tab w:leader="none" w:pos="1740" w:val="left"/>
        </w:tabs>
        <w:numPr>
          <w:ilvl w:val="1"/>
          <w:numId w:val="23"/>
        </w:numPr>
        <w:rPr>
          <w:rFonts w:ascii="Times New Roman" w:cs="Times New Roman" w:eastAsia="Times New Roman" w:hAnsi="Times New Roman"/>
          <w:sz w:val="18"/>
          <w:szCs w:val="18"/>
          <w:color w:val="0000EE"/>
        </w:rPr>
      </w:pPr>
      <w:hyperlink r:id="rId50">
        <w:r>
          <w:rPr>
            <w:rFonts w:ascii="Times New Roman" w:cs="Times New Roman" w:eastAsia="Times New Roman" w:hAnsi="Times New Roman"/>
            <w:sz w:val="18"/>
            <w:szCs w:val="18"/>
            <w:u w:val="single" w:color="auto"/>
            <w:color w:val="0000EE"/>
          </w:rPr>
          <w:t>July 27, 2020</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(solely</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with respect to the portions specified therein);</w:t>
      </w:r>
    </w:p>
    <w:p>
      <w:pPr>
        <w:spacing w:after="0" w:line="144" w:lineRule="exact"/>
        <w:rPr>
          <w:rFonts w:ascii="Times New Roman" w:cs="Times New Roman" w:eastAsia="Times New Roman" w:hAnsi="Times New Roman"/>
          <w:sz w:val="18"/>
          <w:szCs w:val="18"/>
          <w:color w:val="0000EE"/>
        </w:rPr>
      </w:pPr>
    </w:p>
    <w:p>
      <w:pPr>
        <w:jc w:val="both"/>
        <w:ind w:left="1760" w:right="459" w:hanging="442"/>
        <w:spacing w:after="0" w:line="266" w:lineRule="auto"/>
        <w:tabs>
          <w:tab w:leader="none" w:pos="1845" w:val="left"/>
        </w:tabs>
        <w:numPr>
          <w:ilvl w:val="1"/>
          <w:numId w:val="23"/>
        </w:numPr>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u w:val="single" w:color="auto"/>
            <w:color w:val="0000EE"/>
          </w:rPr>
          <w:t>August 11, 2020</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(solely</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with respect to (i) the portions specified therein, (ii) the paragraph</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under the caption “Non-GAAP Discussion Disclosure” and (iii) the table under “Reconciliation of GAAP to Non-GAAP Consolidated Statements Of Operations”);</w:t>
      </w:r>
    </w:p>
    <w:p>
      <w:pPr>
        <w:spacing w:after="0" w:line="108" w:lineRule="exact"/>
        <w:rPr>
          <w:rFonts w:ascii="Times New Roman" w:cs="Times New Roman" w:eastAsia="Times New Roman" w:hAnsi="Times New Roman"/>
          <w:sz w:val="18"/>
          <w:szCs w:val="18"/>
          <w:color w:val="0000EE"/>
        </w:rPr>
      </w:pPr>
    </w:p>
    <w:p>
      <w:pPr>
        <w:ind w:left="1740" w:hanging="422"/>
        <w:spacing w:after="0"/>
        <w:tabs>
          <w:tab w:leader="none" w:pos="1740" w:val="left"/>
        </w:tabs>
        <w:numPr>
          <w:ilvl w:val="1"/>
          <w:numId w:val="23"/>
        </w:numPr>
        <w:rPr>
          <w:rFonts w:ascii="Times New Roman" w:cs="Times New Roman" w:eastAsia="Times New Roman" w:hAnsi="Times New Roman"/>
          <w:sz w:val="18"/>
          <w:szCs w:val="18"/>
          <w:color w:val="0000EE"/>
        </w:rPr>
      </w:pPr>
      <w:hyperlink r:id="rId52">
        <w:r>
          <w:rPr>
            <w:rFonts w:ascii="Times New Roman" w:cs="Times New Roman" w:eastAsia="Times New Roman" w:hAnsi="Times New Roman"/>
            <w:sz w:val="18"/>
            <w:szCs w:val="18"/>
            <w:u w:val="single" w:color="auto"/>
            <w:color w:val="0000EE"/>
          </w:rPr>
          <w:t>August 11, 2020</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(solely</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with respect to the portions specified therein);</w:t>
      </w:r>
    </w:p>
    <w:p>
      <w:pPr>
        <w:spacing w:after="0" w:line="157" w:lineRule="exact"/>
        <w:rPr>
          <w:rFonts w:ascii="Times New Roman" w:cs="Times New Roman" w:eastAsia="Times New Roman" w:hAnsi="Times New Roman"/>
          <w:sz w:val="18"/>
          <w:szCs w:val="18"/>
          <w:color w:val="0000EE"/>
        </w:rPr>
      </w:pPr>
    </w:p>
    <w:p>
      <w:pPr>
        <w:ind w:left="1740" w:hanging="422"/>
        <w:spacing w:after="0"/>
        <w:tabs>
          <w:tab w:leader="none" w:pos="1740" w:val="left"/>
        </w:tabs>
        <w:numPr>
          <w:ilvl w:val="1"/>
          <w:numId w:val="23"/>
        </w:numPr>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u w:val="single" w:color="auto"/>
            <w:color w:val="0000EE"/>
          </w:rPr>
          <w:t>August 12, 2020</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(solely</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with respect to the portions specified therein);</w:t>
      </w:r>
    </w:p>
    <w:p>
      <w:pPr>
        <w:spacing w:after="0" w:line="144" w:lineRule="exact"/>
        <w:rPr>
          <w:rFonts w:ascii="Times New Roman" w:cs="Times New Roman" w:eastAsia="Times New Roman" w:hAnsi="Times New Roman"/>
          <w:sz w:val="18"/>
          <w:szCs w:val="18"/>
          <w:color w:val="0000EE"/>
        </w:rPr>
      </w:pPr>
    </w:p>
    <w:p>
      <w:pPr>
        <w:ind w:left="1740" w:hanging="422"/>
        <w:spacing w:after="0"/>
        <w:tabs>
          <w:tab w:leader="none" w:pos="1740" w:val="left"/>
        </w:tabs>
        <w:numPr>
          <w:ilvl w:val="1"/>
          <w:numId w:val="23"/>
        </w:numPr>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u w:val="single" w:color="auto"/>
            <w:color w:val="0000EE"/>
          </w:rPr>
          <w:t>September 14, 2020</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(solely</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with respect to the portions specified therein); and</w:t>
      </w:r>
    </w:p>
    <w:p>
      <w:pPr>
        <w:spacing w:after="0" w:line="157" w:lineRule="exact"/>
        <w:rPr>
          <w:rFonts w:ascii="Times New Roman" w:cs="Times New Roman" w:eastAsia="Times New Roman" w:hAnsi="Times New Roman"/>
          <w:sz w:val="18"/>
          <w:szCs w:val="18"/>
          <w:color w:val="0000EE"/>
        </w:rPr>
      </w:pPr>
    </w:p>
    <w:p>
      <w:pPr>
        <w:jc w:val="both"/>
        <w:ind w:left="1320" w:right="459" w:hanging="434"/>
        <w:spacing w:after="0" w:line="258" w:lineRule="auto"/>
        <w:tabs>
          <w:tab w:leader="none" w:pos="159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ordinary shares contained under the heading “Item 1. Description of Registrant’s Securities to be Registered” in our registration statement on </w:t>
      </w:r>
      <w:hyperlink r:id="rId56">
        <w:r>
          <w:rPr>
            <w:rFonts w:ascii="Times New Roman" w:cs="Times New Roman" w:eastAsia="Times New Roman" w:hAnsi="Times New Roman"/>
            <w:sz w:val="18"/>
            <w:szCs w:val="18"/>
            <w:u w:val="single" w:color="auto"/>
            <w:color w:val="0000EE"/>
          </w:rPr>
          <w:t>Form 8-A</w:t>
        </w:r>
      </w:hyperlink>
      <w:r>
        <w:rPr>
          <w:rFonts w:ascii="Times New Roman" w:cs="Times New Roman" w:eastAsia="Times New Roman" w:hAnsi="Times New Roman"/>
          <w:sz w:val="18"/>
          <w:szCs w:val="18"/>
          <w:color w:val="auto"/>
        </w:rPr>
        <w:t xml:space="preserve">, as filed with the SEC on March 31, 2015, as updated by </w:t>
      </w:r>
      <w:hyperlink r:id="rId57">
        <w:r>
          <w:rPr>
            <w:rFonts w:ascii="Times New Roman" w:cs="Times New Roman" w:eastAsia="Times New Roman" w:hAnsi="Times New Roman"/>
            <w:sz w:val="18"/>
            <w:szCs w:val="18"/>
            <w:u w:val="single" w:color="auto"/>
            <w:color w:val="0000EE"/>
          </w:rPr>
          <w:t>Exhibit 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2019 Form 20-F (“Description of Ordinary Shares of Kornit Digital Ltd.”), including any subsequent amendment or any report filed for the purpose of further updating such description.</w:t>
      </w:r>
    </w:p>
    <w:p>
      <w:pPr>
        <w:spacing w:after="0" w:line="116" w:lineRule="exact"/>
        <w:rPr>
          <w:rFonts w:ascii="Times New Roman" w:cs="Times New Roman" w:eastAsia="Times New Roman" w:hAnsi="Times New Roman"/>
          <w:sz w:val="18"/>
          <w:szCs w:val="18"/>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Any statement contained herein or in a document all or a portion of which is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4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48" w:name="page49"/>
    <w:bookmarkEnd w:id="48"/>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Unless expressly incorporated by reference, nothing in this prospectus shall be deemed to incorporate by reference information furnished to, but not filed with, the SEC. Copies of all documents incorporated by reference in this prospectus, other than exhibits to those documents unless such exhibits are specially incorporated by reference in this prospectus, will be provided at no cost to each person, including any beneficial owner, who receives a copy of this prospectus on the written or oral request of that person made to:</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Kornit Digital Ltd.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Attention: 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 Ha’Amal Street, Afek Park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Rosh Ha’Ayin 4809246, Israel</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Tel: +972-3-908-5800</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ENFORCEABILITY OF CIVIL LIABILITIES</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We are incorporated under the laws of the State of Israel. Service of process upon us and upon our directors, officers and any Israeli experts named in this prospectus, substantially all of whom reside outside of the United States, may be difficult to obtain within the United States. Furthermore, because substantially all of our assets and substantially all of our directors and officers are located outside of the United States, any judgment obtained in the United States against us or any of our directors and officers may not be collectible within the United States.</w:t>
      </w:r>
    </w:p>
    <w:p>
      <w:pPr>
        <w:spacing w:after="0" w:line="106"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have been informed by our legal counsel in Israel, Meitar Law Offices, that it may be difficult to assert U.S. securities law claims in original actions instituted in Israel. Israeli courts may refuse to hear a claim based on an alleged violation of U.S. securities laws because Israel is not the most appropriate forum in which to bring such a claim. In addition, even if an Israeli court agrees to hear a claim, it may determine that Israeli law and not U.S. law is applicable to the claim. If U.S. law is found to be applicable, the content of applicable U.S. law must be proven as a fact, which can be a time-consuming and costly process. Certain matters of procedure will also be governed by Israeli law.</w:t>
      </w:r>
    </w:p>
    <w:p>
      <w:pPr>
        <w:spacing w:after="0" w:line="12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have irrevocably appointed Kornit Digital North America Inc. as our agent to receive service of process in any action against us in any United States federal or state court arising out of the offering under this prospectus or any purchase or sale of securities in connection with any such offering. Subject to specified time limitations and legal procedures, Israeli courts may enforce a United States judgment in a civil matter which, subject to certain exceptions, is non-appealable, including a judgment based upon the civil liability provisions of the Securities Act or the Exchange Act and including a monetary or compensatory judgment in a non-civil matter, provided that, among other things:</w:t>
      </w:r>
    </w:p>
    <w:p>
      <w:pPr>
        <w:spacing w:after="0" w:line="121" w:lineRule="exact"/>
        <w:rPr>
          <w:sz w:val="20"/>
          <w:szCs w:val="20"/>
          <w:color w:val="auto"/>
        </w:rPr>
      </w:pPr>
    </w:p>
    <w:p>
      <w:pPr>
        <w:jc w:val="both"/>
        <w:ind w:left="1320" w:right="479" w:hanging="434"/>
        <w:spacing w:after="0" w:line="266" w:lineRule="auto"/>
        <w:tabs>
          <w:tab w:leader="none" w:pos="132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is obtained after due process before a court of competent jurisdiction, according to the laws of the state in which the judgment is given and the rules of private international law prevailing in Israel;</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is executory in the state in which it was given;</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2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prevailing law of the foreign state in which the judgment is rendered allows for the enforcement of judgments of Israeli courts;</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2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 service of process has been effected and the defendant has had a reasonable opportunity to be heard and to present his or her evidence;</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2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is not contrary to public policy of Israel, and the enforcement of the civil liabilities set forth in the judgment is not likely to impair the security or sovereignty of Israel;</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6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was not obtained by fraud and does not conflict with any other valid judgment in the same matter between the same parties;</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40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action between the same parties in the same matter was not pending in any Israeli court at the time at which the lawsuit was instituted in the foreign court; and</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6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is enforceable according to the laws of Israel and according to the law of the foreign state in which the relief was granted.</w:t>
      </w:r>
    </w:p>
    <w:p>
      <w:pPr>
        <w:spacing w:after="0" w:line="94" w:lineRule="exact"/>
        <w:rPr>
          <w:sz w:val="20"/>
          <w:szCs w:val="20"/>
          <w:color w:val="auto"/>
        </w:rPr>
      </w:pPr>
    </w:p>
    <w:p>
      <w:pPr>
        <w:jc w:val="both"/>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If a foreign judgment is enforced by an Israeli court, it generally will be payable in Israeli currency, which can then be converted into non-Israeli currency and transferred out of Israel. Under existing Israeli law, a foreign judgment payable in foreign currency may be paid in Israeli currency at the rate of exchange in force on the date of the payment. Current Israeli exchange control regulations also permit a judgment debtor to make payment in foreign currency. Pending collection, the amount of the judgment of an Israeli court stated in Israeli currency ordinarily will be linked to the Israeli consumer price index plus interest at the annual statutory rate set by Israeli regulations prevailing at the time. Judgment creditors must bear the risk of unfavorable exchange rates.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50" w:name="page51"/>
    <w:bookmarkEnd w:id="5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1202690</wp:posOffset>
            </wp:positionH>
            <wp:positionV relativeFrom="page">
              <wp:posOffset>132080</wp:posOffset>
            </wp:positionV>
            <wp:extent cx="514350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page">
              <wp:posOffset>1202690</wp:posOffset>
            </wp:positionH>
            <wp:positionV relativeFrom="page">
              <wp:posOffset>174625</wp:posOffset>
            </wp:positionV>
            <wp:extent cx="514350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5143500" cy="26035"/>
                    </a:xfrm>
                    <a:prstGeom prst="rect">
                      <a:avLst/>
                    </a:prstGeom>
                    <a:noFill/>
                  </pic:spPr>
                </pic:pic>
              </a:graphicData>
            </a:graphic>
          </wp:anchor>
        </w:drawing>
        <w:t>4,078,210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2054225</wp:posOffset>
            </wp:positionH>
            <wp:positionV relativeFrom="paragraph">
              <wp:posOffset>287655</wp:posOffset>
            </wp:positionV>
            <wp:extent cx="1611630" cy="10026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1611630" cy="1002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Kornit Digital Ltd.</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Ordinary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______________________________</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Prospectus Supplement</w:t>
      </w:r>
    </w:p>
    <w:p>
      <w:pPr>
        <w:spacing w:after="0" w:line="23"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460" w:type="dxa"/>
        <w:tblCellMar>
          <w:top w:w="0" w:type="dxa"/>
          <w:left w:w="0" w:type="dxa"/>
          <w:bottom w:w="0" w:type="dxa"/>
          <w:right w:w="0" w:type="dxa"/>
        </w:tblCellMar>
      </w:tblPr>
      <w:tr>
        <w:trPr>
          <w:trHeight w:val="286"/>
        </w:trPr>
        <w:tc>
          <w:tcPr>
            <w:tcW w:w="1480" w:type="dxa"/>
            <w:vAlign w:val="bottom"/>
          </w:tcPr>
          <w:p>
            <w:pPr>
              <w:ind w:left="420"/>
              <w:spacing w:after="0"/>
              <w:rPr>
                <w:sz w:val="20"/>
                <w:szCs w:val="20"/>
                <w:color w:val="auto"/>
              </w:rPr>
            </w:pPr>
            <w:r>
              <w:rPr>
                <w:rFonts w:ascii="Times New Roman" w:cs="Times New Roman" w:eastAsia="Times New Roman" w:hAnsi="Times New Roman"/>
                <w:sz w:val="22"/>
                <w:szCs w:val="22"/>
                <w:b w:val="1"/>
                <w:bCs w:val="1"/>
                <w:color w:val="auto"/>
              </w:rPr>
              <w:t>Citigroup</w:t>
            </w:r>
          </w:p>
        </w:tc>
        <w:tc>
          <w:tcPr>
            <w:tcW w:w="840" w:type="dxa"/>
            <w:vAlign w:val="bottom"/>
          </w:tcPr>
          <w:p>
            <w:pPr>
              <w:spacing w:after="0"/>
              <w:rPr>
                <w:sz w:val="24"/>
                <w:szCs w:val="24"/>
                <w:color w:val="auto"/>
              </w:rPr>
            </w:pPr>
          </w:p>
        </w:tc>
        <w:tc>
          <w:tcPr>
            <w:tcW w:w="1620" w:type="dxa"/>
            <w:vAlign w:val="bottom"/>
          </w:tcPr>
          <w:p>
            <w:pPr>
              <w:ind w:left="600"/>
              <w:spacing w:after="0"/>
              <w:rPr>
                <w:sz w:val="20"/>
                <w:szCs w:val="20"/>
                <w:color w:val="auto"/>
              </w:rPr>
            </w:pPr>
            <w:r>
              <w:rPr>
                <w:rFonts w:ascii="Times New Roman" w:cs="Times New Roman" w:eastAsia="Times New Roman" w:hAnsi="Times New Roman"/>
                <w:sz w:val="22"/>
                <w:szCs w:val="22"/>
                <w:b w:val="1"/>
                <w:bCs w:val="1"/>
                <w:color w:val="auto"/>
              </w:rPr>
              <w:t>Barclays</w:t>
            </w:r>
          </w:p>
        </w:tc>
        <w:tc>
          <w:tcPr>
            <w:tcW w:w="4160" w:type="dxa"/>
            <w:vAlign w:val="bottom"/>
            <w:gridSpan w:val="2"/>
          </w:tcPr>
          <w:p>
            <w:pPr>
              <w:ind w:left="1360"/>
              <w:spacing w:after="0"/>
              <w:rPr>
                <w:sz w:val="20"/>
                <w:szCs w:val="20"/>
                <w:color w:val="auto"/>
              </w:rPr>
            </w:pPr>
            <w:r>
              <w:rPr>
                <w:rFonts w:ascii="Times New Roman" w:cs="Times New Roman" w:eastAsia="Times New Roman" w:hAnsi="Times New Roman"/>
                <w:sz w:val="22"/>
                <w:szCs w:val="22"/>
                <w:b w:val="1"/>
                <w:bCs w:val="1"/>
                <w:color w:val="auto"/>
              </w:rPr>
              <w:t>Goldman Sachs &amp; Co. LLC</w:t>
            </w:r>
          </w:p>
        </w:tc>
      </w:tr>
      <w:tr>
        <w:trPr>
          <w:trHeight w:val="429"/>
        </w:trPr>
        <w:tc>
          <w:tcPr>
            <w:tcW w:w="14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Needham &amp;</w:t>
            </w:r>
          </w:p>
        </w:tc>
        <w:tc>
          <w:tcPr>
            <w:tcW w:w="8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8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Craig-Hallum</w:t>
            </w:r>
          </w:p>
        </w:tc>
        <w:tc>
          <w:tcPr>
            <w:tcW w:w="2280" w:type="dxa"/>
            <w:vAlign w:val="bottom"/>
          </w:tcPr>
          <w:p>
            <w:pPr>
              <w:spacing w:after="0"/>
              <w:rPr>
                <w:sz w:val="24"/>
                <w:szCs w:val="24"/>
                <w:color w:val="auto"/>
              </w:rPr>
            </w:pPr>
          </w:p>
        </w:tc>
      </w:tr>
      <w:tr>
        <w:trPr>
          <w:trHeight w:val="286"/>
        </w:trPr>
        <w:tc>
          <w:tcPr>
            <w:tcW w:w="1480" w:type="dxa"/>
            <w:vAlign w:val="bottom"/>
          </w:tcPr>
          <w:p>
            <w:pPr>
              <w:jc w:val="center"/>
              <w:ind w:right="72"/>
              <w:spacing w:after="0"/>
              <w:rPr>
                <w:sz w:val="20"/>
                <w:szCs w:val="20"/>
                <w:color w:val="auto"/>
              </w:rPr>
            </w:pPr>
            <w:r>
              <w:rPr>
                <w:rFonts w:ascii="Times New Roman" w:cs="Times New Roman" w:eastAsia="Times New Roman" w:hAnsi="Times New Roman"/>
                <w:sz w:val="22"/>
                <w:szCs w:val="22"/>
                <w:b w:val="1"/>
                <w:bCs w:val="1"/>
                <w:color w:val="auto"/>
                <w:w w:val="98"/>
              </w:rPr>
              <w:t>Company</w:t>
            </w:r>
          </w:p>
        </w:tc>
        <w:tc>
          <w:tcPr>
            <w:tcW w:w="84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Stifel</w:t>
            </w:r>
          </w:p>
        </w:tc>
        <w:tc>
          <w:tcPr>
            <w:tcW w:w="16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William Blair</w:t>
            </w:r>
          </w:p>
        </w:tc>
        <w:tc>
          <w:tcPr>
            <w:tcW w:w="1880" w:type="dxa"/>
            <w:vAlign w:val="bottom"/>
          </w:tcPr>
          <w:p>
            <w:pPr>
              <w:ind w:left="140"/>
              <w:spacing w:after="0"/>
              <w:rPr>
                <w:sz w:val="20"/>
                <w:szCs w:val="20"/>
                <w:color w:val="auto"/>
              </w:rPr>
            </w:pPr>
            <w:r>
              <w:rPr>
                <w:rFonts w:ascii="Times New Roman" w:cs="Times New Roman" w:eastAsia="Times New Roman" w:hAnsi="Times New Roman"/>
                <w:sz w:val="22"/>
                <w:szCs w:val="22"/>
                <w:b w:val="1"/>
                <w:bCs w:val="1"/>
                <w:color w:val="auto"/>
              </w:rPr>
              <w:t>Capital Group</w:t>
            </w:r>
          </w:p>
        </w:tc>
        <w:tc>
          <w:tcPr>
            <w:tcW w:w="2280" w:type="dxa"/>
            <w:vAlign w:val="bottom"/>
          </w:tcPr>
          <w:p>
            <w:pPr>
              <w:ind w:left="380"/>
              <w:spacing w:after="0"/>
              <w:rPr>
                <w:sz w:val="20"/>
                <w:szCs w:val="20"/>
                <w:color w:val="auto"/>
              </w:rPr>
            </w:pPr>
            <w:r>
              <w:rPr>
                <w:rFonts w:ascii="Times New Roman" w:cs="Times New Roman" w:eastAsia="Times New Roman" w:hAnsi="Times New Roman"/>
                <w:sz w:val="22"/>
                <w:szCs w:val="22"/>
                <w:b w:val="1"/>
                <w:bCs w:val="1"/>
                <w:color w:val="auto"/>
              </w:rPr>
              <w:t>CJS Securities</w:t>
            </w:r>
          </w:p>
        </w:tc>
      </w:tr>
      <w:tr>
        <w:trPr>
          <w:trHeight w:val="1413"/>
        </w:trPr>
        <w:tc>
          <w:tcPr>
            <w:tcW w:w="14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r>
      <w:tr>
        <w:trPr>
          <w:trHeight w:val="48"/>
        </w:trPr>
        <w:tc>
          <w:tcPr>
            <w:tcW w:w="14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c>
          <w:tcPr>
            <w:tcW w:w="2280" w:type="dxa"/>
            <w:vAlign w:val="bottom"/>
            <w:tcBorders>
              <w:bottom w:val="single" w:sz="8" w:color="auto"/>
            </w:tcBorders>
          </w:tcPr>
          <w:p>
            <w:pPr>
              <w:spacing w:after="0"/>
              <w:rPr>
                <w:sz w:val="4"/>
                <w:szCs w:val="4"/>
                <w:color w:val="auto"/>
              </w:rPr>
            </w:pPr>
          </w:p>
        </w:tc>
      </w:tr>
      <w:tr>
        <w:trPr>
          <w:trHeight w:val="391"/>
        </w:trPr>
        <w:tc>
          <w:tcPr>
            <w:tcW w:w="14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19"/>
      </w:cols>
      <w:pgMar w:left="1440" w:top="136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40E0F76"/>
    <w:multiLevelType w:val="hybridMultilevel"/>
    <w:lvl w:ilvl="0">
      <w:lvlJc w:val="left"/>
      <w:lvlText w:val="(%1)"/>
      <w:numFmt w:val="decimal"/>
      <w:start w:val="1"/>
    </w:lvl>
  </w:abstractNum>
  <w:abstractNum w:abstractNumId="1">
    <w:nsid w:val="3352255A"/>
    <w:multiLevelType w:val="hybridMultilevel"/>
    <w:lvl w:ilvl="0">
      <w:lvlJc w:val="left"/>
      <w:lvlText w:val="(%1)"/>
      <w:numFmt w:val="decimal"/>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1)"/>
      <w:numFmt w:val="decimal"/>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1)"/>
      <w:numFmt w:val="lowerRoman"/>
      <w:start w:val="2"/>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
      <w:numFmt w:val="bullet"/>
      <w:start w:val="1"/>
    </w:lvl>
    <w:lvl w:ilvl="1">
      <w:lvlJc w:val="left"/>
      <w:lvlText w:val="•"/>
      <w:numFmt w:val="bullet"/>
      <w:start w:val="1"/>
    </w:lvl>
  </w:abstractNum>
  <w:abstractNum w:abstractNumId="18">
    <w:nsid w:val="333AB105"/>
    <w:multiLevelType w:val="hybridMultilevel"/>
    <w:lvl w:ilvl="0">
      <w:lvlJc w:val="left"/>
      <w:lvlText w:val="(%1)"/>
      <w:numFmt w:val="decimal"/>
      <w:start w:val="1"/>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
      <w:numFmt w:val="bullet"/>
      <w:start w:val="1"/>
    </w:lvl>
  </w:abstractNum>
  <w:abstractNum w:abstractNumId="21">
    <w:nsid w:val="2D1D5AE9"/>
    <w:multiLevelType w:val="hybridMultilevel"/>
    <w:lvl w:ilvl="0">
      <w:lvlJc w:val="left"/>
      <w:lvlText w:val="•"/>
      <w:numFmt w:val="bullet"/>
      <w:start w:val="1"/>
    </w:lvl>
  </w:abstractNum>
  <w:abstractNum w:abstractNumId="22">
    <w:nsid w:val="6763845E"/>
    <w:multiLevelType w:val="hybridMultilevel"/>
    <w:lvl w:ilvl="0">
      <w:lvlJc w:val="left"/>
      <w:lvlText w:val="•"/>
      <w:numFmt w:val="bullet"/>
      <w:start w:val="1"/>
    </w:lvl>
    <w:lvl w:ilvl="1">
      <w:lvlJc w:val="left"/>
      <w:lvlText w:val="•"/>
      <w:numFmt w:val="bullet"/>
      <w:start w:val="1"/>
    </w:lvl>
  </w:abstractNum>
  <w:abstractNum w:abstractNumId="23">
    <w:nsid w:val="75A2A8D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jpe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jpeg"/><Relationship Id="rId47" Type="http://schemas.openxmlformats.org/officeDocument/2006/relationships/hyperlink" Target="http://www.sec.gov/Archives/edgar/data/1625791/000121390020007110/f20f2019_kornitdigi.htm" TargetMode="External"/><Relationship Id="rId48" Type="http://schemas.openxmlformats.org/officeDocument/2006/relationships/hyperlink" Target="http://www.sec.gov/Archives/edgar/data/1625791/000121390020012929/ea122093-6k_kornitdigital.htm" TargetMode="External"/><Relationship Id="rId49" Type="http://schemas.openxmlformats.org/officeDocument/2006/relationships/hyperlink" Target="http://www.sec.gov/Archives/edgar/data/1625791/000121390020016616/ea123779-6k_kornitdigital.htm" TargetMode="External"/><Relationship Id="rId50" Type="http://schemas.openxmlformats.org/officeDocument/2006/relationships/hyperlink" Target="http://www.sec.gov/Archives/edgar/data/1625791/000121390020018618/ea124553-6k_kornitdigital.htm" TargetMode="External"/><Relationship Id="rId51" Type="http://schemas.openxmlformats.org/officeDocument/2006/relationships/hyperlink" Target="http://www.sec.gov/Archives/edgar/data/1625791/000121390020021422/ea125371-6k_kornitdigi.htm" TargetMode="External"/><Relationship Id="rId52" Type="http://schemas.openxmlformats.org/officeDocument/2006/relationships/hyperlink" Target="http://www.sec.gov/Archives/edgar/data/1625791/000121390020021423/ea125372-6k_kornitdigi.htm" TargetMode="External"/><Relationship Id="rId53" Type="http://schemas.openxmlformats.org/officeDocument/2006/relationships/hyperlink" Target="http://www.sec.gov/Archives/edgar/data/1625791/000121390020021519/ea125417-6k_kornitdigital.htm" TargetMode="External"/><Relationship Id="rId54" Type="http://schemas.openxmlformats.org/officeDocument/2006/relationships/hyperlink" Target="http://www.sec.gov/Archives/edgar/data/1625791/000121390020026438/ea126792-6k_kornitdigital.htm" TargetMode="External"/><Relationship Id="rId55" Type="http://schemas.openxmlformats.org/officeDocument/2006/relationships/hyperlink" Target="http://www.sec.gov/Archives/edgar/data/1625791/000121390020026572/ea126828-6k_kornitdigital.htm" TargetMode="External"/><Relationship Id="rId56" Type="http://schemas.openxmlformats.org/officeDocument/2006/relationships/hyperlink" Target="http://www.sec.gov/Archives/edgar/data/1625791/000161577415000604/s100918_8a12b.htm" TargetMode="External"/><Relationship Id="rId57" Type="http://schemas.openxmlformats.org/officeDocument/2006/relationships/hyperlink" Target="http://www.sec.gov/Archives/edgar/data/1625791/000121390020007110/f20f2019ex2-2_korni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2020-09-17T16:32:13Z</dcterms:created>
  <dcterms:modified xsi:type="dcterms:W3CDTF">2020-09-17T16:32:13Z</dcterms:modified>
</cp:coreProperties>
</file>