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40"/>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13"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2"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22"/>
          <w:szCs w:val="22"/>
          <w:b w:val="1"/>
          <w:bCs w:val="1"/>
          <w:color w:val="auto"/>
        </w:rPr>
        <w:t>FORM 6-K</w:t>
      </w:r>
    </w:p>
    <w:p>
      <w:pPr>
        <w:spacing w:after="0" w:line="215"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PURSUANT TO RULE 13a-16 OR 15d-16 OF</w:t>
      </w:r>
    </w:p>
    <w:p>
      <w:pPr>
        <w:spacing w:after="0" w:line="9"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7"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For the month of September 2020</w:t>
      </w:r>
    </w:p>
    <w:p>
      <w:pPr>
        <w:spacing w:after="0" w:line="225"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Commission File Number: 001-36903</w:t>
      </w:r>
    </w:p>
    <w:p>
      <w:pPr>
        <w:spacing w:after="0" w:line="212"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22"/>
          <w:szCs w:val="22"/>
          <w:b w:val="1"/>
          <w:bCs w:val="1"/>
          <w:color w:val="auto"/>
        </w:rPr>
        <w:t>KORNIT DIGITAL LTD.</w:t>
      </w:r>
    </w:p>
    <w:p>
      <w:pPr>
        <w:spacing w:after="0" w:line="23"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01"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12 Ha’Amal Street</w:t>
      </w:r>
    </w:p>
    <w:p>
      <w:pPr>
        <w:spacing w:after="0" w:line="31"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Park Afek</w:t>
      </w:r>
    </w:p>
    <w:p>
      <w:pPr>
        <w:spacing w:after="0" w:line="9"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Rosh Ha’Ayin 4824096, Israel</w:t>
      </w:r>
    </w:p>
    <w:p>
      <w:pPr>
        <w:spacing w:after="0" w:line="9"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96" w:lineRule="exact"/>
        <w:rPr>
          <w:sz w:val="24"/>
          <w:szCs w:val="24"/>
          <w:color w:val="auto"/>
        </w:rPr>
      </w:pPr>
    </w:p>
    <w:p>
      <w:pPr>
        <w:ind w:left="3780"/>
        <w:spacing w:after="0" w:line="207" w:lineRule="exact"/>
        <w:tabs>
          <w:tab w:leader="none" w:pos="514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-413385</wp:posOffset>
            </wp:positionH>
            <wp:positionV relativeFrom="paragraph">
              <wp:posOffset>172720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-413385</wp:posOffset>
            </wp:positionH>
            <wp:positionV relativeFrom="paragraph">
              <wp:posOffset>189865</wp:posOffset>
            </wp:positionV>
            <wp:extent cx="71323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-413385</wp:posOffset>
            </wp:positionH>
            <wp:positionV relativeFrom="paragraph">
              <wp:posOffset>644525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479"/>
          </w:cols>
          <w:pgMar w:left="980" w:top="500"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September 16, 2020, Kornit Digital Ltd. (the “Company”) entered into an underwriting agreement (the “Underwriting Agreement”), with Amazon.com NV Investment Holdings LLC (the “Selling Shareholder”), an affiliate of Amazon.com, Inc. (“Amazon”), and Citigroup Global Markets Inc., Barclays Capital Inc. and Goldman Sachs &amp; Co. LLC, as representatives of the several underwriters named therein (the “Underwriters”), relating to an underwritten public offering (the “Offering”) of 4,078,210 ordinary shares of the Company, of which 2,388,268 are being sold by the Company and 1,689,942 are being sold by the Selling Shareholder. The shares being sold by the Selling Shareholder are being issued pursuant to the exercise of a warrant granted to Amazon by the Company. The offering price to the public is $56.50 per share. In addition, the Company granted the Underwriters a 30-day option to purchase up to an additional 611,731 ordinary shares at the public offering price. The Offering is expected to close on or about September 21, 2020.</w:t>
      </w:r>
    </w:p>
    <w:p>
      <w:pPr>
        <w:spacing w:after="0" w:line="19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Underwriting Agreement is only a summary and is qualified in its entirety by reference to the Underwriting Agreement, a copy of which is attached as Exhibit 1.1 to this Form 6-K.</w:t>
      </w:r>
    </w:p>
    <w:p>
      <w:pPr>
        <w:spacing w:after="0" w:line="162" w:lineRule="exact"/>
        <w:rPr>
          <w:sz w:val="20"/>
          <w:szCs w:val="20"/>
          <w:color w:val="auto"/>
        </w:rPr>
      </w:pPr>
    </w:p>
    <w:p>
      <w:pPr>
        <w:jc w:val="both"/>
        <w:ind w:firstLine="648"/>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Offering is being made pursuant to the Company’s effective registration statement on Form F-3ASR (SEC File No. </w:t>
      </w:r>
      <w:hyperlink r:id="rId13">
        <w:r>
          <w:rPr>
            <w:rFonts w:ascii="Times New Roman" w:cs="Times New Roman" w:eastAsia="Times New Roman" w:hAnsi="Times New Roman"/>
            <w:sz w:val="18"/>
            <w:szCs w:val="18"/>
            <w:u w:val="single" w:color="auto"/>
            <w:color w:val="0000EE"/>
          </w:rPr>
          <w:t>333-248784</w:t>
        </w:r>
      </w:hyperlink>
      <w:r>
        <w:rPr>
          <w:rFonts w:ascii="Times New Roman" w:cs="Times New Roman" w:eastAsia="Times New Roman" w:hAnsi="Times New Roman"/>
          <w:sz w:val="18"/>
          <w:szCs w:val="18"/>
          <w:color w:val="auto"/>
        </w:rPr>
        <w:t>), previously filed with the Securities and Exchange Commission (the “SEC”).</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On September 14, 2020, the Company issued a press release titled, “Kornit Announces Launch of Public Offering of Ordinary Shares.” A copy of this press release is attached as Exhibit 99.1 to this Form 6-K.</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On September 16, 2020, the Company issued a press release titled, “Kornit Announces Pricing of Upsized Public Offering of Ordinary Shares.” A copy of this press release is attached as Exhibit 99.2 to this Form 6-K.</w:t>
      </w:r>
    </w:p>
    <w:p>
      <w:pPr>
        <w:spacing w:after="0" w:line="162" w:lineRule="exact"/>
        <w:rPr>
          <w:sz w:val="20"/>
          <w:szCs w:val="20"/>
          <w:color w:val="auto"/>
        </w:rPr>
      </w:pPr>
    </w:p>
    <w:p>
      <w:pPr>
        <w:jc w:val="both"/>
        <w:ind w:firstLine="648"/>
        <w:spacing w:after="0" w:line="261" w:lineRule="auto"/>
        <w:rPr>
          <w:rFonts w:ascii="Times New Roman" w:cs="Times New Roman" w:eastAsia="Times New Roman" w:hAnsi="Times New Roman"/>
          <w:sz w:val="18"/>
          <w:szCs w:val="18"/>
          <w:color w:val="000000"/>
        </w:rPr>
      </w:pPr>
      <w:hyperlink r:id="rId13">
        <w:r>
          <w:rPr>
            <w:rFonts w:ascii="Times New Roman" w:cs="Times New Roman" w:eastAsia="Times New Roman" w:hAnsi="Times New Roman"/>
            <w:sz w:val="18"/>
            <w:szCs w:val="18"/>
            <w:color w:val="auto"/>
          </w:rPr>
          <w:t xml:space="preserve">This Report of Foreign Private Issuer is incorporated by reference in the Company’s registration statements on Form F-3ASR (SEC File No. </w:t>
        </w:r>
        <w:r>
          <w:rPr>
            <w:rFonts w:ascii="Times New Roman" w:cs="Times New Roman" w:eastAsia="Times New Roman" w:hAnsi="Times New Roman"/>
            <w:sz w:val="18"/>
            <w:szCs w:val="18"/>
            <w:u w:val="single" w:color="auto"/>
            <w:color w:val="0000EE"/>
          </w:rPr>
          <w:t>333-</w:t>
        </w:r>
      </w:hyperlink>
      <w:hyperlink r:id="rId13">
        <w:r>
          <w:rPr>
            <w:rFonts w:ascii="Times New Roman" w:cs="Times New Roman" w:eastAsia="Times New Roman" w:hAnsi="Times New Roman"/>
            <w:sz w:val="18"/>
            <w:szCs w:val="18"/>
            <w:u w:val="single" w:color="auto"/>
            <w:color w:val="0000EE"/>
          </w:rPr>
          <w:t>248784</w:t>
        </w:r>
        <w:r>
          <w:rPr>
            <w:rFonts w:ascii="Times New Roman" w:cs="Times New Roman" w:eastAsia="Times New Roman" w:hAnsi="Times New Roman"/>
            <w:sz w:val="18"/>
            <w:szCs w:val="18"/>
            <w:color w:val="000000"/>
          </w:rPr>
          <w:t>), filed with the SEC on September 14, 2020, and on Form S-8 (SEC File Nos.</w:t>
        </w:r>
        <w:r>
          <w:rPr>
            <w:rFonts w:ascii="Times New Roman" w:cs="Times New Roman" w:eastAsia="Times New Roman" w:hAnsi="Times New Roman"/>
            <w:sz w:val="18"/>
            <w:szCs w:val="18"/>
            <w:color w:val="0000EE"/>
          </w:rPr>
          <w:t xml:space="preserve"> </w:t>
        </w:r>
      </w:hyperlink>
      <w:hyperlink r:id="rId14">
        <w:r>
          <w:rPr>
            <w:rFonts w:ascii="Times New Roman" w:cs="Times New Roman" w:eastAsia="Times New Roman" w:hAnsi="Times New Roman"/>
            <w:sz w:val="18"/>
            <w:szCs w:val="18"/>
            <w:u w:val="single" w:color="auto"/>
            <w:color w:val="0000EE"/>
          </w:rPr>
          <w:t>333-237346</w:t>
        </w:r>
      </w:hyperlink>
      <w:hyperlink r:id="rId13">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15">
        <w:r>
          <w:rPr>
            <w:rFonts w:ascii="Times New Roman" w:cs="Times New Roman" w:eastAsia="Times New Roman" w:hAnsi="Times New Roman"/>
            <w:sz w:val="18"/>
            <w:szCs w:val="18"/>
            <w:u w:val="single" w:color="auto"/>
            <w:color w:val="0000EE"/>
          </w:rPr>
          <w:t>333-230567</w:t>
        </w:r>
      </w:hyperlink>
      <w:hyperlink r:id="rId13">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16">
        <w:r>
          <w:rPr>
            <w:rFonts w:ascii="Times New Roman" w:cs="Times New Roman" w:eastAsia="Times New Roman" w:hAnsi="Times New Roman"/>
            <w:sz w:val="18"/>
            <w:szCs w:val="18"/>
            <w:u w:val="single" w:color="auto"/>
            <w:color w:val="0000EE"/>
          </w:rPr>
          <w:t>333-223794</w:t>
        </w:r>
      </w:hyperlink>
      <w:hyperlink r:id="rId13">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17">
        <w:r>
          <w:rPr>
            <w:rFonts w:ascii="Times New Roman" w:cs="Times New Roman" w:eastAsia="Times New Roman" w:hAnsi="Times New Roman"/>
            <w:sz w:val="18"/>
            <w:szCs w:val="18"/>
            <w:u w:val="single" w:color="auto"/>
            <w:color w:val="0000EE"/>
          </w:rPr>
          <w:t>333-217039</w:t>
        </w:r>
      </w:hyperlink>
      <w:hyperlink r:id="rId13">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18">
        <w:r>
          <w:rPr>
            <w:rFonts w:ascii="Times New Roman" w:cs="Times New Roman" w:eastAsia="Times New Roman" w:hAnsi="Times New Roman"/>
            <w:sz w:val="18"/>
            <w:szCs w:val="18"/>
            <w:u w:val="single" w:color="auto"/>
            <w:color w:val="0000EE"/>
          </w:rPr>
          <w:t>333-214015</w:t>
        </w:r>
      </w:hyperlink>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 xml:space="preserve">and </w:t>
      </w:r>
      <w:hyperlink r:id="rId19">
        <w:r>
          <w:rPr>
            <w:rFonts w:ascii="Times New Roman" w:cs="Times New Roman" w:eastAsia="Times New Roman" w:hAnsi="Times New Roman"/>
            <w:sz w:val="18"/>
            <w:szCs w:val="18"/>
            <w:u w:val="single" w:color="auto"/>
            <w:color w:val="0000EE"/>
          </w:rPr>
          <w:t>333-203970</w:t>
        </w:r>
      </w:hyperlink>
      <w:r>
        <w:rPr>
          <w:rFonts w:ascii="Times New Roman" w:cs="Times New Roman" w:eastAsia="Times New Roman" w:hAnsi="Times New Roman"/>
          <w:sz w:val="18"/>
          <w:szCs w:val="18"/>
          <w:color w:val="000000"/>
        </w:rPr>
        <w:t>), filed with the SEC on March 23, 2020, March 28, 2019, March 20, 2018, March 30, 2017, October 6, 2016 and May 7, 2015, respectively.</w:t>
      </w:r>
    </w:p>
    <w:p>
      <w:pPr>
        <w:spacing w:after="0" w:line="387" w:lineRule="exact"/>
        <w:rPr>
          <w:rFonts w:ascii="Times New Roman" w:cs="Times New Roman" w:eastAsia="Times New Roman" w:hAnsi="Times New Roman"/>
          <w:sz w:val="18"/>
          <w:szCs w:val="18"/>
          <w:color w:val="0000EE"/>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0000EE"/>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KORNIT DIGITAL LTD.</w:t>
      </w:r>
    </w:p>
    <w:p>
      <w:pPr>
        <w:spacing w:after="0" w:line="225" w:lineRule="exact"/>
        <w:rPr>
          <w:sz w:val="20"/>
          <w:szCs w:val="20"/>
          <w:color w:val="auto"/>
        </w:rPr>
      </w:pPr>
    </w:p>
    <w:p>
      <w:pPr>
        <w:spacing w:after="0"/>
        <w:tabs>
          <w:tab w:leader="none" w:pos="6740" w:val="left"/>
          <w:tab w:leader="none" w:pos="7180" w:val="left"/>
        </w:tabs>
        <w:rPr>
          <w:sz w:val="20"/>
          <w:szCs w:val="20"/>
          <w:color w:val="auto"/>
        </w:rPr>
      </w:pPr>
      <w:r>
        <w:rPr>
          <w:rFonts w:ascii="Times New Roman" w:cs="Times New Roman" w:eastAsia="Times New Roman" w:hAnsi="Times New Roman"/>
          <w:sz w:val="18"/>
          <w:szCs w:val="18"/>
          <w:color w:val="auto"/>
        </w:rPr>
        <w:t>Date: September 18, 2020</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Guy Avidan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34290</wp:posOffset>
            </wp:positionV>
            <wp:extent cx="256286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1">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43"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Name: Guy Avidan</w:t>
      </w:r>
    </w:p>
    <w:p>
      <w:pPr>
        <w:spacing w:after="0" w:line="27"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8"/>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00" w:type="dxa"/>
            <w:vAlign w:val="bottom"/>
            <w:gridSpan w:val="2"/>
          </w:tcPr>
          <w:p>
            <w:pPr>
              <w:ind w:left="396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3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w:t>
            </w:r>
          </w:p>
        </w:tc>
        <w:tc>
          <w:tcPr>
            <w:tcW w:w="10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Description</w:t>
            </w:r>
          </w:p>
        </w:tc>
      </w:tr>
      <w:tr>
        <w:trPr>
          <w:trHeight w:val="175"/>
        </w:trPr>
        <w:tc>
          <w:tcPr>
            <w:tcW w:w="1020" w:type="dxa"/>
            <w:vAlign w:val="bottom"/>
            <w:tcBorders>
              <w:top w:val="single" w:sz="8" w:color="auto"/>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1.1</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0100" w:type="dxa"/>
            <w:vAlign w:val="bottom"/>
            <w:tcBorders>
              <w:top w:val="single" w:sz="8" w:color="auto"/>
              <w:bottom w:val="single" w:sz="8" w:color="0000EE"/>
            </w:tcBorders>
            <w:gridSpan w:val="2"/>
            <w:shd w:val="clear" w:color="auto" w:fill="CCEEFF"/>
          </w:tcPr>
          <w:p>
            <w:pPr>
              <w:spacing w:after="0" w:line="176" w:lineRule="exact"/>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Underwriting Agreement, dated as of September 16, 2020, by and among the Company, Amazon.com NV Investment Holdings LLC and</w:t>
              </w:r>
            </w:hyperlink>
          </w:p>
        </w:tc>
      </w:tr>
      <w:tr>
        <w:trPr>
          <w:trHeight w:val="196"/>
        </w:trPr>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100" w:type="dxa"/>
            <w:vAlign w:val="bottom"/>
            <w:gridSpan w:val="2"/>
            <w:shd w:val="clear" w:color="auto" w:fill="CCEEFF"/>
          </w:tcPr>
          <w:p>
            <w:pPr>
              <w:spacing w:after="0" w:line="196" w:lineRule="exact"/>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Citigroup Global Markets Inc., Barclays Capital Inc. and Goldman Sachs &amp; Co. LLC.</w:t>
              </w:r>
            </w:hyperlink>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180" w:type="dxa"/>
            <w:vAlign w:val="bottom"/>
            <w:tcBorders>
              <w:top w:val="single" w:sz="8" w:color="0000EE"/>
            </w:tcBorders>
            <w:shd w:val="clear" w:color="auto" w:fill="CCEEFF"/>
          </w:tcPr>
          <w:p>
            <w:pPr>
              <w:spacing w:after="0" w:line="20" w:lineRule="exact"/>
              <w:rPr>
                <w:sz w:val="1"/>
                <w:szCs w:val="1"/>
                <w:color w:val="auto"/>
              </w:rPr>
            </w:pPr>
          </w:p>
        </w:tc>
        <w:tc>
          <w:tcPr>
            <w:tcW w:w="392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5.1</w:t>
            </w:r>
          </w:p>
        </w:tc>
        <w:tc>
          <w:tcPr>
            <w:tcW w:w="120" w:type="dxa"/>
            <w:vAlign w:val="bottom"/>
          </w:tcPr>
          <w:p>
            <w:pPr>
              <w:spacing w:after="0"/>
              <w:rPr>
                <w:sz w:val="18"/>
                <w:szCs w:val="18"/>
                <w:color w:val="auto"/>
              </w:rPr>
            </w:pPr>
          </w:p>
        </w:tc>
        <w:tc>
          <w:tcPr>
            <w:tcW w:w="10100" w:type="dxa"/>
            <w:vAlign w:val="bottom"/>
            <w:gridSpan w:val="2"/>
          </w:tcPr>
          <w:p>
            <w:pPr>
              <w:spacing w:after="0"/>
              <w:rPr>
                <w:rFonts w:ascii="Times New Roman" w:cs="Times New Roman" w:eastAsia="Times New Roman" w:hAnsi="Times New Roman"/>
                <w:sz w:val="18"/>
                <w:szCs w:val="18"/>
                <w:u w:val="single" w:color="auto"/>
                <w:color w:val="0000EE"/>
              </w:rPr>
            </w:pPr>
            <w:hyperlink w:anchor="page57">
              <w:r>
                <w:rPr>
                  <w:rFonts w:ascii="Times New Roman" w:cs="Times New Roman" w:eastAsia="Times New Roman" w:hAnsi="Times New Roman"/>
                  <w:sz w:val="18"/>
                  <w:szCs w:val="18"/>
                  <w:u w:val="single" w:color="auto"/>
                  <w:color w:val="0000EE"/>
                </w:rPr>
                <w:t>Opinion of Meitar Law Offices, Israeli counsel to the Registrant, as to the validity of the ordinary shares (including consent).</w:t>
              </w:r>
            </w:hyperlink>
          </w:p>
        </w:tc>
      </w:tr>
      <w:tr>
        <w:trPr>
          <w:trHeight w:val="216"/>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23.1</w:t>
            </w:r>
          </w:p>
        </w:tc>
        <w:tc>
          <w:tcPr>
            <w:tcW w:w="120" w:type="dxa"/>
            <w:vAlign w:val="bottom"/>
            <w:shd w:val="clear" w:color="auto" w:fill="CCEEFF"/>
          </w:tcPr>
          <w:p>
            <w:pPr>
              <w:spacing w:after="0"/>
              <w:rPr>
                <w:sz w:val="18"/>
                <w:szCs w:val="18"/>
                <w:color w:val="auto"/>
              </w:rPr>
            </w:pPr>
          </w:p>
        </w:tc>
        <w:tc>
          <w:tcPr>
            <w:tcW w:w="10100" w:type="dxa"/>
            <w:vAlign w:val="bottom"/>
            <w:gridSpan w:val="2"/>
            <w:shd w:val="clear" w:color="auto" w:fill="CCEEFF"/>
          </w:tcPr>
          <w:p>
            <w:pPr>
              <w:spacing w:after="0"/>
              <w:rPr>
                <w:rFonts w:ascii="Times New Roman" w:cs="Times New Roman" w:eastAsia="Times New Roman" w:hAnsi="Times New Roman"/>
                <w:sz w:val="18"/>
                <w:szCs w:val="18"/>
                <w:u w:val="single" w:color="auto"/>
                <w:color w:val="0000EE"/>
              </w:rPr>
            </w:pPr>
            <w:hyperlink w:anchor="page57">
              <w:r>
                <w:rPr>
                  <w:rFonts w:ascii="Times New Roman" w:cs="Times New Roman" w:eastAsia="Times New Roman" w:hAnsi="Times New Roman"/>
                  <w:sz w:val="18"/>
                  <w:szCs w:val="18"/>
                  <w:u w:val="single" w:color="auto"/>
                  <w:color w:val="0000EE"/>
                </w:rPr>
                <w:t>Consent of Meitar Law Offices (included in Exhibit 5.1).</w:t>
              </w:r>
            </w:hyperlink>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120" w:type="dxa"/>
            <w:vAlign w:val="bottom"/>
          </w:tcPr>
          <w:p>
            <w:pPr>
              <w:spacing w:after="0"/>
              <w:rPr>
                <w:sz w:val="18"/>
                <w:szCs w:val="18"/>
                <w:color w:val="auto"/>
              </w:rPr>
            </w:pPr>
          </w:p>
        </w:tc>
        <w:tc>
          <w:tcPr>
            <w:tcW w:w="10100" w:type="dxa"/>
            <w:vAlign w:val="bottom"/>
            <w:gridSpan w:val="2"/>
          </w:tcPr>
          <w:p>
            <w:pPr>
              <w:spacing w:after="0"/>
              <w:rPr>
                <w:rFonts w:ascii="Times New Roman" w:cs="Times New Roman" w:eastAsia="Times New Roman" w:hAnsi="Times New Roman"/>
                <w:sz w:val="18"/>
                <w:szCs w:val="18"/>
                <w:u w:val="single" w:color="auto"/>
                <w:color w:val="0000EE"/>
              </w:rPr>
            </w:pPr>
            <w:hyperlink w:anchor="page59">
              <w:r>
                <w:rPr>
                  <w:rFonts w:ascii="Times New Roman" w:cs="Times New Roman" w:eastAsia="Times New Roman" w:hAnsi="Times New Roman"/>
                  <w:sz w:val="18"/>
                  <w:szCs w:val="18"/>
                  <w:u w:val="single" w:color="auto"/>
                  <w:color w:val="0000EE"/>
                </w:rPr>
                <w:t>Press release dated September 14, 2020 and titled, “Kornit Announces Launch of Public Offering of Ordinary Shares.”</w:t>
              </w:r>
            </w:hyperlink>
          </w:p>
        </w:tc>
      </w:tr>
      <w:tr>
        <w:trPr>
          <w:trHeight w:val="216"/>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99.2</w:t>
            </w:r>
          </w:p>
        </w:tc>
        <w:tc>
          <w:tcPr>
            <w:tcW w:w="120" w:type="dxa"/>
            <w:vAlign w:val="bottom"/>
            <w:shd w:val="clear" w:color="auto" w:fill="CCEEFF"/>
          </w:tcPr>
          <w:p>
            <w:pPr>
              <w:spacing w:after="0"/>
              <w:rPr>
                <w:sz w:val="18"/>
                <w:szCs w:val="18"/>
                <w:color w:val="auto"/>
              </w:rPr>
            </w:pPr>
          </w:p>
        </w:tc>
        <w:tc>
          <w:tcPr>
            <w:tcW w:w="10100" w:type="dxa"/>
            <w:vAlign w:val="bottom"/>
            <w:gridSpan w:val="2"/>
            <w:shd w:val="clear" w:color="auto" w:fill="CCEEFF"/>
          </w:tcPr>
          <w:p>
            <w:pPr>
              <w:spacing w:after="0"/>
              <w:rPr>
                <w:rFonts w:ascii="Times New Roman" w:cs="Times New Roman" w:eastAsia="Times New Roman" w:hAnsi="Times New Roman"/>
                <w:sz w:val="18"/>
                <w:szCs w:val="18"/>
                <w:u w:val="single" w:color="auto"/>
                <w:color w:val="0000EE"/>
              </w:rPr>
            </w:pPr>
            <w:hyperlink w:anchor="page60">
              <w:r>
                <w:rPr>
                  <w:rFonts w:ascii="Times New Roman" w:cs="Times New Roman" w:eastAsia="Times New Roman" w:hAnsi="Times New Roman"/>
                  <w:sz w:val="18"/>
                  <w:szCs w:val="18"/>
                  <w:u w:val="single" w:color="auto"/>
                  <w:color w:val="0000EE"/>
                </w:rPr>
                <w:t>Press release dated September 16, 2020 and titled, “Kornit Announces Pricing of Upsized Public Offering of Ordinary Shares.”</w:t>
              </w:r>
            </w:hyperlink>
          </w:p>
        </w:tc>
      </w:tr>
      <w:tr>
        <w:trPr>
          <w:trHeight w:val="655"/>
        </w:trPr>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180" w:type="dxa"/>
            <w:vAlign w:val="bottom"/>
            <w:tcBorders>
              <w:bottom w:val="single" w:sz="8" w:color="auto"/>
            </w:tcBorders>
          </w:tcPr>
          <w:p>
            <w:pPr>
              <w:ind w:left="4440"/>
              <w:spacing w:after="0"/>
              <w:rPr>
                <w:sz w:val="20"/>
                <w:szCs w:val="20"/>
                <w:color w:val="auto"/>
              </w:rPr>
            </w:pPr>
            <w:r>
              <w:rPr>
                <w:rFonts w:ascii="Times New Roman" w:cs="Times New Roman" w:eastAsia="Times New Roman" w:hAnsi="Times New Roman"/>
                <w:sz w:val="18"/>
                <w:szCs w:val="18"/>
                <w:color w:val="auto"/>
              </w:rPr>
              <w:t>3</w:t>
            </w:r>
          </w:p>
        </w:tc>
        <w:tc>
          <w:tcPr>
            <w:tcW w:w="39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1.1</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EXECUTION VERSION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4,078,210</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KORNIT DIGITAL LTD.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Ordinary Shares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UNDERWRITING AGREEMENT</w:t>
      </w: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September 16, 2020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2"/>
          <w:szCs w:val="12"/>
          <w:color w:val="auto"/>
        </w:rPr>
        <w:t>ITIGROUP</w:t>
      </w:r>
      <w:r>
        <w:rPr>
          <w:rFonts w:ascii="Times New Roman" w:cs="Times New Roman" w:eastAsia="Times New Roman" w:hAnsi="Times New Roman"/>
          <w:sz w:val="18"/>
          <w:szCs w:val="18"/>
          <w:color w:val="auto"/>
        </w:rPr>
        <w:t xml:space="preserve"> G</w:t>
      </w:r>
      <w:r>
        <w:rPr>
          <w:rFonts w:ascii="Times New Roman" w:cs="Times New Roman" w:eastAsia="Times New Roman" w:hAnsi="Times New Roman"/>
          <w:sz w:val="12"/>
          <w:szCs w:val="12"/>
          <w:color w:val="auto"/>
        </w:rPr>
        <w:t>LOBAL</w:t>
      </w:r>
      <w:r>
        <w:rPr>
          <w:rFonts w:ascii="Times New Roman" w:cs="Times New Roman" w:eastAsia="Times New Roman" w:hAnsi="Times New Roman"/>
          <w:sz w:val="18"/>
          <w:szCs w:val="18"/>
          <w:color w:val="auto"/>
        </w:rPr>
        <w:t xml:space="preserve"> M</w:t>
      </w:r>
      <w:r>
        <w:rPr>
          <w:rFonts w:ascii="Times New Roman" w:cs="Times New Roman" w:eastAsia="Times New Roman" w:hAnsi="Times New Roman"/>
          <w:sz w:val="12"/>
          <w:szCs w:val="12"/>
          <w:color w:val="auto"/>
        </w:rPr>
        <w:t>ARKETS</w:t>
      </w:r>
      <w:r>
        <w:rPr>
          <w:rFonts w:ascii="Times New Roman" w:cs="Times New Roman" w:eastAsia="Times New Roman" w:hAnsi="Times New Roman"/>
          <w:sz w:val="18"/>
          <w:szCs w:val="18"/>
          <w:color w:val="auto"/>
        </w:rPr>
        <w:t xml:space="preserve"> I</w:t>
      </w:r>
      <w:r>
        <w:rPr>
          <w:rFonts w:ascii="Times New Roman" w:cs="Times New Roman" w:eastAsia="Times New Roman" w:hAnsi="Times New Roman"/>
          <w:sz w:val="12"/>
          <w:szCs w:val="12"/>
          <w:color w:val="auto"/>
        </w:rPr>
        <w:t>NC</w:t>
      </w:r>
      <w:r>
        <w:rPr>
          <w:rFonts w:ascii="Times New Roman" w:cs="Times New Roman" w:eastAsia="Times New Roman" w:hAnsi="Times New Roman"/>
          <w:sz w:val="18"/>
          <w:szCs w:val="18"/>
          <w:color w:val="auto"/>
        </w:rPr>
        <w: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w:t>
      </w:r>
      <w:r>
        <w:rPr>
          <w:rFonts w:ascii="Times New Roman" w:cs="Times New Roman" w:eastAsia="Times New Roman" w:hAnsi="Times New Roman"/>
          <w:sz w:val="12"/>
          <w:szCs w:val="12"/>
          <w:color w:val="auto"/>
        </w:rPr>
        <w:t>ARCLAYS</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2"/>
          <w:szCs w:val="12"/>
          <w:color w:val="auto"/>
        </w:rPr>
        <w:t>APITAL</w:t>
      </w:r>
      <w:r>
        <w:rPr>
          <w:rFonts w:ascii="Times New Roman" w:cs="Times New Roman" w:eastAsia="Times New Roman" w:hAnsi="Times New Roman"/>
          <w:sz w:val="18"/>
          <w:szCs w:val="18"/>
          <w:color w:val="auto"/>
        </w:rPr>
        <w:t xml:space="preserve"> I</w:t>
      </w:r>
      <w:r>
        <w:rPr>
          <w:rFonts w:ascii="Times New Roman" w:cs="Times New Roman" w:eastAsia="Times New Roman" w:hAnsi="Times New Roman"/>
          <w:sz w:val="12"/>
          <w:szCs w:val="12"/>
          <w:color w:val="auto"/>
        </w:rPr>
        <w:t>NC</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w:t>
      </w:r>
      <w:r>
        <w:rPr>
          <w:rFonts w:ascii="Times New Roman" w:cs="Times New Roman" w:eastAsia="Times New Roman" w:hAnsi="Times New Roman"/>
          <w:sz w:val="12"/>
          <w:szCs w:val="12"/>
          <w:color w:val="auto"/>
        </w:rPr>
        <w:t>OLDMAN</w:t>
      </w:r>
      <w:r>
        <w:rPr>
          <w:rFonts w:ascii="Times New Roman" w:cs="Times New Roman" w:eastAsia="Times New Roman" w:hAnsi="Times New Roman"/>
          <w:sz w:val="18"/>
          <w:szCs w:val="18"/>
          <w:color w:val="auto"/>
        </w:rPr>
        <w:t xml:space="preserve"> S</w:t>
      </w:r>
      <w:r>
        <w:rPr>
          <w:rFonts w:ascii="Times New Roman" w:cs="Times New Roman" w:eastAsia="Times New Roman" w:hAnsi="Times New Roman"/>
          <w:sz w:val="12"/>
          <w:szCs w:val="12"/>
          <w:color w:val="auto"/>
        </w:rPr>
        <w:t>ACHS</w:t>
      </w:r>
      <w:r>
        <w:rPr>
          <w:rFonts w:ascii="Times New Roman" w:cs="Times New Roman" w:eastAsia="Times New Roman" w:hAnsi="Times New Roman"/>
          <w:sz w:val="18"/>
          <w:szCs w:val="18"/>
          <w:color w:val="auto"/>
        </w:rPr>
        <w:t xml:space="preserve"> &amp; C</w:t>
      </w:r>
      <w:r>
        <w:rPr>
          <w:rFonts w:ascii="Times New Roman" w:cs="Times New Roman" w:eastAsia="Times New Roman" w:hAnsi="Times New Roman"/>
          <w:sz w:val="12"/>
          <w:szCs w:val="12"/>
          <w:color w:val="auto"/>
        </w:rPr>
        <w:t>O</w:t>
      </w:r>
      <w:r>
        <w:rPr>
          <w:rFonts w:ascii="Times New Roman" w:cs="Times New Roman" w:eastAsia="Times New Roman" w:hAnsi="Times New Roman"/>
          <w:sz w:val="18"/>
          <w:szCs w:val="18"/>
          <w:color w:val="auto"/>
        </w:rPr>
        <w:t>. LLC</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Citigroup Global Markets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388 Greenwich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10013</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Barclays Capital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745 Seventh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10019</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Goldman Sachs &amp; Co.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200 West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10282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1"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Kornit Digital Ltd., a company incorporated under the laws of the State of Israel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and Amazon.com NV Investment Holdings LLC (the “</w:t>
      </w:r>
      <w:r>
        <w:rPr>
          <w:rFonts w:ascii="Times New Roman" w:cs="Times New Roman" w:eastAsia="Times New Roman" w:hAnsi="Times New Roman"/>
          <w:sz w:val="18"/>
          <w:szCs w:val="18"/>
          <w:b w:val="1"/>
          <w:bCs w:val="1"/>
          <w:color w:val="auto"/>
        </w:rPr>
        <w:t>Selling Shareholder</w:t>
      </w:r>
      <w:r>
        <w:rPr>
          <w:rFonts w:ascii="Times New Roman" w:cs="Times New Roman" w:eastAsia="Times New Roman" w:hAnsi="Times New Roman"/>
          <w:sz w:val="18"/>
          <w:szCs w:val="18"/>
          <w:color w:val="auto"/>
        </w:rPr>
        <w:t>”), acting severally and not jointly, propose to sell an aggregate of 4,078,210 of the Company’s ordinary shares (the “</w:t>
      </w:r>
      <w:r>
        <w:rPr>
          <w:rFonts w:ascii="Times New Roman" w:cs="Times New Roman" w:eastAsia="Times New Roman" w:hAnsi="Times New Roman"/>
          <w:sz w:val="18"/>
          <w:szCs w:val="18"/>
          <w:b w:val="1"/>
          <w:bCs w:val="1"/>
          <w:color w:val="auto"/>
        </w:rPr>
        <w:t>Firm Shares</w:t>
      </w:r>
      <w:r>
        <w:rPr>
          <w:rFonts w:ascii="Times New Roman" w:cs="Times New Roman" w:eastAsia="Times New Roman" w:hAnsi="Times New Roman"/>
          <w:sz w:val="18"/>
          <w:szCs w:val="18"/>
          <w:color w:val="auto"/>
        </w:rPr>
        <w:t>”), par value NIS 0.01 per share (the “</w:t>
      </w:r>
      <w:r>
        <w:rPr>
          <w:rFonts w:ascii="Times New Roman" w:cs="Times New Roman" w:eastAsia="Times New Roman" w:hAnsi="Times New Roman"/>
          <w:sz w:val="18"/>
          <w:szCs w:val="18"/>
          <w:b w:val="1"/>
          <w:bCs w:val="1"/>
          <w:color w:val="auto"/>
        </w:rPr>
        <w:t>Ordinary Shares</w:t>
      </w:r>
      <w:r>
        <w:rPr>
          <w:rFonts w:ascii="Times New Roman" w:cs="Times New Roman" w:eastAsia="Times New Roman" w:hAnsi="Times New Roman"/>
          <w:sz w:val="18"/>
          <w:szCs w:val="18"/>
          <w:color w:val="auto"/>
        </w:rPr>
        <w:t>”). Of the 4,078,210 Firm Shares, 2,388,268 are being sold by the Company and 1,689,942 are being sold by the Selling Shareholder, acting severally and not jointly. In addition, the Company proposes to grant to the underwriters (the “</w:t>
      </w:r>
      <w:r>
        <w:rPr>
          <w:rFonts w:ascii="Times New Roman" w:cs="Times New Roman" w:eastAsia="Times New Roman" w:hAnsi="Times New Roman"/>
          <w:sz w:val="18"/>
          <w:szCs w:val="18"/>
          <w:b w:val="1"/>
          <w:bCs w:val="1"/>
          <w:color w:val="auto"/>
        </w:rPr>
        <w:t>Underwriters</w:t>
      </w:r>
      <w:r>
        <w:rPr>
          <w:rFonts w:ascii="Times New Roman" w:cs="Times New Roman" w:eastAsia="Times New Roman" w:hAnsi="Times New Roman"/>
          <w:sz w:val="18"/>
          <w:szCs w:val="18"/>
          <w:color w:val="auto"/>
        </w:rPr>
        <w:t>”) named in Schedule I attached to this agreement (this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an option to purchase up to 611,731 additional Ordinary Shares on the terms set forth in Section 3 (the “</w:t>
      </w:r>
      <w:r>
        <w:rPr>
          <w:rFonts w:ascii="Times New Roman" w:cs="Times New Roman" w:eastAsia="Times New Roman" w:hAnsi="Times New Roman"/>
          <w:sz w:val="18"/>
          <w:szCs w:val="18"/>
          <w:b w:val="1"/>
          <w:bCs w:val="1"/>
          <w:color w:val="auto"/>
        </w:rPr>
        <w:t>Option Shares</w:t>
      </w:r>
      <w:r>
        <w:rPr>
          <w:rFonts w:ascii="Times New Roman" w:cs="Times New Roman" w:eastAsia="Times New Roman" w:hAnsi="Times New Roman"/>
          <w:sz w:val="18"/>
          <w:szCs w:val="18"/>
          <w:color w:val="auto"/>
        </w:rPr>
        <w:t>”). The Firm Shares and the Option Shares, if purchased, are hereinafter collectively called the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This Agreement is to confirm the agreement concerning the purchase of the Shares from the Company and the Selling Shareholder by the Underwriters.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 w:name="page6"/>
    <w:bookmarkEnd w:id="5"/>
    <w:p>
      <w:pPr>
        <w:ind w:left="184" w:hanging="184"/>
        <w:spacing w:after="0"/>
        <w:tabs>
          <w:tab w:leader="none" w:pos="18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Representations, Warranties and Agreements of the Company</w:t>
      </w:r>
      <w:r>
        <w:rPr>
          <w:rFonts w:ascii="Times New Roman" w:cs="Times New Roman" w:eastAsia="Times New Roman" w:hAnsi="Times New Roman"/>
          <w:sz w:val="18"/>
          <w:szCs w:val="18"/>
          <w:color w:val="auto"/>
        </w:rPr>
        <w:t>. The Company represents, warrants and agrees that:</w:t>
      </w:r>
    </w:p>
    <w:p>
      <w:pPr>
        <w:spacing w:after="0" w:line="227" w:lineRule="exact"/>
        <w:rPr>
          <w:rFonts w:ascii="Times New Roman" w:cs="Times New Roman" w:eastAsia="Times New Roman" w:hAnsi="Times New Roman"/>
          <w:sz w:val="18"/>
          <w:szCs w:val="18"/>
          <w:color w:val="auto"/>
        </w:rPr>
      </w:pPr>
    </w:p>
    <w:p>
      <w:pPr>
        <w:jc w:val="both"/>
        <w:ind w:left="4" w:firstLine="644"/>
        <w:spacing w:after="0" w:line="258" w:lineRule="auto"/>
        <w:tabs>
          <w:tab w:leader="none" w:pos="925"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registration statement on Form F-3 (File No. 333-248784) relating to the Shares has (i) been prepared by the Company in conformity with the requirements of the Securities Act of 1933, as amended (the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and the rules and regulations of the Securities and Exchange Commission (the “</w:t>
      </w:r>
      <w:r>
        <w:rPr>
          <w:rFonts w:ascii="Times New Roman" w:cs="Times New Roman" w:eastAsia="Times New Roman" w:hAnsi="Times New Roman"/>
          <w:sz w:val="18"/>
          <w:szCs w:val="18"/>
          <w:b w:val="1"/>
          <w:bCs w:val="1"/>
          <w:color w:val="auto"/>
        </w:rPr>
        <w:t>Commission</w:t>
      </w:r>
      <w:r>
        <w:rPr>
          <w:rFonts w:ascii="Times New Roman" w:cs="Times New Roman" w:eastAsia="Times New Roman" w:hAnsi="Times New Roman"/>
          <w:sz w:val="18"/>
          <w:szCs w:val="18"/>
          <w:color w:val="auto"/>
        </w:rPr>
        <w:t>”) thereunder; (ii) been filed with the Commission under the Securities Act; and (iii) become effective under the Securities Act. Copies of such registration statement and any amendment thereto have been delivered by the Company to you as the representatives of the Underwriters (the “</w:t>
      </w:r>
      <w:r>
        <w:rPr>
          <w:rFonts w:ascii="Times New Roman" w:cs="Times New Roman" w:eastAsia="Times New Roman" w:hAnsi="Times New Roman"/>
          <w:sz w:val="18"/>
          <w:szCs w:val="18"/>
          <w:b w:val="1"/>
          <w:bCs w:val="1"/>
          <w:color w:val="auto"/>
        </w:rPr>
        <w:t>Representatives</w:t>
      </w:r>
      <w:r>
        <w:rPr>
          <w:rFonts w:ascii="Times New Roman" w:cs="Times New Roman" w:eastAsia="Times New Roman" w:hAnsi="Times New Roman"/>
          <w:sz w:val="18"/>
          <w:szCs w:val="18"/>
          <w:color w:val="auto"/>
        </w:rPr>
        <w:t>”). As used in this Agreement:</w:t>
      </w:r>
    </w:p>
    <w:p>
      <w:pPr>
        <w:spacing w:after="0" w:line="179" w:lineRule="exact"/>
        <w:rPr>
          <w:rFonts w:ascii="Times New Roman" w:cs="Times New Roman" w:eastAsia="Times New Roman" w:hAnsi="Times New Roman"/>
          <w:sz w:val="18"/>
          <w:szCs w:val="18"/>
          <w:color w:val="auto"/>
        </w:rPr>
      </w:pPr>
    </w:p>
    <w:p>
      <w:pPr>
        <w:ind w:left="1504" w:hanging="208"/>
        <w:spacing w:after="0"/>
        <w:tabs>
          <w:tab w:leader="none" w:pos="1504" w:val="left"/>
        </w:tabs>
        <w:numPr>
          <w:ilvl w:val="2"/>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Applicable Time</w:t>
      </w:r>
      <w:r>
        <w:rPr>
          <w:rFonts w:ascii="Times New Roman" w:cs="Times New Roman" w:eastAsia="Times New Roman" w:hAnsi="Times New Roman"/>
          <w:sz w:val="18"/>
          <w:szCs w:val="18"/>
          <w:color w:val="auto"/>
        </w:rPr>
        <w:t>” means 6:20 P.M. (New York City time) September 16, 2020;</w:t>
      </w:r>
    </w:p>
    <w:p>
      <w:pPr>
        <w:spacing w:after="0" w:line="225" w:lineRule="exact"/>
        <w:rPr>
          <w:rFonts w:ascii="Times New Roman" w:cs="Times New Roman" w:eastAsia="Times New Roman" w:hAnsi="Times New Roman"/>
          <w:sz w:val="18"/>
          <w:szCs w:val="18"/>
          <w:color w:val="auto"/>
        </w:rPr>
      </w:pPr>
    </w:p>
    <w:p>
      <w:pPr>
        <w:ind w:left="644" w:firstLine="652"/>
        <w:spacing w:after="0" w:line="286" w:lineRule="auto"/>
        <w:tabs>
          <w:tab w:leader="none" w:pos="1570" w:val="left"/>
        </w:tabs>
        <w:numPr>
          <w:ilvl w:val="2"/>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means the date and time as of which such registration statement became effective, as defined in Section 158(c) under the Securities Act;</w:t>
      </w:r>
    </w:p>
    <w:p>
      <w:pPr>
        <w:spacing w:after="0" w:line="154" w:lineRule="exact"/>
        <w:rPr>
          <w:rFonts w:ascii="Times New Roman" w:cs="Times New Roman" w:eastAsia="Times New Roman" w:hAnsi="Times New Roman"/>
          <w:sz w:val="18"/>
          <w:szCs w:val="18"/>
          <w:color w:val="auto"/>
        </w:rPr>
      </w:pPr>
    </w:p>
    <w:p>
      <w:pPr>
        <w:ind w:left="1604" w:hanging="308"/>
        <w:spacing w:after="0"/>
        <w:tabs>
          <w:tab w:leader="none" w:pos="1604" w:val="left"/>
        </w:tabs>
        <w:numPr>
          <w:ilvl w:val="2"/>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Issuer Free Writing Prospectus</w:t>
      </w:r>
      <w:r>
        <w:rPr>
          <w:rFonts w:ascii="Times New Roman" w:cs="Times New Roman" w:eastAsia="Times New Roman" w:hAnsi="Times New Roman"/>
          <w:sz w:val="18"/>
          <w:szCs w:val="18"/>
          <w:color w:val="auto"/>
        </w:rPr>
        <w:t>” means each “issuer free writing prospectus” (as defined in Rule 433 under the Securities</w:t>
      </w:r>
    </w:p>
    <w:p>
      <w:pPr>
        <w:spacing w:after="0" w:line="31" w:lineRule="exact"/>
        <w:rPr>
          <w:rFonts w:ascii="Times New Roman" w:cs="Times New Roman" w:eastAsia="Times New Roman" w:hAnsi="Times New Roman"/>
          <w:sz w:val="18"/>
          <w:szCs w:val="18"/>
          <w:color w:val="auto"/>
        </w:rPr>
      </w:pPr>
    </w:p>
    <w:p>
      <w:pPr>
        <w:ind w:left="6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w:t>
      </w:r>
    </w:p>
    <w:p>
      <w:pPr>
        <w:spacing w:after="0" w:line="202" w:lineRule="exact"/>
        <w:rPr>
          <w:rFonts w:ascii="Times New Roman" w:cs="Times New Roman" w:eastAsia="Times New Roman" w:hAnsi="Times New Roman"/>
          <w:sz w:val="18"/>
          <w:szCs w:val="18"/>
          <w:color w:val="auto"/>
        </w:rPr>
      </w:pPr>
    </w:p>
    <w:p>
      <w:pPr>
        <w:ind w:left="644" w:firstLine="652"/>
        <w:spacing w:after="0" w:line="286" w:lineRule="auto"/>
        <w:tabs>
          <w:tab w:leader="none" w:pos="1597" w:val="left"/>
        </w:tabs>
        <w:numPr>
          <w:ilvl w:val="2"/>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Preliminary Prospectus</w:t>
      </w:r>
      <w:r>
        <w:rPr>
          <w:rFonts w:ascii="Times New Roman" w:cs="Times New Roman" w:eastAsia="Times New Roman" w:hAnsi="Times New Roman"/>
          <w:sz w:val="18"/>
          <w:szCs w:val="18"/>
          <w:color w:val="auto"/>
        </w:rPr>
        <w:t>” means any preliminary prospectus relating to the Shares included in such registration statement or filed with the Commission pursuant to Rule 424(b) under the Securities Act;</w:t>
      </w:r>
    </w:p>
    <w:p>
      <w:pPr>
        <w:spacing w:after="0" w:line="154" w:lineRule="exact"/>
        <w:rPr>
          <w:rFonts w:ascii="Times New Roman" w:cs="Times New Roman" w:eastAsia="Times New Roman" w:hAnsi="Times New Roman"/>
          <w:sz w:val="18"/>
          <w:szCs w:val="18"/>
          <w:color w:val="auto"/>
        </w:rPr>
      </w:pPr>
    </w:p>
    <w:p>
      <w:pPr>
        <w:jc w:val="both"/>
        <w:ind w:left="644" w:firstLine="652"/>
        <w:spacing w:after="0" w:line="268" w:lineRule="auto"/>
        <w:tabs>
          <w:tab w:leader="none" w:pos="1547" w:val="left"/>
        </w:tabs>
        <w:numPr>
          <w:ilvl w:val="2"/>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Pricing Disclosure Package</w:t>
      </w:r>
      <w:r>
        <w:rPr>
          <w:rFonts w:ascii="Times New Roman" w:cs="Times New Roman" w:eastAsia="Times New Roman" w:hAnsi="Times New Roman"/>
          <w:sz w:val="18"/>
          <w:szCs w:val="18"/>
          <w:color w:val="auto"/>
        </w:rPr>
        <w:t>” means, as of the Applicable Time, the Preliminary Prospectus, together with the information included in Schedule III hereto and each Issuer Free Writing Prospectus filed or used by the Company on or before the Applicable Time, other than a road show that is an Issuer Free Writing Prospectus but is not required to be filed under Rule 433 under the Securities Act;</w:t>
      </w:r>
    </w:p>
    <w:p>
      <w:pPr>
        <w:spacing w:after="0" w:line="170" w:lineRule="exact"/>
        <w:rPr>
          <w:rFonts w:ascii="Times New Roman" w:cs="Times New Roman" w:eastAsia="Times New Roman" w:hAnsi="Times New Roman"/>
          <w:sz w:val="18"/>
          <w:szCs w:val="18"/>
          <w:color w:val="auto"/>
        </w:rPr>
      </w:pPr>
    </w:p>
    <w:p>
      <w:pPr>
        <w:ind w:left="644" w:firstLine="652"/>
        <w:spacing w:after="0" w:line="286" w:lineRule="auto"/>
        <w:tabs>
          <w:tab w:leader="none" w:pos="1597" w:val="left"/>
        </w:tabs>
        <w:numPr>
          <w:ilvl w:val="2"/>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Prospectus</w:t>
      </w:r>
      <w:r>
        <w:rPr>
          <w:rFonts w:ascii="Times New Roman" w:cs="Times New Roman" w:eastAsia="Times New Roman" w:hAnsi="Times New Roman"/>
          <w:sz w:val="18"/>
          <w:szCs w:val="18"/>
          <w:color w:val="auto"/>
        </w:rPr>
        <w:t>” means the final prospectus relating to the Shares, as filed with the Commission pursuant to Rule 424(b) under the Securities Act;</w:t>
      </w:r>
    </w:p>
    <w:p>
      <w:pPr>
        <w:spacing w:after="0" w:line="154" w:lineRule="exact"/>
        <w:rPr>
          <w:rFonts w:ascii="Times New Roman" w:cs="Times New Roman" w:eastAsia="Times New Roman" w:hAnsi="Times New Roman"/>
          <w:sz w:val="18"/>
          <w:szCs w:val="18"/>
          <w:color w:val="auto"/>
        </w:rPr>
      </w:pPr>
    </w:p>
    <w:p>
      <w:pPr>
        <w:jc w:val="both"/>
        <w:ind w:left="644" w:firstLine="652"/>
        <w:spacing w:after="0" w:line="262" w:lineRule="auto"/>
        <w:tabs>
          <w:tab w:leader="none" w:pos="1687" w:val="left"/>
        </w:tabs>
        <w:numPr>
          <w:ilvl w:val="2"/>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means such registration statement, as amended as of the Effective Date, including any Preliminary Prospectus or the Prospectus, all exhibits to such registration statement, the documents incorporated by reference therein and including the information deemed by virtue of Rule 430A under the Securities Act to be part of such registration statement as of the Effective Date;</w:t>
      </w:r>
    </w:p>
    <w:p>
      <w:pPr>
        <w:spacing w:after="0" w:line="176" w:lineRule="exact"/>
        <w:rPr>
          <w:rFonts w:ascii="Times New Roman" w:cs="Times New Roman" w:eastAsia="Times New Roman" w:hAnsi="Times New Roman"/>
          <w:sz w:val="18"/>
          <w:szCs w:val="18"/>
          <w:color w:val="auto"/>
        </w:rPr>
      </w:pPr>
    </w:p>
    <w:p>
      <w:pPr>
        <w:ind w:left="644" w:firstLine="652"/>
        <w:spacing w:after="0" w:line="286" w:lineRule="auto"/>
        <w:tabs>
          <w:tab w:leader="none" w:pos="1697" w:val="left"/>
        </w:tabs>
        <w:numPr>
          <w:ilvl w:val="2"/>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Testing-the-Waters Communication</w:t>
      </w:r>
      <w:r>
        <w:rPr>
          <w:rFonts w:ascii="Times New Roman" w:cs="Times New Roman" w:eastAsia="Times New Roman" w:hAnsi="Times New Roman"/>
          <w:sz w:val="18"/>
          <w:szCs w:val="18"/>
          <w:color w:val="auto"/>
        </w:rPr>
        <w:t>” means any oral or written communication with potential investors undertaken in reliance on Section 5(d) of the Securities Act; and</w:t>
      </w:r>
    </w:p>
    <w:p>
      <w:pPr>
        <w:spacing w:after="0" w:line="154" w:lineRule="exact"/>
        <w:rPr>
          <w:rFonts w:ascii="Times New Roman" w:cs="Times New Roman" w:eastAsia="Times New Roman" w:hAnsi="Times New Roman"/>
          <w:sz w:val="18"/>
          <w:szCs w:val="18"/>
          <w:color w:val="auto"/>
        </w:rPr>
      </w:pPr>
    </w:p>
    <w:p>
      <w:pPr>
        <w:ind w:left="644" w:right="20" w:firstLine="652"/>
        <w:spacing w:after="0" w:line="286" w:lineRule="auto"/>
        <w:tabs>
          <w:tab w:leader="none" w:pos="1664" w:val="left"/>
        </w:tabs>
        <w:numPr>
          <w:ilvl w:val="2"/>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Written Testing-the-Waters Communication</w:t>
      </w:r>
      <w:r>
        <w:rPr>
          <w:rFonts w:ascii="Times New Roman" w:cs="Times New Roman" w:eastAsia="Times New Roman" w:hAnsi="Times New Roman"/>
          <w:sz w:val="18"/>
          <w:szCs w:val="18"/>
          <w:color w:val="auto"/>
        </w:rPr>
        <w:t>” means any Testing-the-Waters Communication that is a written communication within the meaning of Rule 405 under the Securities Act.</w:t>
      </w:r>
    </w:p>
    <w:p>
      <w:pPr>
        <w:spacing w:after="0" w:line="366"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10795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902" w:right="339" w:bottom="1440" w:gutter="0" w:footer="0" w:header="0"/>
        </w:sectPr>
      </w:pPr>
    </w:p>
    <w:bookmarkStart w:id="6" w:name="page7"/>
    <w:bookmarkEnd w:id="6"/>
    <w:p>
      <w:pPr>
        <w:jc w:val="both"/>
        <w:spacing w:after="0" w:line="253" w:lineRule="auto"/>
        <w:rPr>
          <w:sz w:val="20"/>
          <w:szCs w:val="20"/>
          <w:color w:val="auto"/>
        </w:rPr>
      </w:pPr>
      <w:r>
        <w:rPr>
          <w:rFonts w:ascii="Times New Roman" w:cs="Times New Roman" w:eastAsia="Times New Roman" w:hAnsi="Times New Roman"/>
          <w:sz w:val="18"/>
          <w:szCs w:val="18"/>
          <w:color w:val="auto"/>
        </w:rPr>
        <w:t>Any reference to any Preliminary Prospectus or the Prospectus shall be deemed to refer to and include any documents incorporated by reference therein pursuant to Form F-3 under the Securities Act as of the date of the Preliminary Prospectus or the Prospectus, as the case may be. Any reference to the amendment or supplement to any Preliminary Prospectus or the Prospectus shall be deemed to refer to and include any document filed under the Securities Exchange Act of 1934, as amended (the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after the date of the Preliminary Prospectus or the Prospectus, as the case may be, and before the date of such amendment or supplement and incorporated by reference in the Preliminary Prospectus or the Prospectus, as the case may be; and any reference to any amendment to the Registration Statement shall be deemed to include any document filed with the Commission pursuant to Section 13(a) or 15(d) of the Exchange Act after the Effective Date and before the date of such amendment that is incorporated by reference in the Registration Statement. The Commission has not issued any order preventing or suspending the use of any Preliminary Prospectus or the Prospectus or suspending the effectiveness of the Registration Statement, and no proceeding or examination for such purpose has been instituted or threatened by the Commission. The Commission has not notified the Company of any objection to the use of the form of the Registration Statement or any post-effective amendment thereto.</w:t>
      </w:r>
    </w:p>
    <w:p>
      <w:pPr>
        <w:spacing w:after="0" w:line="192" w:lineRule="exact"/>
        <w:rPr>
          <w:sz w:val="20"/>
          <w:szCs w:val="20"/>
          <w:color w:val="auto"/>
        </w:rPr>
      </w:pPr>
    </w:p>
    <w:p>
      <w:pPr>
        <w:ind w:firstLine="644"/>
        <w:spacing w:after="0" w:line="282" w:lineRule="auto"/>
        <w:tabs>
          <w:tab w:leader="none" w:pos="932"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 has not engaged in any Testing-the-Waters Communication and (ii) has not authorized anyone other than the Representatives to engage in Testing-the-Waters Communications.</w:t>
      </w:r>
    </w:p>
    <w:p>
      <w:pPr>
        <w:spacing w:after="0" w:line="161" w:lineRule="exact"/>
        <w:rPr>
          <w:rFonts w:ascii="Times New Roman" w:cs="Times New Roman" w:eastAsia="Times New Roman" w:hAnsi="Times New Roman"/>
          <w:sz w:val="18"/>
          <w:szCs w:val="18"/>
          <w:color w:val="auto"/>
        </w:rPr>
      </w:pPr>
    </w:p>
    <w:p>
      <w:pPr>
        <w:jc w:val="both"/>
        <w:ind w:firstLine="644"/>
        <w:spacing w:after="0" w:line="261" w:lineRule="auto"/>
        <w:tabs>
          <w:tab w:leader="none" w:pos="893"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was not at the time of initial filing of the Registration Statement and at the earliest time thereafter that the Company or another offering participant made a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offer (within the meaning of Rule 164(h)(2) under the Securities Act) of the Shares and is not on the date hereof and will not be on the applicable Delivery Date (as defined in Section 5 below), an “ineligible issuer” (as defined in Rule 405 under the Securities Act).</w:t>
      </w:r>
    </w:p>
    <w:p>
      <w:pPr>
        <w:spacing w:after="0" w:line="179" w:lineRule="exact"/>
        <w:rPr>
          <w:rFonts w:ascii="Times New Roman" w:cs="Times New Roman" w:eastAsia="Times New Roman" w:hAnsi="Times New Roman"/>
          <w:sz w:val="18"/>
          <w:szCs w:val="18"/>
          <w:color w:val="auto"/>
        </w:rPr>
      </w:pPr>
    </w:p>
    <w:p>
      <w:pPr>
        <w:jc w:val="both"/>
        <w:ind w:firstLine="644"/>
        <w:spacing w:after="0" w:line="254" w:lineRule="auto"/>
        <w:tabs>
          <w:tab w:leader="none" w:pos="90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Statement conformed and will conform in all material respects on the Effective Date and on the applicable Delivery Date, and any amendment to the Registration Statement filed after the date hereof will conform in all material respects when filed, to the requirements of the Securities Act and the rules and regulations thereunder. The Preliminary Prospectus conformed, and the Prospectus will conform, in all material respects when filed with the Commission pursuant to Rule 424(b) under the Securities Act and on the applicable Delivery Date to the requirements of the Securities Act and the rules and regulations thereunder. The documents incorporated by reference in any Preliminary Prospectus or the Prospectus conformed, and any further documents so incorporated will conform, when filed with the Commission, in all material respects to the requirements of the Exchange Act or the Securities Act, as applicable, and the rules and regulations of the Commission thereunder.</w:t>
      </w:r>
    </w:p>
    <w:p>
      <w:pPr>
        <w:spacing w:after="0" w:line="191" w:lineRule="exact"/>
        <w:rPr>
          <w:rFonts w:ascii="Times New Roman" w:cs="Times New Roman" w:eastAsia="Times New Roman" w:hAnsi="Times New Roman"/>
          <w:sz w:val="18"/>
          <w:szCs w:val="18"/>
          <w:color w:val="auto"/>
        </w:rPr>
      </w:pPr>
    </w:p>
    <w:p>
      <w:pPr>
        <w:jc w:val="both"/>
        <w:ind w:firstLine="644"/>
        <w:spacing w:after="0" w:line="258" w:lineRule="auto"/>
        <w:tabs>
          <w:tab w:leader="none" w:pos="896"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Registration Statement did not, as of the Effective Date, contain an untrue statement of a material fact or omit to state a material fact required to be stated therein or necessary to make the statements therein not misleading;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representation or warranty is made as to information contained in or omitted from the Registration Statement in reliance upon and in conformity with written information furnished to the Company through the Representatives by or on behalf of any Underwriter specifically for inclusion therein, which information is specified in Section 10(f).</w:t>
      </w:r>
    </w:p>
    <w:p>
      <w:pPr>
        <w:spacing w:after="0" w:line="390"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10795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7" w:name="page8"/>
    <w:bookmarkEnd w:id="7"/>
    <w:p>
      <w:pPr>
        <w:jc w:val="both"/>
        <w:ind w:left="-460" w:firstLine="644"/>
        <w:spacing w:after="0" w:line="258" w:lineRule="auto"/>
        <w:tabs>
          <w:tab w:leader="none" w:pos="41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Prospectus will not, as of its date or as of the applicable Delivery Date, contain an untrue statement of a material fact or omit to state a material fact necessary to make the statements therein, in the light of the circumstances under which they were made, not misleading;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representation or warranty is made as to information contained in or omitted from the Prospectus in reliance upon and in conformity with written information furnished to the Company through the Representatives by or on behalf of any Underwriter specifically for inclusion therein, which information is specified in Section 10(f).</w:t>
      </w:r>
    </w:p>
    <w:p>
      <w:pPr>
        <w:spacing w:after="0" w:line="183" w:lineRule="exact"/>
        <w:rPr>
          <w:rFonts w:ascii="Times New Roman" w:cs="Times New Roman" w:eastAsia="Times New Roman" w:hAnsi="Times New Roman"/>
          <w:sz w:val="18"/>
          <w:szCs w:val="18"/>
          <w:color w:val="auto"/>
        </w:rPr>
      </w:pPr>
    </w:p>
    <w:p>
      <w:pPr>
        <w:jc w:val="both"/>
        <w:ind w:left="-460" w:firstLine="644"/>
        <w:spacing w:after="0" w:line="266" w:lineRule="auto"/>
        <w:tabs>
          <w:tab w:leader="none" w:pos="452"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documents incorporated by reference in any Preliminary Prospectus or the Prospectus did not, and any further documents filed and incorporated by reference therein will not, when filed with the Commission, contain an untrue statement of a material fact or omit to state a material fact necessary to make the statements therein, in the light of the circumstances under which they were made, not misleading.</w:t>
      </w:r>
    </w:p>
    <w:p>
      <w:pPr>
        <w:spacing w:after="0" w:line="175" w:lineRule="exact"/>
        <w:rPr>
          <w:rFonts w:ascii="Times New Roman" w:cs="Times New Roman" w:eastAsia="Times New Roman" w:hAnsi="Times New Roman"/>
          <w:sz w:val="18"/>
          <w:szCs w:val="18"/>
          <w:color w:val="auto"/>
        </w:rPr>
      </w:pPr>
    </w:p>
    <w:p>
      <w:pPr>
        <w:jc w:val="both"/>
        <w:ind w:left="-460" w:firstLine="644"/>
        <w:spacing w:after="0" w:line="258" w:lineRule="auto"/>
        <w:tabs>
          <w:tab w:leader="none" w:pos="451"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Pricing Disclosure Package did not, as of the Applicable Time, contain an untrue statement of a material fact or omit to state a material fact necessary to make the statements therein, in the light of the circumstances under which they were made, not misleading;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representation or warranty is made as to information contained in or omitted from the Pricing Disclosure Package in reliance upon and in conformity with written information furnished to the Company through the Representatives by or on behalf of any Underwriter specifically for inclusion therein, which information is specified in Section 10(f).</w:t>
      </w:r>
    </w:p>
    <w:p>
      <w:pPr>
        <w:spacing w:after="0" w:line="183" w:lineRule="exact"/>
        <w:rPr>
          <w:rFonts w:ascii="Times New Roman" w:cs="Times New Roman" w:eastAsia="Times New Roman" w:hAnsi="Times New Roman"/>
          <w:sz w:val="18"/>
          <w:szCs w:val="18"/>
          <w:color w:val="auto"/>
        </w:rPr>
      </w:pPr>
    </w:p>
    <w:p>
      <w:pPr>
        <w:jc w:val="both"/>
        <w:ind w:left="-460" w:firstLine="644"/>
        <w:spacing w:after="0" w:line="256" w:lineRule="auto"/>
        <w:tabs>
          <w:tab w:leader="none" w:pos="40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Issuer Free Writing Prospectus listed in Schedule IV hereto, when taken together with the Pricing Disclosure Package, did not, as of the Applicable Time, contain an untrue statement of a material fact or omit to state a material fact necessary to make the statements therein, in the light of the circumstances under which they were made, not misleading;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representation or warranty is made as to information contained in or omitted from such Issuer Free Writing Prospectus listed in Schedule IV hereto in reliance upon and in conformity with written information furnished to the Company through the Representatives by or on behalf of any Underwriter specifically for inclusion therein, which information is specified in Section 10(f).</w:t>
      </w:r>
    </w:p>
    <w:p>
      <w:pPr>
        <w:spacing w:after="0" w:line="187" w:lineRule="exact"/>
        <w:rPr>
          <w:rFonts w:ascii="Times New Roman" w:cs="Times New Roman" w:eastAsia="Times New Roman" w:hAnsi="Times New Roman"/>
          <w:sz w:val="18"/>
          <w:szCs w:val="18"/>
          <w:color w:val="auto"/>
        </w:rPr>
      </w:pPr>
    </w:p>
    <w:p>
      <w:pPr>
        <w:ind w:left="400" w:hanging="216"/>
        <w:spacing w:after="0"/>
        <w:tabs>
          <w:tab w:leader="none" w:pos="4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jc w:val="both"/>
        <w:ind w:left="-460" w:firstLine="644"/>
        <w:spacing w:after="0" w:line="256" w:lineRule="auto"/>
        <w:tabs>
          <w:tab w:leader="none" w:pos="449"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Issuer Free Writing Prospectus conformed or will conform in all material respects to the requirements of the Securities Act and the rules and regulations thereunder on the date of first use, and the Company has complied with all prospectus delivery and any filing requirements applicable to such Issuer Free Writing Prospectus pursuant to the Securities Act and rules and regulations thereunder. The Company has not made any offer relating to the Shares that would constitute an Issuer Free Writing Prospectus without the prior written consent of the Representatives. The Company has retained in accordance with the Securities Act and the rules and regulations thereunder all Issuer Free Writing Prospectuses that were not required to be filed pursuant to the Securities Act and the rules and regulations thereunder.</w:t>
      </w:r>
    </w:p>
    <w:p>
      <w:pPr>
        <w:spacing w:after="0" w:line="394"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10795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8" w:name="page9"/>
    <w:bookmarkEnd w:id="8"/>
    <w:p>
      <w:pPr>
        <w:jc w:val="both"/>
        <w:ind w:left="-460" w:firstLine="644"/>
        <w:spacing w:after="0" w:line="252" w:lineRule="auto"/>
        <w:tabs>
          <w:tab w:leader="none" w:pos="40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each of its subsidiaries have been duly organized, are validly existing and, to the extent such concept is applicable, in good standing as a corporation or other business entity, under the laws of its jurisdiction of organization and is duly qualified to do business and in good standing as a foreign corporation or other business entity in each jurisdiction in which its ownership or lease of property or the conduct of its businesses requires such qualification, except where the failure to be so qualified or in good standing could not, in the aggregate, reasonably be expected to have a material adverse effect on the condition (financial or otherwise), results of operations, shareholders’ equity, properties, business or prospects of the Company and its subsidiaries taken as a whole (a “</w:t>
      </w:r>
      <w:r>
        <w:rPr>
          <w:rFonts w:ascii="Times New Roman" w:cs="Times New Roman" w:eastAsia="Times New Roman" w:hAnsi="Times New Roman"/>
          <w:sz w:val="18"/>
          <w:szCs w:val="18"/>
          <w:b w:val="1"/>
          <w:bCs w:val="1"/>
          <w:color w:val="auto"/>
        </w:rPr>
        <w:t>Material Adverse Effect</w:t>
      </w:r>
      <w:r>
        <w:rPr>
          <w:rFonts w:ascii="Times New Roman" w:cs="Times New Roman" w:eastAsia="Times New Roman" w:hAnsi="Times New Roman"/>
          <w:sz w:val="18"/>
          <w:szCs w:val="18"/>
          <w:color w:val="auto"/>
        </w:rPr>
        <w:t>”). The Company and each of its subsidiaries have all power and authority necessary to own or hold their properties and to conduct the businesses in which they are engaged. The Company does not own or control, directly or indirectly, any corporation, association or other entity other than the subsidiaries listed in Exhibit 8.1 to the Company’s Annual Report on Form 20-F for the year ended December 31, 2019. None of the subsidiaries of the Company (other than Kornit Digital Technologies Ltd., Kornit Digital Europe GmbH, Kornit Digital North America Inc., Kornit Digital Asia Pacific Limited, Kornit Digital UK Ltd. and Kornit Digital Japan KK) is a “significant subsidiary” (as defined in Rule 405 under the Securities Act). The Company and its sole Israeli subsidiary, Kornit Digital Technologies Ltd., are not currently designated as a “breaching company” (within the meaning of the Israeli Companies Law, 5759-1999 (the “</w:t>
      </w:r>
      <w:r>
        <w:rPr>
          <w:rFonts w:ascii="Times New Roman" w:cs="Times New Roman" w:eastAsia="Times New Roman" w:hAnsi="Times New Roman"/>
          <w:sz w:val="18"/>
          <w:szCs w:val="18"/>
          <w:b w:val="1"/>
          <w:bCs w:val="1"/>
          <w:color w:val="auto"/>
        </w:rPr>
        <w:t>Companies Law</w:t>
      </w:r>
      <w:r>
        <w:rPr>
          <w:rFonts w:ascii="Times New Roman" w:cs="Times New Roman" w:eastAsia="Times New Roman" w:hAnsi="Times New Roman"/>
          <w:sz w:val="18"/>
          <w:szCs w:val="18"/>
          <w:color w:val="auto"/>
        </w:rPr>
        <w:t>”) by the Registrar of Companies of the State of Israel, nor has a proceeding been instituted by the Registrar of Companies in Israel for the dissolution of the Company or Kornit Digital Technologies Ltd.</w:t>
      </w:r>
    </w:p>
    <w:p>
      <w:pPr>
        <w:spacing w:after="0" w:line="197" w:lineRule="exact"/>
        <w:rPr>
          <w:rFonts w:ascii="Times New Roman" w:cs="Times New Roman" w:eastAsia="Times New Roman" w:hAnsi="Times New Roman"/>
          <w:sz w:val="18"/>
          <w:szCs w:val="18"/>
          <w:color w:val="auto"/>
        </w:rPr>
      </w:pPr>
    </w:p>
    <w:p>
      <w:pPr>
        <w:jc w:val="both"/>
        <w:ind w:left="-460" w:firstLine="644"/>
        <w:spacing w:after="0" w:line="253" w:lineRule="auto"/>
        <w:tabs>
          <w:tab w:leader="none" w:pos="502"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an authorized capitalization as set forth in each of the Preliminary Prospectus and the Prospectus, and all of the issued share capital of the Company (including, the Shares to be sold by the Selling Shareholder) has been duly authorized and validly issued, is fully paid and non-assessable, conforms to the description thereof contained in the Preliminary Prospectus and was issued in compliance with Israeli securities laws and, to the extent applicable, other foreign and U.S. federal and state securities laws and not in violation of any preemptive right, resale right, right of first refusal or similar right; provided however, that with respect to the Shares to be sold by the Selling Shareholder, this representation is made solely as of the Initial Delivery Date. All of the Company’s options, warrants and other rights to purchase or exchange any securities for shares of the Company have been duly authorized and validly issued, conform to the description thereof contained in the Preliminary Prospectus and were issued in compliance with Israeli securities laws and, to the extent applicable, other foreign or U.S. federal and state securities laws. All of the issued share capital or other ownership interest of each subsidiary of the Company have been duly authorized and validly issued, are fully paid and non-assessable and are owned directly or indirectly by the Company, free and clear of all liens, encumbrances, equities or claims, except for such liens, encumbrances, equities or claims as could not, individually or in the aggregate, reasonably be expected to have a Material Adverse Effect.</w:t>
      </w:r>
    </w:p>
    <w:p>
      <w:pPr>
        <w:spacing w:after="0" w:line="189" w:lineRule="exact"/>
        <w:rPr>
          <w:rFonts w:ascii="Times New Roman" w:cs="Times New Roman" w:eastAsia="Times New Roman" w:hAnsi="Times New Roman"/>
          <w:sz w:val="18"/>
          <w:szCs w:val="18"/>
          <w:color w:val="auto"/>
        </w:rPr>
      </w:pPr>
    </w:p>
    <w:p>
      <w:pPr>
        <w:jc w:val="both"/>
        <w:ind w:left="-460" w:firstLine="644"/>
        <w:spacing w:after="0" w:line="261" w:lineRule="auto"/>
        <w:tabs>
          <w:tab w:leader="none" w:pos="45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to be issued and sold by the Company to the Underwriters hereunder have been duly authorized and, upon payment and delivery in accordance with this Agreement, will be validly issued, fully paid and non-assessable, will conform in all material respects to the description thereof contained in the Preliminary Prospectus, will be issued in compliance with federal and state securities laws and will be free of statutory and contractual preemptive rights, rights of first refusal and similar rights.</w:t>
      </w:r>
    </w:p>
    <w:p>
      <w:pPr>
        <w:spacing w:after="0" w:line="387"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10795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9" w:name="page10"/>
    <w:bookmarkEnd w:id="9"/>
    <w:p>
      <w:pPr>
        <w:jc w:val="both"/>
        <w:ind w:left="4" w:firstLine="644"/>
        <w:spacing w:after="0" w:line="254" w:lineRule="auto"/>
        <w:tabs>
          <w:tab w:leader="none" w:pos="91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grants and issuances of the Company’s shares to its, or its subsidiaries’, employees were made pursuant to an employee benefit plan, qualified share option plan or other equity compensation plan. With respect to any share options or other equity incentive awards granted (collectively, the “</w:t>
      </w:r>
      <w:r>
        <w:rPr>
          <w:rFonts w:ascii="Times New Roman" w:cs="Times New Roman" w:eastAsia="Times New Roman" w:hAnsi="Times New Roman"/>
          <w:sz w:val="18"/>
          <w:szCs w:val="18"/>
          <w:b w:val="1"/>
          <w:bCs w:val="1"/>
          <w:color w:val="auto"/>
        </w:rPr>
        <w:t>Share Options</w:t>
      </w:r>
      <w:r>
        <w:rPr>
          <w:rFonts w:ascii="Times New Roman" w:cs="Times New Roman" w:eastAsia="Times New Roman" w:hAnsi="Times New Roman"/>
          <w:sz w:val="18"/>
          <w:szCs w:val="18"/>
          <w:color w:val="auto"/>
        </w:rPr>
        <w:t>”) (i) each Share Option purported to be issued under Section 102 of the Israel Tax Ordinance qualifies for treatment under that section and for treatment under the capital gains track, (ii) each Share Option intended to qualify as an “incentive stock option” under Section 422 of the Internal Revenue Code of 1986, as amended (the “</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so qualifies in all material respects, and (iii) each grant of a Share Option was duly authorized no later than the date on which the grant of such Share Option was by its terms to be effective by all necessary corporate action, in each case, in all material respects, including, as applicable, approval by the board of directors of the Company (or a duly constituted and authorized committee thereof) and any required shareholder approval by the necessary number of votes or written consents, and the award agreement governing such grant (if any) was duly executed and delivered by each party thereto.</w:t>
      </w:r>
    </w:p>
    <w:p>
      <w:pPr>
        <w:spacing w:after="0" w:line="188" w:lineRule="exact"/>
        <w:rPr>
          <w:rFonts w:ascii="Times New Roman" w:cs="Times New Roman" w:eastAsia="Times New Roman" w:hAnsi="Times New Roman"/>
          <w:sz w:val="18"/>
          <w:szCs w:val="18"/>
          <w:color w:val="auto"/>
        </w:rPr>
      </w:pPr>
    </w:p>
    <w:p>
      <w:pPr>
        <w:ind w:left="4" w:firstLine="644"/>
        <w:spacing w:after="0" w:line="282" w:lineRule="auto"/>
        <w:tabs>
          <w:tab w:leader="none" w:pos="917"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all requisite corporate power and authority and obtained all requisite corporate approvals to execute, deliver and perform its obligations under this Agreement. This Agreement has been duly and validly authorized, executed and delivered by the Company.</w:t>
      </w:r>
    </w:p>
    <w:p>
      <w:pPr>
        <w:spacing w:after="0" w:line="161" w:lineRule="exact"/>
        <w:rPr>
          <w:rFonts w:ascii="Times New Roman" w:cs="Times New Roman" w:eastAsia="Times New Roman" w:hAnsi="Times New Roman"/>
          <w:sz w:val="18"/>
          <w:szCs w:val="18"/>
          <w:color w:val="auto"/>
        </w:rPr>
      </w:pPr>
    </w:p>
    <w:p>
      <w:pPr>
        <w:jc w:val="both"/>
        <w:ind w:left="4" w:firstLine="644"/>
        <w:spacing w:after="0" w:line="252" w:lineRule="auto"/>
        <w:tabs>
          <w:tab w:leader="none" w:pos="914"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 and sale of the Shares, the execution, delivery and performance of this Agreement by the Company, the consummation of the transactions contemplated hereby and the application of the proceeds from the sale of the Shares as described under “Use of Proceeds” in the Preliminary Prospectus will not (i) conflict with or result in a breach or violation of any of the terms or provisions of, impose any lien, charge or encumbrance upon any property or assets of the Company and its subsidiaries, or constitute a default under, any indenture, mortgage, deed of trust, loan agreement, license, lease or other agreement or instrument to which the Company or any of its subsidiaries is a party or by which the Company or any of its subsidiaries is bound or to which any of the property or assets of the Company or any of its subsidiaries is subject; (ii) result in any violation of the provisions of the articles of association, charter or by-laws (or similar organizational documents) of the Company or any of its subsidiaries; or (iii) result in any violation of any statute or any judgment, order, decree, rule or regulation of any court or governmental agency or body having jurisdiction over the Company or any of its subsidiaries or any of their properties or assets, except, for purposes of clauses</w:t>
      </w:r>
    </w:p>
    <w:p>
      <w:pPr>
        <w:spacing w:after="0" w:line="6" w:lineRule="exact"/>
        <w:rPr>
          <w:rFonts w:ascii="Times New Roman" w:cs="Times New Roman" w:eastAsia="Times New Roman" w:hAnsi="Times New Roman"/>
          <w:sz w:val="18"/>
          <w:szCs w:val="18"/>
          <w:color w:val="auto"/>
        </w:rPr>
      </w:pPr>
    </w:p>
    <w:p>
      <w:pPr>
        <w:jc w:val="both"/>
        <w:ind w:left="4" w:hanging="4"/>
        <w:spacing w:after="0" w:line="255" w:lineRule="auto"/>
        <w:tabs>
          <w:tab w:leader="none" w:pos="24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(iii) above, any such conflict, breach, violation, default, lien, charge or encumbrance that would not, individually or in the aggregate, reasonably be expected to have a Material Adverse Effect and could not, individually or in the aggregate, reasonably be expected to have a material adverse effect on the Underwriters’ ability to consummate the transactions contemplated hereby.</w:t>
      </w:r>
    </w:p>
    <w:p>
      <w:pPr>
        <w:spacing w:after="0" w:line="393"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10795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10" w:name="page11"/>
    <w:bookmarkEnd w:id="10"/>
    <w:p>
      <w:pPr>
        <w:jc w:val="both"/>
        <w:ind w:left="-460" w:firstLine="644"/>
        <w:spacing w:after="0" w:line="254" w:lineRule="auto"/>
        <w:tabs>
          <w:tab w:leader="none" w:pos="44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(i) has any outstanding obligations to the National Authority of Technological Innovation (formerly the Office of the Chief Scientist) of the Ministry of Economy and Industry of the State of Israel (“</w:t>
      </w:r>
      <w:r>
        <w:rPr>
          <w:rFonts w:ascii="Times New Roman" w:cs="Times New Roman" w:eastAsia="Times New Roman" w:hAnsi="Times New Roman"/>
          <w:sz w:val="18"/>
          <w:szCs w:val="18"/>
          <w:b w:val="1"/>
          <w:bCs w:val="1"/>
          <w:color w:val="auto"/>
        </w:rPr>
        <w:t>NATI</w:t>
      </w:r>
      <w:r>
        <w:rPr>
          <w:rFonts w:ascii="Times New Roman" w:cs="Times New Roman" w:eastAsia="Times New Roman" w:hAnsi="Times New Roman"/>
          <w:sz w:val="18"/>
          <w:szCs w:val="18"/>
          <w:color w:val="auto"/>
        </w:rPr>
        <w:t>”) except as set forth in each of the Preliminary Prospectus and Prospectus nor (ii) is in violation with respect to any instrument of approval granted to it by the Investment Center of the Ministry of Economy of the State of Israel (the “</w:t>
      </w:r>
      <w:r>
        <w:rPr>
          <w:rFonts w:ascii="Times New Roman" w:cs="Times New Roman" w:eastAsia="Times New Roman" w:hAnsi="Times New Roman"/>
          <w:sz w:val="18"/>
          <w:szCs w:val="18"/>
          <w:b w:val="1"/>
          <w:bCs w:val="1"/>
          <w:color w:val="auto"/>
        </w:rPr>
        <w:t>Investment Center</w:t>
      </w:r>
      <w:r>
        <w:rPr>
          <w:rFonts w:ascii="Times New Roman" w:cs="Times New Roman" w:eastAsia="Times New Roman" w:hAnsi="Times New Roman"/>
          <w:sz w:val="18"/>
          <w:szCs w:val="18"/>
          <w:color w:val="auto"/>
        </w:rPr>
        <w:t>”) or by NATI. Neither the Company nor any of its subsidiaries has received from the Investment Center or other Israeli governmental or regulatory authority any notice denying, revoking or adversely modifying any “approved enterprise” or “benefited enterprise” or “preferred enterprise” “preferred technology enterprise” or “special preferred technology enterprise” status or benefits with respect to any of the Company’s or its Israeli subsidiaries’ facilities or operations (including, in all such cases, notice of proceedings or investigations related thereto).</w:t>
      </w:r>
    </w:p>
    <w:p>
      <w:pPr>
        <w:spacing w:after="0" w:line="191" w:lineRule="exact"/>
        <w:rPr>
          <w:rFonts w:ascii="Times New Roman" w:cs="Times New Roman" w:eastAsia="Times New Roman" w:hAnsi="Times New Roman"/>
          <w:sz w:val="18"/>
          <w:szCs w:val="18"/>
          <w:color w:val="auto"/>
        </w:rPr>
      </w:pPr>
    </w:p>
    <w:p>
      <w:pPr>
        <w:jc w:val="both"/>
        <w:ind w:left="-460" w:firstLine="644"/>
        <w:spacing w:after="0" w:line="254" w:lineRule="auto"/>
        <w:tabs>
          <w:tab w:leader="none" w:pos="426"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consent, approval, authorization or order of, or filing, registration or qualification with, any court or governmental agency or body having jurisdiction over the Company or any of its subsidiaries or any of their properties or assets is required for the issue and sale of the Shares, the execution, delivery and performance of this Agreement by the Company, the consummation of the transactions contemplated hereby, the application of the proceeds from the sale of the Shares as described under “Use of Proceeds” in the Preliminary Prospectus, except for (i) the registration of the Shares under the Securities Act; (ii) such consents, approvals, authorizations, orders, filings, registrations or qualifications as may be required under the Exchange Act, and applicable state or foreign securities laws and/or the bylaws and rules of the Financial Industry Regulatory Authority (the “</w:t>
      </w:r>
      <w:r>
        <w:rPr>
          <w:rFonts w:ascii="Times New Roman" w:cs="Times New Roman" w:eastAsia="Times New Roman" w:hAnsi="Times New Roman"/>
          <w:sz w:val="18"/>
          <w:szCs w:val="18"/>
          <w:b w:val="1"/>
          <w:bCs w:val="1"/>
          <w:color w:val="auto"/>
        </w:rPr>
        <w:t>FINRA</w:t>
      </w:r>
      <w:r>
        <w:rPr>
          <w:rFonts w:ascii="Times New Roman" w:cs="Times New Roman" w:eastAsia="Times New Roman" w:hAnsi="Times New Roman"/>
          <w:sz w:val="18"/>
          <w:szCs w:val="18"/>
          <w:color w:val="auto"/>
        </w:rPr>
        <w:t>”) in connection with the purchase and sale of the Shares by the Underwriters; (iii) the filing of certain information with the Registrar of Companies in the State of Israel, following the Closing, regarding the transfer and issuance of the Shares, as applicable; and (iv) the transaction notification to Nasdaq.</w:t>
      </w:r>
    </w:p>
    <w:p>
      <w:pPr>
        <w:spacing w:after="0" w:line="188" w:lineRule="exact"/>
        <w:rPr>
          <w:rFonts w:ascii="Times New Roman" w:cs="Times New Roman" w:eastAsia="Times New Roman" w:hAnsi="Times New Roman"/>
          <w:sz w:val="18"/>
          <w:szCs w:val="18"/>
          <w:color w:val="auto"/>
        </w:rPr>
      </w:pPr>
    </w:p>
    <w:p>
      <w:pPr>
        <w:jc w:val="both"/>
        <w:ind w:left="-460" w:firstLine="644"/>
        <w:spacing w:after="0" w:line="258" w:lineRule="auto"/>
        <w:tabs>
          <w:tab w:leader="none" w:pos="406"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historical financial statements (including the related notes and supporting schedules) included or incorporated by reference in the Preliminary Prospectus comply as to form in all material respects with the requirements of Regulation S-X under the Securities Act and present fairly in all material respects the financial condition, results of operations and cash flows of the entities purported to be shown thereby at the dates and for the periods indicated and have been prepared in conformity with accounting principles generally accepted in the United States applied on a consistent basis throughout the periods involved.</w:t>
      </w:r>
    </w:p>
    <w:p>
      <w:pPr>
        <w:spacing w:after="0" w:line="183" w:lineRule="exact"/>
        <w:rPr>
          <w:rFonts w:ascii="Times New Roman" w:cs="Times New Roman" w:eastAsia="Times New Roman" w:hAnsi="Times New Roman"/>
          <w:sz w:val="18"/>
          <w:szCs w:val="18"/>
          <w:color w:val="auto"/>
        </w:rPr>
      </w:pPr>
    </w:p>
    <w:p>
      <w:pPr>
        <w:jc w:val="both"/>
        <w:ind w:left="-460" w:firstLine="644"/>
        <w:spacing w:after="0" w:line="261" w:lineRule="auto"/>
        <w:tabs>
          <w:tab w:leader="none" w:pos="45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Kost Forer Gabbay &amp; Kasierer, a member of Ernst &amp; Young Global, who have certified certain financial statements of the Company and its consolidated subsidiaries, whose report appears in the Preliminary Prospectus, or is incorporated therein, and who have delivered the initial letter referred to in Section 9(j) hereof, are independent public accountants as required by the Securities Act and the rules and regulations thereunder.</w:t>
      </w:r>
    </w:p>
    <w:p>
      <w:pPr>
        <w:spacing w:after="0" w:line="387"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10795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11" w:name="page12"/>
    <w:bookmarkEnd w:id="11"/>
    <w:p>
      <w:pPr>
        <w:jc w:val="both"/>
        <w:ind w:left="4" w:firstLine="644"/>
        <w:spacing w:after="0" w:line="254" w:lineRule="auto"/>
        <w:tabs>
          <w:tab w:leader="none" w:pos="917"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each of its subsidiaries maintain a system of internal control over financial reporting (as such term is defined in Rule 13a-15(f) of the Exchange Act) that complies with the requirements of the Exchange Act and that has been designed by, or under the supervision of, the Company’s principal executive and principal financial officers, to provide reasonable assurance regarding the reliability of financial reporting and the preparation of financial statements for external purposes in accordance with generally accepted accounting principles in the United States. The Company and each of its subsidiaries maintain internal accounting controls sufficient to provide reasonable assurance that</w:t>
      </w:r>
    </w:p>
    <w:p>
      <w:pPr>
        <w:spacing w:after="0" w:line="3" w:lineRule="exact"/>
        <w:rPr>
          <w:rFonts w:ascii="Times New Roman" w:cs="Times New Roman" w:eastAsia="Times New Roman" w:hAnsi="Times New Roman"/>
          <w:sz w:val="18"/>
          <w:szCs w:val="18"/>
          <w:color w:val="auto"/>
        </w:rPr>
      </w:pPr>
    </w:p>
    <w:p>
      <w:pPr>
        <w:jc w:val="both"/>
        <w:ind w:left="4" w:hanging="4"/>
        <w:spacing w:after="0" w:line="251" w:lineRule="auto"/>
        <w:tabs>
          <w:tab w:leader="none" w:pos="242"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are executed in accordance with management’s general or specific authorization, (ii) transactions are recorded as necessary to permit preparation of the Company’s financial statements in conformity with accounting principles generally accepted in the United States and to maintain accountability for its assets, (iii) access to the Company’s assets is permitted only in accordance with management’s general or specific authorization, (iv) the recorded accountability for the Company’s assets is compared with existing assets at reasonable intervals and appropriate action is taken with respect to any differences, and (v) the interactive data in eXtensible Business Reporting Language included or incorporated by reference in the Pricing Disclosure Package and the Prospectus fairly present the information called for in all material respects and are prepared in accordance with the Commission's rules and guidelines applicable thereto. As of the date of the most recent balance sheet of the Company and its consolidated subsidiaries reviewed or audited by Kost Forer Gabbay &amp; Kasierer, a member of Ernst &amp; Young Global, and the audit committee of the board of directors of the Company, there were no material weaknesses in the Company’s internal controls.</w:t>
      </w:r>
    </w:p>
    <w:p>
      <w:pPr>
        <w:spacing w:after="0" w:line="193" w:lineRule="exact"/>
        <w:rPr>
          <w:rFonts w:ascii="Times New Roman" w:cs="Times New Roman" w:eastAsia="Times New Roman" w:hAnsi="Times New Roman"/>
          <w:sz w:val="18"/>
          <w:szCs w:val="18"/>
          <w:color w:val="auto"/>
        </w:rPr>
      </w:pPr>
    </w:p>
    <w:p>
      <w:pPr>
        <w:jc w:val="both"/>
        <w:ind w:left="4" w:firstLine="644"/>
        <w:spacing w:after="0" w:line="256" w:lineRule="auto"/>
        <w:tabs>
          <w:tab w:leader="none" w:pos="959"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The Company and its subsidiaries maintain disclosure controls and procedures (as such term is defined in Rule 13a-15(e) under the Exchange Act), (ii) such disclosure controls and procedures are designed to ensure that the information required to be disclosed by the Company in reports that it files or submits under the Exchange Act is accumulated and communicated to management of the Company and its subsidiaries, including their respective principal executive officers and principal financial officers, as appropriate, to allow timely decisions regarding required disclosure to be made, and (iii) such disclosure controls and procedures are effective in all material respects to perform the functions for which they were established.</w:t>
      </w:r>
    </w:p>
    <w:p>
      <w:pPr>
        <w:spacing w:after="0" w:line="187" w:lineRule="exact"/>
        <w:rPr>
          <w:rFonts w:ascii="Times New Roman" w:cs="Times New Roman" w:eastAsia="Times New Roman" w:hAnsi="Times New Roman"/>
          <w:sz w:val="18"/>
          <w:szCs w:val="18"/>
          <w:color w:val="auto"/>
        </w:rPr>
      </w:pPr>
    </w:p>
    <w:p>
      <w:pPr>
        <w:jc w:val="both"/>
        <w:ind w:left="4" w:firstLine="644"/>
        <w:spacing w:after="0" w:line="256" w:lineRule="auto"/>
        <w:tabs>
          <w:tab w:leader="none" w:pos="917"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the date of the most recent balance sheet of the Company and its consolidated subsidiaries reviewed or audited by Kost Forer Gabbay &amp; Kasierer, a member of Ernst &amp; Young Global, (i) the Company has not been advised of or become aware of (A) any material weakness or significant deficiency in internal controls of the Company or its subsidiaries, and (B) any fraud, whether or not material, that involves management or other employees who have a significant role in the internal controls of the Company and each of its subsidiaries; and (ii) there have been no significant adverse changes in internal controls or in other factors that could significantly affect internal controls, including any corrective actions with regard to significant deficiencies and material weaknesses.</w:t>
      </w:r>
    </w:p>
    <w:p>
      <w:pPr>
        <w:spacing w:after="0" w:line="187" w:lineRule="exact"/>
        <w:rPr>
          <w:rFonts w:ascii="Times New Roman" w:cs="Times New Roman" w:eastAsia="Times New Roman" w:hAnsi="Times New Roman"/>
          <w:sz w:val="18"/>
          <w:szCs w:val="18"/>
          <w:color w:val="auto"/>
        </w:rPr>
      </w:pPr>
    </w:p>
    <w:p>
      <w:pPr>
        <w:ind w:left="4" w:firstLine="644"/>
        <w:spacing w:after="0" w:line="312" w:lineRule="auto"/>
        <w:tabs>
          <w:tab w:leader="none" w:pos="904" w:val="left"/>
        </w:tabs>
        <w:numPr>
          <w:ilvl w:val="1"/>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There is and has been no failure on the part of the Company and any of the Company’s directors or officers, in their capacities as such, to comply with any applicable provision of the Sarbanes-Oxley Act of 2002 and the rules and regulations promulgated in connection therewith.</w:t>
      </w:r>
    </w:p>
    <w:p>
      <w:pPr>
        <w:spacing w:after="0" w:line="347"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10795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12" w:name="page13"/>
    <w:bookmarkEnd w:id="12"/>
    <w:p>
      <w:pPr>
        <w:jc w:val="both"/>
        <w:ind w:left="-460" w:firstLine="644"/>
        <w:spacing w:after="0" w:line="253" w:lineRule="auto"/>
        <w:tabs>
          <w:tab w:leader="none" w:pos="44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the date of the latest audited financial statements included or incorporated by reference in the Preliminary Prospectus, neither the Company nor any of its subsidiaries has (i) sustained any loss or interference with its business from fire, explosion, flood or other calamity, whether or not covered by insurance, or from any labor dispute or court or governmental action, order or decree, (ii) issued or granted any securities, except as set forth in the Preliminary Prospectus, (iii) incurred any material liability or obligation, direct or contingent, other than liabilities and obligations that were incurred in the ordinary course of business or otherwise set forth in the Preliminary Prospectus, (iv) entered into any material transaction not in the ordinary course of business, except as set forth in the Preliminary Prospectus or (v) declared or paid any dividend on its share capital, and since such date, there has not been any change in the share capital (other than the issuance of ordinary shares, if any, pursuant to share option plans or other equity compensation plans or arrangements described in the Preliminary Prospectus) or long-term debt of the Company or any of its subsidiaries or any adverse change, or any development involving a prospective adverse change, in or affecting the condition (financial or otherwise), results of operations, shareholders’ equity, properties, management, business or prospects of the Company and its subsidiaries taken as a whole, in each case except as would not, in the aggregate, reasonably be expected to have a Material Adverse Effect.</w:t>
      </w:r>
    </w:p>
    <w:p>
      <w:pPr>
        <w:spacing w:after="0" w:line="192" w:lineRule="exact"/>
        <w:rPr>
          <w:sz w:val="20"/>
          <w:szCs w:val="20"/>
          <w:color w:val="auto"/>
        </w:rPr>
      </w:pPr>
    </w:p>
    <w:p>
      <w:pPr>
        <w:jc w:val="both"/>
        <w:ind w:left="-460" w:firstLine="644"/>
        <w:spacing w:after="0" w:line="256" w:lineRule="auto"/>
        <w:tabs>
          <w:tab w:leader="none" w:pos="51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each of its subsidiaries have good and marketable title in fee simple to all real property and good and marketable title to all personal property owned by them, in each case free and clear of all liens, encumbrances and defects, except such liens, encumbrances and defects as are described in the Preliminary Prospectus or such as do not materially affect the value of such property and do not materially interfere with the use made and proposed to be made of such property by the Company and its subsidiaries. All assets held under lease by the Company and its subsidiaries are held by them under valid, subsisting and enforceable leases, with such exceptions as do not materially interfere with the use made and proposed to be made of such assets by the Company and its subsidiaries.</w:t>
      </w:r>
    </w:p>
    <w:p>
      <w:pPr>
        <w:spacing w:after="0" w:line="187" w:lineRule="exact"/>
        <w:rPr>
          <w:rFonts w:ascii="Times New Roman" w:cs="Times New Roman" w:eastAsia="Times New Roman" w:hAnsi="Times New Roman"/>
          <w:sz w:val="18"/>
          <w:szCs w:val="18"/>
          <w:color w:val="auto"/>
        </w:rPr>
      </w:pPr>
    </w:p>
    <w:p>
      <w:pPr>
        <w:jc w:val="both"/>
        <w:ind w:left="-460" w:firstLine="644"/>
        <w:spacing w:after="0" w:line="254" w:lineRule="auto"/>
        <w:tabs>
          <w:tab w:leader="none" w:pos="532"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each of its subsidiaries have such permits, licenses, patents, franchises, certificates of need and other approvals or authorizations of governmental or regulatory authorities (“</w:t>
      </w:r>
      <w:r>
        <w:rPr>
          <w:rFonts w:ascii="Times New Roman" w:cs="Times New Roman" w:eastAsia="Times New Roman" w:hAnsi="Times New Roman"/>
          <w:sz w:val="18"/>
          <w:szCs w:val="18"/>
          <w:b w:val="1"/>
          <w:bCs w:val="1"/>
          <w:color w:val="auto"/>
        </w:rPr>
        <w:t>Permits</w:t>
      </w:r>
      <w:r>
        <w:rPr>
          <w:rFonts w:ascii="Times New Roman" w:cs="Times New Roman" w:eastAsia="Times New Roman" w:hAnsi="Times New Roman"/>
          <w:sz w:val="18"/>
          <w:szCs w:val="18"/>
          <w:color w:val="auto"/>
        </w:rPr>
        <w:t>”) as are necessary under applicable law to own their properties and conduct their businesses in the manner described in the Preliminary Prospectus, except for any of the foregoing that would not, in the aggregate, reasonably be expected to have a Material Adverse Effect. The Company and each of its subsidiaries have fulfilled and performed all of its obligations with respect to the Permits, and no event has occurred that allows, or after notice or lapse of time would allow, revocation or termination thereof or results in any other impairment of the rights of the holder or any such Permits, except for any of the foregoing that would not reasonably be expected to have a Material Adverse Effect. Neither the Company nor any of its subsidiaries has received notice of any revocation or modification of any such Permits or has any reason to believe that any such Permits will not be renewed in the ordinary course.</w:t>
      </w:r>
    </w:p>
    <w:p>
      <w:pPr>
        <w:spacing w:after="0" w:line="191" w:lineRule="exact"/>
        <w:rPr>
          <w:rFonts w:ascii="Times New Roman" w:cs="Times New Roman" w:eastAsia="Times New Roman" w:hAnsi="Times New Roman"/>
          <w:sz w:val="18"/>
          <w:szCs w:val="18"/>
          <w:color w:val="auto"/>
        </w:rPr>
      </w:pPr>
    </w:p>
    <w:p>
      <w:pPr>
        <w:jc w:val="both"/>
        <w:ind w:left="-460" w:firstLine="644"/>
        <w:spacing w:after="0" w:line="256" w:lineRule="auto"/>
        <w:tabs>
          <w:tab w:leader="none" w:pos="51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reasonably be expected to have a Material Adverse Effect, (i) the Company and each of its subsidiaries owns or possesses adequate rights to use all material patents, patent applications, trademarks, service marks, trade names, trademark registrations, service mark registrations, copyrights, licenses, know-how, software, systems and technology (including trade secrets and other unpatented and/or unpatentable proprietary or confidential information, systems or procedures) necessary for the conduct of their respective businesses and (ii) the Company and each of its subsidiaries has no reason to believe that the conduct of their respective businesses will conflict with, and has not received any notice of any claim of conflict with, any such rights of others.</w:t>
      </w:r>
    </w:p>
    <w:p>
      <w:pPr>
        <w:spacing w:after="0" w:line="394"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10795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13" w:name="page14"/>
    <w:bookmarkEnd w:id="13"/>
    <w:p>
      <w:pPr>
        <w:jc w:val="both"/>
        <w:ind w:left="-460" w:firstLine="644"/>
        <w:spacing w:after="0" w:line="266" w:lineRule="auto"/>
        <w:tabs>
          <w:tab w:leader="none" w:pos="54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individually or in the aggregate, reasonably be expected to result in a Material Adverse Effect, the Company and its subsidiaries (i) have suffered no information security incidents, (ii) have taken commercially reasonable steps to secure their information technology systems and the data thereon, and (iii) have complied with all applicable data protection laws, regulations and contractual obligations.</w:t>
      </w:r>
    </w:p>
    <w:p>
      <w:pPr>
        <w:spacing w:after="0" w:line="175" w:lineRule="exact"/>
        <w:rPr>
          <w:rFonts w:ascii="Times New Roman" w:cs="Times New Roman" w:eastAsia="Times New Roman" w:hAnsi="Times New Roman"/>
          <w:sz w:val="18"/>
          <w:szCs w:val="18"/>
          <w:color w:val="auto"/>
        </w:rPr>
      </w:pPr>
    </w:p>
    <w:p>
      <w:pPr>
        <w:jc w:val="both"/>
        <w:ind w:left="-460" w:firstLine="644"/>
        <w:spacing w:after="0" w:line="258" w:lineRule="auto"/>
        <w:tabs>
          <w:tab w:leader="none" w:pos="517"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legal or governmental proceedings pending to which the Company or any of its subsidiaries is a party or of which any property or assets of the Company or any of its subsidiaries is the subject that could, in the aggregate, reasonably be expected to have a Material Adverse Effect or would, in the aggregate, reasonably be expected to have a material adverse effect on the performance of this Agreement or the consummation of the transactions contemplated hereby; and to the Company’s knowledge, no such proceedings are threatened or contemplated by governmental authorities or others.</w:t>
      </w:r>
    </w:p>
    <w:p>
      <w:pPr>
        <w:spacing w:after="0" w:line="183" w:lineRule="exact"/>
        <w:rPr>
          <w:rFonts w:ascii="Times New Roman" w:cs="Times New Roman" w:eastAsia="Times New Roman" w:hAnsi="Times New Roman"/>
          <w:sz w:val="18"/>
          <w:szCs w:val="18"/>
          <w:color w:val="auto"/>
        </w:rPr>
      </w:pPr>
    </w:p>
    <w:p>
      <w:pPr>
        <w:jc w:val="both"/>
        <w:ind w:left="-460" w:firstLine="644"/>
        <w:spacing w:after="0" w:line="256" w:lineRule="auto"/>
        <w:tabs>
          <w:tab w:leader="none" w:pos="482"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contracts or other documents required to be described in the Registration Statement or the Preliminary Prospectus or filed as exhibits to the Registration Statement, that are not described and filed as required. The statements made in the Preliminary Prospectus, insofar as they purport to constitute summaries of the terms of the contracts and other documents described and filed, constitute accurate summaries of the terms of such contracts and documents in all material respects. Neither the Company nor any of its subsidiaries has knowledge that any other party to any such contract or other document has any intention not to render full performance as contemplated by the terms thereof except as would not, individually or in the aggregate, reasonably be expected to have a Material Adverse Effect.</w:t>
      </w:r>
    </w:p>
    <w:p>
      <w:pPr>
        <w:spacing w:after="0" w:line="187" w:lineRule="exact"/>
        <w:rPr>
          <w:rFonts w:ascii="Times New Roman" w:cs="Times New Roman" w:eastAsia="Times New Roman" w:hAnsi="Times New Roman"/>
          <w:sz w:val="18"/>
          <w:szCs w:val="18"/>
          <w:color w:val="auto"/>
        </w:rPr>
      </w:pPr>
    </w:p>
    <w:p>
      <w:pPr>
        <w:jc w:val="both"/>
        <w:ind w:left="-460" w:firstLine="644"/>
        <w:spacing w:after="0" w:line="255" w:lineRule="auto"/>
        <w:tabs>
          <w:tab w:leader="none" w:pos="542"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statements made, or incorporated by reference, in the Preliminary Prospectus under the captions “Item 4 – Information on the Company – Business Overview”, “Item 6 – Directors, Senior Management and Employees”, “Underwriting”, “Description of Ordinary Shares”, “Item 5 - Operating and Financial Review and Prospects - Taxation and Israeli Government Programs Applicable to our Company”, “U.S. and Israeli Tax Considerations for our Shareholders” and “Enforceability of Civil Liabilities”, insofar as they purport to constitute summaries of the terms of statutes, rules or regulations, legal or governmental proceedings or contracts and other documents described therein, constitute accurate summaries of the terms of such statutes, rules and regulations, legal and governmental proceedings and contracts and other documents in all material respects.</w:t>
      </w:r>
    </w:p>
    <w:p>
      <w:pPr>
        <w:spacing w:after="0" w:line="188" w:lineRule="exact"/>
        <w:rPr>
          <w:rFonts w:ascii="Times New Roman" w:cs="Times New Roman" w:eastAsia="Times New Roman" w:hAnsi="Times New Roman"/>
          <w:sz w:val="18"/>
          <w:szCs w:val="18"/>
          <w:color w:val="auto"/>
        </w:rPr>
      </w:pPr>
    </w:p>
    <w:p>
      <w:pPr>
        <w:jc w:val="both"/>
        <w:ind w:left="-460" w:firstLine="644"/>
        <w:spacing w:after="0" w:line="253" w:lineRule="auto"/>
        <w:tabs>
          <w:tab w:leader="none" w:pos="547"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its subsidiaries carry, or are covered by, insurance from insurers of recognized financial responsibility in such amounts and covering such risks as is reasonably believed by the Company to be adequate for the conduct of their respective businesses and the value of their respective properties and as is customary for companies engaged in similar businesses in similar industries. All policies of insurance of the Company and its subsidiaries are in full force and effect; the Company and each of its subsidiaries are in compliance with the terms of such policies in all material respects; and neither the Company nor any of its subsidiaries has received notice from any insurer or agent of such insurer that capital improvements or other expenditures are required or necessary to be made in order to continue such insurance; there are no claims by the Company or any of its subsidiaries under any such policy or instrument as to which any insurance company is denying liability or defending under a reservation of rights clause; and neither the Company nor any such subsidiary has any reason to believe that it will not be able to renew its existing insurance coverage as and when such coverage expires or to obtain similar coverage from similar insurers as may be necessary to continue its business at a cost that would not reasonably be expected to have a Material Adverse Effect.</w:t>
      </w:r>
    </w:p>
    <w:p>
      <w:pPr>
        <w:spacing w:after="0" w:line="200" w:lineRule="exact"/>
        <w:rPr>
          <w:sz w:val="20"/>
          <w:szCs w:val="20"/>
          <w:color w:val="auto"/>
        </w:rPr>
      </w:pPr>
    </w:p>
    <w:p>
      <w:pPr>
        <w:spacing w:after="0" w:line="20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10795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14" w:name="page15"/>
    <w:bookmarkEnd w:id="14"/>
    <w:p>
      <w:pPr>
        <w:jc w:val="both"/>
        <w:ind w:left="-460" w:firstLine="644"/>
        <w:spacing w:after="0" w:line="282" w:lineRule="auto"/>
        <w:tabs>
          <w:tab w:leader="none" w:pos="462"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relationship, direct or indirect, exists between or among the Company, on the one hand, and the directors, officers, shareholders, customers or suppliers of the Company, on the other hand, that is required to be described in the Preliminary Prospectus which is not so described.</w:t>
      </w:r>
    </w:p>
    <w:p>
      <w:pPr>
        <w:spacing w:after="0" w:line="161" w:lineRule="exact"/>
        <w:rPr>
          <w:rFonts w:ascii="Times New Roman" w:cs="Times New Roman" w:eastAsia="Times New Roman" w:hAnsi="Times New Roman"/>
          <w:sz w:val="18"/>
          <w:szCs w:val="18"/>
          <w:color w:val="auto"/>
        </w:rPr>
      </w:pPr>
    </w:p>
    <w:p>
      <w:pPr>
        <w:jc w:val="both"/>
        <w:ind w:left="-460" w:firstLine="644"/>
        <w:spacing w:after="0" w:line="261" w:lineRule="auto"/>
        <w:tabs>
          <w:tab w:leader="none" w:pos="46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labor disturbance by or dispute with the employees of the Company or any of its subsidiaries exists or, to the knowledge of the Company, is imminent that would reasonably be expected to have a Material Adverse Effect. The Company and its subsidiaries are in compliance in all material respects with the labor and employment laws and collective bargaining agreements and extension orders applicable to their employees in the State of Israel.</w:t>
      </w:r>
    </w:p>
    <w:p>
      <w:pPr>
        <w:spacing w:after="0" w:line="179" w:lineRule="exact"/>
        <w:rPr>
          <w:rFonts w:ascii="Times New Roman" w:cs="Times New Roman" w:eastAsia="Times New Roman" w:hAnsi="Times New Roman"/>
          <w:sz w:val="18"/>
          <w:szCs w:val="18"/>
          <w:color w:val="auto"/>
        </w:rPr>
      </w:pPr>
    </w:p>
    <w:p>
      <w:pPr>
        <w:jc w:val="both"/>
        <w:ind w:left="-460" w:firstLine="644"/>
        <w:spacing w:after="0" w:line="254" w:lineRule="auto"/>
        <w:tabs>
          <w:tab w:leader="none" w:pos="56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(i) is in violation of its articles of association, charter or by-laws (or similar organizational documents), (ii) is in default, and no event has occurred that, with notice or lapse of time or both, would constitute such a default, in the due performance or observance of any term, covenant, condition or other obligation contained in any indenture, mortgage, deed of trust, loan agreement, license or other agreement or instrument to which it is a party or by which it is bound or to which any of its properties or assets is subject, or (iii) is in violation of any statute or any order, rule or regulation of any court or governmental agency or body having jurisdiction over it or its property or assets or has failed to obtain any license, permit, certificate, franchise or other governmental authorization or permit necessary to the ownership of its property or to the conduct of its business, except in the case of clauses (ii) and (iii), to the extent any such conflict, breach, violation or default could not, individually or in the aggregate, reasonably be expected to have a Material Adverse Effect.</w:t>
      </w:r>
    </w:p>
    <w:p>
      <w:pPr>
        <w:spacing w:after="0" w:line="191" w:lineRule="exact"/>
        <w:rPr>
          <w:rFonts w:ascii="Times New Roman" w:cs="Times New Roman" w:eastAsia="Times New Roman" w:hAnsi="Times New Roman"/>
          <w:sz w:val="18"/>
          <w:szCs w:val="18"/>
          <w:color w:val="auto"/>
        </w:rPr>
      </w:pPr>
    </w:p>
    <w:p>
      <w:pPr>
        <w:jc w:val="both"/>
        <w:ind w:left="-460" w:firstLine="644"/>
        <w:spacing w:after="0" w:line="252" w:lineRule="auto"/>
        <w:tabs>
          <w:tab w:leader="none" w:pos="469"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its subsidiaries (i) are, and at all times prior hereto were, in compliance with all laws, regulations, ordinances, rules, orders, judgments, decrees, permits or other legal requirements of any governmental authority, including without limitation any international, foreign, national, state, provincial, regional, or local authority, relating to pollution, the protection of human health or safety, the environment, or natural resources, or to use, handling, storage, manufacturing, transportation, treatment, discharge, disposal or release of hazardous or toxic substances or wastes, pollutants or contaminants (“</w:t>
      </w:r>
      <w:r>
        <w:rPr>
          <w:rFonts w:ascii="Times New Roman" w:cs="Times New Roman" w:eastAsia="Times New Roman" w:hAnsi="Times New Roman"/>
          <w:sz w:val="18"/>
          <w:szCs w:val="18"/>
          <w:b w:val="1"/>
          <w:bCs w:val="1"/>
          <w:color w:val="auto"/>
        </w:rPr>
        <w:t>Environmental Laws</w:t>
      </w:r>
      <w:r>
        <w:rPr>
          <w:rFonts w:ascii="Times New Roman" w:cs="Times New Roman" w:eastAsia="Times New Roman" w:hAnsi="Times New Roman"/>
          <w:sz w:val="18"/>
          <w:szCs w:val="18"/>
          <w:color w:val="auto"/>
        </w:rPr>
        <w:t>”) applicable to such entity, which compliance includes, without limitation, obtaining, maintaining and complying with all permits and authorizations and approvals required by Environmental Laws to conduct their respective businesses, and (ii) have not received notice or otherwise have knowledge of any actual or alleged violation of Environmental Laws, or of any actual or potential liability for or other obligation concerning the presence, disposal or release of hazardous or toxic substances or wastes, pollutants or contaminants, except, for purposes of clauses (i) and (ii) above, where such non-compliance, violation, liability, or other obligation would not, in the aggregate, reasonably be expected to have a Material Adverse Effect. Except as described in the Preliminary Prospectus, (x) there are no proceedings that are pending, or known to be contemplated, against the Company or any of its subsidiaries under Environmental Laws in which a governmental authority is also a party, other than such proceedings regarding which it is reasonably believed no monetary sanctions of $100,000 or more will be imposed, (y) the Company and its subsidiaries are not aware of any issues regarding compliance with Environmental Laws, including any pending or proposed Environmental Laws, or liabilities or other obligations under Environmental Laws or concerning hazardous or toxic substances or wastes, pollutants or contaminants, that would reasonably be expected to have a material effect on the capital expenditures, earnings or competitive position of the Company and its subsidiaries, and (z) none of the Company and its subsidiaries anticipates material capital expenditures relating to Environmental Laws.</w:t>
      </w:r>
    </w:p>
    <w:p>
      <w:pPr>
        <w:spacing w:after="0" w:line="400"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10795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15" w:name="page16"/>
    <w:bookmarkEnd w:id="15"/>
    <w:p>
      <w:pPr>
        <w:jc w:val="both"/>
        <w:ind w:left="-460" w:firstLine="644"/>
        <w:spacing w:after="0" w:line="256" w:lineRule="auto"/>
        <w:tabs>
          <w:tab w:leader="none" w:pos="631"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each of its subsidiaries have: (i) timely filed all federal, state, local and foreign income and all other material tax returns required to be filed through the date hereof, subject to permitted extensions, and such returns are true, correct and complete in all material respects, and (ii) timely paid all material taxes due, except as may be being contested in good faith and by appropriate proceedings and for which adequate reserves have been made under GAAP. The Company does not have any knowledge of any tax deficiencies that have been, or would reasonably be expected to be asserted against the Company or any of its subsidiaries, that could, in the aggregate, reasonably be expected to have a Material Adverse Effect.</w:t>
      </w:r>
    </w:p>
    <w:p>
      <w:pPr>
        <w:spacing w:after="0" w:line="187" w:lineRule="exact"/>
        <w:rPr>
          <w:rFonts w:ascii="Times New Roman" w:cs="Times New Roman" w:eastAsia="Times New Roman" w:hAnsi="Times New Roman"/>
          <w:sz w:val="18"/>
          <w:szCs w:val="18"/>
          <w:color w:val="auto"/>
        </w:rPr>
      </w:pPr>
    </w:p>
    <w:p>
      <w:pPr>
        <w:jc w:val="both"/>
        <w:ind w:left="-460" w:firstLine="644"/>
        <w:spacing w:after="0" w:line="261" w:lineRule="auto"/>
        <w:tabs>
          <w:tab w:leader="none" w:pos="5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pending, or threatened in writing, audit, examination, investigation, assessment, claim or other proceeding by any governmental authority with respect to the qualification of the Company or any of its subsidiaries as an Industrial Company or an Industrial Enterprise, as the case may be, pursuant to the Law for the Encouragement of Industry (Taxes), 5729-1969 or the Law for the Encouragement of Capital Investments, 5719-1959.</w:t>
      </w:r>
    </w:p>
    <w:p>
      <w:pPr>
        <w:spacing w:after="0" w:line="179" w:lineRule="exact"/>
        <w:rPr>
          <w:rFonts w:ascii="Times New Roman" w:cs="Times New Roman" w:eastAsia="Times New Roman" w:hAnsi="Times New Roman"/>
          <w:sz w:val="18"/>
          <w:szCs w:val="18"/>
          <w:color w:val="auto"/>
        </w:rPr>
      </w:pPr>
    </w:p>
    <w:p>
      <w:pPr>
        <w:jc w:val="both"/>
        <w:ind w:left="-460" w:firstLine="644"/>
        <w:spacing w:after="0" w:line="252" w:lineRule="auto"/>
        <w:tabs>
          <w:tab w:leader="none" w:pos="642"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Each “employee benefit plan” (within the meaning of Section 3(3) of the Employee Retirement Security Act of 1974, as amended (“</w:t>
      </w:r>
      <w:r>
        <w:rPr>
          <w:rFonts w:ascii="Times New Roman" w:cs="Times New Roman" w:eastAsia="Times New Roman" w:hAnsi="Times New Roman"/>
          <w:sz w:val="18"/>
          <w:szCs w:val="18"/>
          <w:b w:val="1"/>
          <w:bCs w:val="1"/>
          <w:color w:val="auto"/>
        </w:rPr>
        <w:t>ERISA</w:t>
      </w:r>
      <w:r>
        <w:rPr>
          <w:rFonts w:ascii="Times New Roman" w:cs="Times New Roman" w:eastAsia="Times New Roman" w:hAnsi="Times New Roman"/>
          <w:sz w:val="18"/>
          <w:szCs w:val="18"/>
          <w:color w:val="auto"/>
        </w:rPr>
        <w:t>”)) for which the Company or any member of its “Controlled Group” (defined as any organization which is a member of a controlled group of corporations within the meaning of Section 414 of the Code) would have any liability (each a “</w:t>
      </w:r>
      <w:r>
        <w:rPr>
          <w:rFonts w:ascii="Times New Roman" w:cs="Times New Roman" w:eastAsia="Times New Roman" w:hAnsi="Times New Roman"/>
          <w:sz w:val="18"/>
          <w:szCs w:val="18"/>
          <w:b w:val="1"/>
          <w:bCs w:val="1"/>
          <w:color w:val="auto"/>
        </w:rPr>
        <w:t>Plan</w:t>
      </w:r>
      <w:r>
        <w:rPr>
          <w:rFonts w:ascii="Times New Roman" w:cs="Times New Roman" w:eastAsia="Times New Roman" w:hAnsi="Times New Roman"/>
          <w:sz w:val="18"/>
          <w:szCs w:val="18"/>
          <w:color w:val="auto"/>
        </w:rPr>
        <w:t>”) has been maintained in compliance with its terms and with the requirements of all applicable statutes, rules and regulations including ERISA and the Code; (ii) no prohibited transaction, within the meaning of Section 406 of ERISA or Section 4975 of the Code, has occurred with respect to any Plan excluding transactions effected pursuant to a statutory or administrative exemption; (iii) with respect to each Plan subject to Title IV of ERISA (A) no “reportable event” (within the meaning of Section 4043(c) of ERISA) has occurred or is reasonably expected to occur, (B) no “accumulated funding deficiency” (within the meaning of Section 302 of ERISA or Section 412 of the Code), whether or not waived, has occurred or is reasonably expected to occur, (C) the fair market value of the assets under each Plan exceeds the present value of all benefits accrued under such Plan (determined based on those assumptions used to fund such Plan), and (D) neither the Company or any member of its Controlled Group has incurred, or reasonably expects to incur, any liability under Title IV of ERISA (other than contributions to the Plan or premiums to the Pension Benefit Guaranty Corporation in the ordinary course and without default) in respect of a Plan (including a “multiemployer plan”, within the meaning of Section 4001(c)(3) of ERISA); and (iv) each Plan that is intended to be qualified under Section 401(a) of the Code is so qualified and nothing has occurred, whether by action or by failure to act, which would cause the loss of such qualification.</w:t>
      </w:r>
    </w:p>
    <w:p>
      <w:pPr>
        <w:spacing w:after="0" w:line="200" w:lineRule="exact"/>
        <w:rPr>
          <w:sz w:val="20"/>
          <w:szCs w:val="20"/>
          <w:color w:val="auto"/>
        </w:rPr>
      </w:pPr>
    </w:p>
    <w:p>
      <w:pPr>
        <w:spacing w:after="0" w:line="204"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10795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16" w:name="page17"/>
    <w:bookmarkEnd w:id="16"/>
    <w:p>
      <w:pPr>
        <w:ind w:left="4" w:right="20" w:firstLine="644"/>
        <w:spacing w:after="0" w:line="282" w:lineRule="auto"/>
        <w:tabs>
          <w:tab w:leader="none" w:pos="1003"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statistical and market-related data included in the Preliminary Prospectus or incorporated by reference are based on or derived from sources that the Company believes to be reliable in all material respects.</w:t>
      </w:r>
    </w:p>
    <w:p>
      <w:pPr>
        <w:spacing w:after="0" w:line="161" w:lineRule="exact"/>
        <w:rPr>
          <w:rFonts w:ascii="Times New Roman" w:cs="Times New Roman" w:eastAsia="Times New Roman" w:hAnsi="Times New Roman"/>
          <w:sz w:val="18"/>
          <w:szCs w:val="18"/>
          <w:color w:val="auto"/>
        </w:rPr>
      </w:pPr>
    </w:p>
    <w:p>
      <w:pPr>
        <w:jc w:val="both"/>
        <w:ind w:left="4" w:firstLine="644"/>
        <w:spacing w:after="0" w:line="255" w:lineRule="auto"/>
        <w:tabs>
          <w:tab w:leader="none" w:pos="1009"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is, and as of the applicable Delivery Date and, after giving effect to the offer and sale of the Shares and the application of the proceeds therefrom as described under “Use of Proceeds” in the Preliminary Prospectus and the Prospectus, none of them will be, (i) an “investment company” or a company “controlled” by an “investment company” within the meaning of the Investment Company Act of 1940, as amended (the “</w:t>
      </w:r>
      <w:r>
        <w:rPr>
          <w:rFonts w:ascii="Times New Roman" w:cs="Times New Roman" w:eastAsia="Times New Roman" w:hAnsi="Times New Roman"/>
          <w:sz w:val="18"/>
          <w:szCs w:val="18"/>
          <w:b w:val="1"/>
          <w:bCs w:val="1"/>
          <w:color w:val="auto"/>
        </w:rPr>
        <w:t>Investment Company Act</w:t>
      </w:r>
      <w:r>
        <w:rPr>
          <w:rFonts w:ascii="Times New Roman" w:cs="Times New Roman" w:eastAsia="Times New Roman" w:hAnsi="Times New Roman"/>
          <w:sz w:val="18"/>
          <w:szCs w:val="18"/>
          <w:color w:val="auto"/>
        </w:rPr>
        <w:t>”), and the rules and regulations of the Commission thereunder, or</w:t>
      </w:r>
    </w:p>
    <w:p>
      <w:pPr>
        <w:spacing w:after="0" w:line="2"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“business development company” (as defined in Section 2(a)(48) of the Investment Company Act).</w:t>
      </w:r>
    </w:p>
    <w:p>
      <w:pPr>
        <w:spacing w:after="0" w:line="206" w:lineRule="exact"/>
        <w:rPr>
          <w:rFonts w:ascii="Times New Roman" w:cs="Times New Roman" w:eastAsia="Times New Roman" w:hAnsi="Times New Roman"/>
          <w:sz w:val="18"/>
          <w:szCs w:val="18"/>
          <w:color w:val="auto"/>
        </w:rPr>
      </w:pPr>
    </w:p>
    <w:p>
      <w:pPr>
        <w:jc w:val="both"/>
        <w:ind w:left="4" w:firstLine="644"/>
        <w:spacing w:after="0" w:line="258" w:lineRule="auto"/>
        <w:tabs>
          <w:tab w:leader="none" w:pos="949"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described in the Preliminary Prospectus, there are no contracts, agreements or understandings between the Company and any person granting such person the right (other than rights that have been waived in writing or otherwise satisfied) to require the Company to file a registration statement under the Securities Act with respect to any securities of the Company owned or to be owned by such person or to require the Company to include such securities in the securities registered pursuant to the Registration Statement or in any securities being registered pursuant to any other registration statement filed by the Company under the Securities Act.</w:t>
      </w:r>
    </w:p>
    <w:p>
      <w:pPr>
        <w:spacing w:after="0" w:line="183" w:lineRule="exact"/>
        <w:rPr>
          <w:rFonts w:ascii="Times New Roman" w:cs="Times New Roman" w:eastAsia="Times New Roman" w:hAnsi="Times New Roman"/>
          <w:sz w:val="18"/>
          <w:szCs w:val="18"/>
          <w:color w:val="auto"/>
        </w:rPr>
      </w:pPr>
    </w:p>
    <w:p>
      <w:pPr>
        <w:jc w:val="both"/>
        <w:ind w:left="4" w:firstLine="644"/>
        <w:spacing w:after="0" w:line="266" w:lineRule="auto"/>
        <w:tabs>
          <w:tab w:leader="none" w:pos="968"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is a party to any contract, agreement or understanding with any person (other than this Agreement) that would give rise to a valid claim against any of them or the Underwriters for a brokerage commission, finder’s fee or like payment in connection with the offering and sale of the Shares.</w:t>
      </w:r>
    </w:p>
    <w:p>
      <w:pPr>
        <w:spacing w:after="0" w:line="175" w:lineRule="exact"/>
        <w:rPr>
          <w:rFonts w:ascii="Times New Roman" w:cs="Times New Roman" w:eastAsia="Times New Roman" w:hAnsi="Times New Roman"/>
          <w:sz w:val="18"/>
          <w:szCs w:val="18"/>
          <w:color w:val="auto"/>
        </w:rPr>
      </w:pPr>
    </w:p>
    <w:p>
      <w:pPr>
        <w:ind w:left="4" w:right="20" w:firstLine="644"/>
        <w:spacing w:after="0" w:line="282" w:lineRule="auto"/>
        <w:tabs>
          <w:tab w:leader="none" w:pos="934"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not sold or issued any securities that would be integrated with the offering of the Shares contemplated by this Agreement pursuant to the Securities Act, the rules and regulations thereunder or the interpretations thereof by the Commission.</w:t>
      </w:r>
    </w:p>
    <w:p>
      <w:pPr>
        <w:spacing w:after="0" w:line="161" w:lineRule="exact"/>
        <w:rPr>
          <w:rFonts w:ascii="Times New Roman" w:cs="Times New Roman" w:eastAsia="Times New Roman" w:hAnsi="Times New Roman"/>
          <w:sz w:val="18"/>
          <w:szCs w:val="18"/>
          <w:color w:val="auto"/>
        </w:rPr>
      </w:pPr>
    </w:p>
    <w:p>
      <w:pPr>
        <w:jc w:val="both"/>
        <w:ind w:left="4" w:firstLine="644"/>
        <w:spacing w:after="0" w:line="266" w:lineRule="auto"/>
        <w:tabs>
          <w:tab w:leader="none" w:pos="1013"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its affiliates have not taken, directly or indirectly, any action designed to or that has constituted or that could reasonably be expected to cause or result in the stabilization or manipulation of the price of any security of the Company in connection with the offering of the Shares.</w:t>
      </w:r>
    </w:p>
    <w:p>
      <w:pPr>
        <w:spacing w:after="0" w:line="383" w:lineRule="exact"/>
        <w:rPr>
          <w:sz w:val="20"/>
          <w:szCs w:val="20"/>
          <w:color w:val="auto"/>
        </w:rPr>
      </w:pPr>
    </w:p>
    <w:p>
      <w:pPr>
        <w:ind w:left="4864"/>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10795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17" w:name="page18"/>
    <w:bookmarkEnd w:id="17"/>
    <w:p>
      <w:pPr>
        <w:jc w:val="both"/>
        <w:ind w:left="-460" w:firstLine="644"/>
        <w:spacing w:after="0" w:line="258" w:lineRule="auto"/>
        <w:tabs>
          <w:tab w:leader="none" w:pos="556"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Assuming the Underwriters have not offered the Shares other than in accordance with their obligations under Section 6(c) or otherwise engaged in solicitation, advertising or any other action constituting an offer to the public under the Israeli Securities Law 5728-1968, as amended, (the “</w:t>
      </w:r>
      <w:r>
        <w:rPr>
          <w:rFonts w:ascii="Times New Roman" w:cs="Times New Roman" w:eastAsia="Times New Roman" w:hAnsi="Times New Roman"/>
          <w:sz w:val="18"/>
          <w:szCs w:val="18"/>
          <w:b w:val="1"/>
          <w:bCs w:val="1"/>
          <w:color w:val="auto"/>
        </w:rPr>
        <w:t>Israeli Securities Law</w:t>
      </w:r>
      <w:r>
        <w:rPr>
          <w:rFonts w:ascii="Times New Roman" w:cs="Times New Roman" w:eastAsia="Times New Roman" w:hAnsi="Times New Roman"/>
          <w:sz w:val="18"/>
          <w:szCs w:val="18"/>
          <w:color w:val="auto"/>
        </w:rPr>
        <w:t>”) in Israel, the Company has not engaged in any form of solicitation, advertising or any other action constituting an offer under the Israeli Securities Law, and the regulations promulgated thereunder, in connection with the transactions contemplated hereby which would require the Company to publish a prospectus in the State of Israel under the laws of the State of Israel.</w:t>
      </w:r>
    </w:p>
    <w:p>
      <w:pPr>
        <w:spacing w:after="0" w:line="183" w:lineRule="exact"/>
        <w:rPr>
          <w:rFonts w:ascii="Times New Roman" w:cs="Times New Roman" w:eastAsia="Times New Roman" w:hAnsi="Times New Roman"/>
          <w:sz w:val="18"/>
          <w:szCs w:val="18"/>
          <w:color w:val="auto"/>
        </w:rPr>
      </w:pPr>
    </w:p>
    <w:p>
      <w:pPr>
        <w:ind w:left="-460" w:right="20" w:firstLine="644"/>
        <w:spacing w:after="0" w:line="282" w:lineRule="auto"/>
        <w:tabs>
          <w:tab w:leader="none" w:pos="622"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have been approved for listing, subject to official notice of issuance and evidence of satisfactory distribution on, The Nasdaq Global Select Market.</w:t>
      </w:r>
    </w:p>
    <w:p>
      <w:pPr>
        <w:spacing w:after="0" w:line="161" w:lineRule="exact"/>
        <w:rPr>
          <w:rFonts w:ascii="Times New Roman" w:cs="Times New Roman" w:eastAsia="Times New Roman" w:hAnsi="Times New Roman"/>
          <w:sz w:val="18"/>
          <w:szCs w:val="18"/>
          <w:color w:val="auto"/>
        </w:rPr>
      </w:pPr>
    </w:p>
    <w:p>
      <w:pPr>
        <w:jc w:val="both"/>
        <w:ind w:left="-460" w:firstLine="644"/>
        <w:spacing w:after="0" w:line="261" w:lineRule="auto"/>
        <w:tabs>
          <w:tab w:leader="none" w:pos="551"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not distributed and, prior to the later to occur of any Delivery Date and completion of the distribution of the Shares, will not distribute any offering material in connection with the offering and sale of the Shares other than any Preliminary Prospectus, the Prospectus, any Issuer Free Writing Prospectus to which the Representatives have consented in accordance with Section 1(j) or 6(a)(vi) and any Issuer Free Writing Prospectus set forth on Schedule V hereto.</w:t>
      </w:r>
    </w:p>
    <w:p>
      <w:pPr>
        <w:spacing w:after="0" w:line="179" w:lineRule="exact"/>
        <w:rPr>
          <w:rFonts w:ascii="Times New Roman" w:cs="Times New Roman" w:eastAsia="Times New Roman" w:hAnsi="Times New Roman"/>
          <w:sz w:val="18"/>
          <w:szCs w:val="18"/>
          <w:color w:val="auto"/>
        </w:rPr>
      </w:pPr>
    </w:p>
    <w:p>
      <w:pPr>
        <w:jc w:val="both"/>
        <w:ind w:left="-460" w:firstLine="644"/>
        <w:spacing w:after="0" w:line="261" w:lineRule="auto"/>
        <w:tabs>
          <w:tab w:leader="none" w:pos="539"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is in violation of or has received notice of any violation with respect to any Israeli, federal or state law relating to discrimination in the hiring, promotion or pay of employees, nor any applicable Israeli, federal or state wage and hour laws, nor any state law precluding the denial of credit due to the neighborhood in which a property is situated, the violation of any of which could reasonably be expected to have a Material Adverse Effect.</w:t>
      </w:r>
    </w:p>
    <w:p>
      <w:pPr>
        <w:spacing w:after="0" w:line="179" w:lineRule="exact"/>
        <w:rPr>
          <w:rFonts w:ascii="Times New Roman" w:cs="Times New Roman" w:eastAsia="Times New Roman" w:hAnsi="Times New Roman"/>
          <w:sz w:val="18"/>
          <w:szCs w:val="18"/>
          <w:color w:val="auto"/>
        </w:rPr>
      </w:pPr>
    </w:p>
    <w:p>
      <w:pPr>
        <w:jc w:val="both"/>
        <w:ind w:left="-460" w:firstLine="644"/>
        <w:spacing w:after="0" w:line="253" w:lineRule="auto"/>
        <w:tabs>
          <w:tab w:leader="none" w:pos="529"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nor, to the knowledge of the Company, any director, officer, agent, employee or other person acting on behalf of the Company or any of its subsidiaries, has in the course of its actions for, or on behalf of, the Company or any of its subsidiaries: (i) used any corporate funds for any unlawful contribution, gift, entertainment or other unlawful expense relating to political activity; (ii) made any direct or indirect unlawful payment to any foreign or domestic government official, “foreign official” (as defined in the U.S. Foreign Corrupt Practices Act of 1977, as amended, and the rules and regulations thereunder (collectively, the “</w:t>
      </w:r>
      <w:r>
        <w:rPr>
          <w:rFonts w:ascii="Times New Roman" w:cs="Times New Roman" w:eastAsia="Times New Roman" w:hAnsi="Times New Roman"/>
          <w:sz w:val="18"/>
          <w:szCs w:val="18"/>
          <w:b w:val="1"/>
          <w:bCs w:val="1"/>
          <w:color w:val="auto"/>
        </w:rPr>
        <w:t>FCPA</w:t>
      </w:r>
      <w:r>
        <w:rPr>
          <w:rFonts w:ascii="Times New Roman" w:cs="Times New Roman" w:eastAsia="Times New Roman" w:hAnsi="Times New Roman"/>
          <w:sz w:val="18"/>
          <w:szCs w:val="18"/>
          <w:color w:val="auto"/>
        </w:rPr>
        <w:t>”)) or employee from corporate funds; (iii) violated or is in violation of any provision of the FCPA, Section 291 and 291A of the Israeli Penal Law, 5733-1973, the U.K. Bribery Act 2010, as amended, or any other applicable anti-bribery statute or regulation; or (iv) made any bribe, rebate, payoff, influence payment, kickback or other unlawful payment to any domestic government official, foreign official or employee; and the Company and its subsidiaries and the Company’s controlled affiliates have conducted their respective businesses in compliance with the FCPA, Sections 291 and 291A of the Israeli Penal Law 5733-1973, U.K. Bribery Act 2010, and all other applicable anti-bribery statutes and regulations, and have instituted and maintain policies and procedures designed to promote continued compliance therewith.</w:t>
      </w:r>
    </w:p>
    <w:p>
      <w:pPr>
        <w:spacing w:after="0" w:line="192" w:lineRule="exact"/>
        <w:rPr>
          <w:sz w:val="20"/>
          <w:szCs w:val="20"/>
          <w:color w:val="auto"/>
        </w:rPr>
      </w:pPr>
    </w:p>
    <w:p>
      <w:pPr>
        <w:jc w:val="both"/>
        <w:ind w:left="-460" w:firstLine="644"/>
        <w:spacing w:after="0" w:line="256" w:lineRule="auto"/>
        <w:tabs>
          <w:tab w:leader="none" w:pos="589"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operations of the Company and its subsidiaries are and have been conducted at all times in compliance with applicable financial recordkeeping and reporting requirements of the Currency and Foreign Transactions Reporting Act of 1970, as amended, the money laundering statutes of all applicable jurisdictions, the rules and regulations thereunder and any related or similar rules, regulations or guidelines, issued, administered or enforced by any governmental agency (collectively, the “</w:t>
      </w:r>
      <w:r>
        <w:rPr>
          <w:rFonts w:ascii="Times New Roman" w:cs="Times New Roman" w:eastAsia="Times New Roman" w:hAnsi="Times New Roman"/>
          <w:sz w:val="18"/>
          <w:szCs w:val="18"/>
          <w:b w:val="1"/>
          <w:bCs w:val="1"/>
          <w:color w:val="auto"/>
        </w:rPr>
        <w:t>Money Laundering Laws</w:t>
      </w:r>
      <w:r>
        <w:rPr>
          <w:rFonts w:ascii="Times New Roman" w:cs="Times New Roman" w:eastAsia="Times New Roman" w:hAnsi="Times New Roman"/>
          <w:sz w:val="18"/>
          <w:szCs w:val="18"/>
          <w:color w:val="auto"/>
        </w:rPr>
        <w:t>”) and no action, suit or proceeding by or before any court or governmental agency, authority or body or any arbitrator involving the Company or any of its subsidiaries with respect to the Money Laundering Laws is pending or, to the knowledge of the Company, threatened.</w:t>
      </w:r>
    </w:p>
    <w:p>
      <w:pPr>
        <w:spacing w:after="0" w:line="394"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10795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18" w:name="page19"/>
    <w:bookmarkEnd w:id="18"/>
    <w:p>
      <w:pPr>
        <w:jc w:val="both"/>
        <w:ind w:left="-460" w:firstLine="644"/>
        <w:spacing w:after="0" w:line="253" w:lineRule="auto"/>
        <w:tabs>
          <w:tab w:leader="none" w:pos="636"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nor, to the knowledge of the Company, any director, officer, agent, employee or controlled affiliate of the Company or any of its subsidiaries is (i) currently subject to any sanctions administered by the Office of Foreign Assets Control of the U.S. Treasury Department (“</w:t>
      </w:r>
      <w:r>
        <w:rPr>
          <w:rFonts w:ascii="Times New Roman" w:cs="Times New Roman" w:eastAsia="Times New Roman" w:hAnsi="Times New Roman"/>
          <w:sz w:val="18"/>
          <w:szCs w:val="18"/>
          <w:b w:val="1"/>
          <w:bCs w:val="1"/>
          <w:color w:val="auto"/>
        </w:rPr>
        <w:t>OFAC</w:t>
      </w:r>
      <w:r>
        <w:rPr>
          <w:rFonts w:ascii="Times New Roman" w:cs="Times New Roman" w:eastAsia="Times New Roman" w:hAnsi="Times New Roman"/>
          <w:sz w:val="18"/>
          <w:szCs w:val="18"/>
          <w:color w:val="auto"/>
        </w:rPr>
        <w:t>”), the U.S. Department of State, the United Nations Security Council (“</w:t>
      </w:r>
      <w:r>
        <w:rPr>
          <w:rFonts w:ascii="Times New Roman" w:cs="Times New Roman" w:eastAsia="Times New Roman" w:hAnsi="Times New Roman"/>
          <w:sz w:val="18"/>
          <w:szCs w:val="18"/>
          <w:b w:val="1"/>
          <w:bCs w:val="1"/>
          <w:color w:val="auto"/>
        </w:rPr>
        <w:t>UNSC</w:t>
      </w:r>
      <w:r>
        <w:rPr>
          <w:rFonts w:ascii="Times New Roman" w:cs="Times New Roman" w:eastAsia="Times New Roman" w:hAnsi="Times New Roman"/>
          <w:sz w:val="18"/>
          <w:szCs w:val="18"/>
          <w:color w:val="auto"/>
        </w:rPr>
        <w:t>”), the European Union (“</w:t>
      </w:r>
      <w:r>
        <w:rPr>
          <w:rFonts w:ascii="Times New Roman" w:cs="Times New Roman" w:eastAsia="Times New Roman" w:hAnsi="Times New Roman"/>
          <w:sz w:val="18"/>
          <w:szCs w:val="18"/>
          <w:b w:val="1"/>
          <w:bCs w:val="1"/>
          <w:color w:val="auto"/>
        </w:rPr>
        <w:t>EU</w:t>
      </w:r>
      <w:r>
        <w:rPr>
          <w:rFonts w:ascii="Times New Roman" w:cs="Times New Roman" w:eastAsia="Times New Roman" w:hAnsi="Times New Roman"/>
          <w:sz w:val="18"/>
          <w:szCs w:val="18"/>
          <w:color w:val="auto"/>
        </w:rPr>
        <w:t>”), Her Majesty’s Treasury (“</w:t>
      </w:r>
      <w:r>
        <w:rPr>
          <w:rFonts w:ascii="Times New Roman" w:cs="Times New Roman" w:eastAsia="Times New Roman" w:hAnsi="Times New Roman"/>
          <w:sz w:val="18"/>
          <w:szCs w:val="18"/>
          <w:b w:val="1"/>
          <w:bCs w:val="1"/>
          <w:color w:val="auto"/>
        </w:rPr>
        <w:t>HMT</w:t>
      </w:r>
      <w:r>
        <w:rPr>
          <w:rFonts w:ascii="Times New Roman" w:cs="Times New Roman" w:eastAsia="Times New Roman" w:hAnsi="Times New Roman"/>
          <w:sz w:val="18"/>
          <w:szCs w:val="18"/>
          <w:color w:val="auto"/>
        </w:rPr>
        <w:t>”), or other relevant sanctions authority (collectively, “</w:t>
      </w:r>
      <w:r>
        <w:rPr>
          <w:rFonts w:ascii="Times New Roman" w:cs="Times New Roman" w:eastAsia="Times New Roman" w:hAnsi="Times New Roman"/>
          <w:sz w:val="18"/>
          <w:szCs w:val="18"/>
          <w:b w:val="1"/>
          <w:bCs w:val="1"/>
          <w:color w:val="auto"/>
        </w:rPr>
        <w:t>Sanctions</w:t>
      </w:r>
      <w:r>
        <w:rPr>
          <w:rFonts w:ascii="Times New Roman" w:cs="Times New Roman" w:eastAsia="Times New Roman" w:hAnsi="Times New Roman"/>
          <w:sz w:val="18"/>
          <w:szCs w:val="18"/>
          <w:color w:val="auto"/>
        </w:rPr>
        <w:t>”); or (ii) located, organized or ordinarily resident in a country that is the subject of comprehensive country-wide Sanctions (including, without limitation, the Crimea region of the Ukraine, Cuba, Iran, North Korea and Syria); and the Company will not directly or indirectly use the proceeds of the offering, or lend, contribute or otherwise make available such proceeds to any subsidiary, joint venture partner or other person or entity, for the purpose of financing the activities of any person that is the target of Sanctions, or in any country or territory that currently is the subject or target of comprehensive country-wide Sanctions or in any other manner that will result in a violation by any person (including any person participating in the transaction whether as an underwriter, advisor, investor or otherwise) of Sanctions. The Company and its subsidiaries have not knowingly engaged in for the past five years, are not now knowingly engaged in, and will not engage in, any dealings or transactions with any individual or entity that at the time of the dealing or transaction is or was the subject or target of Sanctions or in any country or territory that at the time of the dealing or transaction is or was the subject or target of comprehensive Sanctions, in violation of applicable Sanctions.</w:t>
      </w:r>
    </w:p>
    <w:p>
      <w:pPr>
        <w:spacing w:after="0" w:line="187" w:lineRule="exact"/>
        <w:rPr>
          <w:rFonts w:ascii="Times New Roman" w:cs="Times New Roman" w:eastAsia="Times New Roman" w:hAnsi="Times New Roman"/>
          <w:sz w:val="18"/>
          <w:szCs w:val="18"/>
          <w:color w:val="auto"/>
        </w:rPr>
      </w:pPr>
    </w:p>
    <w:p>
      <w:pPr>
        <w:jc w:val="both"/>
        <w:ind w:left="-460" w:firstLine="644"/>
        <w:spacing w:after="0" w:line="261" w:lineRule="auto"/>
        <w:tabs>
          <w:tab w:leader="none" w:pos="599"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for the approval from an Israeli court that would be required in the event that any dividends or other distributions would exceed the Company’s profits and other surplus funds (as defined in the Companies Law) as of the end of the most recent year or as accrued over a period of the most recent two years, whichever amount is greater, no approvals are currently required in the State of Israel in order for the Company to pay dividends or other distributions declared by the Company to the holders of Ordinary Shares.</w:t>
      </w:r>
    </w:p>
    <w:p>
      <w:pPr>
        <w:spacing w:after="0" w:line="179" w:lineRule="exact"/>
        <w:rPr>
          <w:rFonts w:ascii="Times New Roman" w:cs="Times New Roman" w:eastAsia="Times New Roman" w:hAnsi="Times New Roman"/>
          <w:sz w:val="18"/>
          <w:szCs w:val="18"/>
          <w:color w:val="auto"/>
        </w:rPr>
      </w:pPr>
    </w:p>
    <w:p>
      <w:pPr>
        <w:jc w:val="both"/>
        <w:ind w:left="-460" w:firstLine="644"/>
        <w:spacing w:after="0" w:line="258" w:lineRule="auto"/>
        <w:tabs>
          <w:tab w:leader="none" w:pos="653"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qualifications and assumptions set forth in the Pricing Disclosure Package, the Registration Statement and the Prospectus, the Company does not believe it was, for its most recently completed taxable year, a “passive foreign investment company” (as defined in Section 1297 of the Code, and the regulations promulgated thereunder). Based on the Company’s current projected income, assets and activities, the Company does not expect to be classified as a “passive foreign investment company” for the taxable year starting on January 1, 2020 or for any foreseeable subsequent taxable year.</w:t>
      </w:r>
    </w:p>
    <w:p>
      <w:pPr>
        <w:spacing w:after="0" w:line="390"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10795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19" w:name="page20"/>
    <w:bookmarkEnd w:id="19"/>
    <w:p>
      <w:pPr>
        <w:jc w:val="both"/>
        <w:ind w:left="660" w:firstLine="644"/>
        <w:spacing w:after="0" w:line="266" w:lineRule="auto"/>
        <w:tabs>
          <w:tab w:leader="none" w:pos="170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Assuming that the Underwriters are not otherwise subject to taxation in the State of Israel, none of the issuance, delivery and sale of the Shares by the Company or the execution and delivery of this Agreement will be subject to any tax (including interest and penalties) imposed on the Underwriters by the State of Israel or any political subdivision thereof whether imposed directly or through withholding.</w:t>
      </w:r>
    </w:p>
    <w:p>
      <w:pPr>
        <w:spacing w:after="0" w:line="175"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647"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any of its subsidiaries nor any of its properties or assets has any immunity from the jurisdiction of any court or from any legal process (whether through service or notice, attachment to prior judgment, attachment in aid of execution or otherwise) under the laws of the State of Israel.</w:t>
      </w:r>
    </w:p>
    <w:p>
      <w:pPr>
        <w:spacing w:after="0" w:line="175" w:lineRule="exact"/>
        <w:rPr>
          <w:rFonts w:ascii="Times New Roman" w:cs="Times New Roman" w:eastAsia="Times New Roman" w:hAnsi="Times New Roman"/>
          <w:sz w:val="18"/>
          <w:szCs w:val="18"/>
          <w:color w:val="auto"/>
        </w:rPr>
      </w:pPr>
    </w:p>
    <w:p>
      <w:pPr>
        <w:jc w:val="both"/>
        <w:ind w:left="660" w:firstLine="644"/>
        <w:spacing w:after="0" w:line="261" w:lineRule="auto"/>
        <w:tabs>
          <w:tab w:leader="none" w:pos="1748"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disclosed in the Pricing Disclosure Package and the Prospectus, for a period of twelve months prior to and including the date hereof, the Company has not offered or sold any of its securities in Israel except under the employee benefit plans, qualified share option plans or other equity compensation plans or arrangements existing on the date hereof, including the exercise of options granted under such plans, and disclosed in the Pricing Disclosure Package and the Prospectus.</w:t>
      </w:r>
    </w:p>
    <w:p>
      <w:pPr>
        <w:spacing w:after="0" w:line="179" w:lineRule="exact"/>
        <w:rPr>
          <w:rFonts w:ascii="Times New Roman" w:cs="Times New Roman" w:eastAsia="Times New Roman" w:hAnsi="Times New Roman"/>
          <w:sz w:val="18"/>
          <w:szCs w:val="18"/>
          <w:color w:val="auto"/>
        </w:rPr>
      </w:pPr>
    </w:p>
    <w:p>
      <w:pPr>
        <w:ind w:left="1740" w:hanging="436"/>
        <w:spacing w:after="0"/>
        <w:tabs>
          <w:tab w:leader="none" w:pos="17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qualifies as a “foreign private issuer” within the meaning of Rule 405 under the Act.</w:t>
      </w:r>
    </w:p>
    <w:p>
      <w:pPr>
        <w:spacing w:after="0" w:line="225" w:lineRule="exact"/>
        <w:rPr>
          <w:rFonts w:ascii="Times New Roman" w:cs="Times New Roman" w:eastAsia="Times New Roman" w:hAnsi="Times New Roman"/>
          <w:sz w:val="18"/>
          <w:szCs w:val="18"/>
          <w:color w:val="auto"/>
        </w:rPr>
      </w:pPr>
    </w:p>
    <w:p>
      <w:pPr>
        <w:ind w:left="660" w:firstLine="644"/>
        <w:spacing w:after="0" w:line="282" w:lineRule="auto"/>
        <w:tabs>
          <w:tab w:leader="none" w:pos="16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duly designated Kornit Digital North America, Inc. as its authorized agent to receive service of process as set forth in Section 22.</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Any certificate signed by any officer of the Company and delivered to the Representatives or counsel for the Underwriters pursuant to this Agreement in connection with the offering of the Shares shall be deemed a representation and warranty by the Company, as to matters covered thereby, to each Underwriter.</w:t>
      </w:r>
    </w:p>
    <w:p>
      <w:pPr>
        <w:spacing w:after="0" w:line="174" w:lineRule="exact"/>
        <w:rPr>
          <w:sz w:val="20"/>
          <w:szCs w:val="20"/>
          <w:color w:val="auto"/>
        </w:rPr>
      </w:pPr>
    </w:p>
    <w:p>
      <w:pPr>
        <w:ind w:left="840" w:hanging="184"/>
        <w:spacing w:after="0"/>
        <w:tabs>
          <w:tab w:leader="none" w:pos="8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Representations, Warranties and Agreements of the Selling Shareholder. </w:t>
      </w:r>
      <w:r>
        <w:rPr>
          <w:rFonts w:ascii="Times New Roman" w:cs="Times New Roman" w:eastAsia="Times New Roman" w:hAnsi="Times New Roman"/>
          <w:sz w:val="18"/>
          <w:szCs w:val="18"/>
          <w:color w:val="auto"/>
        </w:rPr>
        <w:t>The Selling Shareholder represents, warrants and agrees that:</w:t>
      </w:r>
    </w:p>
    <w:p>
      <w:pPr>
        <w:spacing w:after="0" w:line="227"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568"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Selling Shareholder nor any person acting on behalf of the Selling Shareholder (other than, if applicable, the Company and the Underwriters) has made any offer relating to the Shares which would constitute a “free writing prospectus” (as defined in Rule 405 under the Securities Act).</w:t>
      </w:r>
    </w:p>
    <w:p>
      <w:pPr>
        <w:spacing w:after="0" w:line="171" w:lineRule="exact"/>
        <w:rPr>
          <w:rFonts w:ascii="Times New Roman" w:cs="Times New Roman" w:eastAsia="Times New Roman" w:hAnsi="Times New Roman"/>
          <w:sz w:val="18"/>
          <w:szCs w:val="18"/>
          <w:color w:val="auto"/>
        </w:rPr>
      </w:pPr>
    </w:p>
    <w:p>
      <w:pPr>
        <w:ind w:left="660" w:firstLine="644"/>
        <w:spacing w:after="0" w:line="286" w:lineRule="auto"/>
        <w:tabs>
          <w:tab w:leader="none" w:pos="157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2,162,463 warrants held by the Selling Shareholder (“</w:t>
      </w:r>
      <w:r>
        <w:rPr>
          <w:rFonts w:ascii="Times New Roman" w:cs="Times New Roman" w:eastAsia="Times New Roman" w:hAnsi="Times New Roman"/>
          <w:sz w:val="18"/>
          <w:szCs w:val="18"/>
          <w:b w:val="1"/>
          <w:bCs w:val="1"/>
          <w:color w:val="auto"/>
        </w:rPr>
        <w:t>Warrants</w:t>
      </w:r>
      <w:r>
        <w:rPr>
          <w:rFonts w:ascii="Times New Roman" w:cs="Times New Roman" w:eastAsia="Times New Roman" w:hAnsi="Times New Roman"/>
          <w:sz w:val="18"/>
          <w:szCs w:val="18"/>
          <w:color w:val="auto"/>
        </w:rPr>
        <w:t>”) have been exercised, resulting in 1,689,942 Shares to be issued to the Underwriters upon the settlement of this offering, subject to terms of the related Warrant exercise notice.</w:t>
      </w:r>
    </w:p>
    <w:p>
      <w:pPr>
        <w:spacing w:after="0" w:line="158" w:lineRule="exact"/>
        <w:rPr>
          <w:rFonts w:ascii="Times New Roman" w:cs="Times New Roman" w:eastAsia="Times New Roman" w:hAnsi="Times New Roman"/>
          <w:sz w:val="18"/>
          <w:szCs w:val="18"/>
          <w:color w:val="auto"/>
        </w:rPr>
      </w:pPr>
    </w:p>
    <w:p>
      <w:pPr>
        <w:jc w:val="both"/>
        <w:ind w:left="660" w:firstLine="644"/>
        <w:spacing w:after="0" w:line="276" w:lineRule="auto"/>
        <w:tabs>
          <w:tab w:leader="none" w:pos="1553" w:val="left"/>
        </w:tabs>
        <w:numPr>
          <w:ilvl w:val="1"/>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Upon the issuance of the Shares in accordance with the terms of the Warrants, the Selling Shareholder will have good and valid title to the Shares to be sold by the Selling Shareholder hereunder on the Delivery Date or a valid “security entitlement” within the meaning of Section 8-</w:t>
      </w:r>
    </w:p>
    <w:p>
      <w:pPr>
        <w:ind w:left="660" w:hanging="4"/>
        <w:spacing w:after="0" w:line="260" w:lineRule="auto"/>
        <w:tabs>
          <w:tab w:leader="none" w:pos="98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New York Uniform Commercial Code (the “</w:t>
      </w:r>
      <w:r>
        <w:rPr>
          <w:rFonts w:ascii="Times New Roman" w:cs="Times New Roman" w:eastAsia="Times New Roman" w:hAnsi="Times New Roman"/>
          <w:sz w:val="18"/>
          <w:szCs w:val="18"/>
          <w:b w:val="1"/>
          <w:bCs w:val="1"/>
          <w:color w:val="auto"/>
        </w:rPr>
        <w:t>UCC</w:t>
      </w:r>
      <w:r>
        <w:rPr>
          <w:rFonts w:ascii="Times New Roman" w:cs="Times New Roman" w:eastAsia="Times New Roman" w:hAnsi="Times New Roman"/>
          <w:sz w:val="18"/>
          <w:szCs w:val="18"/>
          <w:color w:val="auto"/>
        </w:rPr>
        <w:t>”) in respect thereof, free and clear of all liens, encumbrances, equities, community property rights, restrictions on transfer or claims.</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 w:name="page21"/>
    <w:bookmarkEnd w:id="20"/>
    <w:p>
      <w:pPr>
        <w:ind w:left="4" w:right="20" w:firstLine="644"/>
        <w:spacing w:after="0" w:line="282" w:lineRule="auto"/>
        <w:tabs>
          <w:tab w:leader="none" w:pos="916"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obligations of the Selling Shareholder hereunder shall not be terminated by any act of the Selling Shareholder, by operation of law or the occurrence of any other event, except as otherwise provided hereunder.</w:t>
      </w:r>
    </w:p>
    <w:p>
      <w:pPr>
        <w:spacing w:after="0" w:line="161" w:lineRule="exact"/>
        <w:rPr>
          <w:rFonts w:ascii="Times New Roman" w:cs="Times New Roman" w:eastAsia="Times New Roman" w:hAnsi="Times New Roman"/>
          <w:sz w:val="18"/>
          <w:szCs w:val="18"/>
          <w:color w:val="auto"/>
        </w:rPr>
      </w:pPr>
    </w:p>
    <w:p>
      <w:pPr>
        <w:ind w:left="904" w:hanging="256"/>
        <w:spacing w:after="0"/>
        <w:tabs>
          <w:tab w:leader="none" w:pos="904"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payment for the Shares to be sold by the Selling Shareholder, delivery of such Shares, as directed by the Underwriters, to Cede</w:t>
      </w:r>
    </w:p>
    <w:p>
      <w:pPr>
        <w:spacing w:after="0" w:line="27" w:lineRule="exact"/>
        <w:rPr>
          <w:rFonts w:ascii="Times New Roman" w:cs="Times New Roman" w:eastAsia="Times New Roman" w:hAnsi="Times New Roman"/>
          <w:sz w:val="18"/>
          <w:szCs w:val="18"/>
          <w:color w:val="auto"/>
        </w:rPr>
      </w:pPr>
    </w:p>
    <w:p>
      <w:pPr>
        <w:jc w:val="both"/>
        <w:ind w:left="4" w:hanging="4"/>
        <w:spacing w:after="0" w:line="251" w:lineRule="auto"/>
        <w:tabs>
          <w:tab w:leader="none" w:pos="189"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 (“</w:t>
      </w:r>
      <w:r>
        <w:rPr>
          <w:rFonts w:ascii="Times New Roman" w:cs="Times New Roman" w:eastAsia="Times New Roman" w:hAnsi="Times New Roman"/>
          <w:sz w:val="18"/>
          <w:szCs w:val="18"/>
          <w:b w:val="1"/>
          <w:bCs w:val="1"/>
          <w:color w:val="auto"/>
        </w:rPr>
        <w:t>Cede</w:t>
      </w:r>
      <w:r>
        <w:rPr>
          <w:rFonts w:ascii="Times New Roman" w:cs="Times New Roman" w:eastAsia="Times New Roman" w:hAnsi="Times New Roman"/>
          <w:sz w:val="18"/>
          <w:szCs w:val="18"/>
          <w:color w:val="auto"/>
        </w:rPr>
        <w:t>”) or such other nominee as may be designated by The Depository Trust Company (“</w:t>
      </w:r>
      <w:r>
        <w:rPr>
          <w:rFonts w:ascii="Times New Roman" w:cs="Times New Roman" w:eastAsia="Times New Roman" w:hAnsi="Times New Roman"/>
          <w:sz w:val="18"/>
          <w:szCs w:val="18"/>
          <w:b w:val="1"/>
          <w:bCs w:val="1"/>
          <w:color w:val="auto"/>
        </w:rPr>
        <w:t>DTC</w:t>
      </w:r>
      <w:r>
        <w:rPr>
          <w:rFonts w:ascii="Times New Roman" w:cs="Times New Roman" w:eastAsia="Times New Roman" w:hAnsi="Times New Roman"/>
          <w:sz w:val="18"/>
          <w:szCs w:val="18"/>
          <w:color w:val="auto"/>
        </w:rPr>
        <w:t>”), registration of such Shares in the name of Cede or such other nominee and the crediting of such Shares on the books of DTC to securities accounts of the Underwriters (assuming that neither DTC nor any such Underwriter has notice of any adverse claim (within the meaning of Section 8-105 of the UCC) to such Shares), (i) DTC will acquire good and valid title to such Shares free and clear of all liens, encumbrances, equities, community property rights, restrictions on transfer or claims, (ii) DTC shall be a “protected purchaser” of such Shares within the meaning of Section 8-303 of the UCC, (iii) under Section 8-501 of the UCC, the Underwriters will acquire a valid security entitlement in respect of such Shares, and (iv) an action based on an “adverse claim” (within the meaning of Section 8-102 of the UCC) to such securities entitlement, whether framed in conversion, replevin, constructive trust, equitable lien or other theory may not be asserted against the Underwriters with respect to such security entitlement. For purposes of this representation, the Selling Shareholder may assume that when such payment, delivery and crediting occur, (x) such Shares will have been registered in the name of Cede or another nominee designated by DTC, in each case on the Company’s share registry in accordance with its certificate of incorporation, articles of association and applicable law, (y) DTC will be registered as a “clearing corporation” within the meaning of Section 8-102 of the UCC, and (z) appropriate entries to the accounts of the Underwriters on the records of DTC will have been made pursuant to the UCC.</w:t>
      </w:r>
    </w:p>
    <w:p>
      <w:pPr>
        <w:spacing w:after="0" w:line="191" w:lineRule="exact"/>
        <w:rPr>
          <w:rFonts w:ascii="Times New Roman" w:cs="Times New Roman" w:eastAsia="Times New Roman" w:hAnsi="Times New Roman"/>
          <w:sz w:val="18"/>
          <w:szCs w:val="18"/>
          <w:color w:val="auto"/>
        </w:rPr>
      </w:pPr>
    </w:p>
    <w:p>
      <w:pPr>
        <w:jc w:val="both"/>
        <w:ind w:left="4" w:firstLine="644"/>
        <w:spacing w:after="0" w:line="266" w:lineRule="auto"/>
        <w:tabs>
          <w:tab w:leader="none" w:pos="875"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Selling Shareholder has been duly organized and is validly existing as a limited liability company in good standing under the laws of the State of Nevada, with the limited liability company power and authority to own its properties and conduct its business in all material respects as currently conducted.</w:t>
      </w:r>
    </w:p>
    <w:p>
      <w:pPr>
        <w:spacing w:after="0" w:line="175" w:lineRule="exact"/>
        <w:rPr>
          <w:rFonts w:ascii="Times New Roman" w:cs="Times New Roman" w:eastAsia="Times New Roman" w:hAnsi="Times New Roman"/>
          <w:sz w:val="18"/>
          <w:szCs w:val="18"/>
          <w:color w:val="auto"/>
        </w:rPr>
      </w:pPr>
    </w:p>
    <w:p>
      <w:pPr>
        <w:ind w:left="904" w:hanging="256"/>
        <w:spacing w:after="0"/>
        <w:tabs>
          <w:tab w:leader="none" w:pos="904"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Selling Shareholder has full right, power and authority, corporate or otherwise, to enter into this Agreement.</w:t>
      </w:r>
    </w:p>
    <w:p>
      <w:pPr>
        <w:spacing w:after="0" w:line="225" w:lineRule="exact"/>
        <w:rPr>
          <w:rFonts w:ascii="Times New Roman" w:cs="Times New Roman" w:eastAsia="Times New Roman" w:hAnsi="Times New Roman"/>
          <w:sz w:val="18"/>
          <w:szCs w:val="18"/>
          <w:color w:val="auto"/>
        </w:rPr>
      </w:pPr>
    </w:p>
    <w:p>
      <w:pPr>
        <w:ind w:left="904" w:hanging="256"/>
        <w:spacing w:after="0"/>
        <w:tabs>
          <w:tab w:leader="none" w:pos="904"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has been duly and validly authorized, executed and delivered by or on behalf of the Selling Shareholder.</w:t>
      </w:r>
    </w:p>
    <w:p>
      <w:pPr>
        <w:spacing w:after="0" w:line="225" w:lineRule="exact"/>
        <w:rPr>
          <w:rFonts w:ascii="Times New Roman" w:cs="Times New Roman" w:eastAsia="Times New Roman" w:hAnsi="Times New Roman"/>
          <w:sz w:val="18"/>
          <w:szCs w:val="18"/>
          <w:color w:val="auto"/>
        </w:rPr>
      </w:pPr>
    </w:p>
    <w:p>
      <w:pPr>
        <w:ind w:left="864" w:hanging="216"/>
        <w:spacing w:after="0"/>
        <w:tabs>
          <w:tab w:leader="none" w:pos="864"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jc w:val="both"/>
        <w:ind w:left="4" w:firstLine="644"/>
        <w:spacing w:after="0" w:line="254" w:lineRule="auto"/>
        <w:tabs>
          <w:tab w:leader="none" w:pos="866"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of the Shares to be sold by the Selling Shareholder, the execution, delivery and performance of this Agreement by the Selling Shareholder and the consummation by the Selling Shareholder of the transactions contemplated hereby do not and will not (i) conflict with or result in a breach or violation of any of the terms or provisions of, or constitute a default under, any indenture, mortgage, deed of trust, loan agreement, license, lease or other agreement or instrument to which the Selling Shareholder is a party or by which the Selling Shareholder is bound or to which any of the property or assets of the Selling Shareholder is subject, or (ii) result in any violation of any statute or any judgment, order, decree, rule or regulation of any court or governmental agency or body having jurisdiction over the Selling Shareholder or the property or assets of the Selling Shareholder, except in each case, any non-material breaches, conflicts or violations that would not materially impact the ability of the Underwriters to consummate the transactions contemplated by this Agreement.</w:t>
      </w:r>
    </w:p>
    <w:p>
      <w:pPr>
        <w:spacing w:after="0" w:line="398" w:lineRule="exact"/>
        <w:rPr>
          <w:sz w:val="20"/>
          <w:szCs w:val="20"/>
          <w:color w:val="auto"/>
        </w:rPr>
      </w:pPr>
    </w:p>
    <w:p>
      <w:pPr>
        <w:ind w:left="4864"/>
        <w:spacing w:after="0"/>
        <w:rPr>
          <w:sz w:val="20"/>
          <w:szCs w:val="20"/>
          <w:color w:val="auto"/>
        </w:rPr>
      </w:pPr>
      <w:r>
        <w:rPr>
          <w:rFonts w:ascii="Times New Roman" w:cs="Times New Roman" w:eastAsia="Times New Roman" w:hAnsi="Times New Roman"/>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10795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21" w:name="page22"/>
    <w:bookmarkEnd w:id="21"/>
    <w:p>
      <w:pPr>
        <w:jc w:val="both"/>
        <w:ind w:left="-460" w:firstLine="644"/>
        <w:spacing w:after="0" w:line="256" w:lineRule="auto"/>
        <w:tabs>
          <w:tab w:leader="none" w:pos="468"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consent, approval, authorization or order of, or filing or registration with, any court or governmental agency or body having jurisdiction over the Selling Shareholder or the property or assets of the Selling Shareholder is required for the sale of the Shares by the Selling Shareholder, the execution, delivery and performance of this Agreement by the Selling Shareholder and the consummation by the Selling Shareholder of the transactions contemplated hereby, except for (i) the registration of the Shares under the Securities Act and such consents, approvals, authorizations, orders, filings, registrations or qualifications as may be required under the Exchange Act and the rules of the Nasdaq Stock Market LLC) and (ii) such consents, approvals, authorizations and orders that have been already obtained.</w:t>
      </w:r>
    </w:p>
    <w:p>
      <w:pPr>
        <w:spacing w:after="0" w:line="187" w:lineRule="exact"/>
        <w:rPr>
          <w:rFonts w:ascii="Times New Roman" w:cs="Times New Roman" w:eastAsia="Times New Roman" w:hAnsi="Times New Roman"/>
          <w:sz w:val="18"/>
          <w:szCs w:val="18"/>
          <w:color w:val="auto"/>
        </w:rPr>
      </w:pPr>
    </w:p>
    <w:p>
      <w:pPr>
        <w:jc w:val="both"/>
        <w:ind w:left="-460" w:firstLine="644"/>
        <w:spacing w:after="0" w:line="255" w:lineRule="auto"/>
        <w:tabs>
          <w:tab w:leader="none" w:pos="40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knowledge of the Selling Shareholder, the Registration Statement did not, as of the Effective Date, contain an untrue statement of a material fact or omit to state a material fact required to be stated therein or necessary to make the statements therein not misleading;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representations and warranties set forth in this subsection (l) apply only to statements or omissions made in reliance upon and in conformity with information relating to the Selling Shareholder furnished in writing by or on behalf of the Selling Shareholder expressly for use in the Prospectus, it being understood that the only such information furnished by the Selling Shareholder consists of the statements contained with respect to the Selling Shareholder under the caption “Selling shareholder” (without regard to any information incorporated by reference in the Registration Statement).</w:t>
      </w:r>
    </w:p>
    <w:p>
      <w:pPr>
        <w:spacing w:after="0" w:line="188" w:lineRule="exact"/>
        <w:rPr>
          <w:rFonts w:ascii="Times New Roman" w:cs="Times New Roman" w:eastAsia="Times New Roman" w:hAnsi="Times New Roman"/>
          <w:sz w:val="18"/>
          <w:szCs w:val="18"/>
          <w:color w:val="auto"/>
        </w:rPr>
      </w:pPr>
    </w:p>
    <w:p>
      <w:pPr>
        <w:jc w:val="both"/>
        <w:ind w:left="-460" w:firstLine="644"/>
        <w:spacing w:after="0" w:line="255" w:lineRule="auto"/>
        <w:tabs>
          <w:tab w:leader="none" w:pos="508"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knowledge of the Selling Shareholder, the Prospectus will not, as of its date or as of the Delivery Date, contain an untrue statement of a material fact or omit to state a material fact necessary to make the statements therein, in the light of the circumstances under which they were made, not misleading;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representations and warranties set forth in this subsection (m) apply only to statements or omissions made in reliance upon and in conformity with information relating to the Selling Shareholder furnished in writing by or on behalf of the Selling Shareholder expressly for use in the Prospectus, it being understood that the only such information furnished by the Selling Shareholder consists of the statements contained with respect to the Selling Shareholder under the caption “Selling shareholder” (without regard to any information incorporated by reference in the Prospectus).</w:t>
      </w:r>
    </w:p>
    <w:p>
      <w:pPr>
        <w:spacing w:after="0" w:line="188" w:lineRule="exact"/>
        <w:rPr>
          <w:rFonts w:ascii="Times New Roman" w:cs="Times New Roman" w:eastAsia="Times New Roman" w:hAnsi="Times New Roman"/>
          <w:sz w:val="18"/>
          <w:szCs w:val="18"/>
          <w:color w:val="auto"/>
        </w:rPr>
      </w:pPr>
    </w:p>
    <w:p>
      <w:pPr>
        <w:jc w:val="both"/>
        <w:ind w:left="-460" w:firstLine="644"/>
        <w:spacing w:after="0" w:line="255" w:lineRule="auto"/>
        <w:tabs>
          <w:tab w:leader="none" w:pos="45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knowledge of the Selling Shareholder, the Pricing Disclosure Package did not, as of the Applicable Time, contain an untrue statement of a material fact or omit to state a material fact necessary to make the statements therein, in the light of the circumstances under which they were made, not misleading;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representations and warranties set forth in this subsection (n) apply only to statements or omissions made in reliance upon and in conformity with information relating to the Selling Shareholder furnished in writing by or on behalf of the Selling Shareholder expressly for use in the Pricing Disclosure Package, it being understood that the only such information furnished by the Selling Shareholder consists of the statements contained with respect to the Selling Shareholder under the caption “Selling shareholder” (without regard to any information incorporated by reference in the Pricing Disclosure Package).</w:t>
      </w:r>
    </w:p>
    <w:p>
      <w:pPr>
        <w:spacing w:after="0" w:line="395"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10795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22" w:name="page23"/>
    <w:bookmarkEnd w:id="22"/>
    <w:p>
      <w:pPr>
        <w:jc w:val="both"/>
        <w:ind w:left="-460" w:firstLine="644"/>
        <w:spacing w:after="0" w:line="254" w:lineRule="auto"/>
        <w:tabs>
          <w:tab w:leader="none" w:pos="461"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knowledge of the Selling Shareholder, the Pricing Disclosure Package, when taken together with each Issuer Free Writing Prospectus listed in Schedule V hereto, did not, as of the Applicable Time, contain an untrue statement of a material fact or omit to state a material fact necessary to make the statements therein, in the light of the circumstances under which they were made, not misleading;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representations and warranties set forth in this subsection (o) apply only to statements or omissions made in reliance upon and in conformity with information relating to the Selling Shareholder furnished in writing by or on behalf of the Selling Shareholder expressly for use in the Pricing Disclosure Package (or any Issuer Free Writing Package), it being understood that the only such information furnished by the Selling Shareholder consists of the statements contained with respect to the Selling Shareholder under the caption “Selling shareholder” (without regard to any information incorporated by reference in the Pricing Disclosure Package).</w:t>
      </w:r>
    </w:p>
    <w:p>
      <w:pPr>
        <w:spacing w:after="0" w:line="191" w:lineRule="exact"/>
        <w:rPr>
          <w:rFonts w:ascii="Times New Roman" w:cs="Times New Roman" w:eastAsia="Times New Roman" w:hAnsi="Times New Roman"/>
          <w:sz w:val="18"/>
          <w:szCs w:val="18"/>
          <w:color w:val="auto"/>
        </w:rPr>
      </w:pPr>
    </w:p>
    <w:p>
      <w:pPr>
        <w:ind w:left="440" w:hanging="256"/>
        <w:spacing w:after="0"/>
        <w:tabs>
          <w:tab w:leader="none" w:pos="4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jc w:val="both"/>
        <w:ind w:left="-460" w:firstLine="644"/>
        <w:spacing w:after="0" w:line="255" w:lineRule="auto"/>
        <w:tabs>
          <w:tab w:leader="none" w:pos="448"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Assuming that the Underwriters are not otherwise subject to taxation in the State of Israel, other than any withholding taxes which may be required pursuant to Israeli law arising under clauses (1) and (2) below, no stamp or other issuance of transfer taxes or duties and no capital gains, income or other taxes are payable by or on behalf of the Underwriters, or otherwise imposed on any payments made to the Underwriters, to the State of Israel or to any political subdivision or taxing authority thereof in connection with (1) the execution, delivery or performance of this Agreement by the Selling Shareholder, or (2) the sale or delivery of the Shares to be sold by the Selling Shareholder to or for the respective accounts of the Underwriters as disclosed in the Registration Statement, the Pricing Disclosure Package and the Prospectus, and pursuant to the terms of this Agreement.</w:t>
      </w:r>
    </w:p>
    <w:p>
      <w:pPr>
        <w:spacing w:after="0" w:line="188" w:lineRule="exact"/>
        <w:rPr>
          <w:rFonts w:ascii="Times New Roman" w:cs="Times New Roman" w:eastAsia="Times New Roman" w:hAnsi="Times New Roman"/>
          <w:sz w:val="18"/>
          <w:szCs w:val="18"/>
          <w:color w:val="auto"/>
        </w:rPr>
      </w:pPr>
    </w:p>
    <w:p>
      <w:pPr>
        <w:jc w:val="both"/>
        <w:ind w:left="-460" w:firstLine="644"/>
        <w:spacing w:after="0" w:line="258" w:lineRule="auto"/>
        <w:tabs>
          <w:tab w:leader="none" w:pos="438"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Selling Shareholder has not taken, directly or indirectly, any action that is designed to or that has constituted or that could reasonably be expected to cause or result in the stabilization or manipulation of the price of any security of the Company in connection with the offering of the Shares. In addition, the Selling Shareholder has not engaged in any form of solicitation, advertising or any other action constituting an offer to the public under the Israeli Securities Law in connection with the transactions contemplated hereby which would require the publication of a prospectus in the State of Israel under the laws of the State of Israel.</w:t>
      </w:r>
    </w:p>
    <w:p>
      <w:pPr>
        <w:spacing w:after="0" w:line="183" w:lineRule="exact"/>
        <w:rPr>
          <w:rFonts w:ascii="Times New Roman" w:cs="Times New Roman" w:eastAsia="Times New Roman" w:hAnsi="Times New Roman"/>
          <w:sz w:val="18"/>
          <w:szCs w:val="18"/>
          <w:color w:val="auto"/>
        </w:rPr>
      </w:pPr>
    </w:p>
    <w:p>
      <w:pPr>
        <w:jc w:val="both"/>
        <w:ind w:left="-460" w:firstLine="644"/>
        <w:spacing w:after="0" w:line="266" w:lineRule="auto"/>
        <w:tabs>
          <w:tab w:leader="none" w:pos="42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Selling Shareholder is not (1) an employee benefit plan subject to Title I of ERISA, (2) a plan or account subject to Section 4975 of the Code or (3) an entity deemed to hold “plan assets” of any such plan or account under Section 3(42) of ERISA, 29 C.F.R. 2510.3-101, or otherwise.</w:t>
      </w:r>
    </w:p>
    <w:p>
      <w:pPr>
        <w:spacing w:after="0" w:line="383"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10795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23" w:name="page24"/>
    <w:bookmarkEnd w:id="23"/>
    <w:p>
      <w:pPr>
        <w:jc w:val="both"/>
        <w:ind w:left="660" w:firstLine="644"/>
        <w:spacing w:after="0" w:line="258" w:lineRule="auto"/>
        <w:tabs>
          <w:tab w:leader="none" w:pos="152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Selling Shareholder nor any of its subsidiaries nor, to the knowledge of the Selling Shareholder, any director, officer, agent employee or affiliate of the Selling Shareholder or any of its subsidiaries will, directly or indirectly, use the proceeds of this offering, or lend, contribute or otherwise make available such proceeds to any subsidiary, joint venture partner or other individual or entity in any manner that would result in a violation of any Sanctions by, or could result in the imposition of Sanctions against, any individual or entity (including any individual or entity participating in the offering, whether as underwriter, advisor, investor or otherwise).</w:t>
      </w:r>
    </w:p>
    <w:p>
      <w:pPr>
        <w:spacing w:after="0" w:line="183"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Any certificate signed by the Selling Shareholder and delivered to the Underwriters or counsel for the Underwriters in connection with the offering of the Shares shall be deemed a representation and warranty by the Selling Shareholder, as to matters covered thereby, to each Underwriter.</w:t>
      </w:r>
    </w:p>
    <w:p>
      <w:pPr>
        <w:spacing w:after="0" w:line="160" w:lineRule="exact"/>
        <w:rPr>
          <w:sz w:val="20"/>
          <w:szCs w:val="20"/>
          <w:color w:val="auto"/>
        </w:rPr>
      </w:pPr>
    </w:p>
    <w:p>
      <w:pPr>
        <w:jc w:val="both"/>
        <w:ind w:firstLine="656"/>
        <w:spacing w:after="0" w:line="255" w:lineRule="auto"/>
        <w:tabs>
          <w:tab w:leader="none" w:pos="828"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Purchase of the Shares by the Underwriters</w:t>
      </w:r>
      <w:r>
        <w:rPr>
          <w:rFonts w:ascii="Times New Roman" w:cs="Times New Roman" w:eastAsia="Times New Roman" w:hAnsi="Times New Roman"/>
          <w:sz w:val="18"/>
          <w:szCs w:val="18"/>
          <w:color w:val="auto"/>
        </w:rPr>
        <w:t>. On the basis of the representations, warranties and covenants contained in, and subject to the terms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conditions of, this Agreement, the Company agrees to sell 2,388,268 Shares to the several Underwriters and the Selling Shareholder agrees to sell 1,689,942 Shares to the several Underwriters, and each of the Underwriters, severally and not jointly, agrees to purchase the number of Firm Shares set forth opposite that Underwriter’s name in Schedule I hereto. Each Underwriter shall be obligated to purchase from the Company, and from the Selling Shareholder, acting severally and not jointly, that number of Shares that represents the same proportion of the number of Shares to be sold by the Company and by the Selling Shareholder as the number of Shares set forth opposite the name of such Underwriter in Schedule I represents to the total number of Shares to be purchased by all of the Underwriters pursuant to this Agreement. The respective purchase obligations of the Underwriters with respect to the Firm Shares shall be rounded among the Underwriters to avoid fractional shares, as the Representatives may determine.</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addition, the Company grants to the Underwriters an option to purchase up to 611,731 Option Shares. Any such election to purchase Option Shares shall be made in proportion to the maximum number of Option Shares to be sold by the Company. Each Underwriter agrees, severally and not jointly, to purchase the number of Option Shares (subject to such adjustments to eliminate fractional shares as the Representatives may determine) that bears the same proportion to the total number of Option Shares to be sold on such Delivery Date as the number of Firm Shares set forth in Schedule I hereto opposite the name of such Underwriter bears to the total number of Firm Shares.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purchase price payable by the Underwriters for both the Firm Shares and any Option Shares is $54.24 per share.</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Company and the Selling Shareholder are not obligated to deliver any of the Firm Shares or Option Shares to be delivered on the applicable Delivery Date, except upon payment for all such Shares to be purchased on such Delivery Date as provided herein.</w:t>
      </w:r>
    </w:p>
    <w:p>
      <w:pPr>
        <w:spacing w:after="0" w:line="160" w:lineRule="exact"/>
        <w:rPr>
          <w:sz w:val="20"/>
          <w:szCs w:val="20"/>
          <w:color w:val="auto"/>
        </w:rPr>
      </w:pPr>
    </w:p>
    <w:p>
      <w:pPr>
        <w:ind w:right="20" w:firstLine="656"/>
        <w:spacing w:after="0" w:line="284" w:lineRule="auto"/>
        <w:tabs>
          <w:tab w:leader="none" w:pos="828"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Offering of Shares by the Underwriters</w:t>
      </w:r>
      <w:r>
        <w:rPr>
          <w:rFonts w:ascii="Times New Roman" w:cs="Times New Roman" w:eastAsia="Times New Roman" w:hAnsi="Times New Roman"/>
          <w:sz w:val="18"/>
          <w:szCs w:val="18"/>
          <w:color w:val="auto"/>
        </w:rPr>
        <w:t>. Upon authorization by the Representatives of the release of the Firm Shares, the several Underwriters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propose to offer the Firm Shares for sale upon the terms and conditions to be set forth in the Prospectus.</w:t>
      </w: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4" w:name="page25"/>
    <w:bookmarkEnd w:id="24"/>
    <w:p>
      <w:pPr>
        <w:jc w:val="both"/>
        <w:ind w:firstLine="656"/>
        <w:spacing w:after="0" w:line="254" w:lineRule="auto"/>
        <w:tabs>
          <w:tab w:leader="none" w:pos="828"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Delivery of and Payment for the Shares</w:t>
      </w:r>
      <w:r>
        <w:rPr>
          <w:rFonts w:ascii="Times New Roman" w:cs="Times New Roman" w:eastAsia="Times New Roman" w:hAnsi="Times New Roman"/>
          <w:sz w:val="18"/>
          <w:szCs w:val="18"/>
          <w:color w:val="auto"/>
        </w:rPr>
        <w:t>. Delivery of and payment for the Firm Shares shall be made at 10:00 A.M., New York City time, 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third full business day following the date of this Agreement or at such other date or place as shall be determined by agreement between the Representatives, the Selling Shareholder and the Company. This date and time are sometimes referred to as the “</w:t>
      </w:r>
      <w:r>
        <w:rPr>
          <w:rFonts w:ascii="Times New Roman" w:cs="Times New Roman" w:eastAsia="Times New Roman" w:hAnsi="Times New Roman"/>
          <w:sz w:val="18"/>
          <w:szCs w:val="18"/>
          <w:b w:val="1"/>
          <w:bCs w:val="1"/>
          <w:color w:val="auto"/>
        </w:rPr>
        <w:t>Initial Delivery Date</w:t>
      </w:r>
      <w:r>
        <w:rPr>
          <w:rFonts w:ascii="Times New Roman" w:cs="Times New Roman" w:eastAsia="Times New Roman" w:hAnsi="Times New Roman"/>
          <w:sz w:val="18"/>
          <w:szCs w:val="18"/>
          <w:color w:val="auto"/>
        </w:rPr>
        <w:t>”. Delivery of the Firm Shares shall be made to the Representatives for the account of each Underwriter against payment by the several Underwriters through the Representatives and of the respective aggregate purchase prices of the Firm Shares being sold by the Company and the Selling Shareholder to or upon the order of the Company and the Selling Shareholder of the purchase price by wire transfer in immediately available funds to the accounts specified by the Company and the Selling Shareholder. Time shall be of the essence, and delivery at the time and place specified pursuant to this Agreement is a further condition of the obligation of each Underwriter hereunder. The Company and the Selling Shareholder shall deliver the Firm Shares through the facilities of the Depository Trust Company (“</w:t>
      </w:r>
      <w:r>
        <w:rPr>
          <w:rFonts w:ascii="Times New Roman" w:cs="Times New Roman" w:eastAsia="Times New Roman" w:hAnsi="Times New Roman"/>
          <w:sz w:val="18"/>
          <w:szCs w:val="18"/>
          <w:b w:val="1"/>
          <w:bCs w:val="1"/>
          <w:color w:val="auto"/>
        </w:rPr>
        <w:t>DTC</w:t>
      </w:r>
      <w:r>
        <w:rPr>
          <w:rFonts w:ascii="Times New Roman" w:cs="Times New Roman" w:eastAsia="Times New Roman" w:hAnsi="Times New Roman"/>
          <w:sz w:val="18"/>
          <w:szCs w:val="18"/>
          <w:color w:val="auto"/>
        </w:rPr>
        <w:t>”) unless the Representatives shall otherwise instruct.</w:t>
      </w:r>
    </w:p>
    <w:p>
      <w:pPr>
        <w:spacing w:after="0" w:line="19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The option granted in Section 3 will expire 30 days after the date of this Agreement and may be exercised in whole or from time to time in part by written notice being given to the Company by the Representatives within such 30 day period;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such date falls on a day that is not a business day, the option granted in Section 3 will expire on the next succeeding business day. Such notice shall set forth the aggregate number of Option Shares as to which the option is being exercised, the names in which the Option Shares are to be registered, the denominations in which the Option Shares are to be issued and the date and time, as determined by the Representatives, when the Option Shares are to be delivered; </w:t>
      </w:r>
      <w:r>
        <w:rPr>
          <w:rFonts w:ascii="Times New Roman" w:cs="Times New Roman" w:eastAsia="Times New Roman" w:hAnsi="Times New Roman"/>
          <w:sz w:val="18"/>
          <w:szCs w:val="18"/>
          <w:u w:val="single" w:color="auto"/>
          <w:color w:val="auto"/>
        </w:rPr>
        <w:t>provided, however</w:t>
      </w:r>
      <w:r>
        <w:rPr>
          <w:rFonts w:ascii="Times New Roman" w:cs="Times New Roman" w:eastAsia="Times New Roman" w:hAnsi="Times New Roman"/>
          <w:sz w:val="18"/>
          <w:szCs w:val="18"/>
          <w:color w:val="auto"/>
        </w:rPr>
        <w:t>, that this date and time shall not be earlier than the Initial Delivery Date nor earlier than the second business day after the date on which the option shall have been exercised nor later than the fifth day after the date on which the option shall have been exercised. Each date and time the Option Shares are delivered is sometimes referred to as an “</w:t>
      </w:r>
      <w:r>
        <w:rPr>
          <w:rFonts w:ascii="Times New Roman" w:cs="Times New Roman" w:eastAsia="Times New Roman" w:hAnsi="Times New Roman"/>
          <w:sz w:val="18"/>
          <w:szCs w:val="18"/>
          <w:b w:val="1"/>
          <w:bCs w:val="1"/>
          <w:color w:val="auto"/>
        </w:rPr>
        <w:t>Option Shares Delivery Date</w:t>
      </w:r>
      <w:r>
        <w:rPr>
          <w:rFonts w:ascii="Times New Roman" w:cs="Times New Roman" w:eastAsia="Times New Roman" w:hAnsi="Times New Roman"/>
          <w:sz w:val="18"/>
          <w:szCs w:val="18"/>
          <w:color w:val="auto"/>
        </w:rPr>
        <w:t>”, and the Initial Delivery Date and any Option Shares Delivery Date are sometimes each referred to as a “</w:t>
      </w:r>
      <w:r>
        <w:rPr>
          <w:rFonts w:ascii="Times New Roman" w:cs="Times New Roman" w:eastAsia="Times New Roman" w:hAnsi="Times New Roman"/>
          <w:sz w:val="18"/>
          <w:szCs w:val="18"/>
          <w:b w:val="1"/>
          <w:bCs w:val="1"/>
          <w:color w:val="auto"/>
        </w:rPr>
        <w:t>Delivery Date</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Delivery of the Option Shares by the Company and payment for the Option Shares by the several Underwriters through the Representatives shall be made at 10:00 A.M., New York City time, on the date specified in the corresponding notice described in the preceding paragraph or at such other date or place as shall be determined by agreement between the Representatives and the Company. On each Option Shares Delivery Date, the Company shall deliver or cause to be delivered the Option Shares being sold by the Company on such Option Shares Delivery Date to the Representatives for the account of each Underwriter against payment by the several Underwriters through the Representatives and of the respective aggregate purchase prices of the Option Shares being sold by the Company to or upon the order of the Company of the purchase price by wire transfer in immediately available funds to the accounts specified by the Company. Time shall be of the essence, and delivery at the time and place specified pursuant to this Agreement is a further condition of the obligation of each Underwriter hereunder. The Company shall deliver the Option Shares through the facilities of DTC unless the Representatives shall otherwise instruct.</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25" w:name="page26"/>
    <w:bookmarkEnd w:id="25"/>
    <w:p>
      <w:pPr>
        <w:ind w:left="184" w:hanging="184"/>
        <w:spacing w:after="0"/>
        <w:tabs>
          <w:tab w:leader="none" w:pos="184"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Further Agreements of the Company and the Underwriters</w:t>
      </w:r>
      <w:r>
        <w:rPr>
          <w:rFonts w:ascii="Times New Roman" w:cs="Times New Roman" w:eastAsia="Times New Roman" w:hAnsi="Times New Roman"/>
          <w:sz w:val="18"/>
          <w:szCs w:val="18"/>
          <w:color w:val="auto"/>
        </w:rPr>
        <w:t>. (a) The Company agrees:</w:t>
      </w:r>
    </w:p>
    <w:p>
      <w:pPr>
        <w:spacing w:after="0" w:line="227" w:lineRule="exact"/>
        <w:rPr>
          <w:rFonts w:ascii="Times New Roman" w:cs="Times New Roman" w:eastAsia="Times New Roman" w:hAnsi="Times New Roman"/>
          <w:sz w:val="18"/>
          <w:szCs w:val="18"/>
          <w:color w:val="auto"/>
        </w:rPr>
      </w:pPr>
    </w:p>
    <w:p>
      <w:pPr>
        <w:jc w:val="both"/>
        <w:ind w:left="644" w:firstLine="652"/>
        <w:spacing w:after="0" w:line="253" w:lineRule="auto"/>
        <w:tabs>
          <w:tab w:leader="none" w:pos="1522"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prepare the Prospectus in a form approved by the Representatives and to file such Prospectus pursuant to Rule 424(b) under the Securities Act not later than the Commission’s close of business on the second business day following the execution and delivery of this Agreement; to make no further amendment or any supplement to the Registration Statement or the Prospectus prior to the last Delivery Date except as provided herein; to advise the Representatives, promptly after it receives notice thereof, of the time when any amendment or supplement to the Registration Statement or the Prospectus has been filed and to furnish the Representatives with copies thereof; to advise the Representatives, promptly after it receives notice thereof, of the issuance by the Commission of any stop order or of any order preventing or suspending the use of the Prospectus or any Issuer Free Writing Prospectus, of the suspension of the qualification of the Shares for offering or sale in any jurisdiction, of the initiation or threatening of any proceeding or examination for any such purpose or of any request by the Commission for the amending or supplementing of the Registration Statement, the Prospectus or any Issuer Free Writing Prospectus or for additional information; and, in the event of the issuance of any stop order or of any order preventing or suspending the use of the Prospectus or any Issuer Free Writing Prospectus or suspending any such qualification, to use promptly its best efforts to obtain its withdrawal.</w:t>
      </w:r>
    </w:p>
    <w:p>
      <w:pPr>
        <w:spacing w:after="0" w:line="189" w:lineRule="exact"/>
        <w:rPr>
          <w:rFonts w:ascii="Times New Roman" w:cs="Times New Roman" w:eastAsia="Times New Roman" w:hAnsi="Times New Roman"/>
          <w:sz w:val="18"/>
          <w:szCs w:val="18"/>
          <w:color w:val="auto"/>
        </w:rPr>
      </w:pPr>
    </w:p>
    <w:p>
      <w:pPr>
        <w:jc w:val="both"/>
        <w:ind w:left="644" w:firstLine="652"/>
        <w:spacing w:after="0" w:line="266" w:lineRule="auto"/>
        <w:tabs>
          <w:tab w:leader="none" w:pos="1568"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furnish promptly upon request to each of the Representatives and to counsel for the Underwriters a signed copy of the Registration Statement as originally filed with the Commission, and each amendment thereto filed with the Commission, including all consents and exhibits filed therewith.</w:t>
      </w:r>
    </w:p>
    <w:p>
      <w:pPr>
        <w:spacing w:after="0" w:line="175" w:lineRule="exact"/>
        <w:rPr>
          <w:rFonts w:ascii="Times New Roman" w:cs="Times New Roman" w:eastAsia="Times New Roman" w:hAnsi="Times New Roman"/>
          <w:sz w:val="18"/>
          <w:szCs w:val="18"/>
          <w:color w:val="auto"/>
        </w:rPr>
      </w:pPr>
    </w:p>
    <w:p>
      <w:pPr>
        <w:jc w:val="both"/>
        <w:ind w:left="644" w:firstLine="652"/>
        <w:spacing w:after="0" w:line="253" w:lineRule="auto"/>
        <w:tabs>
          <w:tab w:leader="none" w:pos="1607"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deliver promptly to the Representatives such number of the following documents as the Representatives shall reasonably request: (A) conformed copies of the Registration Statement as originally filed with the Commission and each amendment thereto (in each case excluding exhibits other than this Agreement and the computation of per share earnings), (B) the Preliminary Prospectus, the Prospectus and any amended or supplemented Prospectus, (C) each Issuer Free Writing Prospectus, and (D) any document incorporated by reference in any Preliminary Prospectus or the Prospectus; and, if the delivery of a prospectus is required at any time after the date hereof in connection with the offering or sale of the Shares or any other securities relating thereto and if at such time any events shall have occurred as a result of which the Prospectus as then amended or supplemented would include an untrue statement of a material fact or omit to state any material fact necessary in order to make the statements therein, in the light of the circumstances under which they were made when such Prospectus is delivered, not misleading, or, if for any other reason it shall be necessary to amend or supplement the Prospectus in order to comply with the Securities Act, to notify the Representatives and, upon their request, to file such document and to prepare and furnish without charge to each Underwriter and to any dealer in securities as many copies as the Representatives may from time to time reasonably request of an amended or supplemented Prospectus that will correct such statement or omission or effect such compliance.</w:t>
      </w:r>
    </w:p>
    <w:p>
      <w:pPr>
        <w:spacing w:after="0" w:line="394" w:lineRule="exact"/>
        <w:rPr>
          <w:sz w:val="20"/>
          <w:szCs w:val="20"/>
          <w:color w:val="auto"/>
        </w:rPr>
      </w:pPr>
    </w:p>
    <w:p>
      <w:pPr>
        <w:ind w:left="4864"/>
        <w:spacing w:after="0"/>
        <w:rPr>
          <w:sz w:val="20"/>
          <w:szCs w:val="20"/>
          <w:color w:val="auto"/>
        </w:rPr>
      </w:pPr>
      <w:r>
        <w:rPr>
          <w:rFonts w:ascii="Times New Roman" w:cs="Times New Roman" w:eastAsia="Times New Roman" w:hAnsi="Times New Roman"/>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10795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902" w:right="339" w:bottom="1440" w:gutter="0" w:footer="0" w:header="0"/>
        </w:sectPr>
      </w:pPr>
    </w:p>
    <w:bookmarkStart w:id="26" w:name="page27"/>
    <w:bookmarkEnd w:id="26"/>
    <w:p>
      <w:pPr>
        <w:ind w:left="180" w:right="20" w:firstLine="652"/>
        <w:spacing w:after="0" w:line="282" w:lineRule="auto"/>
        <w:tabs>
          <w:tab w:leader="none" w:pos="1142"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promptly with the Commission any amendment or supplement to the Registration Statement or the Prospectus that may, in the judgment of the Company or the Representatives, be required by the Securities Act or requested by the Commission.</w:t>
      </w:r>
    </w:p>
    <w:p>
      <w:pPr>
        <w:spacing w:after="0" w:line="161" w:lineRule="exact"/>
        <w:rPr>
          <w:rFonts w:ascii="Times New Roman" w:cs="Times New Roman" w:eastAsia="Times New Roman" w:hAnsi="Times New Roman"/>
          <w:sz w:val="18"/>
          <w:szCs w:val="18"/>
          <w:color w:val="auto"/>
        </w:rPr>
      </w:pPr>
    </w:p>
    <w:p>
      <w:pPr>
        <w:jc w:val="both"/>
        <w:ind w:left="180" w:firstLine="652"/>
        <w:spacing w:after="0" w:line="261" w:lineRule="auto"/>
        <w:tabs>
          <w:tab w:leader="none" w:pos="1117"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filing with the Commission any amendment or supplement to the Registration Statement, the Prospectus, any document incorporated by reference in the Prospectus or any amendment to any document incorporated by reference in the Prospectus, to furnish a copy thereof to the Representatives and counsel for the Underwriters and not to file any such amendment or supplement to which the Representatives shall reasonably object.</w:t>
      </w:r>
    </w:p>
    <w:p>
      <w:pPr>
        <w:spacing w:after="0" w:line="179" w:lineRule="exact"/>
        <w:rPr>
          <w:rFonts w:ascii="Times New Roman" w:cs="Times New Roman" w:eastAsia="Times New Roman" w:hAnsi="Times New Roman"/>
          <w:sz w:val="18"/>
          <w:szCs w:val="18"/>
          <w:color w:val="auto"/>
        </w:rPr>
      </w:pPr>
    </w:p>
    <w:p>
      <w:pPr>
        <w:ind w:left="180" w:firstLine="652"/>
        <w:spacing w:after="0" w:line="282" w:lineRule="auto"/>
        <w:tabs>
          <w:tab w:leader="none" w:pos="11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to make any offer relating to the Shares that would constitute an Issuer Free Writing Prospectus without the prior written consent of the Representatives.</w:t>
      </w:r>
    </w:p>
    <w:p>
      <w:pPr>
        <w:spacing w:after="0" w:line="161" w:lineRule="exact"/>
        <w:rPr>
          <w:rFonts w:ascii="Times New Roman" w:cs="Times New Roman" w:eastAsia="Times New Roman" w:hAnsi="Times New Roman"/>
          <w:sz w:val="18"/>
          <w:szCs w:val="18"/>
          <w:color w:val="auto"/>
        </w:rPr>
      </w:pPr>
    </w:p>
    <w:p>
      <w:pPr>
        <w:jc w:val="both"/>
        <w:ind w:left="180" w:firstLine="652"/>
        <w:spacing w:after="0" w:line="254" w:lineRule="auto"/>
        <w:tabs>
          <w:tab w:leader="none" w:pos="1194"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all applicable requirements of Rule 433 under the Securities Act with respect to any Issuer Free Writing Prospectus. If at any time after the date hereof any events shall have occurred as a result of which any Issuer Free Writing Prospectus, as then amended or supplemented, would conflict with the information in the Registration Statement, the Preliminary Prospectus or the Prospectus or would include an untrue statement of a material fact or omit to state any material fact necessary in order to make the statements therein, in the light of the circumstances under which they were made, not misleading, or, if for any other reason it shall be necessary to amend or supplement any Issuer Free Writing Prospectus, to notify the Representatives and, upon their request, to file such document and to prepare and furnish without charge to each Underwriter as many copies as the Representatives may from time to time reasonably request of an amended or supplemented Issuer Free Writing Prospectus that will correct such conflict, statement or omission or effect such compliance.</w:t>
      </w:r>
    </w:p>
    <w:p>
      <w:pPr>
        <w:spacing w:after="0" w:line="188" w:lineRule="exact"/>
        <w:rPr>
          <w:rFonts w:ascii="Times New Roman" w:cs="Times New Roman" w:eastAsia="Times New Roman" w:hAnsi="Times New Roman"/>
          <w:sz w:val="18"/>
          <w:szCs w:val="18"/>
          <w:color w:val="auto"/>
        </w:rPr>
      </w:pPr>
    </w:p>
    <w:p>
      <w:pPr>
        <w:jc w:val="both"/>
        <w:ind w:left="180" w:firstLine="652"/>
        <w:spacing w:after="0" w:line="258" w:lineRule="auto"/>
        <w:tabs>
          <w:tab w:leader="none" w:pos="1228"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practicable after the Effective Date (it being understood that the Company shall have until at least 410 days or, if the fourth quarter following the fiscal quarter that includes the Effective Date is the last fiscal quarter of the Company’s fiscal year, 455 days after the end of the Company’s current fiscal quarter), to make generally available to the Company’s security holders and to deliver to the Representatives an earnings statement of the Company and its subsidiaries (which need not be audited) complying with Section 11(a) of the Securities Act and the rules and regulations thereunder (including, at the option of the Company, Rule 158).</w:t>
      </w:r>
    </w:p>
    <w:p>
      <w:pPr>
        <w:spacing w:after="0" w:line="183" w:lineRule="exact"/>
        <w:rPr>
          <w:rFonts w:ascii="Times New Roman" w:cs="Times New Roman" w:eastAsia="Times New Roman" w:hAnsi="Times New Roman"/>
          <w:sz w:val="18"/>
          <w:szCs w:val="18"/>
          <w:color w:val="auto"/>
        </w:rPr>
      </w:pPr>
    </w:p>
    <w:p>
      <w:pPr>
        <w:jc w:val="both"/>
        <w:ind w:left="180" w:firstLine="652"/>
        <w:spacing w:after="0" w:line="256" w:lineRule="auto"/>
        <w:tabs>
          <w:tab w:leader="none" w:pos="1154"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Promptly from time to time to take such action as the Representatives may reasonably request to qualify the Shares for offering and sale under the securities or Blue Sky laws of Canada and such other jurisdictions as the Representatives may request and to comply with such laws so as to permit the continuance of sales and dealings therein in such jurisdictions for as long as may be necessary to complete the distribution of the Shares;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connection therewith the Company shall not be required to (i) qualify as a foreign corporation in any jurisdiction in which it would not otherwise be required to so qualify, (ii) file a general consent to service of process in any such jurisdiction, or (iii) subject itself to taxation in any jurisdiction in which it would not otherwise be subject.</w:t>
      </w:r>
    </w:p>
    <w:p>
      <w:pPr>
        <w:spacing w:after="0" w:line="394"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10795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27" w:name="page28"/>
    <w:bookmarkEnd w:id="27"/>
    <w:p>
      <w:pPr>
        <w:jc w:val="both"/>
        <w:ind w:left="180" w:firstLine="652"/>
        <w:spacing w:after="0" w:line="252" w:lineRule="auto"/>
        <w:tabs>
          <w:tab w:leader="none" w:pos="1102"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 period commencing on the date hereof and ending on the 90th day after the date of the Prospectus (the “</w:t>
      </w:r>
      <w:r>
        <w:rPr>
          <w:rFonts w:ascii="Times New Roman" w:cs="Times New Roman" w:eastAsia="Times New Roman" w:hAnsi="Times New Roman"/>
          <w:sz w:val="18"/>
          <w:szCs w:val="18"/>
          <w:b w:val="1"/>
          <w:bCs w:val="1"/>
          <w:color w:val="auto"/>
        </w:rPr>
        <w:t>Lock-Up</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Period</w:t>
      </w:r>
      <w:r>
        <w:rPr>
          <w:rFonts w:ascii="Times New Roman" w:cs="Times New Roman" w:eastAsia="Times New Roman" w:hAnsi="Times New Roman"/>
          <w:sz w:val="18"/>
          <w:szCs w:val="18"/>
          <w:color w:val="auto"/>
        </w:rPr>
        <w:t>”), not to, directly or indirectly, (A) offer for sale, sell, pledge, or otherwise dispose of (or enter into any transaction or device 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 designed to, or could be expected to, result in the disposition by any person at any time in the future of) any Ordinary Shares or securities convertible into or exercisable or exchangeable for Ordinary Shares (other than (i) the Shares, (ii) Ordinary Shares or other securities issued pursuant to employee benefit plans, qualified share option plans or other employee compensation plans existing on the date hereof (“</w:t>
      </w:r>
      <w:r>
        <w:rPr>
          <w:rFonts w:ascii="Times New Roman" w:cs="Times New Roman" w:eastAsia="Times New Roman" w:hAnsi="Times New Roman"/>
          <w:sz w:val="18"/>
          <w:szCs w:val="18"/>
          <w:b w:val="1"/>
          <w:bCs w:val="1"/>
          <w:color w:val="auto"/>
        </w:rPr>
        <w:t>Existing Plans</w:t>
      </w:r>
      <w:r>
        <w:rPr>
          <w:rFonts w:ascii="Times New Roman" w:cs="Times New Roman" w:eastAsia="Times New Roman" w:hAnsi="Times New Roman"/>
          <w:sz w:val="18"/>
          <w:szCs w:val="18"/>
          <w:color w:val="auto"/>
        </w:rPr>
        <w:t xml:space="preserve">”) or upon exercise of currently outstanding options, warrants or rights and (iii) Ordinary Shares or other securities issued in connection with acquisitions, strategic partnerships or lending, leasing or other commercial transactions (including joint ventures, marketing or distribution arrangements, collaboration agreements or intellectual property license agreements) in an amount not to exceed 5% of the Company’s outstanding Ordinary Shares as of the Initial Delivery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each case, the recipient of such Ordinary Shares or other securities executes and delivers a lock-up agreement in the form of Exhibit A hereto), or sell or grant options, rights or warrants with respect to any Ordinary Shares or securities convertible into or exchangeable for Ordinary Shares (other than the grant of options or rights pursuant to Existing Plans;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each case, the recipient of such options or rights executes and delivers a lock-up agreement in the form of Exhibit A hereto), (B) enter into any swap or other derivatives transaction that transfers to another, in whole or in part, any of the economic benefits or risks of ownership of such Ordinary Shares, whether any such transaction described in clause (A) or (B) above is to be settled by delivery of Ordinary Shares or other securities, in cash or otherwise,</w:t>
      </w:r>
    </w:p>
    <w:p>
      <w:pPr>
        <w:spacing w:after="0" w:line="2" w:lineRule="exact"/>
        <w:rPr>
          <w:rFonts w:ascii="Times New Roman" w:cs="Times New Roman" w:eastAsia="Times New Roman" w:hAnsi="Times New Roman"/>
          <w:sz w:val="18"/>
          <w:szCs w:val="18"/>
          <w:color w:val="auto"/>
        </w:rPr>
      </w:pPr>
    </w:p>
    <w:p>
      <w:pPr>
        <w:jc w:val="both"/>
        <w:ind w:left="180" w:firstLine="4"/>
        <w:spacing w:after="0" w:line="252" w:lineRule="auto"/>
        <w:tabs>
          <w:tab w:leader="none" w:pos="47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file or cause to be filed a registration statement, including any amendments thereto, with respect to the registration of any Ordinary Shares or securities convertible, exercisable or exchangeable into Ordinary Shares or any other securities of the Company (other than any registration statement on Form S-8), or (D) publicly disclose the intention to do any of the foregoing, in each case without the prior written consent of Citigroup Global Markets Inc., Barclays Capital Inc. and Goldman Sachs &amp; Co. LLC, on behalf of the Underwriters, and to cause each officer, director and shareholder of the Company set forth on Schedule II hereto to furnish to the Representatives, prior to the Initial Delivery Date, a letter or letters, substantially in the form of </w:t>
      </w:r>
      <w:r>
        <w:rPr>
          <w:rFonts w:ascii="Times New Roman" w:cs="Times New Roman" w:eastAsia="Times New Roman" w:hAnsi="Times New Roman"/>
          <w:sz w:val="18"/>
          <w:szCs w:val="18"/>
          <w:b w:val="1"/>
          <w:bCs w:val="1"/>
          <w:color w:val="auto"/>
        </w:rPr>
        <w:t>Exhibit A</w:t>
      </w:r>
      <w:r>
        <w:rPr>
          <w:rFonts w:ascii="Times New Roman" w:cs="Times New Roman" w:eastAsia="Times New Roman" w:hAnsi="Times New Roman"/>
          <w:sz w:val="18"/>
          <w:szCs w:val="18"/>
          <w:color w:val="auto"/>
        </w:rPr>
        <w:t xml:space="preserve"> hereto (the “</w:t>
      </w:r>
      <w:r>
        <w:rPr>
          <w:rFonts w:ascii="Times New Roman" w:cs="Times New Roman" w:eastAsia="Times New Roman" w:hAnsi="Times New Roman"/>
          <w:sz w:val="18"/>
          <w:szCs w:val="18"/>
          <w:b w:val="1"/>
          <w:bCs w:val="1"/>
          <w:color w:val="auto"/>
        </w:rPr>
        <w:t>Lock-Up Agreements</w:t>
      </w:r>
      <w:r>
        <w:rPr>
          <w:rFonts w:ascii="Times New Roman" w:cs="Times New Roman" w:eastAsia="Times New Roman" w:hAnsi="Times New Roman"/>
          <w:sz w:val="18"/>
          <w:szCs w:val="18"/>
          <w:color w:val="auto"/>
        </w:rPr>
        <w:t>”).</w:t>
      </w:r>
    </w:p>
    <w:p>
      <w:pPr>
        <w:spacing w:after="0" w:line="189" w:lineRule="exact"/>
        <w:rPr>
          <w:rFonts w:ascii="Times New Roman" w:cs="Times New Roman" w:eastAsia="Times New Roman" w:hAnsi="Times New Roman"/>
          <w:sz w:val="18"/>
          <w:szCs w:val="18"/>
          <w:color w:val="auto"/>
        </w:rPr>
      </w:pPr>
    </w:p>
    <w:p>
      <w:pPr>
        <w:ind w:left="180" w:right="20" w:firstLine="652"/>
        <w:spacing w:after="0" w:line="282" w:lineRule="auto"/>
        <w:tabs>
          <w:tab w:leader="none" w:pos="1154"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apply the net proceeds from the sale of the Shares being sold by the Company substantially in accordance with the description as set forth in the Prospectus under the caption “Use of Proceeds.”</w:t>
      </w:r>
    </w:p>
    <w:p>
      <w:pPr>
        <w:spacing w:after="0" w:line="368"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10795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0" w:right="339" w:bottom="1440" w:gutter="0" w:footer="0" w:header="0"/>
        </w:sectPr>
      </w:pPr>
    </w:p>
    <w:bookmarkStart w:id="28" w:name="page29"/>
    <w:bookmarkEnd w:id="28"/>
    <w:p>
      <w:pPr>
        <w:jc w:val="both"/>
        <w:ind w:left="644" w:firstLine="652"/>
        <w:spacing w:after="0" w:line="266" w:lineRule="auto"/>
        <w:tabs>
          <w:tab w:leader="none" w:pos="1661" w:val="left"/>
        </w:tabs>
        <w:numPr>
          <w:ilvl w:val="2"/>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its affiliates will not take, directly or indirectly, any action designed to or that has constituted or that reasonably would be expected to cause or result in the stabilization or manipulation of the price of any security of the Company in connection with the offering of the Shares.</w:t>
      </w:r>
    </w:p>
    <w:p>
      <w:pPr>
        <w:spacing w:after="0" w:line="175" w:lineRule="exact"/>
        <w:rPr>
          <w:rFonts w:ascii="Times New Roman" w:cs="Times New Roman" w:eastAsia="Times New Roman" w:hAnsi="Times New Roman"/>
          <w:sz w:val="18"/>
          <w:szCs w:val="18"/>
          <w:color w:val="auto"/>
        </w:rPr>
      </w:pPr>
    </w:p>
    <w:p>
      <w:pPr>
        <w:ind w:left="644" w:firstLine="652"/>
        <w:spacing w:after="0" w:line="282" w:lineRule="auto"/>
        <w:tabs>
          <w:tab w:leader="none" w:pos="1704" w:val="left"/>
        </w:tabs>
        <w:numPr>
          <w:ilvl w:val="2"/>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do and perform all things required or necessary to be done and performed under this Agreement by it prior to each Delivery Date, and to satisfy all conditions precedent to the Underwriters’ obligations hereunder to purchase the Shares.</w:t>
      </w:r>
    </w:p>
    <w:p>
      <w:pPr>
        <w:spacing w:after="0" w:line="161" w:lineRule="exact"/>
        <w:rPr>
          <w:rFonts w:ascii="Times New Roman" w:cs="Times New Roman" w:eastAsia="Times New Roman" w:hAnsi="Times New Roman"/>
          <w:sz w:val="18"/>
          <w:szCs w:val="18"/>
          <w:color w:val="auto"/>
        </w:rPr>
      </w:pPr>
    </w:p>
    <w:p>
      <w:pPr>
        <w:jc w:val="both"/>
        <w:ind w:left="4" w:firstLine="644"/>
        <w:spacing w:after="0" w:line="256" w:lineRule="auto"/>
        <w:tabs>
          <w:tab w:leader="none" w:pos="911"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Underwriter severally agrees that such Underwriter shall not include any “issuer information” (as defined in Rule 433 under the Securities Act) in any “free writing prospectus” (as defined in Rule 405 under the Securities Act) used or referred to by such Underwriter without the prior consent of the Company (any such issuer information with respect to whose use the Company has given its consent, “</w:t>
      </w:r>
      <w:r>
        <w:rPr>
          <w:rFonts w:ascii="Times New Roman" w:cs="Times New Roman" w:eastAsia="Times New Roman" w:hAnsi="Times New Roman"/>
          <w:sz w:val="18"/>
          <w:szCs w:val="18"/>
          <w:b w:val="1"/>
          <w:bCs w:val="1"/>
          <w:color w:val="auto"/>
        </w:rPr>
        <w:t>Permitted Issuer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Information</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(i) no such consent shall be required with respect to any such issuer information contained in any document filed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with the Commission prior to the use of such free writing prospectus, and (ii) “issuer information”, as used in this Section 5(b), shall not be deemed to include information prepared by or on behalf of such Underwriter on the basis of or derived from issuer information.</w:t>
      </w:r>
    </w:p>
    <w:p>
      <w:pPr>
        <w:spacing w:after="0" w:line="187" w:lineRule="exact"/>
        <w:rPr>
          <w:rFonts w:ascii="Times New Roman" w:cs="Times New Roman" w:eastAsia="Times New Roman" w:hAnsi="Times New Roman"/>
          <w:sz w:val="18"/>
          <w:szCs w:val="18"/>
          <w:color w:val="auto"/>
        </w:rPr>
      </w:pPr>
    </w:p>
    <w:p>
      <w:pPr>
        <w:jc w:val="both"/>
        <w:ind w:left="4" w:firstLine="644"/>
        <w:spacing w:after="0" w:line="253" w:lineRule="auto"/>
        <w:tabs>
          <w:tab w:leader="none" w:pos="918"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Underwriter severally agrees that, it will not offer any Shares to offerees in Israel, other than to investors listed in the First Addendum to the Israeli Securities Law (the “</w:t>
      </w:r>
      <w:r>
        <w:rPr>
          <w:rFonts w:ascii="Times New Roman" w:cs="Times New Roman" w:eastAsia="Times New Roman" w:hAnsi="Times New Roman"/>
          <w:sz w:val="18"/>
          <w:szCs w:val="18"/>
          <w:b w:val="1"/>
          <w:bCs w:val="1"/>
          <w:color w:val="auto"/>
        </w:rPr>
        <w:t>Addendum</w:t>
      </w:r>
      <w:r>
        <w:rPr>
          <w:rFonts w:ascii="Times New Roman" w:cs="Times New Roman" w:eastAsia="Times New Roman" w:hAnsi="Times New Roman"/>
          <w:sz w:val="18"/>
          <w:szCs w:val="18"/>
          <w:color w:val="auto"/>
        </w:rPr>
        <w:t>”) as set forth in this Section 6(c). The Company acknowledges, understands and agrees that Shares may be sold in Israel only by the Underwriters and only to such Israeli investors listed in the Addendum; all of whom are to be specifically identified and approved by the Underwriters, and provided further that as a prerequisite to the sale of Shares by the Underwriters to such Israeli investors, each of them shall be required to submit written confirmation to the Underwriters and the Company that such investor (i) falls within the scope of the Addendum, is aware of the consequences of falling within the scope of the Addendum and agrees to the foregoing; and (ii) is acquiring the Shares being offered to it for investment for its own account or, if applicable, for investment for clients who fall within the scope of the Addendum and in any event not as a nominee, market maker or agent and not with a view to, or for the resale in connection with, any distribution thereof. The Underwriters and the Company acknowledge and agree that any failure to comply with the above procedure may result in a violation of the Israeli Securities Law.</w:t>
      </w:r>
    </w:p>
    <w:p>
      <w:pPr>
        <w:spacing w:after="0" w:line="194" w:lineRule="exact"/>
        <w:rPr>
          <w:rFonts w:ascii="Times New Roman" w:cs="Times New Roman" w:eastAsia="Times New Roman" w:hAnsi="Times New Roman"/>
          <w:sz w:val="18"/>
          <w:szCs w:val="18"/>
          <w:color w:val="auto"/>
        </w:rPr>
      </w:pPr>
    </w:p>
    <w:p>
      <w:pPr>
        <w:ind w:left="4" w:right="20" w:firstLine="644"/>
        <w:spacing w:after="0" w:line="282" w:lineRule="auto"/>
        <w:tabs>
          <w:tab w:leader="none" w:pos="928"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agrees and each Underwriter severally agrees to comply with the further agreements set forth in Section (a)(1) of </w:t>
      </w:r>
      <w:r>
        <w:rPr>
          <w:rFonts w:ascii="Times New Roman" w:cs="Times New Roman" w:eastAsia="Times New Roman" w:hAnsi="Times New Roman"/>
          <w:sz w:val="18"/>
          <w:szCs w:val="18"/>
          <w:b w:val="1"/>
          <w:bCs w:val="1"/>
          <w:color w:val="auto"/>
        </w:rPr>
        <w:t xml:space="preserve">Annex A </w:t>
      </w:r>
      <w:r>
        <w:rPr>
          <w:rFonts w:ascii="Times New Roman" w:cs="Times New Roman" w:eastAsia="Times New Roman" w:hAnsi="Times New Roman"/>
          <w:sz w:val="18"/>
          <w:szCs w:val="18"/>
          <w:color w:val="auto"/>
        </w:rPr>
        <w:t>hereto.</w:t>
      </w:r>
    </w:p>
    <w:p>
      <w:pPr>
        <w:spacing w:after="0" w:line="159" w:lineRule="exact"/>
        <w:rPr>
          <w:rFonts w:ascii="Times New Roman" w:cs="Times New Roman" w:eastAsia="Times New Roman" w:hAnsi="Times New Roman"/>
          <w:sz w:val="18"/>
          <w:szCs w:val="18"/>
          <w:color w:val="auto"/>
        </w:rPr>
      </w:pPr>
    </w:p>
    <w:p>
      <w:pPr>
        <w:ind w:left="184" w:hanging="184"/>
        <w:spacing w:after="0"/>
        <w:tabs>
          <w:tab w:leader="none" w:pos="184"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Further Agreements of the Selling Shareholder. </w:t>
      </w:r>
      <w:r>
        <w:rPr>
          <w:rFonts w:ascii="Times New Roman" w:cs="Times New Roman" w:eastAsia="Times New Roman" w:hAnsi="Times New Roman"/>
          <w:sz w:val="18"/>
          <w:szCs w:val="18"/>
          <w:color w:val="auto"/>
        </w:rPr>
        <w:t>The Selling Shareholder agrees:</w:t>
      </w:r>
    </w:p>
    <w:p>
      <w:pPr>
        <w:spacing w:after="0" w:line="227" w:lineRule="exact"/>
        <w:rPr>
          <w:rFonts w:ascii="Times New Roman" w:cs="Times New Roman" w:eastAsia="Times New Roman" w:hAnsi="Times New Roman"/>
          <w:sz w:val="18"/>
          <w:szCs w:val="18"/>
          <w:color w:val="auto"/>
        </w:rPr>
      </w:pPr>
    </w:p>
    <w:p>
      <w:pPr>
        <w:ind w:left="4" w:firstLine="644"/>
        <w:spacing w:after="0" w:line="282" w:lineRule="auto"/>
        <w:tabs>
          <w:tab w:leader="none" w:pos="902"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execute and deliver to Citigroup Global Markets Inc., Barclays Capital Inc. and Goldman Sachs &amp; Co. LLC a lock-up agreement in the form of </w:t>
      </w:r>
      <w:r>
        <w:rPr>
          <w:rFonts w:ascii="Times New Roman" w:cs="Times New Roman" w:eastAsia="Times New Roman" w:hAnsi="Times New Roman"/>
          <w:sz w:val="18"/>
          <w:szCs w:val="18"/>
          <w:b w:val="1"/>
          <w:bCs w:val="1"/>
          <w:color w:val="auto"/>
        </w:rPr>
        <w:t>Exhibit A</w:t>
      </w:r>
      <w:r>
        <w:rPr>
          <w:rFonts w:ascii="Times New Roman" w:cs="Times New Roman" w:eastAsia="Times New Roman" w:hAnsi="Times New Roman"/>
          <w:sz w:val="18"/>
          <w:szCs w:val="18"/>
          <w:color w:val="auto"/>
        </w:rPr>
        <w:t xml:space="preserve"> hereto.</w:t>
      </w:r>
    </w:p>
    <w:p>
      <w:pPr>
        <w:spacing w:after="0" w:line="368" w:lineRule="exact"/>
        <w:rPr>
          <w:sz w:val="20"/>
          <w:szCs w:val="20"/>
          <w:color w:val="auto"/>
        </w:rPr>
      </w:pPr>
    </w:p>
    <w:p>
      <w:pPr>
        <w:ind w:left="4864"/>
        <w:spacing w:after="0"/>
        <w:rPr>
          <w:sz w:val="20"/>
          <w:szCs w:val="20"/>
          <w:color w:val="auto"/>
        </w:rPr>
      </w:pPr>
      <w:r>
        <w:rPr>
          <w:rFonts w:ascii="Times New Roman" w:cs="Times New Roman" w:eastAsia="Times New Roman" w:hAnsi="Times New Roman"/>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10795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29" w:name="page30"/>
    <w:bookmarkEnd w:id="29"/>
    <w:p>
      <w:pPr>
        <w:jc w:val="both"/>
        <w:ind w:left="660" w:firstLine="644"/>
        <w:spacing w:after="0" w:line="266" w:lineRule="auto"/>
        <w:tabs>
          <w:tab w:leader="none" w:pos="1596"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deliver to the Representatives prior to the Initial Delivery Date a properly completed and executed United States Treasury Department Form W-8 (if the Selling Shareholder is a non-United States person) or Form W-9 (if the Selling Shareholder is a United States person).</w:t>
      </w:r>
    </w:p>
    <w:p>
      <w:pPr>
        <w:spacing w:after="0" w:line="175"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552"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Selling Shareholder will not take, directly or indirectly, any action designed to or that has constituted or that reasonably would be expected to cause or result in the stabilization or manipulation of the price of any security of the Company in connection with the offering of the Shares.</w:t>
      </w:r>
    </w:p>
    <w:p>
      <w:pPr>
        <w:spacing w:after="0" w:line="175"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568"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Selling Shareholder will do and perform all things required or necessary to be done and performed under this Agreement by the Selling Shareholder prior to each Delivery Date, and to satisfy all conditions precedent to the Underwriters’ obligations hereunder to purchase the Shares.</w:t>
      </w:r>
    </w:p>
    <w:p>
      <w:pPr>
        <w:spacing w:after="0" w:line="175" w:lineRule="exact"/>
        <w:rPr>
          <w:rFonts w:ascii="Times New Roman" w:cs="Times New Roman" w:eastAsia="Times New Roman" w:hAnsi="Times New Roman"/>
          <w:sz w:val="18"/>
          <w:szCs w:val="18"/>
          <w:color w:val="auto"/>
        </w:rPr>
      </w:pPr>
    </w:p>
    <w:p>
      <w:pPr>
        <w:ind w:left="660" w:firstLine="644"/>
        <w:spacing w:after="0" w:line="282" w:lineRule="auto"/>
        <w:tabs>
          <w:tab w:leader="none" w:pos="1551"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Selling Shareholder acknowledges, understands and agrees that Shares may be sold in Israel only by the Underwriters and only to such Israeli investors listed in the Addendum as set forth in Section 6(c).</w:t>
      </w:r>
    </w:p>
    <w:p>
      <w:pPr>
        <w:spacing w:after="0" w:line="161" w:lineRule="exact"/>
        <w:rPr>
          <w:rFonts w:ascii="Times New Roman" w:cs="Times New Roman" w:eastAsia="Times New Roman" w:hAnsi="Times New Roman"/>
          <w:sz w:val="18"/>
          <w:szCs w:val="18"/>
          <w:color w:val="auto"/>
        </w:rPr>
      </w:pPr>
    </w:p>
    <w:p>
      <w:pPr>
        <w:ind w:left="660" w:firstLine="644"/>
        <w:spacing w:after="0" w:line="282" w:lineRule="auto"/>
        <w:tabs>
          <w:tab w:leader="none" w:pos="1536"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Selling Shareholder acknowledges, understands and agrees to the further representations and warranties and agreements set forth in Sections (b)(1) through (b)(4) on </w:t>
      </w:r>
      <w:r>
        <w:rPr>
          <w:rFonts w:ascii="Times New Roman" w:cs="Times New Roman" w:eastAsia="Times New Roman" w:hAnsi="Times New Roman"/>
          <w:sz w:val="18"/>
          <w:szCs w:val="18"/>
          <w:b w:val="1"/>
          <w:bCs w:val="1"/>
          <w:color w:val="auto"/>
        </w:rPr>
        <w:t>Annex A</w:t>
      </w:r>
      <w:r>
        <w:rPr>
          <w:rFonts w:ascii="Times New Roman" w:cs="Times New Roman" w:eastAsia="Times New Roman" w:hAnsi="Times New Roman"/>
          <w:sz w:val="18"/>
          <w:szCs w:val="18"/>
          <w:color w:val="auto"/>
        </w:rPr>
        <w:t xml:space="preserve"> hereto.</w:t>
      </w:r>
    </w:p>
    <w:p>
      <w:pPr>
        <w:spacing w:after="0" w:line="159" w:lineRule="exact"/>
        <w:rPr>
          <w:rFonts w:ascii="Times New Roman" w:cs="Times New Roman" w:eastAsia="Times New Roman" w:hAnsi="Times New Roman"/>
          <w:sz w:val="18"/>
          <w:szCs w:val="18"/>
          <w:color w:val="auto"/>
        </w:rPr>
      </w:pPr>
    </w:p>
    <w:p>
      <w:pPr>
        <w:jc w:val="both"/>
        <w:ind w:firstLine="656"/>
        <w:spacing w:after="0" w:line="252" w:lineRule="auto"/>
        <w:tabs>
          <w:tab w:leader="none" w:pos="85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Expenses</w:t>
      </w:r>
      <w:r>
        <w:rPr>
          <w:rFonts w:ascii="Times New Roman" w:cs="Times New Roman" w:eastAsia="Times New Roman" w:hAnsi="Times New Roman"/>
          <w:sz w:val="18"/>
          <w:szCs w:val="18"/>
          <w:color w:val="auto"/>
        </w:rPr>
        <w:t>. The Company agrees, whether or not the transactions contemplated by this Agreement are consummated or this Agreement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terminated, to pay all expenses, costs, fees and taxes incident to and in connection with (a) the authorization, issuance, sale and delivery of the Shares and any stamp duties or other taxes payable in that connection, in each case with respect to, with the Shares to be sold by the Company, and the preparation and printing of certificates for the Shares; (b) the preparation, printing and filing under the Securities Act of the Registration Statement (including any exhibits thereto), any Preliminary Prospectus, the Prospectus, any Issuer Free Writing Prospectus, any Written Testing-the-Waters Communication, and any amendment or supplement thereto; (c) the distribution of the Registration Statement (including any exhibits thereto), any Preliminary Prospectus, the Prospectus, any Issuer Free Writing Prospectus, any Written Testing-the-Waters Communication, and any amendment or supplement thereto, or any document incorporated by reference therein, all as provided in this Agreement; (d) the production and distribution of this Agreement, any supplemental agreement among Underwriters, and any other related documents in connection with the offering, purchase, sale and delivery of the Shares; (e) the listing of the Shares on The Nasdaq Global Select Market and/or any other exchange; (f) the qualification of the Shares under the securities laws of the several jurisdictions as provided in Section 6(a)(ix) and the preparation, printing and distribution of a Blue Sky Memorandum (including related fees and expenses of counsel to the Underwriters, which shall not exceed $15,000); (g) the investor presentations on any “road show” or any Testing-the-Waters Communication, undertaken in connection with the marketing of the Shares, including, without limitation, expenses associated with any electronic road show, travel and lodging expenses of the representatives and officers of the Company and 50% of the cost of any aircraft chartered in connection with the road show; and (h) all other costs and expenses incident to the performance of the obligations of the Company under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except as provided in this Section 8 and in Section 13, the Underwriters shall pay their own costs and expenses, including the costs and expenses of their counsel, any transfer taxes on the Shares which they may sell and the expenses of advertising any offering of the Shares made by the Underwriters, and the travel and lodging expenses of their representatives including 50% of the cost of any aircraft chartered in connection with the roadshow. Except as otherwise agreed with the Company, the Selling Shareholder agrees to pay all costs and expenses incident to the performance of the obligations of the Selling Shareholder under this Agreement.</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0" w:name="page31"/>
    <w:bookmarkEnd w:id="30"/>
    <w:p>
      <w:pPr>
        <w:jc w:val="both"/>
        <w:ind w:firstLine="656"/>
        <w:spacing w:after="0" w:line="267" w:lineRule="auto"/>
        <w:tabs>
          <w:tab w:leader="none" w:pos="828"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Conditions of Underwriters’ Obligations</w:t>
      </w:r>
      <w:r>
        <w:rPr>
          <w:rFonts w:ascii="Times New Roman" w:cs="Times New Roman" w:eastAsia="Times New Roman" w:hAnsi="Times New Roman"/>
          <w:sz w:val="18"/>
          <w:szCs w:val="18"/>
          <w:color w:val="auto"/>
        </w:rPr>
        <w:t>. The respective obligations of the Underwriters hereunder are subject to the accuracy, when made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each Delivery Date, of the representations and warranties of the Company and the Selling Shareholder contained herein, to the performance by the Company and the Selling Shareholder of their respective obligations hereunder, and to each of the following additional terms and conditions:</w:t>
      </w:r>
    </w:p>
    <w:p>
      <w:pPr>
        <w:spacing w:after="0" w:line="175" w:lineRule="exact"/>
        <w:rPr>
          <w:rFonts w:ascii="Times New Roman" w:cs="Times New Roman" w:eastAsia="Times New Roman" w:hAnsi="Times New Roman"/>
          <w:sz w:val="18"/>
          <w:szCs w:val="18"/>
          <w:color w:val="auto"/>
        </w:rPr>
      </w:pPr>
    </w:p>
    <w:p>
      <w:pPr>
        <w:jc w:val="both"/>
        <w:ind w:left="660" w:firstLine="644"/>
        <w:spacing w:after="0" w:line="255" w:lineRule="auto"/>
        <w:tabs>
          <w:tab w:leader="none" w:pos="1581"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Prospectus shall have been timely filed with the Commission in accordance with Section 6(a)(i). The Company shall have complied with all filing requirements applicable to any Issuer Free Writing Prospectus used or referred to after the date hereof; no stop order suspending the effectiveness of the Registration Statement or preventing or suspending the use of the Prospectus or any Issuer Free Writing Prospectus shall have been issued and no proceeding or examination for such purpose shall have been initiated or threatened by the Commission; and any request of the Commission for inclusion of additional information in the Registration Statement or the Prospectus or otherwise shall have been complied with. If the Company has elected to rely upon Rule 462(b) under the Securities Act, the Rule 462(b) Registration Statement shall have become effective by 10:00 P.M., Washington, D.C. time, on the date of this Agreement.</w:t>
      </w:r>
    </w:p>
    <w:p>
      <w:pPr>
        <w:spacing w:after="0" w:line="188" w:lineRule="exact"/>
        <w:rPr>
          <w:rFonts w:ascii="Times New Roman" w:cs="Times New Roman" w:eastAsia="Times New Roman" w:hAnsi="Times New Roman"/>
          <w:sz w:val="18"/>
          <w:szCs w:val="18"/>
          <w:color w:val="auto"/>
        </w:rPr>
      </w:pPr>
    </w:p>
    <w:p>
      <w:pPr>
        <w:jc w:val="both"/>
        <w:ind w:left="660" w:firstLine="644"/>
        <w:spacing w:after="0" w:line="261" w:lineRule="auto"/>
        <w:tabs>
          <w:tab w:leader="none" w:pos="1602"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Underwriter shall have discovered and disclosed to the Company on or prior to such Delivery Date that the Registration Statement, the Prospectus or the Pricing Disclosure Package, or any amendment or supplement thereto, contains an untrue statement of a fact which is material or omits to state a fact which is material and is required to be stated therein or is necessary to make the statements therein not misleading.</w:t>
      </w:r>
    </w:p>
    <w:p>
      <w:pPr>
        <w:spacing w:after="0" w:line="179" w:lineRule="exact"/>
        <w:rPr>
          <w:rFonts w:ascii="Times New Roman" w:cs="Times New Roman" w:eastAsia="Times New Roman" w:hAnsi="Times New Roman"/>
          <w:sz w:val="18"/>
          <w:szCs w:val="18"/>
          <w:color w:val="auto"/>
        </w:rPr>
      </w:pPr>
    </w:p>
    <w:p>
      <w:pPr>
        <w:jc w:val="both"/>
        <w:ind w:left="660" w:firstLine="644"/>
        <w:spacing w:after="0" w:line="258" w:lineRule="auto"/>
        <w:tabs>
          <w:tab w:leader="none" w:pos="1555"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corporate proceedings and other legal matters incident to the authorization, form and validity of this Agreement, the Shares, the Registration Statement, the Prospectus and any Issuer Free Writing Prospectus, and all other legal matters relating to this Agreement and the transactions contemplated hereby shall be reasonably satisfactory in all material respects to counsel for the Underwriters, and the Company and the Selling Shareholder shall have furnished to such counsel all documents and information that they may reasonably request to enable them to pass upon such matters.</w:t>
      </w:r>
    </w:p>
    <w:p>
      <w:pPr>
        <w:spacing w:after="0" w:line="183" w:lineRule="exact"/>
        <w:rPr>
          <w:rFonts w:ascii="Times New Roman" w:cs="Times New Roman" w:eastAsia="Times New Roman" w:hAnsi="Times New Roman"/>
          <w:sz w:val="18"/>
          <w:szCs w:val="18"/>
          <w:color w:val="auto"/>
        </w:rPr>
      </w:pPr>
    </w:p>
    <w:p>
      <w:pPr>
        <w:ind w:left="660" w:firstLine="644"/>
        <w:spacing w:after="0" w:line="282" w:lineRule="auto"/>
        <w:tabs>
          <w:tab w:leader="none" w:pos="1561"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White &amp; Case LLP shall have furnished to the Representatives its written opinion and negative assurance letter, as U.S. counsel to the Company, addressed to the Underwriters and dated such Delivery Date, in form and substance reasonably satisfactory to the Representatives.</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31" w:name="page32"/>
    <w:bookmarkEnd w:id="31"/>
    <w:p>
      <w:pPr>
        <w:ind w:left="4" w:firstLine="644"/>
        <w:spacing w:after="0" w:line="282" w:lineRule="auto"/>
        <w:tabs>
          <w:tab w:leader="none" w:pos="897"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Meitar Law Offices shall have furnished to the Representatives its written opinion, as Israeli counsel to the Company, addressed to the Underwriters and dated such Delivery Date, in form and substance reasonably satisfactory to the Representatives.</w:t>
      </w:r>
    </w:p>
    <w:p>
      <w:pPr>
        <w:spacing w:after="0" w:line="161" w:lineRule="exact"/>
        <w:rPr>
          <w:rFonts w:ascii="Times New Roman" w:cs="Times New Roman" w:eastAsia="Times New Roman" w:hAnsi="Times New Roman"/>
          <w:sz w:val="18"/>
          <w:szCs w:val="18"/>
          <w:color w:val="auto"/>
        </w:rPr>
      </w:pPr>
    </w:p>
    <w:p>
      <w:pPr>
        <w:ind w:left="4" w:right="20" w:firstLine="644"/>
        <w:spacing w:after="0" w:line="282" w:lineRule="auto"/>
        <w:tabs>
          <w:tab w:leader="none" w:pos="915"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Gibson, Dunn &amp; Crutcher LLP shall have furnished to the Representatives its written opinion, as U.S. counsel to the Selling Shareholder, addressed to the Underwriters and dated such Delivery Date, in form and substance reasonably satisfactory to the Representatives.</w:t>
      </w:r>
    </w:p>
    <w:p>
      <w:pPr>
        <w:spacing w:after="0" w:line="161" w:lineRule="exact"/>
        <w:rPr>
          <w:rFonts w:ascii="Times New Roman" w:cs="Times New Roman" w:eastAsia="Times New Roman" w:hAnsi="Times New Roman"/>
          <w:sz w:val="18"/>
          <w:szCs w:val="18"/>
          <w:color w:val="auto"/>
        </w:rPr>
      </w:pPr>
    </w:p>
    <w:p>
      <w:pPr>
        <w:ind w:left="4" w:right="20" w:firstLine="644"/>
        <w:spacing w:after="0" w:line="282" w:lineRule="auto"/>
        <w:tabs>
          <w:tab w:leader="none" w:pos="931"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Saltzman Mugan Dushoff, LLC shall have furnished to the Representatives its written opinion, as Nevada counsel to the Selling Shareholder, addressed to the Underwriters and dated such Delivery Date, in form and substance reasonably satisfactory to the Representatives.</w:t>
      </w:r>
    </w:p>
    <w:p>
      <w:pPr>
        <w:spacing w:after="0" w:line="161" w:lineRule="exact"/>
        <w:rPr>
          <w:rFonts w:ascii="Times New Roman" w:cs="Times New Roman" w:eastAsia="Times New Roman" w:hAnsi="Times New Roman"/>
          <w:sz w:val="18"/>
          <w:szCs w:val="18"/>
          <w:color w:val="auto"/>
        </w:rPr>
      </w:pPr>
    </w:p>
    <w:p>
      <w:pPr>
        <w:jc w:val="both"/>
        <w:ind w:left="4" w:firstLine="644"/>
        <w:spacing w:after="0" w:line="258" w:lineRule="auto"/>
        <w:tabs>
          <w:tab w:leader="none" w:pos="916"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Representatives shall have received from Skadden, Arps, Slate, Meagher &amp; Flom LLP, as U.S. counsel to the Underwriters, its written opinion and negative assurance letter, dated such Delivery Date, with respect to the issuance and sale of the Shares, the Registration Statement, the Prospectus and the Pricing Disclosure Package and other related matters as the Representatives may reasonably require, and the Company shall have furnished to such counsel such documents as they reasonably request for the purpose of enabling them to pass upon such matters.</w:t>
      </w:r>
    </w:p>
    <w:p>
      <w:pPr>
        <w:spacing w:after="0" w:line="183" w:lineRule="exact"/>
        <w:rPr>
          <w:rFonts w:ascii="Times New Roman" w:cs="Times New Roman" w:eastAsia="Times New Roman" w:hAnsi="Times New Roman"/>
          <w:sz w:val="18"/>
          <w:szCs w:val="18"/>
          <w:color w:val="auto"/>
        </w:rPr>
      </w:pPr>
    </w:p>
    <w:p>
      <w:pPr>
        <w:jc w:val="both"/>
        <w:ind w:left="4" w:firstLine="644"/>
        <w:spacing w:after="0" w:line="261" w:lineRule="auto"/>
        <w:tabs>
          <w:tab w:leader="none" w:pos="87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Representatives shall have received from Gornitzky &amp; Co., as Israeli counsel to the Underwriters, its written opinion, dated such Delivery Date, with respect to the issuance and sale of the Shares, the Registration Statement, the Prospectus and the Pricing Disclosure Package and other related matters as the Representatives may reasonably require, and the Company shall have furnished to such counsel such documents as they reasonably request for the purpose of enabling them to pass upon such matters.</w:t>
      </w:r>
    </w:p>
    <w:p>
      <w:pPr>
        <w:spacing w:after="0" w:line="179" w:lineRule="exact"/>
        <w:rPr>
          <w:rFonts w:ascii="Times New Roman" w:cs="Times New Roman" w:eastAsia="Times New Roman" w:hAnsi="Times New Roman"/>
          <w:sz w:val="18"/>
          <w:szCs w:val="18"/>
          <w:color w:val="auto"/>
        </w:rPr>
      </w:pPr>
    </w:p>
    <w:p>
      <w:pPr>
        <w:jc w:val="both"/>
        <w:ind w:left="4" w:firstLine="644"/>
        <w:spacing w:after="0" w:line="261" w:lineRule="auto"/>
        <w:tabs>
          <w:tab w:leader="none" w:pos="86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time of execution of this Agreement, the Representatives shall have received from Kost Forer Gabbay &amp; Kasierer, a member of Ernst &amp; Young Global, a letter, in form and substance satisfactory to the Representatives, addressed to the Underwriters and dated the date hereof</w:t>
      </w:r>
    </w:p>
    <w:p>
      <w:pPr>
        <w:jc w:val="both"/>
        <w:ind w:left="4" w:hanging="4"/>
        <w:spacing w:after="0" w:line="252" w:lineRule="auto"/>
        <w:tabs>
          <w:tab w:leader="none" w:pos="234"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confirming that they are independent public accountants within the meaning of the Securities Act and are in compliance with the applicable requirements relating to the qualification of accountants under Rule 2-01 of Regulation S-X of the Commission, and (ii) stating, as of the date hereof (or, with respect to matters involving changes or developments since the respective dates as of which specified financial information is given in the Preliminary Prospectus, as of a date not more than three days prior to the date hereof), the conclusions and findings of such firm with respect to the financial information and other matters ordinarily covered by accountants’ “comfort letters” to underwriters in connection with registered public offerings.</w:t>
      </w:r>
    </w:p>
    <w:p>
      <w:pPr>
        <w:spacing w:after="0" w:line="189" w:lineRule="exact"/>
        <w:rPr>
          <w:rFonts w:ascii="Times New Roman" w:cs="Times New Roman" w:eastAsia="Times New Roman" w:hAnsi="Times New Roman"/>
          <w:sz w:val="18"/>
          <w:szCs w:val="18"/>
          <w:color w:val="auto"/>
        </w:rPr>
      </w:pPr>
    </w:p>
    <w:p>
      <w:pPr>
        <w:jc w:val="both"/>
        <w:ind w:left="4" w:firstLine="644"/>
        <w:spacing w:after="0" w:line="254" w:lineRule="auto"/>
        <w:tabs>
          <w:tab w:leader="none" w:pos="905"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the letter of Kost Forer Gabbay &amp; Kasierer, a member of Ernst &amp; Young Global referred to in the preceding paragraph and delivered to the Representatives concurrently with the execution of this Agreement (the “</w:t>
      </w:r>
      <w:r>
        <w:rPr>
          <w:rFonts w:ascii="Times New Roman" w:cs="Times New Roman" w:eastAsia="Times New Roman" w:hAnsi="Times New Roman"/>
          <w:sz w:val="18"/>
          <w:szCs w:val="18"/>
          <w:b w:val="1"/>
          <w:bCs w:val="1"/>
          <w:color w:val="auto"/>
        </w:rPr>
        <w:t>initial letter</w:t>
      </w:r>
      <w:r>
        <w:rPr>
          <w:rFonts w:ascii="Times New Roman" w:cs="Times New Roman" w:eastAsia="Times New Roman" w:hAnsi="Times New Roman"/>
          <w:sz w:val="18"/>
          <w:szCs w:val="18"/>
          <w:color w:val="auto"/>
        </w:rPr>
        <w:t>”), the Company shall have furnished to the Representatives a letter (the “</w:t>
      </w:r>
      <w:r>
        <w:rPr>
          <w:rFonts w:ascii="Times New Roman" w:cs="Times New Roman" w:eastAsia="Times New Roman" w:hAnsi="Times New Roman"/>
          <w:sz w:val="18"/>
          <w:szCs w:val="18"/>
          <w:b w:val="1"/>
          <w:bCs w:val="1"/>
          <w:color w:val="auto"/>
        </w:rPr>
        <w:t>bring-down letter</w:t>
      </w:r>
      <w:r>
        <w:rPr>
          <w:rFonts w:ascii="Times New Roman" w:cs="Times New Roman" w:eastAsia="Times New Roman" w:hAnsi="Times New Roman"/>
          <w:sz w:val="18"/>
          <w:szCs w:val="18"/>
          <w:color w:val="auto"/>
        </w:rPr>
        <w:t>”) of such accountants, addressed to the Underwriters and dated such Delivery Date (i) confirming that they are independent public accountants within the meaning of the Securities Act and are in compliance with the applicable requirements relating to the qualification of accountants under Rule 2-01 of Regulation S-X of the Commission, (ii) stating, as of the date of the bring-down letter (or, with respect to matters involving changes or developments since the respective dates as of which specified financial information is given in the Prospectus, as of a date not more than three days prior to the date of the bring-down letter), the conclusions and findings of such firm with respect to the financial information and other matters covered by the initial letter, and (iii) confirming in all material respects the conclusions and findings set forth in the initial letter.</w:t>
      </w:r>
    </w:p>
    <w:p>
      <w:pPr>
        <w:spacing w:after="0" w:line="395" w:lineRule="exact"/>
        <w:rPr>
          <w:sz w:val="20"/>
          <w:szCs w:val="20"/>
          <w:color w:val="auto"/>
        </w:rPr>
      </w:pPr>
    </w:p>
    <w:p>
      <w:pPr>
        <w:ind w:left="4864"/>
        <w:spacing w:after="0"/>
        <w:rPr>
          <w:sz w:val="20"/>
          <w:szCs w:val="20"/>
          <w:color w:val="auto"/>
        </w:rPr>
      </w:pPr>
      <w:r>
        <w:rPr>
          <w:rFonts w:ascii="Times New Roman" w:cs="Times New Roman" w:eastAsia="Times New Roman" w:hAnsi="Times New Roman"/>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10795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32" w:name="page33"/>
    <w:bookmarkEnd w:id="32"/>
    <w:p>
      <w:pPr>
        <w:ind w:left="-460" w:right="20" w:firstLine="644"/>
        <w:spacing w:after="0" w:line="282" w:lineRule="auto"/>
        <w:tabs>
          <w:tab w:leader="none" w:pos="4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furnished to the Representatives a certificate, dated such Delivery Date, of its Chief Executive Officer and its Chief Financial Officer as to such matters as the Representatives may reasonably request, including, without limitation, a statement:</w:t>
      </w:r>
    </w:p>
    <w:p>
      <w:pPr>
        <w:spacing w:after="0" w:line="161" w:lineRule="exact"/>
        <w:rPr>
          <w:rFonts w:ascii="Times New Roman" w:cs="Times New Roman" w:eastAsia="Times New Roman" w:hAnsi="Times New Roman"/>
          <w:sz w:val="18"/>
          <w:szCs w:val="18"/>
          <w:color w:val="auto"/>
        </w:rPr>
      </w:pPr>
    </w:p>
    <w:p>
      <w:pPr>
        <w:jc w:val="both"/>
        <w:ind w:left="180" w:firstLine="652"/>
        <w:spacing w:after="0" w:line="266" w:lineRule="auto"/>
        <w:tabs>
          <w:tab w:leader="none" w:pos="1063"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representations, warranties and agreements of the Company in Section 1 are true and correct on and as of such Delivery Date, and the Company has complied with all its agreements contained herein and satisfied all the conditions on its part to be performed or satisfied hereunder at or prior to such Delivery Date;</w:t>
      </w:r>
    </w:p>
    <w:p>
      <w:pPr>
        <w:spacing w:after="0" w:line="175" w:lineRule="exact"/>
        <w:rPr>
          <w:rFonts w:ascii="Times New Roman" w:cs="Times New Roman" w:eastAsia="Times New Roman" w:hAnsi="Times New Roman"/>
          <w:sz w:val="18"/>
          <w:szCs w:val="18"/>
          <w:color w:val="auto"/>
        </w:rPr>
      </w:pPr>
    </w:p>
    <w:p>
      <w:pPr>
        <w:jc w:val="both"/>
        <w:ind w:left="180" w:firstLine="652"/>
        <w:spacing w:after="0" w:line="266" w:lineRule="auto"/>
        <w:tabs>
          <w:tab w:leader="none" w:pos="1123"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no stop order suspending the effectiveness of the Registration Statement has been issued; and no proceedings or examination for that purpose have been instituted or, to the knowledge of such officers, threatened and the Commission shall not have notified the Company of any objection to the use of the form of the Registration Statement or any post-effective amendment thereto;</w:t>
      </w:r>
    </w:p>
    <w:p>
      <w:pPr>
        <w:spacing w:after="0" w:line="175" w:lineRule="exact"/>
        <w:rPr>
          <w:rFonts w:ascii="Times New Roman" w:cs="Times New Roman" w:eastAsia="Times New Roman" w:hAnsi="Times New Roman"/>
          <w:sz w:val="18"/>
          <w:szCs w:val="18"/>
          <w:color w:val="auto"/>
        </w:rPr>
      </w:pPr>
    </w:p>
    <w:p>
      <w:pPr>
        <w:jc w:val="both"/>
        <w:ind w:left="180" w:firstLine="652"/>
        <w:spacing w:after="0" w:line="255" w:lineRule="auto"/>
        <w:tabs>
          <w:tab w:leader="none" w:pos="1171"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they have examined the Registration Statement, the Prospectus and the Pricing Disclosure Package, and, in their opinion, (A) (1) the Registration Statement, as of the Effective Date, (2) the Prospectus, as of its date and on the applicable Delivery Date, and (3) the Pricing Disclosure Package, as of the Applicable Time, did not and do not contain any untrue statement of a material fact and did not and do not omit to state a material fact required to be stated therein or necessary to make the statements therein (except in the case of the Registration Statement, in the light of the circumstances under which they were made) not misleading, and (B) since the Effective Date, no event has occurred that should have been set forth in a supplement or amendment to the Registration Statement, the Prospectus or any Issuer Free Writing Prospectus that has not been so set forth; and</w:t>
      </w:r>
    </w:p>
    <w:p>
      <w:pPr>
        <w:spacing w:after="0" w:line="188" w:lineRule="exact"/>
        <w:rPr>
          <w:rFonts w:ascii="Times New Roman" w:cs="Times New Roman" w:eastAsia="Times New Roman" w:hAnsi="Times New Roman"/>
          <w:sz w:val="18"/>
          <w:szCs w:val="18"/>
          <w:color w:val="auto"/>
        </w:rPr>
      </w:pPr>
    </w:p>
    <w:p>
      <w:pPr>
        <w:ind w:left="1140" w:hanging="308"/>
        <w:spacing w:after="0"/>
        <w:tabs>
          <w:tab w:leader="none" w:pos="114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effect of Section 9(n) (provided that no representation with respect to the judgment of the Representatives need be</w:t>
      </w:r>
    </w:p>
    <w:p>
      <w:pPr>
        <w:spacing w:after="0" w:line="27" w:lineRule="exact"/>
        <w:rPr>
          <w:rFonts w:ascii="Times New Roman" w:cs="Times New Roman" w:eastAsia="Times New Roman" w:hAnsi="Times New Roman"/>
          <w:sz w:val="18"/>
          <w:szCs w:val="18"/>
          <w:color w:val="auto"/>
        </w:rPr>
      </w:pPr>
    </w:p>
    <w:p>
      <w:pPr>
        <w:ind w:left="1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made).</w:t>
      </w:r>
    </w:p>
    <w:p>
      <w:pPr>
        <w:spacing w:after="0" w:line="206" w:lineRule="exact"/>
        <w:rPr>
          <w:rFonts w:ascii="Times New Roman" w:cs="Times New Roman" w:eastAsia="Times New Roman" w:hAnsi="Times New Roman"/>
          <w:sz w:val="18"/>
          <w:szCs w:val="18"/>
          <w:color w:val="auto"/>
        </w:rPr>
      </w:pPr>
    </w:p>
    <w:p>
      <w:pPr>
        <w:jc w:val="both"/>
        <w:ind w:left="-460" w:firstLine="644"/>
        <w:spacing w:after="0" w:line="261" w:lineRule="auto"/>
        <w:tabs>
          <w:tab w:leader="none" w:pos="508"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Selling Shareholder shall have furnished to the Representatives on the Delivery Date a certificate, dated such Delivery Date, signed by, or on behalf of, the Selling Shareholder stating that the representations, warranties and agreements of the Selling Shareholder contained herein are true and correct on and as of such Delivery Date and that the Selling Shareholder has complied with all its agreements contained herein and has satisfied all the conditions on its part to be performed or satisfied hereunder at or prior to such Delivery Date.</w:t>
      </w:r>
    </w:p>
    <w:p>
      <w:pPr>
        <w:spacing w:after="0" w:line="387"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10795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33" w:name="page34"/>
    <w:bookmarkEnd w:id="33"/>
    <w:p>
      <w:pPr>
        <w:jc w:val="both"/>
        <w:ind w:left="-460" w:firstLine="644"/>
        <w:spacing w:after="0" w:line="254" w:lineRule="auto"/>
        <w:tabs>
          <w:tab w:leader="none" w:pos="468"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Neither the Company nor any of its subsidiaries shall have sustained, since the date of the latest audited financial statements included or incorporated by reference in the Preliminary Prospectus, any loss or interference with its business from fire, explosion, flood or other calamity, whether or not covered by insurance, or from any labor dispute or court or governmental action, order or decree, or (ii) since such date, and except as set out in the Pricing Disclosure Package, there shall not have been any change in the share capital or long-term debt of the Company or any of its subsidiaries or any change, or any development involving a prospective change, in or affecting the condition (financial or otherwise), results of operations, shareholders’ equity, properties, management, business or prospects of the Company and its subsidiaries taken as a whole, the effect of which, in any such case described in clause (i) or (ii), is, individually or in the aggregate, in the judgment of the Representatives, so material and adverse as to make it impracticable or inadvisable to proceed with the public offering or the delivery of the Shares being delivered on such Delivery Date on the terms and in the manner contemplated in the Prospectus.</w:t>
      </w:r>
    </w:p>
    <w:p>
      <w:pPr>
        <w:spacing w:after="0" w:line="188" w:lineRule="exact"/>
        <w:rPr>
          <w:rFonts w:ascii="Times New Roman" w:cs="Times New Roman" w:eastAsia="Times New Roman" w:hAnsi="Times New Roman"/>
          <w:sz w:val="18"/>
          <w:szCs w:val="18"/>
          <w:color w:val="auto"/>
        </w:rPr>
      </w:pPr>
    </w:p>
    <w:p>
      <w:pPr>
        <w:jc w:val="both"/>
        <w:ind w:left="-460" w:firstLine="644"/>
        <w:spacing w:after="0" w:line="269" w:lineRule="auto"/>
        <w:tabs>
          <w:tab w:leader="none" w:pos="462"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Subsequent to the execution and delivery of this Agreement there shall not have occurred any of the following: (i) (A) trading in securities generally on any securities exchange that has registered with the Commission under Section 6 of the Exchange Act (including the New York Stock Exchange, The Nasdaq Global Select Market, The Nasdaq Global Market or The Nasdaq Capital Market), or (B) trading in any securities of the Company on any exchange or in the over-the-counter market, shall have been suspended or materially limited or the settlement of such trading generally shall have been materially disrupted or minimum prices shall have been established on any such exchange or such market by the Commission, by such exchange or by any other regulatory body or governmental authority having jurisdiction, (ii) a general moratorium on commercial banking activities shall have been declared by federal or state authorities, (iii) the United States or the State of Israel shall have become engaged in hostilities, there shall have been an escalation in hostilities involving the United States or the State of Israel or there shall have been a declaration of a national emergency by the United States or war by the United States or the State of Israel, or (iv) there shall have occurred such a material adverse change in general economic, political or financial conditions, including, without limitation, as a result of terrorist activities after the date hereof (or the effect of international conditions on the financial markets in the United States shall be such) or any other calamity or crisis either within or outside the United States, as to make it, in the judgment of the Representatives, impracticable or inadvisable to proceed with the public offering or delivery of the Shares being delivered on such Delivery Date on the terms and in the manner contemplated in the Prospectus.</w:t>
      </w:r>
    </w:p>
    <w:p>
      <w:pPr>
        <w:spacing w:after="0" w:line="175" w:lineRule="exact"/>
        <w:rPr>
          <w:rFonts w:ascii="Times New Roman" w:cs="Times New Roman" w:eastAsia="Times New Roman" w:hAnsi="Times New Roman"/>
          <w:sz w:val="17"/>
          <w:szCs w:val="17"/>
          <w:color w:val="auto"/>
        </w:rPr>
      </w:pPr>
    </w:p>
    <w:p>
      <w:pPr>
        <w:ind w:left="-460" w:firstLine="644"/>
        <w:spacing w:after="0" w:line="282" w:lineRule="auto"/>
        <w:tabs>
          <w:tab w:leader="none" w:pos="448"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Nasdaq Global Select Market shall have approved the Shares for listing, subject only to official notice of issuance and evidence of satisfactory distribution.</w:t>
      </w:r>
    </w:p>
    <w:p>
      <w:pPr>
        <w:spacing w:after="0" w:line="161" w:lineRule="exact"/>
        <w:rPr>
          <w:rFonts w:ascii="Times New Roman" w:cs="Times New Roman" w:eastAsia="Times New Roman" w:hAnsi="Times New Roman"/>
          <w:sz w:val="18"/>
          <w:szCs w:val="18"/>
          <w:color w:val="auto"/>
        </w:rPr>
      </w:pPr>
    </w:p>
    <w:p>
      <w:pPr>
        <w:ind w:left="-460" w:firstLine="644"/>
        <w:spacing w:after="0" w:line="282" w:lineRule="auto"/>
        <w:tabs>
          <w:tab w:leader="none" w:pos="467"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Lock-Up Agreements between the Representatives and the officers, directors and shareholders of the Company set forth on Schedule II, delivered to the Representatives on or before the date of this Agreement, shall be in full force and effect on such Delivery Date.</w:t>
      </w:r>
    </w:p>
    <w:p>
      <w:pPr>
        <w:spacing w:after="0" w:line="368"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10795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34" w:name="page35"/>
    <w:bookmarkEnd w:id="34"/>
    <w:p>
      <w:pPr>
        <w:ind w:left="660" w:firstLine="644"/>
        <w:spacing w:after="0" w:line="282" w:lineRule="auto"/>
        <w:tabs>
          <w:tab w:leader="none" w:pos="1543"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prior to each Delivery Date, the Company shall have furnished to the Underwriters such further certificates and documents as the Representatives may reasonably request.</w:t>
      </w:r>
    </w:p>
    <w:p>
      <w:pPr>
        <w:spacing w:after="0" w:line="16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All opinions, letters, evidence and certificates mentioned above or elsewhere in this Agreement shall be deemed to be in compliance with the provisions hereof only if they are in form and substance reasonably satisfactory to counsel for the Underwriters.</w:t>
      </w:r>
    </w:p>
    <w:p>
      <w:pPr>
        <w:spacing w:after="0" w:line="160" w:lineRule="exact"/>
        <w:rPr>
          <w:sz w:val="20"/>
          <w:szCs w:val="20"/>
          <w:color w:val="auto"/>
        </w:rPr>
      </w:pPr>
    </w:p>
    <w:p>
      <w:pPr>
        <w:ind w:left="920" w:hanging="264"/>
        <w:spacing w:after="0"/>
        <w:tabs>
          <w:tab w:leader="none" w:pos="9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Indemnification and Contribution</w:t>
      </w:r>
      <w:r>
        <w:rPr>
          <w:rFonts w:ascii="Times New Roman" w:cs="Times New Roman" w:eastAsia="Times New Roman" w:hAnsi="Times New Roman"/>
          <w:sz w:val="18"/>
          <w:szCs w:val="18"/>
          <w:color w:val="auto"/>
        </w:rPr>
        <w:t>.</w:t>
      </w:r>
    </w:p>
    <w:p>
      <w:pPr>
        <w:spacing w:after="0" w:line="227" w:lineRule="exact"/>
        <w:rPr>
          <w:rFonts w:ascii="Times New Roman" w:cs="Times New Roman" w:eastAsia="Times New Roman" w:hAnsi="Times New Roman"/>
          <w:sz w:val="18"/>
          <w:szCs w:val="18"/>
          <w:color w:val="auto"/>
        </w:rPr>
      </w:pPr>
    </w:p>
    <w:p>
      <w:pPr>
        <w:jc w:val="both"/>
        <w:ind w:left="660" w:firstLine="644"/>
        <w:spacing w:after="0" w:line="251" w:lineRule="auto"/>
        <w:tabs>
          <w:tab w:leader="none" w:pos="1552"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hereby agrees to indemnify and hold harmless each Underwriter, its affiliates, directors, officers, employees and agents and each person, if any, who controls any Underwriter within the meaning of Section 15 of the Securities Act or Section 20 of the Exchange Act, from and against any loss, claim, damage or liability, joint or several, or any action in respect thereof (including, but not limited to, any loss, claim, damage, liability or action relating to purchases and sales of Shares), to which that Underwriter, affiliate, director, officer, employee, agent or controlling person may become subject, under the Securities Act or otherwise, insofar as such loss, claim, damage, liability or action arises out of, or is based upon, (i) any untrue statement or alleged untrue statement of a material fact contained in (A) any Preliminary Prospectus, the Registration Statement, the Prospectus or in any amendment or supplement thereto, (B) any Issuer Free Writing Prospectus or in any amendment or supplement thereto, (C) any Permitted Issuer Information used or referred to in any “free writing prospectus” (as defined in Rule 405 under the Securities Act) used or referred to by any Underwriter, (D) any materials or information provided to investors by, or with the approval of, the Company in connection with the marketing of the offering of the Shares, including any “road show” (as defined in Rule 433 under the Securities Act) not constituting an Issuer Free Writing Prospectus and any Written Testing-the-Waters Communication (“</w:t>
      </w:r>
      <w:r>
        <w:rPr>
          <w:rFonts w:ascii="Times New Roman" w:cs="Times New Roman" w:eastAsia="Times New Roman" w:hAnsi="Times New Roman"/>
          <w:sz w:val="18"/>
          <w:szCs w:val="18"/>
          <w:b w:val="1"/>
          <w:bCs w:val="1"/>
          <w:color w:val="auto"/>
        </w:rPr>
        <w:t>Marketing Materials</w:t>
      </w:r>
      <w:r>
        <w:rPr>
          <w:rFonts w:ascii="Times New Roman" w:cs="Times New Roman" w:eastAsia="Times New Roman" w:hAnsi="Times New Roman"/>
          <w:sz w:val="18"/>
          <w:szCs w:val="18"/>
          <w:color w:val="auto"/>
        </w:rPr>
        <w:t>”), or (E) any Blue Sky application or other document prepared or executed by the Company (or based upon any written information furnished by the Company specifically for use therein) specifically for the purpose of qualifying any or all of the Shares under the securities laws of any state or other jurisdiction (any such application, document or information being hereinafter called a “</w:t>
      </w:r>
      <w:r>
        <w:rPr>
          <w:rFonts w:ascii="Times New Roman" w:cs="Times New Roman" w:eastAsia="Times New Roman" w:hAnsi="Times New Roman"/>
          <w:sz w:val="18"/>
          <w:szCs w:val="18"/>
          <w:b w:val="1"/>
          <w:bCs w:val="1"/>
          <w:color w:val="auto"/>
        </w:rPr>
        <w:t>Blue Sky Application</w:t>
      </w:r>
      <w:r>
        <w:rPr>
          <w:rFonts w:ascii="Times New Roman" w:cs="Times New Roman" w:eastAsia="Times New Roman" w:hAnsi="Times New Roman"/>
          <w:sz w:val="18"/>
          <w:szCs w:val="18"/>
          <w:color w:val="auto"/>
        </w:rPr>
        <w:t xml:space="preserve">”) or (ii) the omission or alleged omission to state in any Preliminary Prospectus, the Registration Statement, the Prospectus, any Issuer Free Writing Prospectus or in any amendment or supplement thereto or in any Permitted Issuer Information, any Marketing Materials or any Blue Sky Application, any material fact required to be stated therein or necessary to make the statements therein not misleading, and shall reimburse each Underwriter and each such affiliate, director, officer, agent, employee or controlling person promptly upon demand for any legal or other expenses reasonably incurred by that Underwriter, affiliate, director, officer, agent, employee or controlling person in connection with investigating or defending or preparing to defend against any such loss, claim, damage, liability or action as such expenses are incurred;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Company shall not be liable in any such case to the extent that any such loss, claim, damage, liability or action arises out of, or is based upon, any untrue statement or alleged untrue statement or omission or alleged omission made in any Preliminary Prospectus, the Registration Statement, the Prospectus, any Issuer Free Writing Prospectus or in any such amendment or supplement thereto or in any Permitted Issuer Information, any Marketing Materials or any Blue Sky Application, in reliance upon and in conformity with written information concerning such Underwriter furnished to the Company through the Representatives by or on behalf of any Underwriter specifically for inclusion therein, which information consists solely of the information specified in Section 10(f). The foregoing indemnity agreement is in addition to any liability which the Company may otherwise have to any Underwriter or to any affiliate, director, officer, agent, employee or controlling person of that Underwriter.</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5" w:name="page36"/>
    <w:bookmarkEnd w:id="35"/>
    <w:p>
      <w:pPr>
        <w:jc w:val="both"/>
        <w:ind w:left="-460" w:firstLine="644"/>
        <w:spacing w:after="0" w:line="251" w:lineRule="auto"/>
        <w:tabs>
          <w:tab w:leader="none" w:pos="461"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Selling Shareholder shall indemnify and hold harmless each Underwriter, its affiliates, directors, officers and employees, and each person, if any, who controls any Underwriter within the meaning of Section 15 of the Securities Act or Section 20 of the Exchange Act, from and against any loss, claim, damage or liability, joint or several, or any action in respect thereof (including, but not limited to, any loss, claim, damage, liability or action relating to purchases and sales of Shares), to which that Underwriter, affiliate, director, officer, employee or controlling person may become subject, under the Securities Act or otherwise, insofar as such loss, claim, damage, liability or action arises out of, or is based upon, (i) any untrue statement or alleged untrue statement of a material fact contained in any Preliminary Prospectus, the Registration Statement, the Prospectus, any Issuer Free Writing Prospectus or in any amendment or supplement thereto or in any Permitted Issuer Information, any Marketing Materials, any Blue Sky Application or any “free writing prospectus” (as defined in Rule 405 under the Securities Act) (any such “free writing prospectus” that was prepared by or on behalf of the Selling Shareholder or used or referred to by the Selling Shareholder in connection with the offering of the Shares in violation of Section 7(c) being referred to as a “</w:t>
      </w:r>
      <w:r>
        <w:rPr>
          <w:rFonts w:ascii="Times New Roman" w:cs="Times New Roman" w:eastAsia="Times New Roman" w:hAnsi="Times New Roman"/>
          <w:sz w:val="18"/>
          <w:szCs w:val="18"/>
          <w:b w:val="1"/>
          <w:bCs w:val="1"/>
          <w:color w:val="auto"/>
        </w:rPr>
        <w:t>Selling Shareholder Free Writing Prospectus</w:t>
      </w:r>
      <w:r>
        <w:rPr>
          <w:rFonts w:ascii="Times New Roman" w:cs="Times New Roman" w:eastAsia="Times New Roman" w:hAnsi="Times New Roman"/>
          <w:sz w:val="18"/>
          <w:szCs w:val="18"/>
          <w:color w:val="auto"/>
        </w:rPr>
        <w:t xml:space="preserve">”), or (ii) the omission or alleged omission to state in any Preliminary Prospectus, Registration Statement, the Prospectus, any Issuer Free Writing Prospectus or in any amendment or supplement thereto or in any Permitted Issuer Information, any Marketing Materials, any Blue Sky Application or any Selling Shareholder Free Writing Prospectus, any material fact required to be stated therein or necessary to make the statements therein not misleading, and shall reimburse each Underwriter, its affiliates, directors, officers and employees and each such controlling person promptly upon demand for any legal or other expenses reasonably incurred by that Underwriter, its affiliates, directors, officers and employees or controlling persons in connection with investigating or defending or preparing to defend against any such loss, claim, damage, liability or action as such expenses are incurred;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Selling Shareholder shall be liable under this Section 10(b) only to the extent that any such loss, claim, damage, liability or action arises out of, or is based upon, any untrue statement or alleged untrue statement or omission or alleged omission made in a Preliminary Prospectus, the Registration Statement, the Prospectus, an Issuer Free Writing Prospectus or in any amendment or supplement thereto, a Permitted Issuer Information, any Marketing Materials, a Blue Sky Application or a Selling Shareholder Free Writing Prospectus in reliance upon and in conformity with information relating to the Selling Shareholder furnished in writing to the Company by or on behalf of the Selling Shareholder expressly for use in the Preliminary Prospectus, Registration Statement, Prospectus, Issuer Free Writing Prospectus or amendment or supplement thereto, Permitted Issuer Information, Marketing Materials, Blue Sky Application or Selling Shareholder Free Writing Prospectus (as applicable), it being understood that the information furnished by the Selling Shareholder consists only of the statements contained with respect to the Selling Shareholder under the caption “Selling shareholder” (without regard to any information incorporated by reference therein).</w:t>
      </w:r>
    </w:p>
    <w:p>
      <w:pPr>
        <w:spacing w:after="0" w:line="200" w:lineRule="exact"/>
        <w:rPr>
          <w:sz w:val="20"/>
          <w:szCs w:val="20"/>
          <w:color w:val="auto"/>
        </w:rPr>
      </w:pPr>
    </w:p>
    <w:p>
      <w:pPr>
        <w:spacing w:after="0" w:line="21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10795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36" w:name="page37"/>
    <w:bookmarkEnd w:id="36"/>
    <w:p>
      <w:pPr>
        <w:jc w:val="both"/>
        <w:ind w:left="-460" w:firstLine="644"/>
        <w:spacing w:after="0" w:line="252" w:lineRule="auto"/>
        <w:tabs>
          <w:tab w:leader="none" w:pos="448"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Underwriter, severally and not jointly, shall indemnify and hold harmless the Company, its directors, officers, employees and agents, the Selling Shareholder, its respective directors, officers, employees and agents (as applicable), and each person, if any, who controls the Company or the Selling Shareholder (as applicable) within the meaning of Section 15 of the Securities Act or Section 20 of the Exchange Act, from and against any loss, claim, damage or liability, joint or several, or any action in respect thereof, to which the Company or the Selling Shareholder or any such director, officer, employee, agent or controlling person (as applicable) may become subject, under the Securities Act or otherwise, insofar as such loss, claim, damage, liability or action arises out of, or is based upon, (i) any untrue statement or alleged untrue statement of a material fact contained in any Preliminary Prospectus, the Registration Statement, the Prospectus, any Issuer Free Writing Prospectus or in any amendment or supplement thereto or in any Marketing Materials or Blue Sky Application, or (ii) the omission or alleged omission to state in any Preliminary Prospectus, the Registration Statement, the Prospectus, any Issuer Free Writing Prospectus or in any amendment or supplement thereto or in any Marketing Materials or Blue Sky Application, any material fact required to be stated therein or necessary to make the statements therein not misleading, but in each case only to the extent that the untrue statement or alleged untrue statement or omission or alleged omission was made in reliance upon and in conformity with written information concerning such Underwriter furnished to the Company through the Representatives by or on behalf of that Underwriter specifically for inclusion therein, which information is limited to the information set forth in Section 10(f). The foregoing indemnity agreement is in addition to any liability that any Underwriter may otherwise have to the Company, the Selling Shareholder or any such director, officer, employee or controlling person.</w:t>
      </w:r>
    </w:p>
    <w:p>
      <w:pPr>
        <w:spacing w:after="0" w:line="195" w:lineRule="exact"/>
        <w:rPr>
          <w:rFonts w:ascii="Times New Roman" w:cs="Times New Roman" w:eastAsia="Times New Roman" w:hAnsi="Times New Roman"/>
          <w:sz w:val="18"/>
          <w:szCs w:val="18"/>
          <w:color w:val="auto"/>
        </w:rPr>
      </w:pPr>
    </w:p>
    <w:p>
      <w:pPr>
        <w:jc w:val="both"/>
        <w:ind w:left="-460" w:firstLine="644"/>
        <w:spacing w:after="0" w:line="251" w:lineRule="auto"/>
        <w:tabs>
          <w:tab w:leader="none" w:pos="452"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Promptly after receipt by an indemnified party under this Section 10 of notice of any claim or the commencement of any action, the indemnified party shall, if a claim in respect thereof is to be made against the indemnifying party under this Section 10, notify the indemnifying party in writing of the claim or the commencement of that action;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failure to notify the indemnifying party shall not relieve it from any liability which it may have under this Section 10 except to the extent it has been materially prejudiced (through the forfeiture of substantive rights and defenses) by such failure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the failure to notify the indemnifying party shall not relieve it from any liability which it may have to an indemnified party otherwise than under this Section 10. If any such claim or action shall be brought against an indemnified party, and it shall notify the indemnifying party thereof, the indemnifying party shall be entitled to participate therein and, to the extent that it wishes, jointly with any other similarly notified indemnifying party, to assume the defense thereof with counsel reasonably satisfactory to the indemnified party. After notice from the indemnifying party to the indemnified party of its election to assume the defense of such claim or action, the indemnifying party shall not be liable to the indemnified party under this Section 10 for any legal or other expenses subsequently incurred by the indemnified party in connection with the defense thereof other than reasonable costs of investigation;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indemnified party shall have the right to employ counsel to represent jointly the indemnified party and those other indemnified parties and their respective directors, officers, employees and controlling persons who may be subject to liability arising out of any claim in respect of which indemnity may be sought under this Section 10 if (i) the indemnified party and the indemnifying party shall have so mutually agreed; (ii) the indemnifying party has failed within a reasonable time to retain counsel reasonably satisfactory to the indemnified party; (iii) the indemnified party and its directors, officers, employees and controlling persons shall have reasonably concluded that there may be legal defenses available to them that are different from or in addition to those available to the indemnifying party; or (iv) the named parties in any such proceeding (including any impleaded parties) include both the indemnified parties or their respective directors, officers, employees or controlling persons, on the one hand, and the indemnifying party, on the other hand, and representation of both sets of parties by the same counsel would be inappropriate due to actual or potential differing interests between them, and in any such event the fees and expenses of such separate counsel shall be paid by the indemnifying party. No indemnifying party shall (x) without the prior written consent of the indemnified parties (which consent shall not be unreasonably withheld), settle or compromise or consent to the entry of any judgment with respect to any pending or threatened claim, action, suit or proceeding in respect of which indemnification or contribution may be sought hereunder (whether or not the indemnified parties are actual or potential parties to such claim or action) unless such settlement, compromise or consent includes an unconditional release of each indemnified party from all liability arising out of such claim, action, suit or proceeding and does not include a statement as to, or an admission of fault, culpability or a failure to act by or on behalf of any indemnified party, or (y) be liable for any settlement of any such action effected without its written consent, but if settled with the consent of the indemnifying party or if there be a final judgment for the plaintiff in any such action, the indemnifying party agrees to indemnify and hold harmless any indemnified party from and against any loss or liability by reason of such settlement or judgment. Notwithstanding the foregoing sentence, if at any time an indemnified party shall have requested an indemnifying party to reimburse the indemnified party for fees and expenses of counsel as contemplated by Section 10(a) or 10(b) hereof, the indemnifying party agrees that it shall be liable for any settlement of any proceeding effected without its written consent if (i) such settlement is entered into more than 45 days after receipt by such indemnifying party of the aforesaid request and (ii) such indemnifying party shall have notice of the terms of such settlement at least 30 days prior to such settlement being entered into and (iii) such indemnifying party shall not have reimbursed the indemnified party in accordance with such request or disputed in good faith the indemnified party’s entitlement to such reimbursement prior to the date of such settlement.</w:t>
      </w:r>
    </w:p>
    <w:p>
      <w:pPr>
        <w:spacing w:after="0" w:line="200" w:lineRule="exact"/>
        <w:rPr>
          <w:sz w:val="20"/>
          <w:szCs w:val="20"/>
          <w:color w:val="auto"/>
        </w:rPr>
      </w:pPr>
    </w:p>
    <w:p>
      <w:pPr>
        <w:spacing w:after="0" w:line="206"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10795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37" w:name="page38"/>
    <w:bookmarkEnd w:id="37"/>
    <w:p>
      <w:pPr>
        <w:jc w:val="both"/>
        <w:ind w:left="-460" w:firstLine="644"/>
        <w:spacing w:after="0" w:line="251" w:lineRule="auto"/>
        <w:tabs>
          <w:tab w:leader="none" w:pos="462"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indemnification provided for in this Section 10 shall for any reason be unavailable to or insufficient to hold harmless an indemnified party under Section 10(a), 10(b) or 10(c) in respect of any loss, claim, damage or liability, or any action in respect thereof, referred to therein, then each indemnifying party shall, in lieu of indemnifying such indemnified party, contribute to the amount paid or payable by such indemnified party as a result of such loss, claim, damage or liability, or action in respect thereof, (i) in such proportion as shall be appropriate to reflect the relative benefits received by the Company and the Selling Shareholder, on the one hand, and the Underwriters, on the other, from the offering of the Shares, or (ii) if the allocation provided by clause (i) above is not permitted by applicable law, in such proportion as is appropriate to reflect not only the relative benefits referred to in clause (i) above but also the relative fault of the Company and the Selling Shareholder, on the one hand, and the Underwriters, on the other, with respect to the statements or omissions that resulted in such loss, claim, damage or liability, or action in respect thereof, as well as any other relevant equitable considerations. The relative benefits received by the Company and the Selling Shareholder, on the one hand, and the Underwriters, on the other, with respect to such offering shall be deemed to be in the same proportion as the total net proceeds from the offering of the Shares purchased under this Agreement (before deducting expenses) received by the Company and the Selling Shareholder, as set forth in the table on the cover page of the Prospectus, on the one hand, and the total underwriting discounts and commissions received by the Underwriters with respect to the Shares purchased under this Agreement, as set forth in the table on the cover page of the Prospectus, on the other hand. The relative fault shall be determined by reference to whether the untrue or alleged untrue statement of a material fact or omission or alleged omission to state a material fact relates to information supplied by the Company, the Selling Shareholder or the Underwriters, the intent of the parties and their relative knowledge, access to information and opportunity to correct or prevent such statement or omission. The Company, the Selling Shareholder and the Underwriters agree that it would not be just and equitable if contributions pursuant to this Section 10(e) were to be determined by pro rata allocation (even if the Underwriters were treated as one entity for such purpose) or by any other method of allocation that does not take into account the equitable considerations referred to herein. The amount paid or payable by an indemnified party as a result of the loss, claim, damage or liability, or action in respect thereof, referred to above in this Section 10(e) shall be deemed to include, for purposes of this Section 10(e), any legal or other expenses reasonably incurred by such indemnified party in connection with investigating or defending any such action or claim. Notwithstanding the provisions of this Section 10(e), in no event shall an Underwriter be required to contribute any amount in excess of the amount by which the total underwriting discounts and commissions received by such Underwriter with respect to the offering of the Shares exceeds the amount of any damages that such Underwriter has otherwise been required to pay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 The Underwriters’ obligations to contribute as provided in this Section 10(e) are several in proportion to their respective underwriting obligations and not joint.</w:t>
      </w:r>
    </w:p>
    <w:p>
      <w:pPr>
        <w:spacing w:after="0" w:line="202" w:lineRule="exact"/>
        <w:rPr>
          <w:rFonts w:ascii="Times New Roman" w:cs="Times New Roman" w:eastAsia="Times New Roman" w:hAnsi="Times New Roman"/>
          <w:sz w:val="18"/>
          <w:szCs w:val="18"/>
          <w:color w:val="auto"/>
        </w:rPr>
      </w:pPr>
    </w:p>
    <w:p>
      <w:pPr>
        <w:jc w:val="both"/>
        <w:ind w:left="-460" w:firstLine="644"/>
        <w:spacing w:after="0" w:line="256" w:lineRule="auto"/>
        <w:tabs>
          <w:tab w:leader="none" w:pos="448"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Underwriters severally confirm and the Company and the Selling Shareholder acknowledge and agree that the statements regarding delivery of the Shares by the Underwriters set forth on the cover page of, and the concession and reallowance figures and the paragraph relating to stabilization, short positions and penalty bids by the Underwriters appearing under the caption “Underwriting” in the Preliminary Prospectus and the Prospectus are correct and constitute the only information concerning such Underwriters furnished in writing to the Company by or on behalf of the Underwriters specifically for inclusion in any Preliminary Prospectus, the Registration Statement, the Prospectus, any Issuer Free Writing Prospectus or in any amendment or supplement thereto or in any Marketing Materials.</w:t>
      </w:r>
    </w:p>
    <w:p>
      <w:pPr>
        <w:spacing w:after="0" w:line="394"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10795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38" w:name="page39"/>
    <w:bookmarkEnd w:id="38"/>
    <w:p>
      <w:pPr>
        <w:jc w:val="both"/>
        <w:ind w:left="4" w:firstLine="644"/>
        <w:spacing w:after="0" w:line="266" w:lineRule="auto"/>
        <w:tabs>
          <w:tab w:leader="none" w:pos="911"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liability of the Selling Shareholder under this Agreement and the transactions contemplated hereby shall be limited to an amount equal to the total gross proceeds from the offering of the Shares purchased under the Agreement received by the Selling Shareholder, as set forth in the table on the cover page of the Prospectus, after deduction of underwriting commissions and discounts.</w:t>
      </w:r>
    </w:p>
    <w:p>
      <w:pPr>
        <w:spacing w:after="0" w:line="173"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Defaulting Underwriters</w:t>
      </w:r>
      <w:r>
        <w:rPr>
          <w:rFonts w:ascii="Times New Roman" w:cs="Times New Roman" w:eastAsia="Times New Roman" w:hAnsi="Times New Roman"/>
          <w:sz w:val="18"/>
          <w:szCs w:val="18"/>
          <w:color w:val="auto"/>
        </w:rPr>
        <w:t>.</w:t>
      </w:r>
    </w:p>
    <w:p>
      <w:pPr>
        <w:spacing w:after="0" w:line="227" w:lineRule="exact"/>
        <w:rPr>
          <w:rFonts w:ascii="Times New Roman" w:cs="Times New Roman" w:eastAsia="Times New Roman" w:hAnsi="Times New Roman"/>
          <w:sz w:val="18"/>
          <w:szCs w:val="18"/>
          <w:color w:val="auto"/>
        </w:rPr>
      </w:pPr>
    </w:p>
    <w:p>
      <w:pPr>
        <w:jc w:val="both"/>
        <w:ind w:left="4" w:firstLine="644"/>
        <w:spacing w:after="0" w:line="253" w:lineRule="auto"/>
        <w:tabs>
          <w:tab w:leader="none" w:pos="907"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on any Delivery Date, any Underwriter defaults in its obligations to purchase the Shares that it has agreed to purchase under this Agreement, the remaining non-defaulting Underwriters may in their discretion arrange for the purchase of such Shares by the non-defaulting Underwriters or other persons satisfactory to the Company on the terms contained in this Agreement. If, within 36 hours after any such default by any Underwriter, the non-defaulting Underwriters do not arrange for the purchase of such Shares, then the Company shall be entitled to a further period of 36 hours within which to procure other persons reasonably satisfactory to the non-defaulting Underwriters to purchase such Shares on such terms. In the event that within the respective prescribed periods, the non-defaulting Underwriters notify the Company that they have so arranged for the purchase of such Shares, or the Company notifies the non-defaulting Underwriters that it has so arranged for the purchase of such Shares, either the non-defaulting Underwriters or the Company may postpone such Delivery Date for up to seven full business days in order to effect any changes that in the opinion of counsel for the Company or counsel for the Underwriters may be necessary in the Registration Statement, the Prospectus or in any other document or arrangement, and the Company agrees to promptly prepare any amendment or supplement to the Registration Statement, the Prospectus or in any such other document or arrangement that effects any such changes. As used in this Agreement, the term “Underwriter” includes, for all purposes of this Agreement unless the context requires otherwise, any party not listed in Schedule I hereto that, pursuant to this Section 11, purchases Shares that a defaulting Underwriter agreed but failed to purchase.</w:t>
      </w:r>
    </w:p>
    <w:p>
      <w:pPr>
        <w:spacing w:after="0" w:line="187" w:lineRule="exact"/>
        <w:rPr>
          <w:rFonts w:ascii="Times New Roman" w:cs="Times New Roman" w:eastAsia="Times New Roman" w:hAnsi="Times New Roman"/>
          <w:sz w:val="18"/>
          <w:szCs w:val="18"/>
          <w:color w:val="auto"/>
        </w:rPr>
      </w:pPr>
    </w:p>
    <w:p>
      <w:pPr>
        <w:jc w:val="both"/>
        <w:ind w:left="4" w:firstLine="644"/>
        <w:spacing w:after="0" w:line="255" w:lineRule="auto"/>
        <w:tabs>
          <w:tab w:leader="none" w:pos="926"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after giving effect to any arrangements for the purchase of the Shares of a defaulting Underwriter or Underwriters by the non-defaulting Underwriters and the Company as provided in paragraph (a) above, the total number of Shares that remains unpurchased does not exceed one-eleventh of the total number of all the Shares, then the Company shall have the right to require each non-defaulting Underwriter to purchase the total number of Shares that such Underwriter agreed to purchase hereunder plus such Underwriter’s pro rata share (based on the total number of Shares that such Underwriter agreed to purchase hereunder) of the Shares of such defaulting Underwriter or Underwriters for which such arrangements have not been made;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non-defaulting Underwriters shall not be obligated to purchase more than 110% of the total number of Shares that it agreed to purchase on such Delivery Date pursuant to the terms of Section 3.</w:t>
      </w:r>
    </w:p>
    <w:p>
      <w:pPr>
        <w:spacing w:after="0" w:line="395" w:lineRule="exact"/>
        <w:rPr>
          <w:sz w:val="20"/>
          <w:szCs w:val="20"/>
          <w:color w:val="auto"/>
        </w:rPr>
      </w:pPr>
    </w:p>
    <w:p>
      <w:pPr>
        <w:ind w:left="4864"/>
        <w:spacing w:after="0"/>
        <w:rPr>
          <w:sz w:val="20"/>
          <w:szCs w:val="20"/>
          <w:color w:val="auto"/>
        </w:rPr>
      </w:pPr>
      <w:r>
        <w:rPr>
          <w:rFonts w:ascii="Times New Roman" w:cs="Times New Roman" w:eastAsia="Times New Roman" w:hAnsi="Times New Roman"/>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10795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39" w:name="page40"/>
    <w:bookmarkEnd w:id="39"/>
    <w:p>
      <w:pPr>
        <w:jc w:val="both"/>
        <w:ind w:left="660" w:firstLine="644"/>
        <w:spacing w:after="0" w:line="256" w:lineRule="auto"/>
        <w:tabs>
          <w:tab w:leader="none" w:pos="1572"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after giving effect to any arrangements for the purchase of the Shares of a defaulting Underwriter or Underwriters by the non-defaulting Underwriters and the Company as provided in paragraph (a) above, the total number of Shares that remains unpurchased exceeds one-eleventh of the total number of all the Shares, or if the Company shall not exercise the right described in paragraph (b) above, then this Agreement shall terminate without liability on the part of the non-defaulting Underwriters. Any termination of this Agreement pursuant to this Section 11 shall be without liability on the part of the Company, except that the Company will continue to be liable for the payment of expenses as set forth in Sections 8 and 13 and except that the provisions of Section 10 shall not terminate and shall remain in effect.</w:t>
      </w:r>
    </w:p>
    <w:p>
      <w:pPr>
        <w:spacing w:after="0" w:line="187" w:lineRule="exact"/>
        <w:rPr>
          <w:rFonts w:ascii="Times New Roman" w:cs="Times New Roman" w:eastAsia="Times New Roman" w:hAnsi="Times New Roman"/>
          <w:sz w:val="18"/>
          <w:szCs w:val="18"/>
          <w:color w:val="auto"/>
        </w:rPr>
      </w:pPr>
    </w:p>
    <w:p>
      <w:pPr>
        <w:ind w:left="660" w:right="20" w:firstLine="644"/>
        <w:spacing w:after="0" w:line="282" w:lineRule="auto"/>
        <w:tabs>
          <w:tab w:leader="none" w:pos="1578"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contained herein shall relieve a defaulting Underwriter of any liability it may have to the Company or any non-defaulting Underwriter for damages caused by its default.</w:t>
      </w:r>
    </w:p>
    <w:p>
      <w:pPr>
        <w:spacing w:after="0" w:line="159" w:lineRule="exact"/>
        <w:rPr>
          <w:rFonts w:ascii="Times New Roman" w:cs="Times New Roman" w:eastAsia="Times New Roman" w:hAnsi="Times New Roman"/>
          <w:sz w:val="18"/>
          <w:szCs w:val="18"/>
          <w:color w:val="auto"/>
        </w:rPr>
      </w:pPr>
    </w:p>
    <w:p>
      <w:pPr>
        <w:jc w:val="both"/>
        <w:ind w:firstLine="656"/>
        <w:spacing w:after="0" w:line="267" w:lineRule="auto"/>
        <w:tabs>
          <w:tab w:leader="none" w:pos="918"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Termination</w:t>
      </w:r>
      <w:r>
        <w:rPr>
          <w:rFonts w:ascii="Times New Roman" w:cs="Times New Roman" w:eastAsia="Times New Roman" w:hAnsi="Times New Roman"/>
          <w:sz w:val="18"/>
          <w:szCs w:val="18"/>
          <w:color w:val="auto"/>
        </w:rPr>
        <w:t>. The obligations of the Underwriters hereunder may be terminated by the Representatives by notice given to and received by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and the Selling Shareholder prior to delivery of and payment for the Firm Shares if, prior to that time, any of the events described in Sections 9(n) and 9(o) shall have occurred or if the Underwriters shall decline to purchase the Shares for any reason permitted under this Agreement.</w:t>
      </w:r>
    </w:p>
    <w:p>
      <w:pPr>
        <w:spacing w:after="0" w:line="173" w:lineRule="exact"/>
        <w:rPr>
          <w:rFonts w:ascii="Times New Roman" w:cs="Times New Roman" w:eastAsia="Times New Roman" w:hAnsi="Times New Roman"/>
          <w:sz w:val="18"/>
          <w:szCs w:val="18"/>
          <w:color w:val="auto"/>
        </w:rPr>
      </w:pPr>
    </w:p>
    <w:p>
      <w:pPr>
        <w:jc w:val="both"/>
        <w:ind w:firstLine="656"/>
        <w:spacing w:after="0" w:line="254" w:lineRule="auto"/>
        <w:tabs>
          <w:tab w:leader="none" w:pos="918"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Reimbursement of Underwriters’ Expenses</w:t>
      </w:r>
      <w:r>
        <w:rPr>
          <w:rFonts w:ascii="Times New Roman" w:cs="Times New Roman" w:eastAsia="Times New Roman" w:hAnsi="Times New Roman"/>
          <w:sz w:val="18"/>
          <w:szCs w:val="18"/>
          <w:color w:val="auto"/>
        </w:rPr>
        <w:t>. If (a) the Company shall fail to tender the Shares for delivery to the Underwriters for any reason,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(b) the Underwriters shall decline to purchase the Shares for any reason permitted under this Agreement (other than due to the termination of this Agreement because of the failure of the Selling Shareholder to tender the Shares for delivery to the Underwriters), the Company will reimburse the Underwriters for all reasonable out-of-pocket expenses (including fees and disbursements of counsel for the Underwriters) incurred by the Underwriters in connection with this Agreement and the proposed purchase of the Shares, and upon demand the Company shall pay the full amount thereof to the Representatives. If the Selling Shareholder shall fail to tender the Shares for delivery to the Underwriters for any reason, the Selling Shareholder will reimburse the Underwriters for all reasonable out-of-pocket expenses (including fees and disbursements of counsel for the Underwriters) incurred by the Underwriters in connection with this Agreement and the proposed purchase of the Shares, and upon demand the Selling Shareholder shall pay the full amount thereof to the Representatives. If this Agreement is terminated pursuant to Section 11 by reason of the default of one or more Underwriters, the Company and the Selling Shareholder shall not be obligated to reimburse any defaulting Underwriter on account of those expenses.</w:t>
      </w:r>
    </w:p>
    <w:p>
      <w:pPr>
        <w:spacing w:after="0" w:line="185" w:lineRule="exact"/>
        <w:rPr>
          <w:rFonts w:ascii="Times New Roman" w:cs="Times New Roman" w:eastAsia="Times New Roman" w:hAnsi="Times New Roman"/>
          <w:sz w:val="18"/>
          <w:szCs w:val="18"/>
          <w:color w:val="auto"/>
        </w:rPr>
      </w:pPr>
    </w:p>
    <w:p>
      <w:pPr>
        <w:jc w:val="both"/>
        <w:ind w:firstLine="656"/>
        <w:spacing w:after="0" w:line="254" w:lineRule="auto"/>
        <w:tabs>
          <w:tab w:leader="none" w:pos="918"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Research Analyst Independence</w:t>
      </w:r>
      <w:r>
        <w:rPr>
          <w:rFonts w:ascii="Times New Roman" w:cs="Times New Roman" w:eastAsia="Times New Roman" w:hAnsi="Times New Roman"/>
          <w:sz w:val="18"/>
          <w:szCs w:val="18"/>
          <w:color w:val="auto"/>
        </w:rPr>
        <w:t>. The Company acknowledges that the Underwriters’ research analysts and research departments are required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be independent from their respective investment banking divisions and are subject to certain regulations and internal policies, and that such Underwriters’ research analysts may hold views and make statements or investment recommendations and/or publish research reports with respect to the Company and/or the offering that differ from the views of their respective investment banking divisions. The Company and the Selling Shareholder hereby waive and release, to the fullest extent permitted by law, any claims that the Company or the Selling Shareholder may have against the Underwriters with respect to any conflict of interest that may arise from the fact that the views expressed by their independent research analysts and research departments may be different from or inconsistent with the views or advice communicated to the Company or the Selling Shareholder by such Underwriters’ investment banking divisions. The Company and the Selling Shareholder acknowledge that each of the Underwriters is a full service securities firm and as such from time to time, subject to applicable securities laws, may effect transactions for its own account or the account of its customers and hold long or short positions in debt or equity securities of the companies that may be the subject of the transactions contemplated by this Agreement.</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0" w:name="page41"/>
    <w:bookmarkEnd w:id="40"/>
    <w:p>
      <w:pPr>
        <w:jc w:val="both"/>
        <w:ind w:firstLine="656"/>
        <w:spacing w:after="0" w:line="253" w:lineRule="auto"/>
        <w:tabs>
          <w:tab w:leader="none" w:pos="918"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Fiduciary Duty</w:t>
      </w:r>
      <w:r>
        <w:rPr>
          <w:rFonts w:ascii="Times New Roman" w:cs="Times New Roman" w:eastAsia="Times New Roman" w:hAnsi="Times New Roman"/>
          <w:sz w:val="18"/>
          <w:szCs w:val="18"/>
          <w:color w:val="auto"/>
        </w:rPr>
        <w:t>. The Company and the Selling Shareholder acknowledge and agree that in connection with this offering, sale of the Shares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any other services the Underwriters may be deemed to be providing hereunder, notwithstanding any preexisting relationship, advisory or otherwise, between the parties or any oral representations or assurances previously or subsequently made by the Underwriters: (a) no fiduciary or agency relationship between the Company, the Selling Shareholder and any other person, on the one hand, and the Underwriters, on the other, exists; (b) the Underwriters are not acting as advisors, expert or otherwise and are not providing a recommendation or investment advice, to either the Company or the Selling Shareholder, including, without limitation, with respect to the determination of the public offering price of the Shares, and such relationship between the Company and the Selling Shareholder, on the one hand, and the Underwriters, on the other, is entirely and solely commercial, based on arms-length negotiations; (c) any duties and obligations that the Underwriters may have to the Company or the Selling Shareholder shall be limited to those duties and obligations specifically stated herein; and (d) the Underwriters and their respective affiliates may have interests that differ from those of the Company and the Selling Shareholder. The Company and the Selling Shareholder hereby (x) waive any claims that the Company or the Selling Shareholder may have against the Underwriters with respect to any breach of fiduciary duty in connection with this offering and (y) agree that none of the activities of the Underwriters in connection with the transactions contemplated herein constitutes a recommendation, investment advice or solicitation of any action by the Underwriters with respect to any entity or natural person. Each of the Company and the Selling Shareholder has consulted their own legal, accounting, financial, regulatory and tax advisors to the extent deemed appropriate.</w:t>
      </w:r>
    </w:p>
    <w:p>
      <w:pPr>
        <w:spacing w:after="0" w:line="185"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Notices, etc</w:t>
      </w:r>
      <w:r>
        <w:rPr>
          <w:rFonts w:ascii="Times New Roman" w:cs="Times New Roman" w:eastAsia="Times New Roman" w:hAnsi="Times New Roman"/>
          <w:sz w:val="18"/>
          <w:szCs w:val="18"/>
          <w:color w:val="auto"/>
        </w:rPr>
        <w:t>. All statements, requests, notices and agreements hereunder shall be in writing, and:</w:t>
      </w:r>
    </w:p>
    <w:p>
      <w:pPr>
        <w:spacing w:after="0" w:line="227" w:lineRule="exact"/>
        <w:rPr>
          <w:rFonts w:ascii="Times New Roman" w:cs="Times New Roman" w:eastAsia="Times New Roman" w:hAnsi="Times New Roman"/>
          <w:sz w:val="18"/>
          <w:szCs w:val="18"/>
          <w:color w:val="auto"/>
        </w:rPr>
      </w:pPr>
    </w:p>
    <w:p>
      <w:pPr>
        <w:jc w:val="both"/>
        <w:ind w:left="660" w:firstLine="644"/>
        <w:spacing w:after="0" w:line="258" w:lineRule="auto"/>
        <w:tabs>
          <w:tab w:leader="none" w:pos="1591"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the Underwriters, shall be delivered or sent by mail or facsimile transmission to (i) Citigroup Global Markets Inc., 388 Greenwich Street, New York, New York 10013 Attention: General Counsel (Fax: (646) 291-1469), with a copy, in the case of any notice pursuant to Section 8(c), to the General Counsel, Citigroup Global Markets Inc., 388 Greenwich Street, New York, New York 10013, (ii) Barclays Capital Inc., 745 Seventh Avenue, New York, New York 10019, Attention: Syndicate Registration (Fax: (646) 834-8133) and (iii) Goldman Sachs &amp; Co. LLC, 200 West Street, New York, New York 10282, Attention: Registration Department; and</w:t>
      </w:r>
    </w:p>
    <w:p>
      <w:pPr>
        <w:spacing w:after="0" w:line="183" w:lineRule="exact"/>
        <w:rPr>
          <w:rFonts w:ascii="Times New Roman" w:cs="Times New Roman" w:eastAsia="Times New Roman" w:hAnsi="Times New Roman"/>
          <w:sz w:val="18"/>
          <w:szCs w:val="18"/>
          <w:color w:val="auto"/>
        </w:rPr>
      </w:pPr>
    </w:p>
    <w:p>
      <w:pPr>
        <w:ind w:left="660" w:right="20" w:firstLine="644"/>
        <w:spacing w:after="0" w:line="282" w:lineRule="auto"/>
        <w:tabs>
          <w:tab w:leader="none" w:pos="1593"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the Company, shall be delivered or sent by mail or facsimile transmission to the address of the Company set forth in the Registration Statement, Attention: Guy Avidan (Fax: (+972) 3-908-0280).</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41" w:name="page42"/>
    <w:bookmarkEnd w:id="41"/>
    <w:p>
      <w:pPr>
        <w:ind w:left="660" w:firstLine="644"/>
        <w:spacing w:after="0" w:line="282" w:lineRule="auto"/>
        <w:tabs>
          <w:tab w:leader="none" w:pos="1587"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the Selling Shareholder, shall be delivered or sent by mail or facsimile transmission to 410 Terry Avenue North, Seattle, Washington 98109-5210, Attention: General Counsel (Fax: (206) 266-7010).</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Any such statements, requests, notices or agreements shall take effect at the time of receipt thereof. The Company and the Selling Shareholder shall be entitled to act and rely upon any request, consent, notice or agreement given or made on behalf of the Underwriters by Citigroup Global Markets Inc. on behalf of the Representatives.</w:t>
      </w:r>
    </w:p>
    <w:p>
      <w:pPr>
        <w:spacing w:after="0" w:line="174" w:lineRule="exact"/>
        <w:rPr>
          <w:sz w:val="20"/>
          <w:szCs w:val="20"/>
          <w:color w:val="auto"/>
        </w:rPr>
      </w:pPr>
    </w:p>
    <w:p>
      <w:pPr>
        <w:jc w:val="both"/>
        <w:ind w:firstLine="656"/>
        <w:spacing w:after="0" w:line="254" w:lineRule="auto"/>
        <w:tabs>
          <w:tab w:leader="none" w:pos="918"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Persons Entitled to Benefit of Agreement</w:t>
      </w:r>
      <w:r>
        <w:rPr>
          <w:rFonts w:ascii="Times New Roman" w:cs="Times New Roman" w:eastAsia="Times New Roman" w:hAnsi="Times New Roman"/>
          <w:sz w:val="18"/>
          <w:szCs w:val="18"/>
          <w:color w:val="auto"/>
        </w:rPr>
        <w:t>. This Agreement shall inure to the benefit of and be binding upon the Underwriters, the Company,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Selling Shareholder and their respective successors. This Agreement and the terms and provisions hereof are for the sole benefit of only those persons, except that (a) the representations, warranties, indemnities and agreements of the Company and the Selling Shareholder contained in this Agreement shall also be deemed to be for the benefit of the directors, officers and employees of the Underwriters and each person or persons, if any, who control any Underwriter within the meaning of Section 15 of the Securities Act, and (b) the indemnity agreement of the Underwriters contained in Section 10(c) of this Agreement shall be deemed to be for the benefit of the directors of the Company, the officers of the Company who have signed the Registration Statement and any person controlling the Company within the meaning of Section 15 of the Securities Act. Nothing in this Agreement is intended or shall be construed to give any person, other than the persons referred to in this Section 17, any legal or equitable right, remedy or claim under or in respect of this Agreement or any provision contained herein.</w:t>
      </w:r>
    </w:p>
    <w:p>
      <w:pPr>
        <w:spacing w:after="0" w:line="188" w:lineRule="exact"/>
        <w:rPr>
          <w:rFonts w:ascii="Times New Roman" w:cs="Times New Roman" w:eastAsia="Times New Roman" w:hAnsi="Times New Roman"/>
          <w:sz w:val="18"/>
          <w:szCs w:val="18"/>
          <w:color w:val="auto"/>
        </w:rPr>
      </w:pPr>
    </w:p>
    <w:p>
      <w:pPr>
        <w:jc w:val="both"/>
        <w:ind w:firstLine="656"/>
        <w:spacing w:after="0" w:line="261" w:lineRule="auto"/>
        <w:tabs>
          <w:tab w:leader="none" w:pos="972"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Survival</w:t>
      </w:r>
      <w:r>
        <w:rPr>
          <w:rFonts w:ascii="Times New Roman" w:cs="Times New Roman" w:eastAsia="Times New Roman" w:hAnsi="Times New Roman"/>
          <w:sz w:val="18"/>
          <w:szCs w:val="18"/>
          <w:color w:val="auto"/>
        </w:rPr>
        <w:t>. The respective indemnities, representations, warranties and agreements of the Company, the Selling Shareholder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Underwriters contained in this Agreement or made by or on behalf of them, respectively, pursuant to this Agreement, shall survive the delivery of and payment for the Shares and shall remain in full force and effect, regardless of any investigation made by or on behalf of any of them or any person controlling any of them.</w:t>
      </w:r>
    </w:p>
    <w:p>
      <w:pPr>
        <w:spacing w:after="0" w:line="179"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Recognition of the U.S. Special Resolution Regime</w:t>
      </w:r>
      <w:r>
        <w:rPr>
          <w:rFonts w:ascii="Times New Roman" w:cs="Times New Roman" w:eastAsia="Times New Roman" w:hAnsi="Times New Roman"/>
          <w:sz w:val="18"/>
          <w:szCs w:val="18"/>
          <w:color w:val="auto"/>
        </w:rPr>
        <w:t>.</w:t>
      </w:r>
    </w:p>
    <w:p>
      <w:pPr>
        <w:spacing w:after="0" w:line="227" w:lineRule="exact"/>
        <w:rPr>
          <w:rFonts w:ascii="Times New Roman" w:cs="Times New Roman" w:eastAsia="Times New Roman" w:hAnsi="Times New Roman"/>
          <w:sz w:val="18"/>
          <w:szCs w:val="18"/>
          <w:color w:val="auto"/>
        </w:rPr>
      </w:pPr>
    </w:p>
    <w:p>
      <w:pPr>
        <w:jc w:val="both"/>
        <w:ind w:left="660" w:firstLine="644"/>
        <w:spacing w:after="0" w:line="261" w:lineRule="auto"/>
        <w:tabs>
          <w:tab w:leader="none" w:pos="1561"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any Underwriter that is a Covered Entity becomes subject to a proceeding under a U.S. Special Resolution Regime,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spacing w:after="0" w:line="179" w:lineRule="exact"/>
        <w:rPr>
          <w:rFonts w:ascii="Times New Roman" w:cs="Times New Roman" w:eastAsia="Times New Roman" w:hAnsi="Times New Roman"/>
          <w:sz w:val="18"/>
          <w:szCs w:val="18"/>
          <w:color w:val="auto"/>
        </w:rPr>
      </w:pPr>
    </w:p>
    <w:p>
      <w:pPr>
        <w:jc w:val="both"/>
        <w:ind w:left="660" w:firstLine="644"/>
        <w:spacing w:after="0" w:line="261" w:lineRule="auto"/>
        <w:tabs>
          <w:tab w:leader="none" w:pos="1598"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any Underwriter that is a Covered Entity or a BHC Act Affiliate of such Underwriter becomes subject to a proceeding under a U.S. Special Resolution Regime, Default Rights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2" w:name="page43"/>
    <w:bookmarkEnd w:id="42"/>
    <w:p>
      <w:pPr>
        <w:jc w:val="both"/>
        <w:ind w:left="660" w:firstLine="644"/>
        <w:spacing w:after="0" w:line="256" w:lineRule="auto"/>
        <w:tabs>
          <w:tab w:leader="none" w:pos="1556"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Section 17, a “</w:t>
      </w:r>
      <w:r>
        <w:rPr>
          <w:rFonts w:ascii="Times New Roman" w:cs="Times New Roman" w:eastAsia="Times New Roman" w:hAnsi="Times New Roman"/>
          <w:sz w:val="18"/>
          <w:szCs w:val="18"/>
          <w:b w:val="1"/>
          <w:bCs w:val="1"/>
          <w:color w:val="auto"/>
        </w:rPr>
        <w:t>BHC Act Affiliate</w:t>
      </w:r>
      <w:r>
        <w:rPr>
          <w:rFonts w:ascii="Times New Roman" w:cs="Times New Roman" w:eastAsia="Times New Roman" w:hAnsi="Times New Roman"/>
          <w:sz w:val="18"/>
          <w:szCs w:val="18"/>
          <w:color w:val="auto"/>
        </w:rPr>
        <w:t>” has the meaning assigned to the term “affiliate” in, and shall be interpreted in accordance with, 12 U.S.C. § 1841(k). “</w:t>
      </w:r>
      <w:r>
        <w:rPr>
          <w:rFonts w:ascii="Times New Roman" w:cs="Times New Roman" w:eastAsia="Times New Roman" w:hAnsi="Times New Roman"/>
          <w:sz w:val="18"/>
          <w:szCs w:val="18"/>
          <w:b w:val="1"/>
          <w:bCs w:val="1"/>
          <w:color w:val="auto"/>
        </w:rPr>
        <w:t>Covered Entity</w:t>
      </w:r>
      <w:r>
        <w:rPr>
          <w:rFonts w:ascii="Times New Roman" w:cs="Times New Roman" w:eastAsia="Times New Roman" w:hAnsi="Times New Roman"/>
          <w:sz w:val="18"/>
          <w:szCs w:val="18"/>
          <w:color w:val="auto"/>
        </w:rPr>
        <w:t>”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 “</w:t>
      </w:r>
      <w:r>
        <w:rPr>
          <w:rFonts w:ascii="Times New Roman" w:cs="Times New Roman" w:eastAsia="Times New Roman" w:hAnsi="Times New Roman"/>
          <w:sz w:val="18"/>
          <w:szCs w:val="18"/>
          <w:b w:val="1"/>
          <w:bCs w:val="1"/>
          <w:color w:val="auto"/>
        </w:rPr>
        <w:t>Default Right</w:t>
      </w:r>
      <w:r>
        <w:rPr>
          <w:rFonts w:ascii="Times New Roman" w:cs="Times New Roman" w:eastAsia="Times New Roman" w:hAnsi="Times New Roman"/>
          <w:sz w:val="18"/>
          <w:szCs w:val="18"/>
          <w:color w:val="auto"/>
        </w:rPr>
        <w:t>” has the meaning assigned to that term in, and shall be interpreted in accordance with, 12 C.F.R. §§ 252.81, 47.2 or 382.1, as applicable. “</w:t>
      </w:r>
      <w:r>
        <w:rPr>
          <w:rFonts w:ascii="Times New Roman" w:cs="Times New Roman" w:eastAsia="Times New Roman" w:hAnsi="Times New Roman"/>
          <w:sz w:val="18"/>
          <w:szCs w:val="18"/>
          <w:b w:val="1"/>
          <w:bCs w:val="1"/>
          <w:color w:val="auto"/>
        </w:rPr>
        <w:t>U.S. Special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Resolution Regime</w:t>
      </w:r>
      <w:r>
        <w:rPr>
          <w:rFonts w:ascii="Times New Roman" w:cs="Times New Roman" w:eastAsia="Times New Roman" w:hAnsi="Times New Roman"/>
          <w:sz w:val="18"/>
          <w:szCs w:val="18"/>
          <w:color w:val="auto"/>
        </w:rPr>
        <w:t>” means each of (i) the Federal Deposit Insurance Act and the regulations promulgated thereunder and (ii) Title II of the Dodd-Frank Wall Street Reform and Consumer Protection Act and the regulations promulgated thereunder.</w:t>
      </w:r>
    </w:p>
    <w:p>
      <w:pPr>
        <w:spacing w:after="0" w:line="182" w:lineRule="exact"/>
        <w:rPr>
          <w:rFonts w:ascii="Times New Roman" w:cs="Times New Roman" w:eastAsia="Times New Roman" w:hAnsi="Times New Roman"/>
          <w:sz w:val="18"/>
          <w:szCs w:val="18"/>
          <w:color w:val="auto"/>
        </w:rPr>
      </w:pPr>
    </w:p>
    <w:p>
      <w:pPr>
        <w:jc w:val="both"/>
        <w:ind w:firstLine="656"/>
        <w:spacing w:after="0" w:line="268" w:lineRule="auto"/>
        <w:tabs>
          <w:tab w:leader="none" w:pos="945"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Definition of the Terms “Business Day”, “Affiliate” and “Subsidiary”</w:t>
      </w:r>
      <w:r>
        <w:rPr>
          <w:rFonts w:ascii="Times New Roman" w:cs="Times New Roman" w:eastAsia="Times New Roman" w:hAnsi="Times New Roman"/>
          <w:sz w:val="18"/>
          <w:szCs w:val="18"/>
          <w:color w:val="auto"/>
        </w:rPr>
        <w:t>. For purposes of this Agreement, (a) “</w:t>
      </w:r>
      <w:r>
        <w:rPr>
          <w:rFonts w:ascii="Times New Roman" w:cs="Times New Roman" w:eastAsia="Times New Roman" w:hAnsi="Times New Roman"/>
          <w:sz w:val="18"/>
          <w:szCs w:val="18"/>
          <w:b w:val="1"/>
          <w:bCs w:val="1"/>
          <w:color w:val="auto"/>
        </w:rPr>
        <w:t>business day</w:t>
      </w:r>
      <w:r>
        <w:rPr>
          <w:rFonts w:ascii="Times New Roman" w:cs="Times New Roman" w:eastAsia="Times New Roman" w:hAnsi="Times New Roman"/>
          <w:sz w:val="18"/>
          <w:szCs w:val="18"/>
          <w:color w:val="auto"/>
        </w:rPr>
        <w:t>” means each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Monday, Tuesday, Wednesday, Thursday or Friday that is not a day on which banking institutions in New York are generally authorized or obligated by law or executive order to close, and (b) “</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subsidiary</w:t>
      </w:r>
      <w:r>
        <w:rPr>
          <w:rFonts w:ascii="Times New Roman" w:cs="Times New Roman" w:eastAsia="Times New Roman" w:hAnsi="Times New Roman"/>
          <w:sz w:val="18"/>
          <w:szCs w:val="18"/>
          <w:color w:val="auto"/>
        </w:rPr>
        <w:t>” have the meanings set forth in Rule 405 under the Securities Act.</w:t>
      </w:r>
    </w:p>
    <w:p>
      <w:pPr>
        <w:spacing w:after="0" w:line="170" w:lineRule="exact"/>
        <w:rPr>
          <w:rFonts w:ascii="Times New Roman" w:cs="Times New Roman" w:eastAsia="Times New Roman" w:hAnsi="Times New Roman"/>
          <w:sz w:val="18"/>
          <w:szCs w:val="18"/>
          <w:color w:val="auto"/>
        </w:rPr>
      </w:pPr>
    </w:p>
    <w:p>
      <w:pPr>
        <w:ind w:firstLine="656"/>
        <w:spacing w:after="0" w:line="286" w:lineRule="auto"/>
        <w:tabs>
          <w:tab w:leader="none" w:pos="931"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Governing Law</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This Agreement shall be governed by and construed in accordance with the laws of the State of New York without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regard to conflict of laws principles (other than Section 5-1401 of the General Obligations Law)</w:t>
      </w:r>
      <w:r>
        <w:rPr>
          <w:rFonts w:ascii="Times New Roman" w:cs="Times New Roman" w:eastAsia="Times New Roman" w:hAnsi="Times New Roman"/>
          <w:sz w:val="18"/>
          <w:szCs w:val="18"/>
          <w:color w:val="auto"/>
        </w:rPr>
        <w:t>.</w:t>
      </w:r>
    </w:p>
    <w:p>
      <w:pPr>
        <w:spacing w:after="0" w:line="156" w:lineRule="exact"/>
        <w:rPr>
          <w:rFonts w:ascii="Times New Roman" w:cs="Times New Roman" w:eastAsia="Times New Roman" w:hAnsi="Times New Roman"/>
          <w:sz w:val="18"/>
          <w:szCs w:val="18"/>
          <w:color w:val="auto"/>
        </w:rPr>
      </w:pPr>
    </w:p>
    <w:p>
      <w:pPr>
        <w:jc w:val="both"/>
        <w:ind w:firstLine="656"/>
        <w:spacing w:after="0" w:line="254" w:lineRule="auto"/>
        <w:tabs>
          <w:tab w:leader="none" w:pos="918"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Submission to Jurisdiction, Etc</w:t>
      </w:r>
      <w:r>
        <w:rPr>
          <w:rFonts w:ascii="Times New Roman" w:cs="Times New Roman" w:eastAsia="Times New Roman" w:hAnsi="Times New Roman"/>
          <w:sz w:val="18"/>
          <w:szCs w:val="18"/>
          <w:color w:val="auto"/>
        </w:rPr>
        <w:t>. The Company and the Selling Shareholder hereby submit to the exclusive jurisdiction of the U.S. federal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New York state courts in the Borough of Manhattan, The City of New York in any suit or proceeding arising out of or relating to this Agreement or the transactions contemplated hereby. The parties hereby irrevocably and unconditionally waive any objection to the laying of venue of any lawsuit, action or other proceeding in such courts, and hereby further irrevocably and unconditionally waive and agree not to plead or claim in any such court that any such lawsuit, action or other proceeding brought in any such court has been brought in an inconvenient forum. The Company irrevocably appoints Kornit Digital North America Inc., as its authorized agent in the Borough of Manhattan, The City of New York, New York upon which process may be served in any such suit or proceeding, and agree that service of process upon such agent, and written notice of said service to the Company by the person serving the same to the address provided in Section 16 shall be deemed in every respect effective service of process upon the Company in any such suit or proceeding. The Company further agrees to take any and all actions as may be necessary to maintain such designation and appointment of such agent in full force and effect for a period of seven years from the date of this Agreement.</w:t>
      </w:r>
    </w:p>
    <w:p>
      <w:pPr>
        <w:spacing w:after="0" w:line="185" w:lineRule="exact"/>
        <w:rPr>
          <w:rFonts w:ascii="Times New Roman" w:cs="Times New Roman" w:eastAsia="Times New Roman" w:hAnsi="Times New Roman"/>
          <w:sz w:val="18"/>
          <w:szCs w:val="18"/>
          <w:color w:val="auto"/>
        </w:rPr>
      </w:pPr>
    </w:p>
    <w:p>
      <w:pPr>
        <w:jc w:val="both"/>
        <w:ind w:firstLine="656"/>
        <w:spacing w:after="0" w:line="257" w:lineRule="auto"/>
        <w:tabs>
          <w:tab w:leader="none" w:pos="931"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Waiver of Immunity</w:t>
      </w:r>
      <w:r>
        <w:rPr>
          <w:rFonts w:ascii="Times New Roman" w:cs="Times New Roman" w:eastAsia="Times New Roman" w:hAnsi="Times New Roman"/>
          <w:sz w:val="18"/>
          <w:szCs w:val="18"/>
          <w:color w:val="auto"/>
        </w:rPr>
        <w:t>. With respect to any suit or proceeding arising out of or relating to this Agreement or the transactions contemplated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hereby, each party irrevocably waives, to the fullest extent permitted by applicable law, all immunity (whether on the basis of sovereignty or otherwise) from jurisdiction, service of process, attachment (both before and after judgment) and execution to which it might otherwise be entitled, and with respect to any such suit or proceeding, each party waives any such immunity in any court of competent jurisdiction, and will not raise or claim or cause to be pleaded any such immunity at or in respect of any such suit or proceeding, including, without limitation, any immunity pursuant to the U.S. Foreign Sovereign Immunities Act of 1976, as amended.</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3" w:name="page44"/>
    <w:bookmarkEnd w:id="43"/>
    <w:p>
      <w:pPr>
        <w:jc w:val="both"/>
        <w:ind w:firstLine="656"/>
        <w:spacing w:after="0" w:line="254" w:lineRule="auto"/>
        <w:tabs>
          <w:tab w:leader="none" w:pos="931"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Judgment Currency</w:t>
      </w:r>
      <w:r>
        <w:rPr>
          <w:rFonts w:ascii="Times New Roman" w:cs="Times New Roman" w:eastAsia="Times New Roman" w:hAnsi="Times New Roman"/>
          <w:sz w:val="18"/>
          <w:szCs w:val="18"/>
          <w:color w:val="auto"/>
        </w:rPr>
        <w:t>. The obligation of the Company and the Selling Shareholder in respect of any sum due to any Underwriter under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 shall, notwithstanding any judgment in a currency other than U.S. dollars or any other applicable currency (the “</w:t>
      </w:r>
      <w:r>
        <w:rPr>
          <w:rFonts w:ascii="Times New Roman" w:cs="Times New Roman" w:eastAsia="Times New Roman" w:hAnsi="Times New Roman"/>
          <w:sz w:val="18"/>
          <w:szCs w:val="18"/>
          <w:b w:val="1"/>
          <w:bCs w:val="1"/>
          <w:color w:val="auto"/>
        </w:rPr>
        <w:t>Judgment Currency</w:t>
      </w:r>
      <w:r>
        <w:rPr>
          <w:rFonts w:ascii="Times New Roman" w:cs="Times New Roman" w:eastAsia="Times New Roman" w:hAnsi="Times New Roman"/>
          <w:sz w:val="18"/>
          <w:szCs w:val="18"/>
          <w:color w:val="auto"/>
        </w:rPr>
        <w:t>”), not be discharged until the first business day, following receipt by such Underwriter of any sum adjudged to be so due in the Judgment Currency, on which (and only to the extent that) such Underwriter may in accordance with normal banking procedures purchase U.S. dollars or any other applicable currency with the Judgment Currency; if the U.S. dollars or other applicable currency so purchased are less than the sum originally due to such Underwriter hereunder, the Company and the Selling Shareholder agree, as a separate obligation and notwithstanding any such judgment, to indemnify such Underwriter against such loss. If the U.S. dollars or other applicable currency so purchased are greater than the sum originally due to such Underwriter hereunder, such Underwriter agrees to pay to the Company or the Selling Shareholder, as the case may be, an amount equal to the excess of the U.S. dollars or other applicable currency so purchased over the sum originally due to such Underwriter hereunder.</w:t>
      </w:r>
    </w:p>
    <w:p>
      <w:pPr>
        <w:spacing w:after="0" w:line="188" w:lineRule="exact"/>
        <w:rPr>
          <w:rFonts w:ascii="Times New Roman" w:cs="Times New Roman" w:eastAsia="Times New Roman" w:hAnsi="Times New Roman"/>
          <w:sz w:val="18"/>
          <w:szCs w:val="18"/>
          <w:color w:val="auto"/>
        </w:rPr>
      </w:pPr>
    </w:p>
    <w:p>
      <w:pPr>
        <w:ind w:firstLine="656"/>
        <w:spacing w:after="0" w:line="284" w:lineRule="auto"/>
        <w:tabs>
          <w:tab w:leader="none" w:pos="918"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Waiver of Jury Trial</w:t>
      </w:r>
      <w:r>
        <w:rPr>
          <w:rFonts w:ascii="Times New Roman" w:cs="Times New Roman" w:eastAsia="Times New Roman" w:hAnsi="Times New Roman"/>
          <w:sz w:val="18"/>
          <w:szCs w:val="18"/>
          <w:color w:val="auto"/>
        </w:rPr>
        <w:t>. The Company and the Underwriters hereby irrevocably waive, to the fullest extent permitted by applicable law, any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all right to trial by jury in any legal proceeding arising out of or relating to this Agreement or the transactions contemplated hereby.</w:t>
      </w:r>
    </w:p>
    <w:p>
      <w:pPr>
        <w:spacing w:after="0" w:line="158" w:lineRule="exact"/>
        <w:rPr>
          <w:rFonts w:ascii="Times New Roman" w:cs="Times New Roman" w:eastAsia="Times New Roman" w:hAnsi="Times New Roman"/>
          <w:sz w:val="18"/>
          <w:szCs w:val="18"/>
          <w:color w:val="auto"/>
        </w:rPr>
      </w:pPr>
    </w:p>
    <w:p>
      <w:pPr>
        <w:ind w:right="20" w:firstLine="656"/>
        <w:spacing w:after="0" w:line="284" w:lineRule="auto"/>
        <w:tabs>
          <w:tab w:leader="none" w:pos="931"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Counterparts</w:t>
      </w:r>
      <w:r>
        <w:rPr>
          <w:rFonts w:ascii="Times New Roman" w:cs="Times New Roman" w:eastAsia="Times New Roman" w:hAnsi="Times New Roman"/>
          <w:sz w:val="18"/>
          <w:szCs w:val="18"/>
          <w:color w:val="auto"/>
        </w:rPr>
        <w:t>. This Agreement may be executed in one or more counterparts and, if executed in more than one counterpart, the executed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counterparts shall each be deemed to be an original but all such counterparts shall together constitute one and the same instrument.</w:t>
      </w:r>
    </w:p>
    <w:p>
      <w:pPr>
        <w:spacing w:after="0" w:line="158" w:lineRule="exact"/>
        <w:rPr>
          <w:rFonts w:ascii="Times New Roman" w:cs="Times New Roman" w:eastAsia="Times New Roman" w:hAnsi="Times New Roman"/>
          <w:sz w:val="18"/>
          <w:szCs w:val="18"/>
          <w:color w:val="auto"/>
        </w:rPr>
      </w:pPr>
    </w:p>
    <w:p>
      <w:pPr>
        <w:ind w:firstLine="656"/>
        <w:spacing w:after="0" w:line="284" w:lineRule="auto"/>
        <w:tabs>
          <w:tab w:leader="none" w:pos="918"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Headings</w:t>
      </w:r>
      <w:r>
        <w:rPr>
          <w:rFonts w:ascii="Times New Roman" w:cs="Times New Roman" w:eastAsia="Times New Roman" w:hAnsi="Times New Roman"/>
          <w:sz w:val="18"/>
          <w:szCs w:val="18"/>
          <w:color w:val="auto"/>
        </w:rPr>
        <w:t>. The headings herein are inserted for convenience of reference only and are not intended to be part of, or to affect the meaning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interpretation of, this Agreement.</w:t>
      </w: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44" w:name="page45"/>
    <w:bookmarkEnd w:id="44"/>
    <w:p>
      <w:pPr>
        <w:spacing w:after="0" w:line="282" w:lineRule="auto"/>
        <w:rPr>
          <w:sz w:val="20"/>
          <w:szCs w:val="20"/>
          <w:color w:val="auto"/>
        </w:rPr>
      </w:pPr>
      <w:r>
        <w:rPr>
          <w:rFonts w:ascii="Times New Roman" w:cs="Times New Roman" w:eastAsia="Times New Roman" w:hAnsi="Times New Roman"/>
          <w:sz w:val="18"/>
          <w:szCs w:val="18"/>
          <w:color w:val="auto"/>
        </w:rPr>
        <w:t>If the foregoing correctly sets forth the agreement among the Company, the Selling Shareholder and the Underwriters, please indicate your acceptance in the space provided for that purpose below.</w:t>
      </w:r>
    </w:p>
    <w:p>
      <w:pPr>
        <w:spacing w:after="0" w:line="16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KORNIT DIGITAL LTD.</w:t>
      </w:r>
    </w:p>
    <w:p>
      <w:pPr>
        <w:spacing w:after="0" w:line="225" w:lineRule="exact"/>
        <w:rPr>
          <w:sz w:val="20"/>
          <w:szCs w:val="20"/>
          <w:color w:val="auto"/>
        </w:rPr>
      </w:pPr>
    </w:p>
    <w:p>
      <w:pPr>
        <w:ind w:left="6760"/>
        <w:spacing w:after="0"/>
        <w:tabs>
          <w:tab w:leader="none" w:pos="7200" w:val="left"/>
        </w:tabs>
        <w:rPr>
          <w:sz w:val="20"/>
          <w:szCs w:val="20"/>
          <w:color w:val="auto"/>
        </w:rPr>
      </w:pPr>
      <w:r>
        <w:rPr>
          <w:rFonts w:ascii="Times New Roman" w:cs="Times New Roman" w:eastAsia="Times New Roman" w:hAnsi="Times New Roman"/>
          <w:sz w:val="18"/>
          <w:szCs w:val="18"/>
          <w:color w:val="auto"/>
        </w:rPr>
        <w:t>By:</w:t>
        <w:tab/>
        <w:t>/s/ Guy Avidan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17145</wp:posOffset>
            </wp:positionV>
            <wp:extent cx="255460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3">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16"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Name: Guy Avidan</w:t>
      </w:r>
    </w:p>
    <w:p>
      <w:pPr>
        <w:spacing w:after="0" w:line="27" w:lineRule="exact"/>
        <w:rPr>
          <w:sz w:val="20"/>
          <w:szCs w:val="20"/>
          <w:color w:val="auto"/>
        </w:rPr>
      </w:pPr>
    </w:p>
    <w:p>
      <w:pPr>
        <w:ind w:left="7220"/>
        <w:spacing w:after="0"/>
        <w:tabs>
          <w:tab w:leader="none" w:pos="77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20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AMAZON.COM NV INVESTMENT HOLDINGS LLC</w:t>
      </w:r>
    </w:p>
    <w:p>
      <w:pPr>
        <w:spacing w:after="0" w:line="225" w:lineRule="exact"/>
        <w:rPr>
          <w:sz w:val="20"/>
          <w:szCs w:val="20"/>
          <w:color w:val="auto"/>
        </w:rPr>
      </w:pPr>
    </w:p>
    <w:p>
      <w:pPr>
        <w:ind w:left="6760"/>
        <w:spacing w:after="0"/>
        <w:tabs>
          <w:tab w:leader="none" w:pos="7200" w:val="left"/>
        </w:tabs>
        <w:rPr>
          <w:sz w:val="20"/>
          <w:szCs w:val="20"/>
          <w:color w:val="auto"/>
        </w:rPr>
      </w:pPr>
      <w:r>
        <w:rPr>
          <w:rFonts w:ascii="Times New Roman" w:cs="Times New Roman" w:eastAsia="Times New Roman" w:hAnsi="Times New Roman"/>
          <w:sz w:val="18"/>
          <w:szCs w:val="18"/>
          <w:color w:val="auto"/>
        </w:rPr>
        <w:t>By:</w:t>
        <w:tab/>
        <w:t>/s/ Torben Severson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17145</wp:posOffset>
            </wp:positionV>
            <wp:extent cx="255460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4">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16"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Name: Torben Severson</w:t>
      </w:r>
    </w:p>
    <w:p>
      <w:pPr>
        <w:spacing w:after="0" w:line="27" w:lineRule="exact"/>
        <w:rPr>
          <w:sz w:val="20"/>
          <w:szCs w:val="20"/>
          <w:color w:val="auto"/>
        </w:rPr>
      </w:pPr>
    </w:p>
    <w:p>
      <w:pPr>
        <w:ind w:left="7220"/>
        <w:spacing w:after="0"/>
        <w:tabs>
          <w:tab w:leader="none" w:pos="77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Authorized Signatory</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45" w:name="page46"/>
    <w:bookmarkEnd w:id="45"/>
    <w:p>
      <w:pPr>
        <w:ind w:left="5260"/>
        <w:spacing w:after="0"/>
        <w:rPr>
          <w:sz w:val="20"/>
          <w:szCs w:val="20"/>
          <w:color w:val="auto"/>
        </w:rPr>
      </w:pPr>
      <w:r>
        <w:rPr>
          <w:rFonts w:ascii="Times New Roman" w:cs="Times New Roman" w:eastAsia="Times New Roman" w:hAnsi="Times New Roman"/>
          <w:sz w:val="18"/>
          <w:szCs w:val="18"/>
          <w:color w:val="auto"/>
        </w:rPr>
        <w:t>Accepted: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2"/>
          <w:szCs w:val="12"/>
          <w:color w:val="auto"/>
        </w:rPr>
        <w:t>ITIGROUP</w:t>
      </w:r>
      <w:r>
        <w:rPr>
          <w:rFonts w:ascii="Times New Roman" w:cs="Times New Roman" w:eastAsia="Times New Roman" w:hAnsi="Times New Roman"/>
          <w:sz w:val="18"/>
          <w:szCs w:val="18"/>
          <w:color w:val="auto"/>
        </w:rPr>
        <w:t xml:space="preserve"> G</w:t>
      </w:r>
      <w:r>
        <w:rPr>
          <w:rFonts w:ascii="Times New Roman" w:cs="Times New Roman" w:eastAsia="Times New Roman" w:hAnsi="Times New Roman"/>
          <w:sz w:val="12"/>
          <w:szCs w:val="12"/>
          <w:color w:val="auto"/>
        </w:rPr>
        <w:t>LOBAL</w:t>
      </w:r>
      <w:r>
        <w:rPr>
          <w:rFonts w:ascii="Times New Roman" w:cs="Times New Roman" w:eastAsia="Times New Roman" w:hAnsi="Times New Roman"/>
          <w:sz w:val="18"/>
          <w:szCs w:val="18"/>
          <w:color w:val="auto"/>
        </w:rPr>
        <w:t xml:space="preserve"> M</w:t>
      </w:r>
      <w:r>
        <w:rPr>
          <w:rFonts w:ascii="Times New Roman" w:cs="Times New Roman" w:eastAsia="Times New Roman" w:hAnsi="Times New Roman"/>
          <w:sz w:val="12"/>
          <w:szCs w:val="12"/>
          <w:color w:val="auto"/>
        </w:rPr>
        <w:t>ARKETS</w:t>
      </w:r>
      <w:r>
        <w:rPr>
          <w:rFonts w:ascii="Times New Roman" w:cs="Times New Roman" w:eastAsia="Times New Roman" w:hAnsi="Times New Roman"/>
          <w:sz w:val="18"/>
          <w:szCs w:val="18"/>
          <w:color w:val="auto"/>
        </w:rPr>
        <w:t xml:space="preserve"> I</w:t>
      </w:r>
      <w:r>
        <w:rPr>
          <w:rFonts w:ascii="Times New Roman" w:cs="Times New Roman" w:eastAsia="Times New Roman" w:hAnsi="Times New Roman"/>
          <w:sz w:val="12"/>
          <w:szCs w:val="12"/>
          <w:color w:val="auto"/>
        </w:rPr>
        <w:t>NC</w:t>
      </w:r>
      <w:r>
        <w:rPr>
          <w:rFonts w:ascii="Times New Roman" w:cs="Times New Roman" w:eastAsia="Times New Roman" w:hAnsi="Times New Roman"/>
          <w:sz w:val="18"/>
          <w:szCs w:val="18"/>
          <w:color w:val="auto"/>
        </w:rPr>
        <w: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w:t>
      </w:r>
      <w:r>
        <w:rPr>
          <w:rFonts w:ascii="Times New Roman" w:cs="Times New Roman" w:eastAsia="Times New Roman" w:hAnsi="Times New Roman"/>
          <w:sz w:val="12"/>
          <w:szCs w:val="12"/>
          <w:color w:val="auto"/>
        </w:rPr>
        <w:t>ARCLAYS</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2"/>
          <w:szCs w:val="12"/>
          <w:color w:val="auto"/>
        </w:rPr>
        <w:t>APITAL</w:t>
      </w:r>
      <w:r>
        <w:rPr>
          <w:rFonts w:ascii="Times New Roman" w:cs="Times New Roman" w:eastAsia="Times New Roman" w:hAnsi="Times New Roman"/>
          <w:sz w:val="18"/>
          <w:szCs w:val="18"/>
          <w:color w:val="auto"/>
        </w:rPr>
        <w:t xml:space="preserve"> I</w:t>
      </w:r>
      <w:r>
        <w:rPr>
          <w:rFonts w:ascii="Times New Roman" w:cs="Times New Roman" w:eastAsia="Times New Roman" w:hAnsi="Times New Roman"/>
          <w:sz w:val="12"/>
          <w:szCs w:val="12"/>
          <w:color w:val="auto"/>
        </w:rPr>
        <w:t>NC</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w:t>
      </w:r>
      <w:r>
        <w:rPr>
          <w:rFonts w:ascii="Times New Roman" w:cs="Times New Roman" w:eastAsia="Times New Roman" w:hAnsi="Times New Roman"/>
          <w:sz w:val="12"/>
          <w:szCs w:val="12"/>
          <w:color w:val="auto"/>
        </w:rPr>
        <w:t>OLDMAN</w:t>
      </w:r>
      <w:r>
        <w:rPr>
          <w:rFonts w:ascii="Times New Roman" w:cs="Times New Roman" w:eastAsia="Times New Roman" w:hAnsi="Times New Roman"/>
          <w:sz w:val="18"/>
          <w:szCs w:val="18"/>
          <w:color w:val="auto"/>
        </w:rPr>
        <w:t xml:space="preserve"> S</w:t>
      </w:r>
      <w:r>
        <w:rPr>
          <w:rFonts w:ascii="Times New Roman" w:cs="Times New Roman" w:eastAsia="Times New Roman" w:hAnsi="Times New Roman"/>
          <w:sz w:val="12"/>
          <w:szCs w:val="12"/>
          <w:color w:val="auto"/>
        </w:rPr>
        <w:t>ACHS</w:t>
      </w:r>
      <w:r>
        <w:rPr>
          <w:rFonts w:ascii="Times New Roman" w:cs="Times New Roman" w:eastAsia="Times New Roman" w:hAnsi="Times New Roman"/>
          <w:sz w:val="18"/>
          <w:szCs w:val="18"/>
          <w:color w:val="auto"/>
        </w:rPr>
        <w:t xml:space="preserve"> &amp; C</w:t>
      </w:r>
      <w:r>
        <w:rPr>
          <w:rFonts w:ascii="Times New Roman" w:cs="Times New Roman" w:eastAsia="Times New Roman" w:hAnsi="Times New Roman"/>
          <w:sz w:val="12"/>
          <w:szCs w:val="12"/>
          <w:color w:val="auto"/>
        </w:rPr>
        <w:t>O</w:t>
      </w:r>
      <w:r>
        <w:rPr>
          <w:rFonts w:ascii="Times New Roman" w:cs="Times New Roman" w:eastAsia="Times New Roman" w:hAnsi="Times New Roman"/>
          <w:sz w:val="18"/>
          <w:szCs w:val="18"/>
          <w:color w:val="auto"/>
        </w:rPr>
        <w:t>. LLC</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C</w:t>
      </w:r>
      <w:r>
        <w:rPr>
          <w:rFonts w:ascii="Times New Roman" w:cs="Times New Roman" w:eastAsia="Times New Roman" w:hAnsi="Times New Roman"/>
          <w:sz w:val="12"/>
          <w:szCs w:val="12"/>
          <w:color w:val="auto"/>
        </w:rPr>
        <w:t>ITIGROUP</w:t>
      </w:r>
      <w:r>
        <w:rPr>
          <w:rFonts w:ascii="Times New Roman" w:cs="Times New Roman" w:eastAsia="Times New Roman" w:hAnsi="Times New Roman"/>
          <w:sz w:val="18"/>
          <w:szCs w:val="18"/>
          <w:color w:val="auto"/>
        </w:rPr>
        <w:t xml:space="preserve"> G</w:t>
      </w:r>
      <w:r>
        <w:rPr>
          <w:rFonts w:ascii="Times New Roman" w:cs="Times New Roman" w:eastAsia="Times New Roman" w:hAnsi="Times New Roman"/>
          <w:sz w:val="12"/>
          <w:szCs w:val="12"/>
          <w:color w:val="auto"/>
        </w:rPr>
        <w:t>LOBAL</w:t>
      </w:r>
      <w:r>
        <w:rPr>
          <w:rFonts w:ascii="Times New Roman" w:cs="Times New Roman" w:eastAsia="Times New Roman" w:hAnsi="Times New Roman"/>
          <w:sz w:val="18"/>
          <w:szCs w:val="18"/>
          <w:color w:val="auto"/>
        </w:rPr>
        <w:t xml:space="preserve"> M</w:t>
      </w:r>
      <w:r>
        <w:rPr>
          <w:rFonts w:ascii="Times New Roman" w:cs="Times New Roman" w:eastAsia="Times New Roman" w:hAnsi="Times New Roman"/>
          <w:sz w:val="12"/>
          <w:szCs w:val="12"/>
          <w:color w:val="auto"/>
        </w:rPr>
        <w:t>ARKETS</w:t>
      </w:r>
      <w:r>
        <w:rPr>
          <w:rFonts w:ascii="Times New Roman" w:cs="Times New Roman" w:eastAsia="Times New Roman" w:hAnsi="Times New Roman"/>
          <w:sz w:val="18"/>
          <w:szCs w:val="18"/>
          <w:color w:val="auto"/>
        </w:rPr>
        <w:t xml:space="preserve"> I</w:t>
      </w:r>
      <w:r>
        <w:rPr>
          <w:rFonts w:ascii="Times New Roman" w:cs="Times New Roman" w:eastAsia="Times New Roman" w:hAnsi="Times New Roman"/>
          <w:sz w:val="12"/>
          <w:szCs w:val="12"/>
          <w:color w:val="auto"/>
        </w:rPr>
        <w:t>NC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By:</w:t>
        <w:tab/>
        <w:t>/s/ Eric M. Levengood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17145</wp:posOffset>
            </wp:positionV>
            <wp:extent cx="256286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6">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Authorized Representative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B</w:t>
      </w:r>
      <w:r>
        <w:rPr>
          <w:rFonts w:ascii="Times New Roman" w:cs="Times New Roman" w:eastAsia="Times New Roman" w:hAnsi="Times New Roman"/>
          <w:sz w:val="12"/>
          <w:szCs w:val="12"/>
          <w:color w:val="auto"/>
        </w:rPr>
        <w:t>ARCLAYS</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2"/>
          <w:szCs w:val="12"/>
          <w:color w:val="auto"/>
        </w:rPr>
        <w:t>APITAL</w:t>
      </w:r>
      <w:r>
        <w:rPr>
          <w:rFonts w:ascii="Times New Roman" w:cs="Times New Roman" w:eastAsia="Times New Roman" w:hAnsi="Times New Roman"/>
          <w:sz w:val="18"/>
          <w:szCs w:val="18"/>
          <w:color w:val="auto"/>
        </w:rPr>
        <w:t xml:space="preserve"> I</w:t>
      </w:r>
      <w:r>
        <w:rPr>
          <w:rFonts w:ascii="Times New Roman" w:cs="Times New Roman" w:eastAsia="Times New Roman" w:hAnsi="Times New Roman"/>
          <w:sz w:val="12"/>
          <w:szCs w:val="12"/>
          <w:color w:val="auto"/>
        </w:rPr>
        <w:t>NC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By:</w:t>
        <w:tab/>
        <w:t>/s/ Kristin DeClark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17145</wp:posOffset>
            </wp:positionV>
            <wp:extent cx="256286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7">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Authorized Representative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G</w:t>
      </w:r>
      <w:r>
        <w:rPr>
          <w:rFonts w:ascii="Times New Roman" w:cs="Times New Roman" w:eastAsia="Times New Roman" w:hAnsi="Times New Roman"/>
          <w:sz w:val="12"/>
          <w:szCs w:val="12"/>
          <w:color w:val="auto"/>
        </w:rPr>
        <w:t>OLDMAN</w:t>
      </w:r>
      <w:r>
        <w:rPr>
          <w:rFonts w:ascii="Times New Roman" w:cs="Times New Roman" w:eastAsia="Times New Roman" w:hAnsi="Times New Roman"/>
          <w:sz w:val="18"/>
          <w:szCs w:val="18"/>
          <w:color w:val="auto"/>
        </w:rPr>
        <w:t xml:space="preserve"> S</w:t>
      </w:r>
      <w:r>
        <w:rPr>
          <w:rFonts w:ascii="Times New Roman" w:cs="Times New Roman" w:eastAsia="Times New Roman" w:hAnsi="Times New Roman"/>
          <w:sz w:val="12"/>
          <w:szCs w:val="12"/>
          <w:color w:val="auto"/>
        </w:rPr>
        <w:t>ACHS</w:t>
      </w:r>
      <w:r>
        <w:rPr>
          <w:rFonts w:ascii="Times New Roman" w:cs="Times New Roman" w:eastAsia="Times New Roman" w:hAnsi="Times New Roman"/>
          <w:sz w:val="18"/>
          <w:szCs w:val="18"/>
          <w:color w:val="auto"/>
        </w:rPr>
        <w:t xml:space="preserve"> &amp; C</w:t>
      </w:r>
      <w:r>
        <w:rPr>
          <w:rFonts w:ascii="Times New Roman" w:cs="Times New Roman" w:eastAsia="Times New Roman" w:hAnsi="Times New Roman"/>
          <w:sz w:val="12"/>
          <w:szCs w:val="12"/>
          <w:color w:val="auto"/>
        </w:rPr>
        <w:t>O</w:t>
      </w:r>
      <w:r>
        <w:rPr>
          <w:rFonts w:ascii="Times New Roman" w:cs="Times New Roman" w:eastAsia="Times New Roman" w:hAnsi="Times New Roman"/>
          <w:sz w:val="18"/>
          <w:szCs w:val="18"/>
          <w:color w:val="auto"/>
        </w:rPr>
        <w:t>. LLC</w:t>
      </w:r>
    </w:p>
    <w:p>
      <w:pPr>
        <w:spacing w:after="0" w:line="225"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By:</w:t>
        <w:tab/>
        <w:t>/s/ Daniel M. Young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17145</wp:posOffset>
            </wp:positionV>
            <wp:extent cx="256286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8">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Authorized Representative</w:t>
      </w:r>
    </w:p>
    <w:p>
      <w:pPr>
        <w:spacing w:after="0" w:line="225" w:lineRule="exact"/>
        <w:rPr>
          <w:sz w:val="20"/>
          <w:szCs w:val="20"/>
          <w:color w:val="auto"/>
        </w:rPr>
      </w:pPr>
    </w:p>
    <w:p>
      <w:pPr>
        <w:jc w:val="right"/>
        <w:ind w:right="275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the Underwriting Agreement</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34"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22"/>
          <w:szCs w:val="2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238"/>
        </w:trPr>
        <w:tc>
          <w:tcPr>
            <w:tcW w:w="4060" w:type="dxa"/>
            <w:vAlign w:val="bottom"/>
          </w:tcPr>
          <w:p>
            <w:pPr>
              <w:spacing w:after="0"/>
              <w:rPr>
                <w:sz w:val="20"/>
                <w:szCs w:val="20"/>
                <w:color w:val="auto"/>
              </w:rPr>
            </w:pPr>
          </w:p>
        </w:tc>
        <w:tc>
          <w:tcPr>
            <w:tcW w:w="7180" w:type="dxa"/>
            <w:vAlign w:val="bottom"/>
            <w:gridSpan w:val="4"/>
          </w:tcPr>
          <w:p>
            <w:pPr>
              <w:jc w:val="center"/>
              <w:ind w:right="4040"/>
              <w:spacing w:after="0"/>
              <w:rPr>
                <w:sz w:val="20"/>
                <w:szCs w:val="20"/>
                <w:color w:val="auto"/>
              </w:rPr>
            </w:pPr>
            <w:r>
              <w:rPr>
                <w:rFonts w:ascii="Times New Roman" w:cs="Times New Roman" w:eastAsia="Times New Roman" w:hAnsi="Times New Roman"/>
                <w:sz w:val="18"/>
                <w:szCs w:val="18"/>
                <w:b w:val="1"/>
                <w:bCs w:val="1"/>
                <w:color w:val="auto"/>
                <w:w w:val="99"/>
              </w:rPr>
              <w:t>SCHEDULE I</w:t>
            </w:r>
          </w:p>
        </w:tc>
      </w:tr>
      <w:tr>
        <w:trPr>
          <w:trHeight w:val="410"/>
        </w:trPr>
        <w:tc>
          <w:tcPr>
            <w:tcW w:w="4060" w:type="dxa"/>
            <w:vAlign w:val="bottom"/>
          </w:tcPr>
          <w:p>
            <w:pPr>
              <w:spacing w:after="0"/>
              <w:rPr>
                <w:sz w:val="24"/>
                <w:szCs w:val="24"/>
                <w:color w:val="auto"/>
              </w:rPr>
            </w:pPr>
          </w:p>
        </w:tc>
        <w:tc>
          <w:tcPr>
            <w:tcW w:w="5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Number of</w:t>
            </w:r>
          </w:p>
        </w:tc>
      </w:tr>
      <w:tr>
        <w:trPr>
          <w:trHeight w:val="216"/>
        </w:trPr>
        <w:tc>
          <w:tcPr>
            <w:tcW w:w="4060" w:type="dxa"/>
            <w:vAlign w:val="bottom"/>
          </w:tcPr>
          <w:p>
            <w:pPr>
              <w:spacing w:after="0"/>
              <w:rPr>
                <w:sz w:val="18"/>
                <w:szCs w:val="18"/>
                <w:color w:val="auto"/>
              </w:rPr>
            </w:pPr>
          </w:p>
        </w:tc>
        <w:tc>
          <w:tcPr>
            <w:tcW w:w="5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Firm</w:t>
            </w:r>
          </w:p>
        </w:tc>
      </w:tr>
      <w:tr>
        <w:trPr>
          <w:trHeight w:val="245"/>
        </w:trPr>
        <w:tc>
          <w:tcPr>
            <w:tcW w:w="4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Underwriters</w:t>
            </w:r>
          </w:p>
        </w:tc>
        <w:tc>
          <w:tcPr>
            <w:tcW w:w="5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Shares</w:t>
            </w:r>
          </w:p>
        </w:tc>
      </w:tr>
      <w:tr>
        <w:trPr>
          <w:trHeight w:val="216"/>
        </w:trPr>
        <w:tc>
          <w:tcPr>
            <w:tcW w:w="4060" w:type="dxa"/>
            <w:vAlign w:val="bottom"/>
            <w:tcBorders>
              <w:top w:val="single" w:sz="8" w:color="auto"/>
            </w:tcBorders>
          </w:tcPr>
          <w:p>
            <w:pPr>
              <w:spacing w:after="0"/>
              <w:rPr>
                <w:sz w:val="18"/>
                <w:szCs w:val="18"/>
                <w:color w:val="auto"/>
              </w:rPr>
            </w:pPr>
          </w:p>
        </w:tc>
        <w:tc>
          <w:tcPr>
            <w:tcW w:w="58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Citigroup Global Markets Inc..</w:t>
            </w:r>
          </w:p>
        </w:tc>
        <w:tc>
          <w:tcPr>
            <w:tcW w:w="718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1,141,900</w:t>
            </w:r>
          </w:p>
        </w:tc>
      </w:tr>
      <w:tr>
        <w:trPr>
          <w:trHeight w:val="216"/>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Barclays Capital Inc.</w:t>
            </w:r>
          </w:p>
        </w:tc>
        <w:tc>
          <w:tcPr>
            <w:tcW w:w="718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1,141,900</w:t>
            </w:r>
          </w:p>
        </w:tc>
      </w:tr>
      <w:tr>
        <w:trPr>
          <w:trHeight w:val="216"/>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Goldman Sachs &amp; Co. LLC</w:t>
            </w:r>
          </w:p>
        </w:tc>
        <w:tc>
          <w:tcPr>
            <w:tcW w:w="718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1,019,552</w:t>
            </w:r>
          </w:p>
        </w:tc>
      </w:tr>
      <w:tr>
        <w:trPr>
          <w:trHeight w:val="216"/>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Needham &amp; Company, LLC</w:t>
            </w:r>
          </w:p>
        </w:tc>
        <w:tc>
          <w:tcPr>
            <w:tcW w:w="718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203,910</w:t>
            </w:r>
          </w:p>
        </w:tc>
      </w:tr>
      <w:tr>
        <w:trPr>
          <w:trHeight w:val="216"/>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Stifel, Nicolaus &amp; Company, Incorporated</w:t>
            </w:r>
          </w:p>
        </w:tc>
        <w:tc>
          <w:tcPr>
            <w:tcW w:w="718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203,910</w:t>
            </w:r>
          </w:p>
        </w:tc>
      </w:tr>
      <w:tr>
        <w:trPr>
          <w:trHeight w:val="216"/>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William Blair &amp; Company, L.L.C.</w:t>
            </w:r>
          </w:p>
        </w:tc>
        <w:tc>
          <w:tcPr>
            <w:tcW w:w="718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203,910</w:t>
            </w:r>
          </w:p>
        </w:tc>
      </w:tr>
      <w:tr>
        <w:trPr>
          <w:trHeight w:val="216"/>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CJS Securities, Inc.</w:t>
            </w:r>
          </w:p>
        </w:tc>
        <w:tc>
          <w:tcPr>
            <w:tcW w:w="718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81,564</w:t>
            </w:r>
          </w:p>
        </w:tc>
      </w:tr>
      <w:tr>
        <w:trPr>
          <w:trHeight w:val="237"/>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Craig-Hallum Capital Group LLC</w:t>
            </w:r>
          </w:p>
        </w:tc>
        <w:tc>
          <w:tcPr>
            <w:tcW w:w="718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81,564</w:t>
            </w:r>
          </w:p>
        </w:tc>
      </w:tr>
      <w:tr>
        <w:trPr>
          <w:trHeight w:val="216"/>
        </w:trPr>
        <w:tc>
          <w:tcPr>
            <w:tcW w:w="40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58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4,078,210</w:t>
            </w:r>
          </w:p>
        </w:tc>
        <w:tc>
          <w:tcPr>
            <w:tcW w:w="100" w:type="dxa"/>
            <w:vAlign w:val="bottom"/>
            <w:tcBorders>
              <w:top w:val="single" w:sz="8" w:color="CCEEFF"/>
            </w:tcBorders>
            <w:shd w:val="clear" w:color="auto" w:fill="CCEEFF"/>
          </w:tcPr>
          <w:p>
            <w:pPr>
              <w:spacing w:after="0"/>
              <w:rPr>
                <w:sz w:val="18"/>
                <w:szCs w:val="18"/>
                <w:color w:val="auto"/>
              </w:rPr>
            </w:pPr>
          </w:p>
        </w:tc>
      </w:tr>
      <w:tr>
        <w:trPr>
          <w:trHeight w:val="682"/>
        </w:trPr>
        <w:tc>
          <w:tcPr>
            <w:tcW w:w="4060" w:type="dxa"/>
            <w:vAlign w:val="bottom"/>
            <w:tcBorders>
              <w:bottom w:val="single" w:sz="8" w:color="auto"/>
            </w:tcBorders>
          </w:tcPr>
          <w:p>
            <w:pPr>
              <w:spacing w:after="0"/>
              <w:rPr>
                <w:sz w:val="24"/>
                <w:szCs w:val="24"/>
                <w:color w:val="auto"/>
              </w:rPr>
            </w:pPr>
          </w:p>
        </w:tc>
        <w:tc>
          <w:tcPr>
            <w:tcW w:w="5840" w:type="dxa"/>
            <w:vAlign w:val="bottom"/>
            <w:tcBorders>
              <w:bottom w:val="single" w:sz="8" w:color="auto"/>
            </w:tcBorders>
          </w:tcPr>
          <w:p>
            <w:pPr>
              <w:jc w:val="right"/>
              <w:ind w:right="4068"/>
              <w:spacing w:after="0"/>
              <w:rPr>
                <w:sz w:val="20"/>
                <w:szCs w:val="20"/>
                <w:color w:val="auto"/>
              </w:rPr>
            </w:pPr>
            <w:r>
              <w:rPr>
                <w:rFonts w:ascii="Times New Roman" w:cs="Times New Roman" w:eastAsia="Times New Roman" w:hAnsi="Times New Roman"/>
                <w:sz w:val="22"/>
                <w:szCs w:val="22"/>
                <w:color w:val="auto"/>
              </w:rPr>
              <w:t>43</w:t>
            </w: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47" w:name="page48"/>
    <w:bookmarkEnd w:id="47"/>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SCHEDULE II</w:t>
      </w:r>
    </w:p>
    <w:p>
      <w:pPr>
        <w:spacing w:after="0" w:line="229"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color w:val="auto"/>
        </w:rPr>
        <w:t>PERSONS DELIVERING LOCK-UP AGREEMENTS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Directors</w:t>
      </w:r>
    </w:p>
    <w:p>
      <w:pPr>
        <w:spacing w:after="0" w:line="225" w:lineRule="exact"/>
        <w:rPr>
          <w:sz w:val="20"/>
          <w:szCs w:val="20"/>
          <w:color w:val="auto"/>
        </w:rPr>
      </w:pPr>
    </w:p>
    <w:p>
      <w:pPr>
        <w:ind w:right="399"/>
        <w:spacing w:after="0" w:line="500" w:lineRule="auto"/>
        <w:rPr>
          <w:sz w:val="20"/>
          <w:szCs w:val="20"/>
          <w:color w:val="auto"/>
        </w:rPr>
      </w:pPr>
      <w:r>
        <w:rPr>
          <w:rFonts w:ascii="Times New Roman" w:cs="Times New Roman" w:eastAsia="Times New Roman" w:hAnsi="Times New Roman"/>
          <w:sz w:val="18"/>
          <w:szCs w:val="18"/>
          <w:color w:val="auto"/>
        </w:rPr>
        <w:t xml:space="preserve">Yuval Cohen, Gabi Seligsohn, Ofer Ben-Zur, Lauri Hanover, Alon Lumbroso, Yehoshua Nir, Dov Ofer, Stephen Nirgro, Ronen Samuel </w:t>
      </w:r>
      <w:r>
        <w:rPr>
          <w:rFonts w:ascii="Times New Roman" w:cs="Times New Roman" w:eastAsia="Times New Roman" w:hAnsi="Times New Roman"/>
          <w:sz w:val="18"/>
          <w:szCs w:val="18"/>
          <w:u w:val="single" w:color="auto"/>
          <w:color w:val="auto"/>
        </w:rPr>
        <w:t>Officers</w:t>
      </w:r>
    </w:p>
    <w:p>
      <w:pPr>
        <w:spacing w:after="0" w:line="2" w:lineRule="exact"/>
        <w:rPr>
          <w:sz w:val="20"/>
          <w:szCs w:val="20"/>
          <w:color w:val="auto"/>
        </w:rPr>
      </w:pPr>
    </w:p>
    <w:p>
      <w:pPr>
        <w:ind w:right="5039"/>
        <w:spacing w:after="0" w:line="500" w:lineRule="auto"/>
        <w:rPr>
          <w:sz w:val="20"/>
          <w:szCs w:val="20"/>
          <w:color w:val="auto"/>
        </w:rPr>
      </w:pPr>
      <w:r>
        <w:rPr>
          <w:rFonts w:ascii="Times New Roman" w:cs="Times New Roman" w:eastAsia="Times New Roman" w:hAnsi="Times New Roman"/>
          <w:sz w:val="18"/>
          <w:szCs w:val="18"/>
          <w:color w:val="auto"/>
        </w:rPr>
        <w:t xml:space="preserve">Ronen Samuel, Guy Avidan, Jecka Glasman, Omer Kulka, Kobi Mann </w:t>
      </w:r>
      <w:r>
        <w:rPr>
          <w:rFonts w:ascii="Times New Roman" w:cs="Times New Roman" w:eastAsia="Times New Roman" w:hAnsi="Times New Roman"/>
          <w:sz w:val="18"/>
          <w:szCs w:val="18"/>
          <w:u w:val="single" w:color="auto"/>
          <w:color w:val="auto"/>
        </w:rPr>
        <w:t>Shareholders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Amazon.com NV Investment Holdings LLC</w:t>
      </w:r>
    </w:p>
    <w:p>
      <w:pPr>
        <w:spacing w:after="0" w:line="200" w:lineRule="exact"/>
        <w:rPr>
          <w:sz w:val="20"/>
          <w:szCs w:val="20"/>
          <w:color w:val="auto"/>
        </w:rPr>
      </w:pPr>
    </w:p>
    <w:p>
      <w:pPr>
        <w:spacing w:after="0" w:line="232"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22"/>
          <w:szCs w:val="2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900" w:right="1440" w:bottom="1440" w:gutter="0" w:footer="0" w:header="0"/>
        </w:sectPr>
      </w:pPr>
    </w:p>
    <w:bookmarkStart w:id="48" w:name="page49"/>
    <w:bookmarkEnd w:id="48"/>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SCHEDULE III</w:t>
      </w:r>
    </w:p>
    <w:p>
      <w:pPr>
        <w:spacing w:after="0" w:line="229" w:lineRule="exact"/>
        <w:rPr>
          <w:sz w:val="20"/>
          <w:szCs w:val="20"/>
          <w:color w:val="auto"/>
        </w:rPr>
      </w:pPr>
    </w:p>
    <w:p>
      <w:pPr>
        <w:jc w:val="right"/>
        <w:ind w:right="2999"/>
        <w:spacing w:after="0"/>
        <w:rPr>
          <w:sz w:val="20"/>
          <w:szCs w:val="20"/>
          <w:color w:val="auto"/>
        </w:rPr>
      </w:pPr>
      <w:r>
        <w:rPr>
          <w:rFonts w:ascii="Times New Roman" w:cs="Times New Roman" w:eastAsia="Times New Roman" w:hAnsi="Times New Roman"/>
          <w:sz w:val="18"/>
          <w:szCs w:val="18"/>
          <w:color w:val="auto"/>
        </w:rPr>
        <w:t>CONVEYED PRICING INFORMATION</w:t>
      </w:r>
    </w:p>
    <w:p>
      <w:pPr>
        <w:spacing w:after="0" w:line="225" w:lineRule="exact"/>
        <w:rPr>
          <w:sz w:val="20"/>
          <w:szCs w:val="20"/>
          <w:color w:val="auto"/>
        </w:rPr>
      </w:pPr>
    </w:p>
    <w:p>
      <w:pPr>
        <w:ind w:left="660" w:hanging="652"/>
        <w:spacing w:after="0"/>
        <w:tabs>
          <w:tab w:leader="none" w:pos="6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offering price: $56.50</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Firm Shares offered by the Company: 2,388,268</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Firm Shares offered by the Selling Shareholder: 1,689,942</w:t>
      </w:r>
    </w:p>
    <w:p>
      <w:pPr>
        <w:spacing w:after="0" w:line="200" w:lineRule="exact"/>
        <w:rPr>
          <w:sz w:val="20"/>
          <w:szCs w:val="20"/>
          <w:color w:val="auto"/>
        </w:rPr>
      </w:pPr>
    </w:p>
    <w:p>
      <w:pPr>
        <w:spacing w:after="0" w:line="232"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22"/>
          <w:szCs w:val="2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900" w:right="1440" w:bottom="1440" w:gutter="0" w:footer="0" w:header="0"/>
        </w:sectPr>
      </w:pPr>
    </w:p>
    <w:bookmarkStart w:id="49" w:name="page50"/>
    <w:bookmarkEnd w:id="49"/>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SCHEDULE IV</w:t>
      </w:r>
    </w:p>
    <w:p>
      <w:pPr>
        <w:spacing w:after="0" w:line="229" w:lineRule="exact"/>
        <w:rPr>
          <w:sz w:val="20"/>
          <w:szCs w:val="20"/>
          <w:color w:val="auto"/>
        </w:rPr>
      </w:pPr>
    </w:p>
    <w:p>
      <w:pPr>
        <w:jc w:val="right"/>
        <w:ind w:right="1699"/>
        <w:spacing w:after="0"/>
        <w:rPr>
          <w:sz w:val="20"/>
          <w:szCs w:val="20"/>
          <w:color w:val="auto"/>
        </w:rPr>
      </w:pPr>
      <w:r>
        <w:rPr>
          <w:rFonts w:ascii="Times New Roman" w:cs="Times New Roman" w:eastAsia="Times New Roman" w:hAnsi="Times New Roman"/>
          <w:sz w:val="18"/>
          <w:szCs w:val="18"/>
          <w:color w:val="auto"/>
        </w:rPr>
        <w:t>ISSUER FREE WRITING PROSPECTUSES – ROAD SHOW MATERIALS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32"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22"/>
          <w:szCs w:val="2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900" w:right="1440" w:bottom="1440" w:gutter="0" w:footer="0" w:header="0"/>
        </w:sectPr>
      </w:pPr>
    </w:p>
    <w:bookmarkStart w:id="50" w:name="page51"/>
    <w:bookmarkEnd w:id="50"/>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SCHEDULE V</w:t>
      </w:r>
    </w:p>
    <w:p>
      <w:pPr>
        <w:spacing w:after="0" w:line="229" w:lineRule="exact"/>
        <w:rPr>
          <w:sz w:val="20"/>
          <w:szCs w:val="20"/>
          <w:color w:val="auto"/>
        </w:rPr>
      </w:pPr>
    </w:p>
    <w:p>
      <w:pPr>
        <w:jc w:val="right"/>
        <w:ind w:right="2959"/>
        <w:spacing w:after="0"/>
        <w:rPr>
          <w:sz w:val="20"/>
          <w:szCs w:val="20"/>
          <w:color w:val="auto"/>
        </w:rPr>
      </w:pPr>
      <w:r>
        <w:rPr>
          <w:rFonts w:ascii="Times New Roman" w:cs="Times New Roman" w:eastAsia="Times New Roman" w:hAnsi="Times New Roman"/>
          <w:sz w:val="18"/>
          <w:szCs w:val="18"/>
          <w:color w:val="auto"/>
        </w:rPr>
        <w:t>ISSUER FREE WRITING PROSPECTUS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32"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22"/>
          <w:szCs w:val="2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900" w:right="1440" w:bottom="1440" w:gutter="0" w:footer="0" w:header="0"/>
        </w:sectPr>
      </w:pPr>
    </w:p>
    <w:bookmarkStart w:id="51" w:name="page52"/>
    <w:bookmarkEnd w:id="51"/>
    <w:p>
      <w:pPr>
        <w:jc w:val="center"/>
        <w:spacing w:after="0"/>
        <w:rPr>
          <w:sz w:val="20"/>
          <w:szCs w:val="20"/>
          <w:color w:val="auto"/>
        </w:rPr>
      </w:pPr>
      <w:r>
        <w:rPr>
          <w:rFonts w:ascii="Times New Roman" w:cs="Times New Roman" w:eastAsia="Times New Roman" w:hAnsi="Times New Roman"/>
          <w:sz w:val="18"/>
          <w:szCs w:val="18"/>
          <w:b w:val="1"/>
          <w:bCs w:val="1"/>
          <w:color w:val="auto"/>
        </w:rPr>
        <w:t>ANNEX A</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 Further Agreements of the Company and the Underwriters</w:t>
      </w:r>
    </w:p>
    <w:p>
      <w:pPr>
        <w:spacing w:after="0" w:line="227" w:lineRule="exact"/>
        <w:rPr>
          <w:sz w:val="20"/>
          <w:szCs w:val="20"/>
          <w:color w:val="auto"/>
        </w:rPr>
      </w:pPr>
    </w:p>
    <w:p>
      <w:pPr>
        <w:ind w:firstLine="656"/>
        <w:spacing w:after="0" w:line="282" w:lineRule="auto"/>
        <w:tabs>
          <w:tab w:leader="none" w:pos="835"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Solely for the purposes of this Agreement and to the extent any Shares are sold by the Underwriters to investors in Israel, such Shares shall be deemed to have been Shares issued and sold by the Company and not to have been Shares sold by the Selling Shareholder hereunder.</w:t>
      </w:r>
    </w:p>
    <w:p>
      <w:pPr>
        <w:spacing w:after="0" w:line="159"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6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Further Agreements of the Selling Shareholder</w:t>
      </w:r>
    </w:p>
    <w:p>
      <w:pPr>
        <w:spacing w:after="0" w:line="227" w:lineRule="exact"/>
        <w:rPr>
          <w:rFonts w:ascii="Times New Roman" w:cs="Times New Roman" w:eastAsia="Times New Roman" w:hAnsi="Times New Roman"/>
          <w:sz w:val="18"/>
          <w:szCs w:val="18"/>
          <w:i w:val="1"/>
          <w:iCs w:val="1"/>
          <w:color w:val="auto"/>
        </w:rPr>
      </w:pPr>
    </w:p>
    <w:p>
      <w:pPr>
        <w:jc w:val="both"/>
        <w:ind w:firstLine="656"/>
        <w:spacing w:after="0" w:line="256" w:lineRule="auto"/>
        <w:tabs>
          <w:tab w:leader="none" w:pos="846"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Selling Shareholder hereby represents and warrants to the Underwriters that: (i) the Selling Shareholder is not, and has never been, an Israeli resident for Israeli tax purposes and is not otherwise subject to taxation in Israel by virtue of being treated as an Israeli tax resident for Israeli tax purposes, (ii) the Selling Shareholder is entitled to an exemption from capital gains according to the provisions of the Israeli Income Tax Ordinance [New Version], 1961, including the regulations promulgated thereunder, or according to an applicable tax treaty, and (iii) the Selling Shareholder is not otherwise subject to taxation in Israel by virtue of having a permanent establishment in Israel. The foregoing representations and warranties are true and correct as of the date hereof and will be true and correct on the Initial Delivery Date as though made on and as of such date.</w:t>
      </w:r>
    </w:p>
    <w:p>
      <w:pPr>
        <w:spacing w:after="0" w:line="187" w:lineRule="exact"/>
        <w:rPr>
          <w:rFonts w:ascii="Times New Roman" w:cs="Times New Roman" w:eastAsia="Times New Roman" w:hAnsi="Times New Roman"/>
          <w:sz w:val="18"/>
          <w:szCs w:val="18"/>
          <w:color w:val="auto"/>
        </w:rPr>
      </w:pPr>
    </w:p>
    <w:p>
      <w:pPr>
        <w:jc w:val="both"/>
        <w:ind w:firstLine="656"/>
        <w:spacing w:after="0" w:line="256" w:lineRule="auto"/>
        <w:tabs>
          <w:tab w:leader="none" w:pos="847"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Selling Shareholder agrees, without limitation as to time, to indemnify and hold harmless, to the fullest extent permitted by law, each Underwriter, its affiliates, directors, officers, employees, representatives and agents and each person, if any, who controls any Underwriter within the meaning of Section 15 of the Securities Act or Section 20 of the Exchange Act, from and against all losses, claims, damages, action, liabilities, costs, expenses (including reasonable expenses in investigating or defending or preparing to defend against any such loss, claim, damage, liability, action, cost, expense, and reasonable attorneys’ fees and expenses), judgments, fines, penalties, charges and amounts, including if paid in settlement, as incurred, arising out of, caused by, resulting from or relating to, the matters set forth in this letter.</w:t>
      </w:r>
    </w:p>
    <w:p>
      <w:pPr>
        <w:spacing w:after="0" w:line="187" w:lineRule="exact"/>
        <w:rPr>
          <w:rFonts w:ascii="Times New Roman" w:cs="Times New Roman" w:eastAsia="Times New Roman" w:hAnsi="Times New Roman"/>
          <w:sz w:val="18"/>
          <w:szCs w:val="18"/>
          <w:color w:val="auto"/>
        </w:rPr>
      </w:pPr>
    </w:p>
    <w:p>
      <w:pPr>
        <w:jc w:val="both"/>
        <w:ind w:firstLine="656"/>
        <w:spacing w:after="0" w:line="266" w:lineRule="auto"/>
        <w:tabs>
          <w:tab w:leader="none" w:pos="832"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the representations and warranties and undertakings in the above paragraphs (1) and (2), the Underwriters will not withhold or deduct any amounts from the proceeds to be delivered to the Selling Shareholder from the sale of the Shares in accordance with the terms of the Agreement on account of Israeli tax.</w:t>
      </w:r>
    </w:p>
    <w:p>
      <w:pPr>
        <w:spacing w:after="0" w:line="175" w:lineRule="exact"/>
        <w:rPr>
          <w:rFonts w:ascii="Times New Roman" w:cs="Times New Roman" w:eastAsia="Times New Roman" w:hAnsi="Times New Roman"/>
          <w:sz w:val="18"/>
          <w:szCs w:val="18"/>
          <w:color w:val="auto"/>
        </w:rPr>
      </w:pPr>
    </w:p>
    <w:p>
      <w:pPr>
        <w:ind w:firstLine="656"/>
        <w:spacing w:after="0" w:line="282" w:lineRule="auto"/>
        <w:tabs>
          <w:tab w:leader="none" w:pos="832"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Selling Shareholder acknowledges and agrees that the agreement by the Underwriters in paragraph (3) above is made by the Underwriters in reliance on the Selling Shareholder’s representations and warranties and undertakings set forth in paragraphs (1) and (2) above.</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2" w:name="page53"/>
    <w:bookmarkEnd w:id="52"/>
    <w:p>
      <w:pPr>
        <w:jc w:val="center"/>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LOCK-UP LETTER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CITIGROUP GLOBAL MARKETS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BARCLAYS CAPITAL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GOLDMAN SACHS &amp; CO. LLC</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Representatives of the several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Underwriters named in Schedule I of the Underwriting Agreement,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Citigroup Global Markets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388 Greenwich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10013</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Barclays Capital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745 Seventh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10019</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Goldman Sachs &amp; Co.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200 West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10282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1"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The undersigned understands that you and certain other firms (the “</w:t>
      </w:r>
      <w:r>
        <w:rPr>
          <w:rFonts w:ascii="Times New Roman" w:cs="Times New Roman" w:eastAsia="Times New Roman" w:hAnsi="Times New Roman"/>
          <w:sz w:val="18"/>
          <w:szCs w:val="18"/>
          <w:b w:val="1"/>
          <w:bCs w:val="1"/>
          <w:color w:val="auto"/>
        </w:rPr>
        <w:t>Underwriters</w:t>
      </w:r>
      <w:r>
        <w:rPr>
          <w:rFonts w:ascii="Times New Roman" w:cs="Times New Roman" w:eastAsia="Times New Roman" w:hAnsi="Times New Roman"/>
          <w:sz w:val="18"/>
          <w:szCs w:val="18"/>
          <w:color w:val="auto"/>
        </w:rPr>
        <w:t>”) propose to enter into an Underwriting Agreement (the “</w:t>
      </w:r>
      <w:r>
        <w:rPr>
          <w:rFonts w:ascii="Times New Roman" w:cs="Times New Roman" w:eastAsia="Times New Roman" w:hAnsi="Times New Roman"/>
          <w:sz w:val="18"/>
          <w:szCs w:val="18"/>
          <w:b w:val="1"/>
          <w:bCs w:val="1"/>
          <w:color w:val="auto"/>
        </w:rPr>
        <w:t>Underwriting Agreement</w:t>
      </w:r>
      <w:r>
        <w:rPr>
          <w:rFonts w:ascii="Times New Roman" w:cs="Times New Roman" w:eastAsia="Times New Roman" w:hAnsi="Times New Roman"/>
          <w:sz w:val="18"/>
          <w:szCs w:val="18"/>
          <w:color w:val="auto"/>
        </w:rPr>
        <w:t>”) providing for the purchase by the Underwriters of ordinary shares (the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par value NIS 0.01 per share (the “</w:t>
      </w:r>
      <w:r>
        <w:rPr>
          <w:rFonts w:ascii="Times New Roman" w:cs="Times New Roman" w:eastAsia="Times New Roman" w:hAnsi="Times New Roman"/>
          <w:sz w:val="18"/>
          <w:szCs w:val="18"/>
          <w:b w:val="1"/>
          <w:bCs w:val="1"/>
          <w:color w:val="auto"/>
        </w:rPr>
        <w:t>Ordinary Shares</w:t>
      </w:r>
      <w:r>
        <w:rPr>
          <w:rFonts w:ascii="Times New Roman" w:cs="Times New Roman" w:eastAsia="Times New Roman" w:hAnsi="Times New Roman"/>
          <w:sz w:val="18"/>
          <w:szCs w:val="18"/>
          <w:color w:val="auto"/>
        </w:rPr>
        <w:t>”), of Kornit Digital Ltd., a company incorporated under the laws of the Stale of Israel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and that the Underwriters propose to reoffer the Shares to the public (the “</w:t>
      </w:r>
      <w:r>
        <w:rPr>
          <w:rFonts w:ascii="Times New Roman" w:cs="Times New Roman" w:eastAsia="Times New Roman" w:hAnsi="Times New Roman"/>
          <w:sz w:val="18"/>
          <w:szCs w:val="18"/>
          <w:b w:val="1"/>
          <w:bCs w:val="1"/>
          <w:color w:val="auto"/>
        </w:rPr>
        <w:t>Offering</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consideration of the execution of the Underwriting Agreement by the Underwriters, and for other good and valuable consideration, the undersigned hereby irrevocably agrees that, without the prior written consent of Citigroup Global Markets Inc., Barclays Capital Inc. and Goldman Sachs</w:t>
      </w:r>
    </w:p>
    <w:p>
      <w:pPr>
        <w:jc w:val="both"/>
        <w:ind w:firstLine="8"/>
        <w:spacing w:after="0" w:line="255" w:lineRule="auto"/>
        <w:tabs>
          <w:tab w:leader="none" w:pos="193"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 LLC., on behalf of the Underwriters or except as contemplated by the Underwriting Agreement, the undersigned will not, directly or indirectly, (1) offer for sale, sell, pledge, or otherwise dispose of (or enter into any transaction or device that is designed to, or could be expected to, result in the disposition by any person at any time in the future of) any Ordinary Shares (including, without limitation, Ordinary Shares that may be deemed to be beneficially owned by the undersigned in accordance with the rules and regulations of the Securities and Exchange Commission and Ordinary Shares that may be issued upon exercise of any options or warrants) or securities convertible into or exercisable or exchangeable for Ordinary Shares (“</w:t>
      </w:r>
      <w:r>
        <w:rPr>
          <w:rFonts w:ascii="Times New Roman" w:cs="Times New Roman" w:eastAsia="Times New Roman" w:hAnsi="Times New Roman"/>
          <w:sz w:val="18"/>
          <w:szCs w:val="18"/>
          <w:b w:val="1"/>
          <w:bCs w:val="1"/>
          <w:color w:val="auto"/>
        </w:rPr>
        <w:t>Lock-Up</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 (2) enter into any swap or other derivatives transaction that transfers to another, in whole or in part, any of the economic benefits or risks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ownership of Lock-Up Securities, whether any such transaction described in clause (1) or (2) above is to be settled by delivery of Ordinary Shares or other securities, in cash or otherwise, (3) make any demand for or exercise any right or cause to be filed a registration statement, including any amendments thereto, with respect to the registration of any Lock-Up Securities, or (4) publicly disclose the intention to do any of the foregoing for a period commencing on the date hereof and ending on the 90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after the date of the Prospectus relating to the Offering (such 90-day period, the “</w:t>
      </w:r>
      <w:r>
        <w:rPr>
          <w:rFonts w:ascii="Times New Roman" w:cs="Times New Roman" w:eastAsia="Times New Roman" w:hAnsi="Times New Roman"/>
          <w:sz w:val="18"/>
          <w:szCs w:val="18"/>
          <w:b w:val="1"/>
          <w:bCs w:val="1"/>
          <w:color w:val="auto"/>
        </w:rPr>
        <w:t>Lock-Up Period</w:t>
      </w:r>
      <w:r>
        <w:rPr>
          <w:rFonts w:ascii="Times New Roman" w:cs="Times New Roman" w:eastAsia="Times New Roman" w:hAnsi="Times New Roman"/>
          <w:sz w:val="18"/>
          <w:szCs w:val="18"/>
          <w:color w:val="auto"/>
        </w:rPr>
        <w:t>”).</w:t>
      </w: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3" w:name="page54"/>
    <w:bookmarkEnd w:id="53"/>
    <w:p>
      <w:pPr>
        <w:ind w:left="660"/>
        <w:spacing w:after="0"/>
        <w:rPr>
          <w:sz w:val="20"/>
          <w:szCs w:val="20"/>
          <w:color w:val="auto"/>
        </w:rPr>
      </w:pPr>
      <w:r>
        <w:rPr>
          <w:rFonts w:ascii="Times New Roman" w:cs="Times New Roman" w:eastAsia="Times New Roman" w:hAnsi="Times New Roman"/>
          <w:sz w:val="18"/>
          <w:szCs w:val="18"/>
          <w:color w:val="auto"/>
        </w:rPr>
        <w:t>The foregoing paragraph shall not apply to:</w:t>
      </w:r>
    </w:p>
    <w:p>
      <w:pPr>
        <w:spacing w:after="0" w:line="225" w:lineRule="exact"/>
        <w:rPr>
          <w:sz w:val="20"/>
          <w:szCs w:val="20"/>
          <w:color w:val="auto"/>
        </w:rPr>
      </w:pPr>
    </w:p>
    <w:p>
      <w:pPr>
        <w:ind w:left="900" w:hanging="244"/>
        <w:spacing w:after="0"/>
        <w:tabs>
          <w:tab w:leader="none" w:pos="9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relating to Ordinary Shares or other securities acquired in the open market after the completion of the Offering,</w:t>
      </w:r>
    </w:p>
    <w:p>
      <w:pPr>
        <w:spacing w:after="0" w:line="221"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bona fide gifts (of “</w:t>
      </w:r>
      <w:r>
        <w:rPr>
          <w:rFonts w:ascii="Times New Roman" w:cs="Times New Roman" w:eastAsia="Times New Roman" w:hAnsi="Times New Roman"/>
          <w:sz w:val="18"/>
          <w:szCs w:val="18"/>
          <w:b w:val="1"/>
          <w:bCs w:val="1"/>
          <w:color w:val="auto"/>
        </w:rPr>
        <w:t>Lock-Up Securities</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jc w:val="both"/>
        <w:ind w:firstLine="656"/>
        <w:spacing w:after="0" w:line="261" w:lineRule="auto"/>
        <w:tabs>
          <w:tab w:leader="none" w:pos="897"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of Lock-Up Securities that are made exclusively between and among the undersigned or members of the undersigned’s family or any trust, or similar entity, controlled by such family member or members, for the direct or indirect benefit of the undersigned or the family member or members of the undersigned, or affiliates of the undersigned, or to any investment fund or other entity controlled or managed by, or under the common control or management with, the undersigned,</w:t>
      </w:r>
    </w:p>
    <w:p>
      <w:pPr>
        <w:spacing w:after="0" w:line="179" w:lineRule="exact"/>
        <w:rPr>
          <w:rFonts w:ascii="Times New Roman" w:cs="Times New Roman" w:eastAsia="Times New Roman" w:hAnsi="Times New Roman"/>
          <w:sz w:val="18"/>
          <w:szCs w:val="18"/>
          <w:color w:val="auto"/>
        </w:rPr>
      </w:pPr>
    </w:p>
    <w:p>
      <w:pPr>
        <w:ind w:firstLine="656"/>
        <w:spacing w:after="0" w:line="282" w:lineRule="auto"/>
        <w:tabs>
          <w:tab w:leader="none" w:pos="918"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of Lock-Up Securities to the undersigned’s limited or general partners (if a partnership), members (if a limited liability company), beneficiaries (if a trust) or shareholders (if a corporation),</w:t>
      </w:r>
    </w:p>
    <w:p>
      <w:pPr>
        <w:spacing w:after="0" w:line="161"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 of Lock-Up Securities by will or by intestacy,</w:t>
      </w:r>
    </w:p>
    <w:p>
      <w:pPr>
        <w:spacing w:after="0" w:line="225" w:lineRule="exact"/>
        <w:rPr>
          <w:rFonts w:ascii="Times New Roman" w:cs="Times New Roman" w:eastAsia="Times New Roman" w:hAnsi="Times New Roman"/>
          <w:sz w:val="18"/>
          <w:szCs w:val="18"/>
          <w:color w:val="auto"/>
        </w:rPr>
      </w:pPr>
    </w:p>
    <w:p>
      <w:pPr>
        <w:ind w:firstLine="656"/>
        <w:spacing w:after="0" w:line="282" w:lineRule="auto"/>
        <w:tabs>
          <w:tab w:leader="none" w:pos="893"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cash exercise of warrants or the exercise of stock options granted pursuant to the Company’s stock option/incentive plans or otherwise outstanding on the date 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restrictions shall apply to Ordinary Shares issued upon such exercise or conversion,</w:t>
      </w:r>
    </w:p>
    <w:p>
      <w:pPr>
        <w:spacing w:after="0" w:line="157" w:lineRule="exact"/>
        <w:rPr>
          <w:rFonts w:ascii="Times New Roman" w:cs="Times New Roman" w:eastAsia="Times New Roman" w:hAnsi="Times New Roman"/>
          <w:sz w:val="18"/>
          <w:szCs w:val="18"/>
          <w:color w:val="auto"/>
        </w:rPr>
      </w:pPr>
    </w:p>
    <w:p>
      <w:pPr>
        <w:jc w:val="both"/>
        <w:ind w:firstLine="656"/>
        <w:spacing w:after="0" w:line="257" w:lineRule="auto"/>
        <w:tabs>
          <w:tab w:leader="none" w:pos="918"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establishment of any contract, instruction or plan that satisfies all of the requirements of Rule 10b5-1 (a “</w:t>
      </w:r>
      <w:r>
        <w:rPr>
          <w:rFonts w:ascii="Times New Roman" w:cs="Times New Roman" w:eastAsia="Times New Roman" w:hAnsi="Times New Roman"/>
          <w:sz w:val="18"/>
          <w:szCs w:val="18"/>
          <w:b w:val="1"/>
          <w:bCs w:val="1"/>
          <w:color w:val="auto"/>
        </w:rPr>
        <w:t>Rule 10b5-l Plan</w:t>
      </w:r>
      <w:r>
        <w:rPr>
          <w:rFonts w:ascii="Times New Roman" w:cs="Times New Roman" w:eastAsia="Times New Roman" w:hAnsi="Times New Roman"/>
          <w:sz w:val="18"/>
          <w:szCs w:val="18"/>
          <w:color w:val="auto"/>
        </w:rPr>
        <w:t>”) under the Securities Exchange Act of 1934, as amended (the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no sales of Ordinary Shares or securities convertible into, or exchangeable or exercisable for, Ordinary Shares, shall be made pursuant to such Rule 10b5-1 Plan prior to the expiration of the Lock-Up Period (as the same may be extended pursuant to the provisions hereof);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that the Company is not required to report the establishment of such Rule 10b5-1 Plan in any public report or filing with the Commission under the Exchange Act during the Lock-Up Period and does not otherwise voluntarily effect any such public filing or report regarding such Rule 10b5-1 Plan,</w:t>
      </w:r>
    </w:p>
    <w:p>
      <w:pPr>
        <w:spacing w:after="0" w:line="186" w:lineRule="exact"/>
        <w:rPr>
          <w:rFonts w:ascii="Times New Roman" w:cs="Times New Roman" w:eastAsia="Times New Roman" w:hAnsi="Times New Roman"/>
          <w:sz w:val="18"/>
          <w:szCs w:val="18"/>
          <w:color w:val="auto"/>
        </w:rPr>
      </w:pPr>
    </w:p>
    <w:p>
      <w:pPr>
        <w:jc w:val="both"/>
        <w:ind w:firstLine="656"/>
        <w:spacing w:after="0" w:line="261" w:lineRule="auto"/>
        <w:tabs>
          <w:tab w:leader="none" w:pos="912"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sales or transfers of Ordinary Shares under a Rule 10b5-1 Plan that has been entered into by the undersigned prior to the date hereof (an “</w:t>
      </w:r>
      <w:r>
        <w:rPr>
          <w:rFonts w:ascii="Times New Roman" w:cs="Times New Roman" w:eastAsia="Times New Roman" w:hAnsi="Times New Roman"/>
          <w:sz w:val="18"/>
          <w:szCs w:val="18"/>
          <w:b w:val="1"/>
          <w:bCs w:val="1"/>
          <w:color w:val="auto"/>
        </w:rPr>
        <w:t>Existing Rule 10b5-1 Plan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no amendment shall be made to any such Existing Rule 10b5-1 Plan during the Lock-Up Period;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if any public report or filing is made with the Commission in connection with such sales or transfers under an Existing Rule 10b5-1 Plan, such report or filing indicates that such sales or transfers are being made pursuant to an Existing Rule 10b5-1 Plan,</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4" w:name="page55"/>
    <w:bookmarkEnd w:id="54"/>
    <w:p>
      <w:pPr>
        <w:jc w:val="both"/>
        <w:ind w:firstLine="656"/>
        <w:spacing w:after="0" w:line="261" w:lineRule="auto"/>
        <w:tabs>
          <w:tab w:leader="none" w:pos="871"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demands or requests for, exercises of any right with respect to, or any action in preparation of, the registration by the Company under the Securities Act of 1933, as amended (the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of the undersigned’s Lock-Up Securities, provided that no transfer of the undersigned’s Lock-Up Securities registered pursuant to the exercise of any such right and no registration statement shall be filed under the Securities Act with respect to any of the undersigned’s Lock-Up Securities during the Lock-Up Period,</w:t>
      </w:r>
    </w:p>
    <w:p>
      <w:pPr>
        <w:spacing w:after="0" w:line="179" w:lineRule="exact"/>
        <w:rPr>
          <w:rFonts w:ascii="Times New Roman" w:cs="Times New Roman" w:eastAsia="Times New Roman" w:hAnsi="Times New Roman"/>
          <w:sz w:val="18"/>
          <w:szCs w:val="18"/>
          <w:color w:val="auto"/>
        </w:rPr>
      </w:pPr>
    </w:p>
    <w:p>
      <w:pPr>
        <w:jc w:val="both"/>
        <w:ind w:firstLine="656"/>
        <w:spacing w:after="0" w:line="261" w:lineRule="auto"/>
        <w:tabs>
          <w:tab w:leader="none" w:pos="874"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dispositions of Lock-Up Securities pursuant to a bona fide third-party tender offer, merger, consolidation or other similar transaction made to all holders of the Company’s Ordinary Shares involving a change of control of the Company;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in the event that such tender offer, merger, consolidation or other such transaction is not completed, the Lock-Up Securities held by the undersigned shall remain subject to the provisions of this Lock-Up Letter Agreement,</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it shall be a condition to any transfer pursuant to clauses (b) through (e) that the transferee or donee agrees to be bound by the terms of this Lock Up Letter Agreement (including, without limitation, the restrictions set forth in the preceding sentence) to the same extent as if the transferee/donee were a party hereto, and (ii) it shall be a condition to any transfer pursuant to clauses (b) through (e) that the undersigned notifies Citigroup Global Markets Inc., Barclays Capital Inc. and Goldman Sachs &amp; Co. LLC at least two business days prior to the proposed transfer or disposition; and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that, in the case of clauses (a) through (d) and (f) through (h), each party (donor, donee, transferor or transferee) shall not be required by law (including without limitation the disclosure requirements of the Securities Act and the Exchange Act) to make, and shall agree to not voluntarily make, any filing or public announcement of the transfer or disposition prior to the expiration of the Lock-Up Period referred to above.</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furtherance of the foregoing, the Company and its transfer agent are hereby authorized to decline to make any transfer of securities if such transfer would constitute a violation or breach of this Lock-Up Letter Agreement.</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It is understood that the undersigned will be released from its obligations under this Lock-Up Letter Agreement if (i) the Company notifies the Underwriters that it does not intend to proceed with the Offering, (ii) the Underwriting Agreement does not become effective or (iii) the Underwriting Agreement (other than the provisions thereof which survive termination) shall terminate or be terminated prior to payment for and delivery of the Shares.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undersigned understands that the Company and the Underwriters will proceed with the Offering in reliance on this Lock-Up Letter Agreement.</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Whether or not the Offering actually occurs depends on a number of factors, including market conditions. Any Offering will only be made pursuant to an Underwriting Agreement, the terms of which are subject to negotiation between the Company, any Selling Shareholder named therein and the Underwriters.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undersigned acknowledges and agrees that none of the Underwriters has made any recommendation or provided any investment or other advice to the undersigned with respect to this Lock-Up Letter Agreement or the subject matter hereof, and the undersigned has consulted its own legal, accounting, financial, regulatory, tax and other advisors with respect to this Lock-Up Letter Agreement and the subject matter hereof to the extent the undersigned has deemed appropriate.</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5" w:name="page56"/>
    <w:bookmarkEnd w:id="55"/>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undersigned hereby represents and warrants that the undersigned has full power and authority to enter into this Lock-Up Letter Agreement and that, upon request, the undersigned will execute and additional documents reasonably necessary in connection with the enforcement hereof. Any obligations of the undersigned shall be binding upon the heirs, personal representatives, successors and assigns of the undersigned.</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This Lock-Up Letter Agreement and any claim, controversy or dispute arising under or related to this Lock-Up Letter Agreement shall be governed by and construed in accordance with the laws of the State of New York, without regard to the conflict of laws principles thereof.</w:t>
      </w:r>
    </w:p>
    <w:p>
      <w:pPr>
        <w:spacing w:after="0" w:line="37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17145</wp:posOffset>
            </wp:positionV>
            <wp:extent cx="256286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8">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6" w:name="page57"/>
    <w:bookmarkEnd w:id="56"/>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1110615</wp:posOffset>
            </wp:positionH>
            <wp:positionV relativeFrom="paragraph">
              <wp:posOffset>156845</wp:posOffset>
            </wp:positionV>
            <wp:extent cx="4954905" cy="80581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0">
                      <a:extLst>
                        <a:ext uri="{28A0092B-C50C-407E-A947-70E740481C1C}"/>
                      </a:extLst>
                    </a:blip>
                    <a:srcRect/>
                    <a:stretch>
                      <a:fillRect/>
                    </a:stretch>
                  </pic:blipFill>
                  <pic:spPr bwMode="auto">
                    <a:xfrm>
                      <a:off x="0" y="0"/>
                      <a:ext cx="4954905" cy="805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Kornit Digital Ltd.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 Ha’Amal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Rosh Ha’Ayin 4809246, Israel</w:t>
      </w:r>
    </w:p>
    <w:p>
      <w:pPr>
        <w:spacing w:after="0" w:line="20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September 16, 2020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Re: </w:t>
      </w:r>
      <w:r>
        <w:rPr>
          <w:rFonts w:ascii="Times New Roman" w:cs="Times New Roman" w:eastAsia="Times New Roman" w:hAnsi="Times New Roman"/>
          <w:sz w:val="18"/>
          <w:szCs w:val="18"/>
          <w:u w:val="single" w:color="auto"/>
          <w:color w:val="auto"/>
        </w:rPr>
        <w:t>Underwritten Offering Pursuant to Prospectus Supplement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1" w:lineRule="exact"/>
        <w:rPr>
          <w:sz w:val="20"/>
          <w:szCs w:val="20"/>
          <w:color w:val="auto"/>
        </w:rPr>
      </w:pPr>
    </w:p>
    <w:p>
      <w:pPr>
        <w:jc w:val="both"/>
        <w:ind w:firstLine="638"/>
        <w:spacing w:after="0" w:line="255" w:lineRule="auto"/>
        <w:rPr>
          <w:sz w:val="20"/>
          <w:szCs w:val="20"/>
          <w:color w:val="auto"/>
        </w:rPr>
      </w:pPr>
      <w:r>
        <w:rPr>
          <w:rFonts w:ascii="Times New Roman" w:cs="Times New Roman" w:eastAsia="Times New Roman" w:hAnsi="Times New Roman"/>
          <w:sz w:val="18"/>
          <w:szCs w:val="18"/>
          <w:color w:val="auto"/>
        </w:rPr>
        <w:t>We have acted as Israeli counsel for Kornit Digital Ltd., an Israeli company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in connection with an underwritten public offering by the Company, contemplating (i) the offer, issuance and sale by the Company of an aggregate of 2,388,268 ordinary shares, par value NIS 0.01 per share (“</w:t>
      </w:r>
      <w:r>
        <w:rPr>
          <w:rFonts w:ascii="Times New Roman" w:cs="Times New Roman" w:eastAsia="Times New Roman" w:hAnsi="Times New Roman"/>
          <w:sz w:val="18"/>
          <w:szCs w:val="18"/>
          <w:b w:val="1"/>
          <w:bCs w:val="1"/>
          <w:color w:val="auto"/>
        </w:rPr>
        <w:t>Ordinary Shares</w:t>
      </w:r>
      <w:r>
        <w:rPr>
          <w:rFonts w:ascii="Times New Roman" w:cs="Times New Roman" w:eastAsia="Times New Roman" w:hAnsi="Times New Roman"/>
          <w:sz w:val="18"/>
          <w:szCs w:val="18"/>
          <w:color w:val="auto"/>
        </w:rPr>
        <w:t>”) of the Company (the “</w:t>
      </w:r>
      <w:r>
        <w:rPr>
          <w:rFonts w:ascii="Times New Roman" w:cs="Times New Roman" w:eastAsia="Times New Roman" w:hAnsi="Times New Roman"/>
          <w:sz w:val="18"/>
          <w:szCs w:val="18"/>
          <w:b w:val="1"/>
          <w:bCs w:val="1"/>
          <w:color w:val="auto"/>
        </w:rPr>
        <w:t>Offering Shares</w:t>
      </w:r>
      <w:r>
        <w:rPr>
          <w:rFonts w:ascii="Times New Roman" w:cs="Times New Roman" w:eastAsia="Times New Roman" w:hAnsi="Times New Roman"/>
          <w:sz w:val="18"/>
          <w:szCs w:val="18"/>
          <w:color w:val="auto"/>
        </w:rPr>
        <w:t>”) and (ii) the potential issuance and sale by the Company of up to an additional 611,731 Ordinary Shares (the “</w:t>
      </w:r>
      <w:r>
        <w:rPr>
          <w:rFonts w:ascii="Times New Roman" w:cs="Times New Roman" w:eastAsia="Times New Roman" w:hAnsi="Times New Roman"/>
          <w:sz w:val="18"/>
          <w:szCs w:val="18"/>
          <w:b w:val="1"/>
          <w:bCs w:val="1"/>
          <w:color w:val="auto"/>
        </w:rPr>
        <w:t>Additional Shares</w:t>
      </w:r>
      <w:r>
        <w:rPr>
          <w:rFonts w:ascii="Times New Roman" w:cs="Times New Roman" w:eastAsia="Times New Roman" w:hAnsi="Times New Roman"/>
          <w:sz w:val="18"/>
          <w:szCs w:val="18"/>
          <w:color w:val="auto"/>
        </w:rPr>
        <w:t>” and, collectively with the Offering Shares, the “</w:t>
      </w:r>
      <w:r>
        <w:rPr>
          <w:rFonts w:ascii="Times New Roman" w:cs="Times New Roman" w:eastAsia="Times New Roman" w:hAnsi="Times New Roman"/>
          <w:sz w:val="18"/>
          <w:szCs w:val="18"/>
          <w:b w:val="1"/>
          <w:bCs w:val="1"/>
          <w:color w:val="auto"/>
        </w:rPr>
        <w:t>Primary Shares</w:t>
      </w:r>
      <w:r>
        <w:rPr>
          <w:rFonts w:ascii="Times New Roman" w:cs="Times New Roman" w:eastAsia="Times New Roman" w:hAnsi="Times New Roman"/>
          <w:sz w:val="18"/>
          <w:szCs w:val="18"/>
          <w:color w:val="auto"/>
        </w:rPr>
        <w:t>) that are subject to an option to purchase additional shares granted by the Company to the underwriters of the offering (the “</w:t>
      </w:r>
      <w:r>
        <w:rPr>
          <w:rFonts w:ascii="Times New Roman" w:cs="Times New Roman" w:eastAsia="Times New Roman" w:hAnsi="Times New Roman"/>
          <w:sz w:val="18"/>
          <w:szCs w:val="18"/>
          <w:b w:val="1"/>
          <w:bCs w:val="1"/>
          <w:color w:val="auto"/>
        </w:rPr>
        <w:t>Offering</w:t>
      </w:r>
      <w:r>
        <w:rPr>
          <w:rFonts w:ascii="Times New Roman" w:cs="Times New Roman" w:eastAsia="Times New Roman" w:hAnsi="Times New Roman"/>
          <w:sz w:val="18"/>
          <w:szCs w:val="18"/>
          <w:color w:val="auto"/>
        </w:rPr>
        <w:t>”). As part of the Offering, Amazon.com NV Investment Holdings LLC (the “</w:t>
      </w:r>
      <w:r>
        <w:rPr>
          <w:rFonts w:ascii="Times New Roman" w:cs="Times New Roman" w:eastAsia="Times New Roman" w:hAnsi="Times New Roman"/>
          <w:sz w:val="18"/>
          <w:szCs w:val="18"/>
          <w:b w:val="1"/>
          <w:bCs w:val="1"/>
          <w:color w:val="auto"/>
        </w:rPr>
        <w:t>Selling Shareholder</w:t>
      </w:r>
      <w:r>
        <w:rPr>
          <w:rFonts w:ascii="Times New Roman" w:cs="Times New Roman" w:eastAsia="Times New Roman" w:hAnsi="Times New Roman"/>
          <w:sz w:val="18"/>
          <w:szCs w:val="18"/>
          <w:color w:val="auto"/>
        </w:rPr>
        <w:t>”) will be offering and selling 1,689,942 Ordinary Shares (the “</w:t>
      </w:r>
      <w:r>
        <w:rPr>
          <w:rFonts w:ascii="Times New Roman" w:cs="Times New Roman" w:eastAsia="Times New Roman" w:hAnsi="Times New Roman"/>
          <w:sz w:val="18"/>
          <w:szCs w:val="18"/>
          <w:b w:val="1"/>
          <w:bCs w:val="1"/>
          <w:color w:val="auto"/>
        </w:rPr>
        <w:t>Secondary Shares</w:t>
      </w:r>
      <w:r>
        <w:rPr>
          <w:rFonts w:ascii="Times New Roman" w:cs="Times New Roman" w:eastAsia="Times New Roman" w:hAnsi="Times New Roman"/>
          <w:sz w:val="18"/>
          <w:szCs w:val="18"/>
          <w:color w:val="auto"/>
        </w:rPr>
        <w:t>”, and together with the Primary Shares, collectively, the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issuable under a warrant, dated January 10, 2017, issued by the Company to the Selling Shareholder (the “</w:t>
      </w:r>
      <w:r>
        <w:rPr>
          <w:rFonts w:ascii="Times New Roman" w:cs="Times New Roman" w:eastAsia="Times New Roman" w:hAnsi="Times New Roman"/>
          <w:sz w:val="18"/>
          <w:szCs w:val="18"/>
          <w:b w:val="1"/>
          <w:bCs w:val="1"/>
          <w:color w:val="auto"/>
        </w:rPr>
        <w:t>Selling Shareholder Warrant</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jc w:val="both"/>
        <w:ind w:firstLine="638"/>
        <w:spacing w:after="0" w:line="259" w:lineRule="auto"/>
        <w:rPr>
          <w:sz w:val="20"/>
          <w:szCs w:val="20"/>
          <w:color w:val="auto"/>
        </w:rPr>
      </w:pPr>
      <w:r>
        <w:rPr>
          <w:rFonts w:ascii="Times New Roman" w:cs="Times New Roman" w:eastAsia="Times New Roman" w:hAnsi="Times New Roman"/>
          <w:sz w:val="18"/>
          <w:szCs w:val="18"/>
          <w:color w:val="auto"/>
        </w:rPr>
        <w:t>The Offering is being effected pursuant to the registration statement on Form F-3 (File No. 333-248784) (the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filed by the Company with the Securities and Exchange Commission (the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under the Securities Act of 1933, as amended (the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on September 14, 2020, including the prospectus contained therein, as supplemented by the preliminary prospectus supplement dated September 14, 2020 (the “</w:t>
      </w:r>
      <w:r>
        <w:rPr>
          <w:rFonts w:ascii="Times New Roman" w:cs="Times New Roman" w:eastAsia="Times New Roman" w:hAnsi="Times New Roman"/>
          <w:sz w:val="18"/>
          <w:szCs w:val="18"/>
          <w:b w:val="1"/>
          <w:bCs w:val="1"/>
          <w:color w:val="auto"/>
        </w:rPr>
        <w:t>Preliminary Prospectus Supplement</w:t>
      </w:r>
      <w:r>
        <w:rPr>
          <w:rFonts w:ascii="Times New Roman" w:cs="Times New Roman" w:eastAsia="Times New Roman" w:hAnsi="Times New Roman"/>
          <w:sz w:val="18"/>
          <w:szCs w:val="18"/>
          <w:color w:val="auto"/>
        </w:rPr>
        <w:t>”) and the final prospectus supplement dated September 16, 2020 (the “</w:t>
      </w:r>
      <w:r>
        <w:rPr>
          <w:rFonts w:ascii="Times New Roman" w:cs="Times New Roman" w:eastAsia="Times New Roman" w:hAnsi="Times New Roman"/>
          <w:sz w:val="18"/>
          <w:szCs w:val="18"/>
          <w:b w:val="1"/>
          <w:bCs w:val="1"/>
          <w:color w:val="auto"/>
        </w:rPr>
        <w:t>Final Prospectus Supplement</w:t>
      </w:r>
      <w:r>
        <w:rPr>
          <w:rFonts w:ascii="Times New Roman" w:cs="Times New Roman" w:eastAsia="Times New Roman" w:hAnsi="Times New Roman"/>
          <w:sz w:val="18"/>
          <w:szCs w:val="18"/>
          <w:color w:val="auto"/>
        </w:rPr>
        <w:t>” and, together with the Preliminary Prospectus Supplement, the “</w:t>
      </w:r>
      <w:r>
        <w:rPr>
          <w:rFonts w:ascii="Times New Roman" w:cs="Times New Roman" w:eastAsia="Times New Roman" w:hAnsi="Times New Roman"/>
          <w:sz w:val="18"/>
          <w:szCs w:val="18"/>
          <w:b w:val="1"/>
          <w:bCs w:val="1"/>
          <w:color w:val="auto"/>
        </w:rPr>
        <w:t>Prospectus Supplements</w:t>
      </w:r>
      <w:r>
        <w:rPr>
          <w:rFonts w:ascii="Times New Roman" w:cs="Times New Roman" w:eastAsia="Times New Roman" w:hAnsi="Times New Roman"/>
          <w:sz w:val="18"/>
          <w:szCs w:val="18"/>
          <w:color w:val="auto"/>
        </w:rPr>
        <w:t>”), in each case as filed by the Company with the SEC.</w:t>
      </w:r>
    </w:p>
    <w:p>
      <w:pPr>
        <w:spacing w:after="0" w:line="18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This opinion letter is rendered pursuant to Items 601(b)(5) and (b)(23) of Regulation S-K promulgated under the Securities Act.</w:t>
      </w:r>
    </w:p>
    <w:p>
      <w:pPr>
        <w:spacing w:after="0" w:line="225" w:lineRule="exact"/>
        <w:rPr>
          <w:sz w:val="20"/>
          <w:szCs w:val="20"/>
          <w:color w:val="auto"/>
        </w:rPr>
      </w:pPr>
    </w:p>
    <w:p>
      <w:pPr>
        <w:jc w:val="both"/>
        <w:ind w:firstLine="638"/>
        <w:spacing w:after="0" w:line="253" w:lineRule="auto"/>
        <w:rPr>
          <w:sz w:val="20"/>
          <w:szCs w:val="20"/>
          <w:color w:val="auto"/>
        </w:rPr>
      </w:pPr>
      <w:r>
        <w:rPr>
          <w:rFonts w:ascii="Times New Roman" w:cs="Times New Roman" w:eastAsia="Times New Roman" w:hAnsi="Times New Roman"/>
          <w:sz w:val="18"/>
          <w:szCs w:val="18"/>
          <w:color w:val="auto"/>
        </w:rPr>
        <w:t xml:space="preserve">In connection herewith, we have examined the originals, or photocopies or copies, certified or otherwise identified to our satisfaction, of: (i) the Registration Statement; (ii) the Prospectus Supplements; (iii) the underwriting agreement, dated as of September 16, 2020, by and among the Company and Citigroup Global Markets Inc., Barclays Capital Inc. and Goldman Sachs &amp; Co. LLC as representatives of the underwriters named on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thereto, pursuant to which the Offering is being effected (the “</w:t>
      </w:r>
      <w:r>
        <w:rPr>
          <w:rFonts w:ascii="Times New Roman" w:cs="Times New Roman" w:eastAsia="Times New Roman" w:hAnsi="Times New Roman"/>
          <w:sz w:val="18"/>
          <w:szCs w:val="18"/>
          <w:b w:val="1"/>
          <w:bCs w:val="1"/>
          <w:color w:val="auto"/>
        </w:rPr>
        <w:t>Underwriting Agreement</w:t>
      </w:r>
      <w:r>
        <w:rPr>
          <w:rFonts w:ascii="Times New Roman" w:cs="Times New Roman" w:eastAsia="Times New Roman" w:hAnsi="Times New Roman"/>
          <w:sz w:val="18"/>
          <w:szCs w:val="18"/>
          <w:color w:val="auto"/>
        </w:rPr>
        <w:t>”); (iv) the articles of association of the Company, as amended and as currently in effect (the “</w:t>
      </w:r>
      <w:r>
        <w:rPr>
          <w:rFonts w:ascii="Times New Roman" w:cs="Times New Roman" w:eastAsia="Times New Roman" w:hAnsi="Times New Roman"/>
          <w:sz w:val="18"/>
          <w:szCs w:val="18"/>
          <w:b w:val="1"/>
          <w:bCs w:val="1"/>
          <w:color w:val="auto"/>
        </w:rPr>
        <w:t>Articles</w:t>
      </w:r>
      <w:r>
        <w:rPr>
          <w:rFonts w:ascii="Times New Roman" w:cs="Times New Roman" w:eastAsia="Times New Roman" w:hAnsi="Times New Roman"/>
          <w:sz w:val="18"/>
          <w:szCs w:val="18"/>
          <w:color w:val="auto"/>
        </w:rPr>
        <w:t>”); (v) resolutions of the board of directors of the Company (the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and a pricing committee thereof, that relate to the Registration Statement, the Prospectus Supplement and the actions to be taken in connection with the Offering; (vi) the Selling Shareholder Warrant;</w:t>
      </w:r>
    </w:p>
    <w:p>
      <w:pPr>
        <w:spacing w:after="0" w:line="5" w:lineRule="exact"/>
        <w:rPr>
          <w:sz w:val="20"/>
          <w:szCs w:val="20"/>
          <w:color w:val="auto"/>
        </w:rPr>
      </w:pPr>
    </w:p>
    <w:p>
      <w:pPr>
        <w:jc w:val="both"/>
        <w:ind w:firstLine="8"/>
        <w:spacing w:after="0" w:line="253" w:lineRule="auto"/>
        <w:tabs>
          <w:tab w:leader="none" w:pos="359"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 Agreement, dated January 10, 2017, between the Company and Amazon.com, Inc. pursuant to which the Selling Shareholder Warrant was issued; and (viii) such other corporate records, agreements, documents and other instruments, and such certificates or comparable documents of public officials and of officers and representatives of the Company as we have deemed relevant and necessary as a basis for the opinions hereafter set forth. We have also made inquiries of such officers and representatives as we have deemed relevant and necessary as a basis for the opinions hereafter set forth.</w:t>
      </w:r>
    </w:p>
    <w:p>
      <w:pPr>
        <w:spacing w:after="0" w:line="189" w:lineRule="exact"/>
        <w:rPr>
          <w:sz w:val="20"/>
          <w:szCs w:val="20"/>
          <w:color w:val="auto"/>
        </w:rPr>
      </w:pPr>
    </w:p>
    <w:p>
      <w:pPr>
        <w:jc w:val="both"/>
        <w:ind w:firstLine="638"/>
        <w:spacing w:after="0" w:line="261" w:lineRule="auto"/>
        <w:rPr>
          <w:sz w:val="20"/>
          <w:szCs w:val="20"/>
          <w:color w:val="auto"/>
        </w:rPr>
      </w:pPr>
      <w:r>
        <w:rPr>
          <w:rFonts w:ascii="Times New Roman" w:cs="Times New Roman" w:eastAsia="Times New Roman" w:hAnsi="Times New Roman"/>
          <w:sz w:val="18"/>
          <w:szCs w:val="18"/>
          <w:color w:val="auto"/>
        </w:rPr>
        <w:t>In such examination, we have assumed the genuineness of all signatures, the legal capacity of all natural persons, the authenticity of all documents submitted to us as originals, the conformity to original documents of all documents submitted to us as certified, confirmed as photostatic copies and the authenticity of the originals of such latter documents. As to all questions of fact material to these opinions that have not been independently established, we have relied upon certificates or comparable documents of officers and representatives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7" w:name="page58"/>
    <w:bookmarkEnd w:id="57"/>
    <w:p>
      <w:pPr>
        <w:ind w:left="640"/>
        <w:spacing w:after="0"/>
        <w:rPr>
          <w:sz w:val="20"/>
          <w:szCs w:val="20"/>
          <w:color w:val="auto"/>
        </w:rPr>
      </w:pPr>
      <w:r>
        <w:rPr>
          <w:rFonts w:ascii="Times New Roman" w:cs="Times New Roman" w:eastAsia="Times New Roman" w:hAnsi="Times New Roman"/>
          <w:sz w:val="18"/>
          <w:szCs w:val="18"/>
          <w:color w:val="auto"/>
        </w:rPr>
        <w:t>Based upon and subject to the foregoing, we are of the opinion that the Shares have been duly authorized, and, upon payment to the Company of</w:t>
      </w:r>
    </w:p>
    <w:p>
      <w:pPr>
        <w:spacing w:after="0" w:line="27" w:lineRule="exact"/>
        <w:rPr>
          <w:sz w:val="20"/>
          <w:szCs w:val="20"/>
          <w:color w:val="auto"/>
        </w:rPr>
      </w:pPr>
    </w:p>
    <w:p>
      <w:pPr>
        <w:jc w:val="both"/>
        <w:ind w:firstLine="8"/>
        <w:spacing w:after="0" w:line="255" w:lineRule="auto"/>
        <w:tabs>
          <w:tab w:leader="none" w:pos="226"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consideration per Primary Share in such amount and form as is set forth in the Underwriting Agreement, and (ii) the exercise price per Secondary Share in such amount and form as is set forth in the Selling Shareholder Warrant, and when issued and sold in the Offering as described in the Prospectus Supplement, the Shares will be validly issued, fully paid and non-assessable.</w:t>
      </w:r>
    </w:p>
    <w:p>
      <w:pPr>
        <w:spacing w:after="0" w:line="18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Members of our firm are admitted to the Bar in the State of Israel, and we do not express any opinion as to the laws of any other jurisdiction. This opinion is limited to the matters stated herein and no opinion is implied or may be inferred beyond the matters expressly stated.</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consent to the filing of this opinion as an exhibit to the Registration Statement (as an exhibit to a Report of Foreign Private Issuer on Form 6-K that is incorporated by reference in the Registration Statement) and to the reference to our firm appearing under the caption “Legal Matters” and “Enforceability of Civil Liabilities” in the prospectus forming part of the Registration Statement. In giving this consent, we do not thereby admit that we are within the category of persons whose consent is required under Section 7 of the Securities Act, the rules and regulations of the SEC promulgated thereunder or Item 509 of the SEC’s Regulation S-K under the Securities Act.</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This opinion letter is rendered as of the date hereof and we disclaim any obligation to advise you of facts, circumstances, events or developments that may be brought to our attention after the date of the Final Prospectus Supplement that may alter, affect or modify the opinions expressed herein.</w:t>
      </w:r>
    </w:p>
    <w:p>
      <w:pPr>
        <w:spacing w:after="0" w:line="162" w:lineRule="exact"/>
        <w:rPr>
          <w:sz w:val="20"/>
          <w:szCs w:val="20"/>
          <w:color w:val="auto"/>
        </w:rPr>
      </w:pPr>
    </w:p>
    <w:p>
      <w:pPr>
        <w:jc w:val="center"/>
        <w:ind w:left="674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jc w:val="center"/>
        <w:ind w:left="6740"/>
        <w:spacing w:after="0"/>
        <w:rPr>
          <w:sz w:val="20"/>
          <w:szCs w:val="20"/>
          <w:color w:val="auto"/>
        </w:rPr>
      </w:pPr>
      <w:r>
        <w:rPr>
          <w:rFonts w:ascii="Times New Roman" w:cs="Times New Roman" w:eastAsia="Times New Roman" w:hAnsi="Times New Roman"/>
          <w:sz w:val="18"/>
          <w:szCs w:val="18"/>
          <w:color w:val="auto"/>
        </w:rPr>
        <w:t>/s/ Meitar Law Offices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2">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jc w:val="center"/>
        <w:ind w:left="6740"/>
        <w:spacing w:after="0"/>
        <w:rPr>
          <w:sz w:val="20"/>
          <w:szCs w:val="20"/>
          <w:color w:val="auto"/>
        </w:rPr>
      </w:pPr>
      <w:r>
        <w:rPr>
          <w:rFonts w:ascii="Times New Roman" w:cs="Times New Roman" w:eastAsia="Times New Roman" w:hAnsi="Times New Roman"/>
          <w:sz w:val="18"/>
          <w:szCs w:val="18"/>
          <w:color w:val="auto"/>
        </w:rPr>
        <w:t>Meitar Law Offices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8" w:name="page59"/>
    <w:bookmarkEnd w:id="58"/>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Kornit Announces Launch of Public Offering of Ordinary Shares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ROSH HA’AYIN, Israel, September 14, 2020 (GLOBE NEWSWIRE) — Kornit Digital Ltd. (NASDAQ: KRNT) (“Kornit”), a company that develops, manufactures and markets industrial digital printing technologies for the garment, apparel and textile industries, today announced the launch of an underwritten public offering of 3,600,000 ordinary shares, 2,000,000 of which are being offered by Kornit and 1,600,000 of which are being offered by an affiliate of Amazon.com, Inc. (“Amazon”). Kornit will not receive any of the proceeds from the sale of shares being offered by Amazon. The shares being sold by an affiliate of Amazon are being issued pursuant to the exercise of a warrant granted to Amazon by Kornit. Kornit intends to grant the underwriters a 30-day option to purchase up to an additional 540,000 ordinary shares.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Kornit intends to use the proceeds from the offering for future potential acquisitions, including complementary businesses, technologies or assets, and for general corporate purposes, including working capital and capital expenditures. Kornit has no agreements or understandings with respect to any acquisition or investment at this time.</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Citigroup, Barclays and Goldman Sachs &amp; Co. LLC are acting as bookrunners and as representatives of the underwriters for this offering. Needham &amp; Company, Stifel, William Blair, Craig-Hallum Capital Group and CJS Securities are acting as co-managers in the offering.</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Kornit has filed a preliminary prospectus supplement to its shelf registration statement on Form F-3 with the U.S. Securities and Exchange Commission (the “SEC”) for the proposed offering of its ordinary shares. The offering will be made only by means of a prospectus supplement and the accompanying prospectus. When available, a copy of the preliminary prospectus supplement relating to the offering and accompanying prospectus may be obtained from Citigroup, c/o Broadridge Financial Solutions, 1155 Long Island Avenue, Edgewood, NY 11717 (Tel: 800-831-9146 or email to: Prospectus@citi.com); Barclays, c/o Broadridge Financial Solutions, 1155 Long Island Avenue, Edgewood, NY 11717, or by telephone at 888-603-5847, or by emailing barclaysprospectus@broadridge.com; or Goldman Sachs &amp; Co. LLC, Attention: Prospectus Department, 200 West Street, New York, NY 10282, or by telephone at 866-471-2526, or by email at prospectus-ny@ny.email.gs.com.</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offering of these securities is being made under an effective shelf registration statement on file with the SEC. The registration statement can be accessed through the SEC’s website at www.sec.gov. This press release shall not constitute an offer to sell or the solicitation of an offer to buy nor may there be any sale of these securities in any state or jurisdiction in which such an offer, solicitation or sale would be unlawful prior to registration or qualification under the securities laws of any such state or jurisdiction.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Kornit Digital</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Kornit Digital Ltd. (NASDAQ: KRNT) develops, manufactures and markets industrial digital printing technologies for the garment, apparel and textile industries. Kornit delivers complete solutions, including digital printing systems, inks, consumables, software and after-sales support. Leading the digital direct-to-garment printing market with its exclusive eco-friendly NeoPigment printing process, Kornit caters directly to the changing needs of the textile printing value chain. Kornit’s technology enables innovative business models based on web-to-print, on-demand and mass customization concepts. With its immense experience in the direct-to-garment market, Kornit also offers a revolutionary approach to the roll-to-roll textile printing industry: digitally printing with a single ink set onto multiple types of fabric with no additional finishing processes. Founded in 2002, Kornit Digital is a global company, headquartered in Israel with offices in the USA, Europe and Asia Pacific, and serves customers in more than 100 countries worldwide.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Kelsey Turcotte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Blueshirt Group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Kelsey@blueshirtgroup.com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917-842-0334</w:t>
      </w:r>
    </w:p>
    <w:p>
      <w:pPr>
        <w:sectPr>
          <w:pgSz w:w="11900" w:h="16838" w:orient="portrait"/>
          <w:cols w:equalWidth="0" w:num="1">
            <w:col w:w="11240"/>
          </w:cols>
          <w:pgMar w:left="320" w:top="117" w:right="339" w:bottom="1440" w:gutter="0" w:footer="0" w:header="0"/>
        </w:sectPr>
      </w:pPr>
    </w:p>
    <w:bookmarkStart w:id="59" w:name="page60"/>
    <w:bookmarkEnd w:id="59"/>
    <w:p>
      <w:pPr>
        <w:jc w:val="right"/>
        <w:spacing w:after="0"/>
        <w:rPr>
          <w:sz w:val="20"/>
          <w:szCs w:val="20"/>
          <w:color w:val="auto"/>
        </w:rPr>
      </w:pPr>
      <w:r>
        <w:rPr>
          <w:rFonts w:ascii="Times New Roman" w:cs="Times New Roman" w:eastAsia="Times New Roman" w:hAnsi="Times New Roman"/>
          <w:sz w:val="18"/>
          <w:szCs w:val="18"/>
          <w:b w:val="1"/>
          <w:bCs w:val="1"/>
          <w:color w:val="auto"/>
        </w:rPr>
        <w:t>Exhibit 99.2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Kornit Announces Pricing of Upsized Public Offering of Ordinary Shares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ROSH HA’AYIN, Israel, September 16, 2020 (GLOBE NEWSWIRE) – Kornit Digital Ltd. (NASDAQ: KRNT) (“Kornit”), a company that develops, manufactures and markets industrial digital printing technologies for the garment, apparel and textile industries, today announced the pricing of an upsized underwritten public offering of 4,078,210 ordinary shares at a price to the public of $56.50 per share. Kornit is offering 2,388,268 ordinary shares and an affiliate of Amazon.com, Inc. (“Amazon”) is offering 1,689,942 ordinary shares. Kornit will not receive any of the proceeds from the sale of shares being offered by Amazon. The shares being sold by an affiliate of Amazon are being issued pursuant to the exercise of a warrant granted to Amazon by Kornit. Kornit has also granted the underwriters a 30-day option to purchase up to an additional 611,731 ordinary shares at the public offering price. The offering is expected to close on September 21, 2020, subject to customary closing conditions.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Kornit intends to use the proceeds from the offering for future potential acquisitions, including complementary businesses, technologies or assets, and for general corporate purposes, including working capital and capital expenditures. Kornit has no agreements or understandings with respect to any acquisition or investment at this time.</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Citigroup, Barclays and Goldman Sachs &amp; Co. LLC are acting as bookrunners and as representatives of the underwriters for this offering. Needham &amp; Company, Stifel, William Blair, Craig-Hallum Capital Group and CJS Securities are acting as co-managers in the offering.</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Kornit has filed a preliminary prospectus supplement to its shelf registration statement on Form F-3 with the U.S. Securities and Exchange Commission (the “SEC”) for the offering of its ordinary shares. The offering will be made only by means of a prospectus supplement and the accompanying prospectus. A copy of the preliminary prospectus supplement relating to the offering and accompanying prospectus and, when available, the final prospectus supplement relating to the offering and accompanying prospectus, may be obtained from Citigroup, c/o Broadridge Financial Solutions, 1155 Long Island Avenue, Edgewood, NY 11717 (Tel: 800-831-9146 or email to: Prospectus@citi.com); Barclays, c/o Broadridge Financial Solutions, 1155 Long Island Avenue, Edgewood, NY 11717, or by telephone at 888-603-5847, or by emailing barclaysprospectus@broadridge.com; or Goldman Sachs &amp; Co. LLC, Attention: Prospectus Department, 200 West Street, New York, NY 10282, or by telephone at 866-471-2526, or by email at prospectus-ny@ny.email.gs.com.</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offering of these securities is being made under an effective shelf registration statement on file with the SEC. The registration statement, preliminary prospectus supplement and, when available, the final prospectus supplement can be accessed through the SEC’s website at www.sec.gov. This press release shall not constitute an offer to sell or the solicitation of an offer to buy nor may there be any sale of these securities in any state or jurisdiction in which such an offer, solicitation or sale would be unlawful prior to registration or qualification under the securities laws of any such state or jurisdiction.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Kornit Digital</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Kornit Digital Ltd. (NASDAQ: KRNT) develops, manufactures and markets industrial digital printing technologies for the garment, apparel and textile industries. Kornit delivers complete solutions, including digital printing systems, inks, consumables, software and after-sales support. Leading the digital direct-to-garment printing market with its exclusive eco-friendly NeoPigment printing process, Kornit caters directly to the changing needs of the textile printing value chain. Kornit’s technology enables innovative business models based on web-to-print, on-demand and mass customization concepts. With its immense experience in the direct-to-garment market, Kornit also offers a revolutionary approach to the roll-to-roll textile printing industry: digitally printing with a single ink set onto multiple types of fabric with no additional finishing processes. Founded in 2002, Kornit Digital is a global company, headquartered in Israel with offices in the USA, Europe and Asia Pacific, and serves customers in more than 100 countries worldwide.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Kelsey Turcotte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Blueshirt Group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Kelsey@blueshirtgroup.com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917-842-0334</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14FD4A1"/>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
    <w:nsid w:val="419AC241"/>
    <w:multiLevelType w:val="hybridMultilevel"/>
    <w:lvl w:ilvl="0">
      <w:lvlJc w:val="left"/>
      <w:lvlText w:val="(%1)"/>
      <w:numFmt w:val="lowerLetter"/>
      <w:start w:val="2"/>
    </w:lvl>
  </w:abstractNum>
  <w:abstractNum w:abstractNumId="2">
    <w:nsid w:val="5577F8E1"/>
    <w:multiLevelType w:val="hybridMultilevel"/>
    <w:lvl w:ilvl="0">
      <w:lvlJc w:val="left"/>
      <w:lvlText w:val="(%1)"/>
      <w:numFmt w:val="lowerLetter"/>
      <w:start w:val="6"/>
    </w:lvl>
  </w:abstractNum>
  <w:abstractNum w:abstractNumId="3">
    <w:nsid w:val="440BADFC"/>
    <w:multiLevelType w:val="hybridMultilevel"/>
    <w:lvl w:ilvl="0">
      <w:lvlJc w:val="left"/>
      <w:lvlText w:val="(%1)"/>
      <w:numFmt w:val="lowerLetter"/>
      <w:start w:val="12"/>
    </w:lvl>
  </w:abstractNum>
  <w:abstractNum w:abstractNumId="4">
    <w:nsid w:val="5072367"/>
    <w:multiLevelType w:val="hybridMultilevel"/>
    <w:lvl w:ilvl="0">
      <w:lvlJc w:val="left"/>
      <w:lvlText w:val="%1"/>
      <w:numFmt w:val="lowerLetter"/>
      <w:start w:val="1"/>
    </w:lvl>
    <w:lvl w:ilvl="1">
      <w:lvlJc w:val="left"/>
      <w:lvlText w:val="(%2)"/>
      <w:numFmt w:val="lowerLetter"/>
      <w:start w:val="15"/>
    </w:lvl>
  </w:abstractNum>
  <w:abstractNum w:abstractNumId="5">
    <w:nsid w:val="3804823E"/>
    <w:multiLevelType w:val="hybridMultilevel"/>
    <w:lvl w:ilvl="0">
      <w:lvlJc w:val="left"/>
      <w:lvlText w:val="(%1)"/>
      <w:numFmt w:val="lowerLetter"/>
      <w:start w:val="9"/>
    </w:lvl>
    <w:lvl w:ilvl="1">
      <w:lvlJc w:val="left"/>
      <w:lvlText w:val="%2"/>
      <w:numFmt w:val="lowerLetter"/>
      <w:start w:val="1"/>
    </w:lvl>
  </w:abstractNum>
  <w:abstractNum w:abstractNumId="6">
    <w:nsid w:val="77465F01"/>
    <w:multiLevelType w:val="hybridMultilevel"/>
    <w:lvl w:ilvl="0">
      <w:lvlJc w:val="left"/>
      <w:lvlText w:val="(%1)"/>
      <w:numFmt w:val="lowerLetter"/>
      <w:start w:val="18"/>
    </w:lvl>
  </w:abstractNum>
  <w:abstractNum w:abstractNumId="7">
    <w:nsid w:val="7724C67E"/>
    <w:multiLevelType w:val="hybridMultilevel"/>
    <w:lvl w:ilvl="0">
      <w:lvlJc w:val="left"/>
      <w:lvlText w:val="%1"/>
      <w:numFmt w:val="lowerLetter"/>
      <w:start w:val="1"/>
    </w:lvl>
    <w:lvl w:ilvl="1">
      <w:lvlJc w:val="left"/>
      <w:lvlText w:val="(%2)"/>
      <w:numFmt w:val="lowerLetter"/>
      <w:start w:val="22"/>
    </w:lvl>
  </w:abstractNum>
  <w:abstractNum w:abstractNumId="8">
    <w:nsid w:val="5C482A97"/>
    <w:multiLevelType w:val="hybridMultilevel"/>
    <w:lvl w:ilvl="0">
      <w:lvlJc w:val="left"/>
      <w:lvlText w:val="(%1)"/>
      <w:numFmt w:val="lowerLetter"/>
      <w:start w:val="9"/>
    </w:lvl>
    <w:lvl w:ilvl="1">
      <w:lvlJc w:val="left"/>
      <w:lvlText w:val="(%2)"/>
      <w:numFmt w:val="lowerLetter"/>
      <w:start w:val="23"/>
    </w:lvl>
  </w:abstractNum>
  <w:abstractNum w:abstractNumId="9">
    <w:nsid w:val="2463B9EA"/>
    <w:multiLevelType w:val="hybridMultilevel"/>
    <w:lvl w:ilvl="0">
      <w:lvlJc w:val="left"/>
      <w:lvlText w:val="(%1)"/>
      <w:numFmt w:val="lowerLetter"/>
      <w:start w:val="26"/>
    </w:lvl>
  </w:abstractNum>
  <w:abstractNum w:abstractNumId="10">
    <w:nsid w:val="5E884ADC"/>
    <w:multiLevelType w:val="hybridMultilevel"/>
    <w:lvl w:ilvl="0">
      <w:lvlJc w:val="left"/>
      <w:lvlText w:val="(%1)"/>
      <w:numFmt w:val="lowerLetter"/>
      <w:start w:val="27"/>
    </w:lvl>
  </w:abstractNum>
  <w:abstractNum w:abstractNumId="11">
    <w:nsid w:val="51EAD36B"/>
    <w:multiLevelType w:val="hybridMultilevel"/>
    <w:lvl w:ilvl="0">
      <w:lvlJc w:val="left"/>
      <w:lvlText w:val="(%1)"/>
      <w:numFmt w:val="lowerLetter"/>
      <w:start w:val="30"/>
    </w:lvl>
  </w:abstractNum>
  <w:abstractNum w:abstractNumId="12">
    <w:nsid w:val="2D517796"/>
    <w:multiLevelType w:val="hybridMultilevel"/>
    <w:lvl w:ilvl="0">
      <w:lvlJc w:val="left"/>
      <w:lvlText w:val="(%1)"/>
      <w:numFmt w:val="lowerLetter"/>
      <w:start w:val="35"/>
    </w:lvl>
  </w:abstractNum>
  <w:abstractNum w:abstractNumId="13">
    <w:nsid w:val="580BD78F"/>
    <w:multiLevelType w:val="hybridMultilevel"/>
    <w:lvl w:ilvl="0">
      <w:lvlJc w:val="left"/>
      <w:lvlText w:val="(%1)"/>
      <w:numFmt w:val="lowerLetter"/>
      <w:start w:val="39"/>
    </w:lvl>
  </w:abstractNum>
  <w:abstractNum w:abstractNumId="14">
    <w:nsid w:val="153EA438"/>
    <w:multiLevelType w:val="hybridMultilevel"/>
    <w:lvl w:ilvl="0">
      <w:lvlJc w:val="left"/>
      <w:lvlText w:val="%1"/>
      <w:numFmt w:val="lowerLetter"/>
      <w:start w:val="1"/>
    </w:lvl>
    <w:lvl w:ilvl="1">
      <w:lvlJc w:val="left"/>
      <w:lvlText w:val="(%2)"/>
      <w:numFmt w:val="lowerLetter"/>
      <w:start w:val="42"/>
    </w:lvl>
  </w:abstractNum>
  <w:abstractNum w:abstractNumId="15">
    <w:nsid w:val="3855585C"/>
    <w:multiLevelType w:val="hybridMultilevel"/>
    <w:lvl w:ilvl="0">
      <w:lvlJc w:val="left"/>
      <w:lvlText w:val="(%1)"/>
      <w:numFmt w:val="lowerLetter"/>
      <w:start w:val="35"/>
    </w:lvl>
    <w:lvl w:ilvl="1">
      <w:lvlJc w:val="left"/>
      <w:lvlText w:val="(%2)"/>
      <w:numFmt w:val="lowerLetter"/>
      <w:start w:val="44"/>
    </w:lvl>
  </w:abstractNum>
  <w:abstractNum w:abstractNumId="16">
    <w:nsid w:val="70A64E2A"/>
    <w:multiLevelType w:val="hybridMultilevel"/>
    <w:lvl w:ilvl="0">
      <w:lvlJc w:val="left"/>
      <w:lvlText w:val="(%1)"/>
      <w:numFmt w:val="lowerLetter"/>
      <w:start w:val="48"/>
    </w:lvl>
  </w:abstractNum>
  <w:abstractNum w:abstractNumId="17">
    <w:nsid w:val="6A2342EC"/>
    <w:multiLevelType w:val="hybridMultilevel"/>
    <w:lvl w:ilvl="0">
      <w:lvlJc w:val="left"/>
      <w:lvlText w:val="(%1)"/>
      <w:numFmt w:val="lowerLetter"/>
      <w:start w:val="53"/>
    </w:lvl>
  </w:abstractNum>
  <w:abstractNum w:abstractNumId="18">
    <w:nsid w:val="2A487CB0"/>
    <w:multiLevelType w:val="hybridMultilevel"/>
    <w:lvl w:ilvl="0">
      <w:lvlJc w:val="left"/>
      <w:lvlText w:val="(%1)"/>
      <w:numFmt w:val="lowerLetter"/>
      <w:start w:val="54"/>
    </w:lvl>
  </w:abstractNum>
  <w:abstractNum w:abstractNumId="19">
    <w:nsid w:val="1D4ED43B"/>
    <w:multiLevelType w:val="hybridMultilevel"/>
    <w:lvl w:ilvl="0">
      <w:lvlJc w:val="left"/>
      <w:lvlText w:val="(%1)"/>
      <w:numFmt w:val="lowerLetter"/>
      <w:start w:val="57"/>
    </w:lvl>
  </w:abstractNum>
  <w:abstractNum w:abstractNumId="20">
    <w:nsid w:val="725A06FB"/>
    <w:multiLevelType w:val="hybridMultilevel"/>
    <w:lvl w:ilvl="0">
      <w:lvlJc w:val="left"/>
      <w:lvlText w:val="%1."/>
      <w:numFmt w:val="decimal"/>
      <w:start w:val="2"/>
    </w:lvl>
    <w:lvl w:ilvl="1">
      <w:lvlJc w:val="left"/>
      <w:lvlText w:val="(%2)"/>
      <w:numFmt w:val="lowerLetter"/>
      <w:start w:val="1"/>
    </w:lvl>
  </w:abstractNum>
  <w:abstractNum w:abstractNumId="21">
    <w:nsid w:val="2CD89A32"/>
    <w:multiLevelType w:val="hybridMultilevel"/>
    <w:lvl w:ilvl="0">
      <w:lvlJc w:val="left"/>
      <w:lvlText w:val="%1"/>
      <w:numFmt w:val="decimal"/>
      <w:start w:val="501"/>
    </w:lvl>
    <w:lvl w:ilvl="1">
      <w:lvlJc w:val="left"/>
      <w:lvlText w:val="%2"/>
      <w:numFmt w:val="lowerLetter"/>
      <w:start w:val="1"/>
    </w:lvl>
  </w:abstractNum>
  <w:abstractNum w:abstractNumId="22">
    <w:nsid w:val="57E4CCAF"/>
    <w:multiLevelType w:val="hybridMultilevel"/>
    <w:lvl w:ilvl="0">
      <w:lvlJc w:val="left"/>
      <w:lvlText w:val="&amp;"/>
      <w:numFmt w:val="bullet"/>
      <w:start w:val="1"/>
    </w:lvl>
    <w:lvl w:ilvl="1">
      <w:lvlJc w:val="left"/>
      <w:lvlText w:val="(%2)"/>
      <w:numFmt w:val="lowerLetter"/>
      <w:start w:val="4"/>
    </w:lvl>
  </w:abstractNum>
  <w:abstractNum w:abstractNumId="23">
    <w:nsid w:val="7A6D8D3C"/>
    <w:multiLevelType w:val="hybridMultilevel"/>
    <w:lvl w:ilvl="0">
      <w:lvlJc w:val="left"/>
      <w:lvlText w:val="&amp;"/>
      <w:numFmt w:val="bullet"/>
      <w:start w:val="1"/>
    </w:lvl>
    <w:lvl w:ilvl="1">
      <w:lvlJc w:val="left"/>
      <w:lvlText w:val="(%2)"/>
      <w:numFmt w:val="lowerLetter"/>
      <w:start w:val="6"/>
    </w:lvl>
  </w:abstractNum>
  <w:abstractNum w:abstractNumId="24">
    <w:nsid w:val="4B588F54"/>
    <w:multiLevelType w:val="hybridMultilevel"/>
    <w:lvl w:ilvl="0">
      <w:lvlJc w:val="left"/>
      <w:lvlText w:val="(%1)"/>
      <w:numFmt w:val="lowerLetter"/>
      <w:start w:val="11"/>
    </w:lvl>
  </w:abstractNum>
  <w:abstractNum w:abstractNumId="25">
    <w:nsid w:val="542289EC"/>
    <w:multiLevelType w:val="hybridMultilevel"/>
    <w:lvl w:ilvl="0">
      <w:lvlJc w:val="left"/>
      <w:lvlText w:val="(%1)"/>
      <w:numFmt w:val="lowerLetter"/>
      <w:start w:val="15"/>
    </w:lvl>
  </w:abstractNum>
  <w:abstractNum w:abstractNumId="26">
    <w:nsid w:val="6DE91B18"/>
    <w:multiLevelType w:val="hybridMultilevel"/>
    <w:lvl w:ilvl="0">
      <w:lvlJc w:val="left"/>
      <w:lvlText w:val="(%1)"/>
      <w:numFmt w:val="lowerLetter"/>
      <w:start w:val="20"/>
    </w:lvl>
  </w:abstractNum>
  <w:abstractNum w:abstractNumId="27">
    <w:nsid w:val="38437FDB"/>
    <w:multiLevelType w:val="hybridMultilevel"/>
    <w:lvl w:ilvl="0">
      <w:lvlJc w:val="left"/>
      <w:lvlText w:val="%1."/>
      <w:numFmt w:val="decimal"/>
      <w:start w:val="3"/>
    </w:lvl>
  </w:abstractNum>
  <w:abstractNum w:abstractNumId="28">
    <w:nsid w:val="7644A45C"/>
    <w:multiLevelType w:val="hybridMultilevel"/>
    <w:lvl w:ilvl="0">
      <w:lvlJc w:val="left"/>
      <w:lvlText w:val="%1."/>
      <w:numFmt w:val="decimal"/>
      <w:start w:val="4"/>
    </w:lvl>
  </w:abstractNum>
  <w:abstractNum w:abstractNumId="29">
    <w:nsid w:val="32FFF902"/>
    <w:multiLevelType w:val="hybridMultilevel"/>
    <w:lvl w:ilvl="0">
      <w:lvlJc w:val="left"/>
      <w:lvlText w:val="%1."/>
      <w:numFmt w:val="decimal"/>
      <w:start w:val="5"/>
    </w:lvl>
  </w:abstractNum>
  <w:abstractNum w:abstractNumId="30">
    <w:nsid w:val="684A481A"/>
    <w:multiLevelType w:val="hybridMultilevel"/>
    <w:lvl w:ilvl="0">
      <w:lvlJc w:val="left"/>
      <w:lvlText w:val="%1."/>
      <w:numFmt w:val="decimal"/>
      <w:start w:val="6"/>
    </w:lvl>
    <w:lvl w:ilvl="1">
      <w:lvlJc w:val="left"/>
      <w:lvlText w:val="(%2)"/>
      <w:numFmt w:val="lowerRoman"/>
      <w:start w:val="1"/>
    </w:lvl>
  </w:abstractNum>
  <w:abstractNum w:abstractNumId="31">
    <w:nsid w:val="579478FE"/>
    <w:multiLevelType w:val="hybridMultilevel"/>
    <w:lvl w:ilvl="0">
      <w:lvlJc w:val="left"/>
      <w:lvlText w:val="(%1)"/>
      <w:numFmt w:val="lowerRoman"/>
      <w:start w:val="4"/>
    </w:lvl>
  </w:abstractNum>
  <w:abstractNum w:abstractNumId="32">
    <w:nsid w:val="749ABB43"/>
    <w:multiLevelType w:val="hybridMultilevel"/>
    <w:lvl w:ilvl="0">
      <w:lvlJc w:val="left"/>
      <w:lvlText w:val="%1"/>
      <w:numFmt w:val="upperLetter"/>
      <w:start w:val="1"/>
    </w:lvl>
    <w:lvl w:ilvl="1">
      <w:lvlJc w:val="left"/>
      <w:lvlText w:val="(%2)"/>
      <w:numFmt w:val="lowerRoman"/>
      <w:start w:val="10"/>
    </w:lvl>
  </w:abstractNum>
  <w:abstractNum w:abstractNumId="33">
    <w:nsid w:val="3DC240FB"/>
    <w:multiLevelType w:val="hybridMultilevel"/>
    <w:lvl w:ilvl="0">
      <w:lvlJc w:val="left"/>
      <w:lvlText w:val="(%1)"/>
      <w:numFmt w:val="upperLetter"/>
      <w:start w:val="3"/>
    </w:lvl>
    <w:lvl w:ilvl="1">
      <w:lvlJc w:val="left"/>
      <w:lvlText w:val="(%2)"/>
      <w:numFmt w:val="lowerRoman"/>
      <w:start w:val="11"/>
    </w:lvl>
  </w:abstractNum>
  <w:abstractNum w:abstractNumId="34">
    <w:nsid w:val="1BA026FA"/>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2"/>
    </w:lvl>
  </w:abstractNum>
  <w:abstractNum w:abstractNumId="35">
    <w:nsid w:val="79A1DEAA"/>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36">
    <w:nsid w:val="75C6C33A"/>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37">
    <w:nsid w:val="12E685FB"/>
    <w:multiLevelType w:val="hybridMultilevel"/>
    <w:lvl w:ilvl="0">
      <w:lvlJc w:val="left"/>
      <w:lvlText w:val="%1"/>
      <w:numFmt w:val="decimal"/>
      <w:start w:val="1"/>
    </w:lvl>
    <w:lvl w:ilvl="1">
      <w:lvlJc w:val="left"/>
      <w:lvlText w:val="(%2)"/>
      <w:numFmt w:val="lowerLetter"/>
      <w:start w:val="2"/>
    </w:lvl>
  </w:abstractNum>
  <w:abstractNum w:abstractNumId="38">
    <w:nsid w:val="70C6A529"/>
    <w:multiLevelType w:val="hybridMultilevel"/>
    <w:lvl w:ilvl="0">
      <w:lvlJc w:val="left"/>
      <w:lvlText w:val="%1."/>
      <w:numFmt w:val="decimal"/>
      <w:start w:val="8"/>
    </w:lvl>
    <w:lvl w:ilvl="1">
      <w:lvlJc w:val="left"/>
      <w:lvlText w:val="%2"/>
      <w:numFmt w:val="lowerLetter"/>
      <w:start w:val="1"/>
    </w:lvl>
  </w:abstractNum>
  <w:abstractNum w:abstractNumId="39">
    <w:nsid w:val="520EEDD1"/>
    <w:multiLevelType w:val="hybridMultilevel"/>
    <w:lvl w:ilvl="0">
      <w:lvlJc w:val="left"/>
      <w:lvlText w:val="%1."/>
      <w:numFmt w:val="decimal"/>
      <w:start w:val="9"/>
    </w:lvl>
    <w:lvl w:ilvl="1">
      <w:lvlJc w:val="left"/>
      <w:lvlText w:val="(%2)"/>
      <w:numFmt w:val="lowerLetter"/>
      <w:start w:val="1"/>
    </w:lvl>
  </w:abstractNum>
  <w:abstractNum w:abstractNumId="40">
    <w:nsid w:val="374A3FE6"/>
    <w:multiLevelType w:val="hybridMultilevel"/>
    <w:lvl w:ilvl="0">
      <w:lvlJc w:val="left"/>
      <w:lvlText w:val="%1"/>
      <w:numFmt w:val="lowerLetter"/>
      <w:start w:val="1"/>
    </w:lvl>
    <w:lvl w:ilvl="1">
      <w:lvlJc w:val="left"/>
      <w:lvlText w:val="(%2)"/>
      <w:numFmt w:val="lowerLetter"/>
      <w:start w:val="5"/>
    </w:lvl>
  </w:abstractNum>
  <w:abstractNum w:abstractNumId="41">
    <w:nsid w:val="4F4EF005"/>
    <w:multiLevelType w:val="hybridMultilevel"/>
    <w:lvl w:ilvl="0">
      <w:lvlJc w:val="left"/>
      <w:lvlText w:val="(%1)"/>
      <w:numFmt w:val="lowerLetter"/>
      <w:start w:val="9"/>
    </w:lvl>
    <w:lvl w:ilvl="1">
      <w:lvlJc w:val="left"/>
      <w:lvlText w:val="(%2)"/>
      <w:numFmt w:val="lowerLetter"/>
      <w:start w:val="11"/>
    </w:lvl>
  </w:abstractNum>
  <w:abstractNum w:abstractNumId="42">
    <w:nsid w:val="23F9C13C"/>
    <w:multiLevelType w:val="hybridMultilevel"/>
    <w:lvl w:ilvl="0">
      <w:lvlJc w:val="left"/>
      <w:lvlText w:val="(%1)"/>
      <w:numFmt w:val="lowerLetter"/>
      <w:start w:val="12"/>
    </w:lvl>
    <w:lvl w:ilvl="1">
      <w:lvlJc w:val="left"/>
      <w:lvlText w:val="(%2)"/>
      <w:numFmt w:val="lowerRoman"/>
      <w:start w:val="1"/>
    </w:lvl>
  </w:abstractNum>
  <w:abstractNum w:abstractNumId="43">
    <w:nsid w:val="649BB77C"/>
    <w:multiLevelType w:val="hybridMultilevel"/>
    <w:lvl w:ilvl="0">
      <w:lvlJc w:val="left"/>
      <w:lvlText w:val="(%1)"/>
      <w:numFmt w:val="lowerLetter"/>
      <w:start w:val="14"/>
    </w:lvl>
  </w:abstractNum>
  <w:abstractNum w:abstractNumId="44">
    <w:nsid w:val="275AC794"/>
    <w:multiLevelType w:val="hybridMultilevel"/>
    <w:lvl w:ilvl="0">
      <w:lvlJc w:val="left"/>
      <w:lvlText w:val="(%1)"/>
      <w:numFmt w:val="lowerLetter"/>
      <w:start w:val="18"/>
    </w:lvl>
  </w:abstractNum>
  <w:abstractNum w:abstractNumId="45">
    <w:nsid w:val="39386575"/>
    <w:multiLevelType w:val="hybridMultilevel"/>
    <w:lvl w:ilvl="0">
      <w:lvlJc w:val="left"/>
      <w:lvlText w:val="%1."/>
      <w:numFmt w:val="decimal"/>
      <w:start w:val="10"/>
    </w:lvl>
    <w:lvl w:ilvl="1">
      <w:lvlJc w:val="left"/>
      <w:lvlText w:val="(%2)"/>
      <w:numFmt w:val="lowerLetter"/>
      <w:start w:val="1"/>
    </w:lvl>
  </w:abstractNum>
  <w:abstractNum w:abstractNumId="46">
    <w:nsid w:val="1CF10FD8"/>
    <w:multiLevelType w:val="hybridMultilevel"/>
    <w:lvl w:ilvl="0">
      <w:lvlJc w:val="left"/>
      <w:lvlText w:val="(%1)"/>
      <w:numFmt w:val="lowerLetter"/>
      <w:start w:val="2"/>
    </w:lvl>
  </w:abstractNum>
  <w:abstractNum w:abstractNumId="47">
    <w:nsid w:val="180115BE"/>
    <w:multiLevelType w:val="hybridMultilevel"/>
    <w:lvl w:ilvl="0">
      <w:lvlJc w:val="left"/>
      <w:lvlText w:val="(%1)"/>
      <w:numFmt w:val="lowerLetter"/>
      <w:start w:val="3"/>
    </w:lvl>
  </w:abstractNum>
  <w:abstractNum w:abstractNumId="48">
    <w:nsid w:val="235BA861"/>
    <w:multiLevelType w:val="hybridMultilevel"/>
    <w:lvl w:ilvl="0">
      <w:lvlJc w:val="left"/>
      <w:lvlText w:val="(%1)"/>
      <w:numFmt w:val="lowerLetter"/>
      <w:start w:val="5"/>
    </w:lvl>
  </w:abstractNum>
  <w:abstractNum w:abstractNumId="49">
    <w:nsid w:val="47398C89"/>
    <w:multiLevelType w:val="hybridMultilevel"/>
    <w:lvl w:ilvl="0">
      <w:lvlJc w:val="left"/>
      <w:lvlText w:val="%1"/>
      <w:numFmt w:val="decimal"/>
      <w:start w:val="1"/>
    </w:lvl>
    <w:lvl w:ilvl="1">
      <w:lvlJc w:val="left"/>
      <w:lvlText w:val="(%2)"/>
      <w:numFmt w:val="lowerLetter"/>
      <w:start w:val="7"/>
    </w:lvl>
  </w:abstractNum>
  <w:abstractNum w:abstractNumId="50">
    <w:nsid w:val="354FE9F9"/>
    <w:multiLevelType w:val="hybridMultilevel"/>
    <w:lvl w:ilvl="0">
      <w:lvlJc w:val="left"/>
      <w:lvlText w:val="%1."/>
      <w:numFmt w:val="decimal"/>
      <w:start w:val="11"/>
    </w:lvl>
    <w:lvl w:ilvl="1">
      <w:lvlJc w:val="left"/>
      <w:lvlText w:val="(%2)"/>
      <w:numFmt w:val="lowerLetter"/>
      <w:start w:val="1"/>
    </w:lvl>
  </w:abstractNum>
  <w:abstractNum w:abstractNumId="51">
    <w:nsid w:val="15B5AF5C"/>
    <w:multiLevelType w:val="hybridMultilevel"/>
    <w:lvl w:ilvl="0">
      <w:lvlJc w:val="left"/>
      <w:lvlText w:val="%1"/>
      <w:numFmt w:val="decimal"/>
      <w:start w:val="1"/>
    </w:lvl>
    <w:lvl w:ilvl="1">
      <w:lvlJc w:val="left"/>
      <w:lvlText w:val="(%2)"/>
      <w:numFmt w:val="lowerLetter"/>
      <w:start w:val="3"/>
    </w:lvl>
  </w:abstractNum>
  <w:abstractNum w:abstractNumId="52">
    <w:nsid w:val="741226BB"/>
    <w:multiLevelType w:val="hybridMultilevel"/>
    <w:lvl w:ilvl="0">
      <w:lvlJc w:val="left"/>
      <w:lvlText w:val="%1."/>
      <w:numFmt w:val="decimal"/>
      <w:start w:val="12"/>
    </w:lvl>
    <w:lvl w:ilvl="1">
      <w:lvlJc w:val="left"/>
      <w:lvlText w:val="%2"/>
      <w:numFmt w:val="lowerLetter"/>
      <w:start w:val="1"/>
    </w:lvl>
  </w:abstractNum>
  <w:abstractNum w:abstractNumId="53">
    <w:nsid w:val="D34B6A8"/>
    <w:multiLevelType w:val="hybridMultilevel"/>
    <w:lvl w:ilvl="0">
      <w:lvlJc w:val="left"/>
      <w:lvlText w:val="%1."/>
      <w:numFmt w:val="decimal"/>
      <w:start w:val="15"/>
    </w:lvl>
    <w:lvl w:ilvl="1">
      <w:lvlJc w:val="left"/>
      <w:lvlText w:val="(%2)"/>
      <w:numFmt w:val="lowerLetter"/>
      <w:start w:val="1"/>
    </w:lvl>
  </w:abstractNum>
  <w:abstractNum w:abstractNumId="54">
    <w:nsid w:val="10233C99"/>
    <w:multiLevelType w:val="hybridMultilevel"/>
    <w:lvl w:ilvl="0">
      <w:lvlJc w:val="left"/>
      <w:lvlText w:val="(%1)"/>
      <w:numFmt w:val="lowerLetter"/>
      <w:start w:val="3"/>
    </w:lvl>
  </w:abstractNum>
  <w:abstractNum w:abstractNumId="55">
    <w:nsid w:val="3F6AB60F"/>
    <w:multiLevelType w:val="hybridMultilevel"/>
    <w:lvl w:ilvl="0">
      <w:lvlJc w:val="left"/>
      <w:lvlText w:val="%1."/>
      <w:numFmt w:val="decimal"/>
      <w:start w:val="17"/>
    </w:lvl>
    <w:lvl w:ilvl="1">
      <w:lvlJc w:val="left"/>
      <w:lvlText w:val="(%2)"/>
      <w:numFmt w:val="lowerLetter"/>
      <w:start w:val="1"/>
    </w:lvl>
  </w:abstractNum>
  <w:abstractNum w:abstractNumId="56">
    <w:nsid w:val="61574095"/>
    <w:multiLevelType w:val="hybridMultilevel"/>
    <w:lvl w:ilvl="0">
      <w:lvlJc w:val="left"/>
      <w:lvlText w:val="%1"/>
      <w:numFmt w:val="decimal"/>
      <w:start w:val="1"/>
    </w:lvl>
    <w:lvl w:ilvl="1">
      <w:lvlJc w:val="left"/>
      <w:lvlText w:val="(%2)"/>
      <w:numFmt w:val="lowerLetter"/>
      <w:start w:val="3"/>
    </w:lvl>
  </w:abstractNum>
  <w:abstractNum w:abstractNumId="57">
    <w:nsid w:val="7E0C57B1"/>
    <w:multiLevelType w:val="hybridMultilevel"/>
    <w:lvl w:ilvl="0">
      <w:lvlJc w:val="left"/>
      <w:lvlText w:val="%1."/>
      <w:numFmt w:val="decimal"/>
      <w:start w:val="20"/>
    </w:lvl>
    <w:lvl w:ilvl="1">
      <w:lvlJc w:val="left"/>
      <w:lvlText w:val="%2"/>
      <w:numFmt w:val="lowerLetter"/>
      <w:start w:val="1"/>
    </w:lvl>
  </w:abstractNum>
  <w:abstractNum w:abstractNumId="58">
    <w:nsid w:val="77AE35EB"/>
    <w:multiLevelType w:val="hybridMultilevel"/>
    <w:lvl w:ilvl="0">
      <w:lvlJc w:val="left"/>
      <w:lvlText w:val="%1."/>
      <w:numFmt w:val="decimal"/>
      <w:start w:val="24"/>
    </w:lvl>
  </w:abstractNum>
  <w:abstractNum w:abstractNumId="59">
    <w:nsid w:val="579BE4F1"/>
    <w:multiLevelType w:val="hybridMultilevel"/>
    <w:lvl w:ilvl="0">
      <w:lvlJc w:val="left"/>
      <w:lvlText w:val="%1."/>
      <w:numFmt w:val="decimal"/>
      <w:start w:val="1"/>
    </w:lvl>
  </w:abstractNum>
  <w:abstractNum w:abstractNumId="60">
    <w:nsid w:val="310C50B3"/>
    <w:multiLevelType w:val="hybridMultilevel"/>
    <w:lvl w:ilvl="0">
      <w:lvlJc w:val="left"/>
      <w:lvlText w:val="%1"/>
      <w:numFmt w:val="lowerLetter"/>
      <w:start w:val="1"/>
    </w:lvl>
    <w:lvl w:ilvl="1">
      <w:lvlJc w:val="left"/>
      <w:lvlText w:val="%2."/>
      <w:numFmt w:val="decimal"/>
      <w:start w:val="1"/>
    </w:lvl>
  </w:abstractNum>
  <w:abstractNum w:abstractNumId="61">
    <w:nsid w:val="5FF87E05"/>
    <w:multiLevelType w:val="hybridMultilevel"/>
    <w:lvl w:ilvl="0">
      <w:lvlJc w:val="left"/>
      <w:lvlText w:val="%1."/>
      <w:numFmt w:val="lowerLetter"/>
      <w:start w:val="2"/>
    </w:lvl>
    <w:lvl w:ilvl="1">
      <w:lvlJc w:val="left"/>
      <w:lvlText w:val="%2."/>
      <w:numFmt w:val="decimal"/>
      <w:start w:val="1"/>
    </w:lvl>
  </w:abstractNum>
  <w:abstractNum w:abstractNumId="62">
    <w:nsid w:val="2F305DEF"/>
    <w:multiLevelType w:val="hybridMultilevel"/>
    <w:lvl w:ilvl="0">
      <w:lvlJc w:val="left"/>
      <w:lvlText w:val="&amp;"/>
      <w:numFmt w:val="bullet"/>
      <w:start w:val="1"/>
    </w:lvl>
  </w:abstractNum>
  <w:abstractNum w:abstractNumId="63">
    <w:nsid w:val="25A70BF7"/>
    <w:multiLevelType w:val="hybridMultilevel"/>
    <w:lvl w:ilvl="0">
      <w:lvlJc w:val="left"/>
      <w:lvlText w:val="(%1)"/>
      <w:numFmt w:val="lowerLetter"/>
      <w:start w:val="1"/>
    </w:lvl>
  </w:abstractNum>
  <w:abstractNum w:abstractNumId="64">
    <w:nsid w:val="1DBABF00"/>
    <w:multiLevelType w:val="hybridMultilevel"/>
    <w:lvl w:ilvl="0">
      <w:lvlJc w:val="left"/>
      <w:lvlText w:val="(%1)"/>
      <w:numFmt w:val="lowerLetter"/>
      <w:start w:val="9"/>
    </w:lvl>
  </w:abstractNum>
  <w:abstractNum w:abstractNumId="65">
    <w:nsid w:val="4AD084E9"/>
    <w:multiLevelType w:val="hybridMultilevel"/>
    <w:lvl w:ilvl="0">
      <w:lvlJc w:val="left"/>
      <w:lvlText w:val="(%1)"/>
      <w:numFmt w:val="lowerRoman"/>
      <w:start w:val="7"/>
    </w:lvl>
  </w:abstractNum>
  <w:abstractNum w:abstractNumId="66">
    <w:nsid w:val="1F48EAA1"/>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20" Type="http://schemas.openxmlformats.org/officeDocument/2006/relationships/image" Target="media/image6.png"/><Relationship Id="rId21" Type="http://schemas.openxmlformats.org/officeDocument/2006/relationships/image" Target="media/image7.png"/><Relationship Id="rId22" Type="http://schemas.openxmlformats.org/officeDocument/2006/relationships/image" Target="media/image8.png"/><Relationship Id="rId23" Type="http://schemas.openxmlformats.org/officeDocument/2006/relationships/image" Target="media/image9.png"/><Relationship Id="rId24" Type="http://schemas.openxmlformats.org/officeDocument/2006/relationships/image" Target="media/image10.png"/><Relationship Id="rId25" Type="http://schemas.openxmlformats.org/officeDocument/2006/relationships/image" Target="media/image11.png"/><Relationship Id="rId26" Type="http://schemas.openxmlformats.org/officeDocument/2006/relationships/image" Target="media/image12.png"/><Relationship Id="rId27" Type="http://schemas.openxmlformats.org/officeDocument/2006/relationships/image" Target="media/image13.png"/><Relationship Id="rId28" Type="http://schemas.openxmlformats.org/officeDocument/2006/relationships/image" Target="media/image14.png"/><Relationship Id="rId29" Type="http://schemas.openxmlformats.org/officeDocument/2006/relationships/image" Target="media/image15.png"/><Relationship Id="rId30" Type="http://schemas.openxmlformats.org/officeDocument/2006/relationships/image" Target="media/image16.png"/><Relationship Id="rId31" Type="http://schemas.openxmlformats.org/officeDocument/2006/relationships/image" Target="media/image17.png"/><Relationship Id="rId32" Type="http://schemas.openxmlformats.org/officeDocument/2006/relationships/image" Target="media/image18.png"/><Relationship Id="rId33" Type="http://schemas.openxmlformats.org/officeDocument/2006/relationships/image" Target="media/image19.png"/><Relationship Id="rId34" Type="http://schemas.openxmlformats.org/officeDocument/2006/relationships/image" Target="media/image20.png"/><Relationship Id="rId35" Type="http://schemas.openxmlformats.org/officeDocument/2006/relationships/image" Target="media/image21.png"/><Relationship Id="rId36" Type="http://schemas.openxmlformats.org/officeDocument/2006/relationships/image" Target="media/image22.png"/><Relationship Id="rId37" Type="http://schemas.openxmlformats.org/officeDocument/2006/relationships/image" Target="media/image23.png"/><Relationship Id="rId38" Type="http://schemas.openxmlformats.org/officeDocument/2006/relationships/image" Target="media/image24.png"/><Relationship Id="rId39" Type="http://schemas.openxmlformats.org/officeDocument/2006/relationships/image" Target="media/image25.png"/><Relationship Id="rId40" Type="http://schemas.openxmlformats.org/officeDocument/2006/relationships/image" Target="media/image26.png"/><Relationship Id="rId41" Type="http://schemas.openxmlformats.org/officeDocument/2006/relationships/image" Target="media/image27.png"/><Relationship Id="rId42" Type="http://schemas.openxmlformats.org/officeDocument/2006/relationships/image" Target="media/image28.png"/><Relationship Id="rId43" Type="http://schemas.openxmlformats.org/officeDocument/2006/relationships/image" Target="media/image29.png"/><Relationship Id="rId44" Type="http://schemas.openxmlformats.org/officeDocument/2006/relationships/image" Target="media/image30.png"/><Relationship Id="rId45" Type="http://schemas.openxmlformats.org/officeDocument/2006/relationships/image" Target="media/image31.png"/><Relationship Id="rId46" Type="http://schemas.openxmlformats.org/officeDocument/2006/relationships/image" Target="media/image32.png"/><Relationship Id="rId47" Type="http://schemas.openxmlformats.org/officeDocument/2006/relationships/image" Target="media/image33.png"/><Relationship Id="rId48" Type="http://schemas.openxmlformats.org/officeDocument/2006/relationships/image" Target="media/image34.png"/><Relationship Id="rId49" Type="http://schemas.openxmlformats.org/officeDocument/2006/relationships/image" Target="media/image35.png"/><Relationship Id="rId50" Type="http://schemas.openxmlformats.org/officeDocument/2006/relationships/image" Target="media/image36.png"/><Relationship Id="rId51" Type="http://schemas.openxmlformats.org/officeDocument/2006/relationships/image" Target="media/image37.png"/><Relationship Id="rId52" Type="http://schemas.openxmlformats.org/officeDocument/2006/relationships/image" Target="media/image38.png"/><Relationship Id="rId53" Type="http://schemas.openxmlformats.org/officeDocument/2006/relationships/image" Target="media/image39.png"/><Relationship Id="rId54" Type="http://schemas.openxmlformats.org/officeDocument/2006/relationships/image" Target="media/image40.png"/><Relationship Id="rId55" Type="http://schemas.openxmlformats.org/officeDocument/2006/relationships/image" Target="media/image41.png"/><Relationship Id="rId56" Type="http://schemas.openxmlformats.org/officeDocument/2006/relationships/image" Target="media/image42.png"/><Relationship Id="rId57" Type="http://schemas.openxmlformats.org/officeDocument/2006/relationships/image" Target="media/image43.png"/><Relationship Id="rId58" Type="http://schemas.openxmlformats.org/officeDocument/2006/relationships/image" Target="media/image44.png"/><Relationship Id="rId59" Type="http://schemas.openxmlformats.org/officeDocument/2006/relationships/image" Target="media/image45.png"/><Relationship Id="rId60" Type="http://schemas.openxmlformats.org/officeDocument/2006/relationships/image" Target="media/image46.png"/><Relationship Id="rId61" Type="http://schemas.openxmlformats.org/officeDocument/2006/relationships/image" Target="media/image47.png"/><Relationship Id="rId62" Type="http://schemas.openxmlformats.org/officeDocument/2006/relationships/image" Target="media/image48.png"/><Relationship Id="rId63" Type="http://schemas.openxmlformats.org/officeDocument/2006/relationships/image" Target="media/image49.png"/><Relationship Id="rId64" Type="http://schemas.openxmlformats.org/officeDocument/2006/relationships/image" Target="media/image50.png"/><Relationship Id="rId65" Type="http://schemas.openxmlformats.org/officeDocument/2006/relationships/image" Target="media/image51.png"/><Relationship Id="rId66" Type="http://schemas.openxmlformats.org/officeDocument/2006/relationships/image" Target="media/image52.png"/><Relationship Id="rId67" Type="http://schemas.openxmlformats.org/officeDocument/2006/relationships/image" Target="media/image53.png"/><Relationship Id="rId68" Type="http://schemas.openxmlformats.org/officeDocument/2006/relationships/image" Target="media/image54.png"/><Relationship Id="rId69" Type="http://schemas.openxmlformats.org/officeDocument/2006/relationships/image" Target="media/image55.png"/><Relationship Id="rId70" Type="http://schemas.openxmlformats.org/officeDocument/2006/relationships/image" Target="media/image56.png"/><Relationship Id="rId71" Type="http://schemas.openxmlformats.org/officeDocument/2006/relationships/image" Target="media/image57.png"/><Relationship Id="rId72" Type="http://schemas.openxmlformats.org/officeDocument/2006/relationships/image" Target="media/image58.png"/><Relationship Id="rId73" Type="http://schemas.openxmlformats.org/officeDocument/2006/relationships/image" Target="media/image59.png"/><Relationship Id="rId74" Type="http://schemas.openxmlformats.org/officeDocument/2006/relationships/image" Target="media/image60.png"/><Relationship Id="rId75" Type="http://schemas.openxmlformats.org/officeDocument/2006/relationships/image" Target="media/image61.png"/><Relationship Id="rId76" Type="http://schemas.openxmlformats.org/officeDocument/2006/relationships/image" Target="media/image62.png"/><Relationship Id="rId77" Type="http://schemas.openxmlformats.org/officeDocument/2006/relationships/image" Target="media/image63.png"/><Relationship Id="rId78" Type="http://schemas.openxmlformats.org/officeDocument/2006/relationships/image" Target="media/image64.png"/><Relationship Id="rId79" Type="http://schemas.openxmlformats.org/officeDocument/2006/relationships/image" Target="media/image65.png"/><Relationship Id="rId80" Type="http://schemas.openxmlformats.org/officeDocument/2006/relationships/image" Target="media/image66.jpeg"/><Relationship Id="rId81" Type="http://schemas.openxmlformats.org/officeDocument/2006/relationships/image" Target="media/image67.png"/><Relationship Id="rId82" Type="http://schemas.openxmlformats.org/officeDocument/2006/relationships/image" Target="media/image68.png"/><Relationship Id="rId83" Type="http://schemas.openxmlformats.org/officeDocument/2006/relationships/image" Target="media/image69.png"/><Relationship Id="rId13" Type="http://schemas.openxmlformats.org/officeDocument/2006/relationships/hyperlink" Target="http://www.sec.gov/Archives/edgar/data/1625791/000121390020026445/ff3asr2020_kornitdigital.htm" TargetMode="External"/><Relationship Id="rId14" Type="http://schemas.openxmlformats.org/officeDocument/2006/relationships/hyperlink" Target="http://www.sec.gov/Archives/edgar/data/1625791/000121390020007116/ea119827-s8_kornitdigital.htm" TargetMode="External"/><Relationship Id="rId15" Type="http://schemas.openxmlformats.org/officeDocument/2006/relationships/hyperlink" Target="http://www.sec.gov/Archives/edgar/data/1625791/000121390019005079/fs82019_kornitdigitalltd.htm" TargetMode="External"/><Relationship Id="rId16" Type="http://schemas.openxmlformats.org/officeDocument/2006/relationships/hyperlink" Target="http://www.sec.gov/Archives/edgar/data/1625791/000121390018003205/fs82018_kornitdigital.htm" TargetMode="External"/><Relationship Id="rId17" Type="http://schemas.openxmlformats.org/officeDocument/2006/relationships/hyperlink" Target="http://www.sec.gov/Archives/edgar/data/1625791/000121390017003012/fs82017_kornitdigital.htm" TargetMode="External"/><Relationship Id="rId18" Type="http://schemas.openxmlformats.org/officeDocument/2006/relationships/hyperlink" Target="http://www.sec.gov/Archives/edgar/data/1625791/000121390016017339/fs82016_kornitdigital.htm" TargetMode="External"/><Relationship Id="rId19" Type="http://schemas.openxmlformats.org/officeDocument/2006/relationships/hyperlink" Target="http://www.sec.gov/Archives/edgar/data/1625791/000161577415000908/s101052_forms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2020-09-18T05:23:26Z</dcterms:created>
  <dcterms:modified xsi:type="dcterms:W3CDTF">2020-09-18T05:23:26Z</dcterms:modified>
</cp:coreProperties>
</file>