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2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February 2020</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KORNIT DIGITAL LTD.</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ind w:right="20" w:firstLine="638"/>
        <w:spacing w:after="0" w:line="266" w:lineRule="auto"/>
        <w:rPr>
          <w:sz w:val="20"/>
          <w:szCs w:val="20"/>
          <w:color w:val="auto"/>
        </w:rPr>
      </w:pPr>
      <w:r>
        <w:rPr>
          <w:rFonts w:ascii="Arial" w:cs="Arial" w:eastAsia="Arial" w:hAnsi="Arial"/>
          <w:sz w:val="18"/>
          <w:szCs w:val="18"/>
          <w:color w:val="auto"/>
        </w:rPr>
        <w:t>On February 11, 2020,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issued a press release entitled “Kornit Digital Reports Fourth Quarter and Full-Year 2019 Results,” in which Kornit reported its financial results for the fourth quarter and full year ended December 31, 2019. A copy of that press release is furnished as Exhibit 99.1 hereto.</w:t>
      </w:r>
    </w:p>
    <w:p>
      <w:pPr>
        <w:spacing w:after="0" w:line="180"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F-3 (File No. 333-232070) and Form S-8 (File No.’s 333-203970, 333-214015, 333-217039, 333-223794 and 333-230567).</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1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7100" w:type="dxa"/>
            <w:vAlign w:val="bottom"/>
            <w:gridSpan w:val="2"/>
          </w:tcPr>
          <w:p>
            <w:pPr>
              <w:ind w:left="2540"/>
              <w:spacing w:after="0"/>
              <w:rPr>
                <w:sz w:val="20"/>
                <w:szCs w:val="20"/>
                <w:color w:val="auto"/>
              </w:rPr>
            </w:pPr>
            <w:r>
              <w:rPr>
                <w:rFonts w:ascii="Arial" w:cs="Arial" w:eastAsia="Arial" w:hAnsi="Arial"/>
                <w:sz w:val="18"/>
                <w:szCs w:val="18"/>
                <w:color w:val="auto"/>
              </w:rPr>
              <w:t>KORNIT DIGITAL LTD.</w:t>
            </w:r>
          </w:p>
        </w:tc>
      </w:tr>
      <w:tr>
        <w:trPr>
          <w:trHeight w:val="466"/>
        </w:trPr>
        <w:tc>
          <w:tcPr>
            <w:tcW w:w="4320" w:type="dxa"/>
            <w:vAlign w:val="bottom"/>
          </w:tcPr>
          <w:p>
            <w:pPr>
              <w:spacing w:after="0"/>
              <w:rPr>
                <w:sz w:val="20"/>
                <w:szCs w:val="20"/>
                <w:color w:val="auto"/>
              </w:rPr>
            </w:pPr>
            <w:r>
              <w:rPr>
                <w:rFonts w:ascii="Arial" w:cs="Arial" w:eastAsia="Arial" w:hAnsi="Arial"/>
                <w:sz w:val="18"/>
                <w:szCs w:val="18"/>
                <w:color w:val="auto"/>
              </w:rPr>
              <w:t>Date: February 11, 2020</w:t>
            </w:r>
          </w:p>
        </w:tc>
        <w:tc>
          <w:tcPr>
            <w:tcW w:w="3220" w:type="dxa"/>
            <w:vAlign w:val="bottom"/>
          </w:tcPr>
          <w:p>
            <w:pPr>
              <w:ind w:left="25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15"/>
        </w:trPr>
        <w:tc>
          <w:tcPr>
            <w:tcW w:w="4320" w:type="dxa"/>
            <w:vAlign w:val="bottom"/>
          </w:tcPr>
          <w:p>
            <w:pPr>
              <w:spacing w:after="0"/>
              <w:rPr>
                <w:sz w:val="18"/>
                <w:szCs w:val="18"/>
                <w:color w:val="auto"/>
              </w:rPr>
            </w:pPr>
          </w:p>
        </w:tc>
        <w:tc>
          <w:tcPr>
            <w:tcW w:w="3220" w:type="dxa"/>
            <w:vAlign w:val="bottom"/>
          </w:tcPr>
          <w:p>
            <w:pPr>
              <w:ind w:left="2540"/>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Guy Avidan</w:t>
            </w:r>
          </w:p>
        </w:tc>
      </w:tr>
      <w:tr>
        <w:trPr>
          <w:trHeight w:val="230"/>
        </w:trPr>
        <w:tc>
          <w:tcPr>
            <w:tcW w:w="4320" w:type="dxa"/>
            <w:vAlign w:val="bottom"/>
          </w:tcPr>
          <w:p>
            <w:pPr>
              <w:spacing w:after="0"/>
              <w:rPr>
                <w:sz w:val="20"/>
                <w:szCs w:val="20"/>
                <w:color w:val="auto"/>
              </w:rPr>
            </w:pPr>
          </w:p>
        </w:tc>
        <w:tc>
          <w:tcPr>
            <w:tcW w:w="3220" w:type="dxa"/>
            <w:vAlign w:val="bottom"/>
          </w:tcPr>
          <w:p>
            <w:pPr>
              <w:ind w:left="254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Exhibit Index</w:t>
            </w:r>
          </w:p>
        </w:tc>
      </w:tr>
      <w:tr>
        <w:trPr>
          <w:trHeight w:val="466"/>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11, 2020 entitled “Kornit Digital Reports Fourth Quarter and Full-Year 2019 Results”</w:t>
              </w:r>
            </w:hyperlink>
          </w:p>
        </w:tc>
      </w:tr>
      <w:tr>
        <w:trPr>
          <w:trHeight w:val="709"/>
        </w:trPr>
        <w:tc>
          <w:tcPr>
            <w:tcW w:w="1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260" w:type="dxa"/>
            <w:vAlign w:val="bottom"/>
            <w:tcBorders>
              <w:top w:val="single" w:sz="8" w:color="0000EE"/>
              <w:bottom w:val="single" w:sz="8" w:color="auto"/>
            </w:tcBorders>
          </w:tcPr>
          <w:p>
            <w:pPr>
              <w:jc w:val="right"/>
              <w:ind w:right="3665"/>
              <w:spacing w:after="0"/>
              <w:rPr>
                <w:sz w:val="20"/>
                <w:szCs w:val="20"/>
                <w:color w:val="auto"/>
              </w:rPr>
            </w:pPr>
            <w:r>
              <w:rPr>
                <w:rFonts w:ascii="Arial" w:cs="Arial" w:eastAsia="Arial" w:hAnsi="Arial"/>
                <w:sz w:val="22"/>
                <w:szCs w:val="22"/>
                <w:color w:val="auto"/>
              </w:rPr>
              <w:t>3</w:t>
            </w:r>
          </w:p>
        </w:tc>
        <w:tc>
          <w:tcPr>
            <w:tcW w:w="1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Kelsey Turcotte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ind w:right="934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842-0334 Kelsey@blueshirtgroup.com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Fourth Quarter and Full-Year 2019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2019 with 39% Year-Over-Year Growth in System Sales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revenue of $48.7 million, net of $1.1 million attributed to the non-cash impact of warrants.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2019 GAAP operating income of $3.3 million; Non-GAAP operating income of $5.8 million, net of $1.1 million attributed to the non-cash impact of warrants.</w:t>
      </w:r>
    </w:p>
    <w:p>
      <w:pPr>
        <w:ind w:left="660" w:right="28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a year of innovative and successful new product introductions, continued to focus on strengthening infrastructure and expanding scale across the business, laying foundation for future growth.</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Rosh-Ha`Ayin, Israel – February 11, 2020 – </w:t>
      </w:r>
      <w:r>
        <w:rPr>
          <w:rFonts w:ascii="Arial" w:cs="Arial" w:eastAsia="Arial" w:hAnsi="Arial"/>
          <w:sz w:val="18"/>
          <w:szCs w:val="18"/>
          <w:color w:val="auto"/>
        </w:rPr>
        <w:t>Kornit Digital Ltd. (NASDAQ: KRNT), a leading provider of digital printing solutions for the global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today reported results for the fourth quarter and full-year, ended December 31, 2019.</w:t>
      </w:r>
    </w:p>
    <w:p>
      <w:pPr>
        <w:spacing w:after="0" w:line="16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fourth quarter of 2019 capped off another year of exciting growth and progress for Kornit. We are extremely proud of our strong performance in 2019 and believe that our leadership position in the market continues to widen.” said Ronen Samuel, Kornit Digital’s Chief Executive Officer. “Our 2019 results provide a robust foundation for continued growth and execution in 2020 as we are seeing the exceptionally strong momentum in the business continue in the first quarter. We believe Kornit is best positioned to lead the textile industry in its shift to on-demand manufacturing in a sustainable way.”</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2019 GAAP and Non-GAAP figures in today’s press release are presented using a different valuation basis to the warrants impact compared to previous quarters as a result of the recently issued accounting standards update (ASU 2019-08).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will provide additional information in today's earning call, details of which can be found at the end of today's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t>The following table compares the adverse, non-cash impact that our outstanding warrants had on our results of operations during the fourth quarters of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Fourth Quarter Warrants Impact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Net of Warrants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3"/>
              </w:rPr>
              <w:t>Net of Warrants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Impact</w:t>
            </w: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Warrants Impact</w:t>
            </w:r>
          </w:p>
        </w:tc>
        <w:tc>
          <w:tcPr>
            <w:tcW w:w="12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Impact</w:t>
            </w:r>
          </w:p>
        </w:tc>
        <w:tc>
          <w:tcPr>
            <w:tcW w:w="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Warrants Impact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48.7M</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1.1M</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37.8M</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4"/>
              </w:rPr>
              <w:t>1.4M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Gross Margin</w:t>
            </w: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113bps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48.8%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ind w:left="270"/>
              <w:spacing w:after="0"/>
              <w:rPr>
                <w:sz w:val="20"/>
                <w:szCs w:val="20"/>
                <w:color w:val="auto"/>
              </w:rPr>
            </w:pPr>
            <w:r>
              <w:rPr>
                <w:rFonts w:ascii="Arial" w:cs="Arial" w:eastAsia="Arial" w:hAnsi="Arial"/>
                <w:sz w:val="18"/>
                <w:szCs w:val="18"/>
                <w:color w:val="auto"/>
                <w:w w:val="87"/>
              </w:rPr>
              <w:t>181bps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87"/>
              </w:rPr>
              <w:t>200bps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326bps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Net Margin</w:t>
            </w: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194bps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ind w:left="270"/>
              <w:spacing w:after="0"/>
              <w:rPr>
                <w:sz w:val="20"/>
                <w:szCs w:val="20"/>
                <w:color w:val="auto"/>
              </w:rPr>
            </w:pPr>
            <w:r>
              <w:rPr>
                <w:rFonts w:ascii="Arial" w:cs="Arial" w:eastAsia="Arial" w:hAnsi="Arial"/>
                <w:sz w:val="18"/>
                <w:szCs w:val="18"/>
                <w:color w:val="auto"/>
                <w:w w:val="87"/>
              </w:rPr>
              <w:t>326bps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0.08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compares the adverse, non-cash impact that our outstanding warrants had on our results of operations during the full-year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5"/>
              </w:rPr>
              <w:t>Full-Year Warrants Impact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December 31,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Net of Warrants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3"/>
              </w:rPr>
              <w:t>Net of Warrants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Impact</w:t>
            </w: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Warrants Impact</w:t>
            </w:r>
          </w:p>
        </w:tc>
        <w:tc>
          <w:tcPr>
            <w:tcW w:w="12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Impact</w:t>
            </w:r>
          </w:p>
        </w:tc>
        <w:tc>
          <w:tcPr>
            <w:tcW w:w="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Warrants Impact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179.9M</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4"/>
              </w:rPr>
              <w:t>5.1M</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142.4M</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4"/>
              </w:rPr>
              <w:t>4.6M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Gross Margin</w:t>
            </w: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47.9%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left="370"/>
              <w:spacing w:after="0"/>
              <w:rPr>
                <w:sz w:val="20"/>
                <w:szCs w:val="20"/>
                <w:color w:val="auto"/>
              </w:rPr>
            </w:pPr>
            <w:r>
              <w:rPr>
                <w:rFonts w:ascii="Arial" w:cs="Arial" w:eastAsia="Arial" w:hAnsi="Arial"/>
                <w:sz w:val="18"/>
                <w:szCs w:val="18"/>
                <w:color w:val="auto"/>
                <w:w w:val="87"/>
              </w:rPr>
              <w:t>144bps</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ind w:left="270"/>
              <w:spacing w:after="0"/>
              <w:rPr>
                <w:sz w:val="20"/>
                <w:szCs w:val="20"/>
                <w:color w:val="auto"/>
              </w:rPr>
            </w:pPr>
            <w:r>
              <w:rPr>
                <w:rFonts w:ascii="Arial" w:cs="Arial" w:eastAsia="Arial" w:hAnsi="Arial"/>
                <w:sz w:val="18"/>
                <w:szCs w:val="18"/>
                <w:color w:val="auto"/>
                <w:w w:val="87"/>
              </w:rPr>
              <w:t>156bps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7"/>
              </w:rPr>
              <w:t>248bps</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7"/>
              </w:rPr>
              <w:t>284bps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Non-GAAP Net Margin</w:t>
            </w:r>
          </w:p>
        </w:tc>
        <w:tc>
          <w:tcPr>
            <w:tcW w:w="22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90"/>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left="370"/>
              <w:spacing w:after="0"/>
              <w:rPr>
                <w:sz w:val="20"/>
                <w:szCs w:val="20"/>
                <w:color w:val="auto"/>
              </w:rPr>
            </w:pPr>
            <w:r>
              <w:rPr>
                <w:rFonts w:ascii="Arial" w:cs="Arial" w:eastAsia="Arial" w:hAnsi="Arial"/>
                <w:sz w:val="18"/>
                <w:szCs w:val="18"/>
                <w:color w:val="auto"/>
                <w:w w:val="87"/>
              </w:rPr>
              <w:t>245bps</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ind w:left="270"/>
              <w:spacing w:after="0"/>
              <w:rPr>
                <w:sz w:val="20"/>
                <w:szCs w:val="20"/>
                <w:color w:val="auto"/>
              </w:rPr>
            </w:pPr>
            <w:r>
              <w:rPr>
                <w:rFonts w:ascii="Arial" w:cs="Arial" w:eastAsia="Arial" w:hAnsi="Arial"/>
                <w:sz w:val="18"/>
                <w:szCs w:val="18"/>
                <w:color w:val="auto"/>
                <w:w w:val="87"/>
              </w:rPr>
              <w:t>283bps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0.49</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Guy Avidan, Kornit Digital’s Chief Financial Officer said, “We had a strong close to 2019 as we saw significant business expansion with strategic accounts and collaborative business development activities with leading brands resulting in new customer accounts in both the athleisure and specialty retail categories. There is a significant market opportunity ahead of us and we continue to invest in the business through expansion of our go-to-market capabilities, enhancements to our global leadership team, and allocation of incremental capital to drive innovation that will propel Kornit towards our long-term goal of reaching $500 million in run-rate sales exiting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Results of Operations</w:t>
      </w:r>
    </w:p>
    <w:p>
      <w:pPr>
        <w:spacing w:after="0" w:line="229" w:lineRule="exact"/>
        <w:rPr>
          <w:sz w:val="20"/>
          <w:szCs w:val="20"/>
          <w:color w:val="auto"/>
        </w:rPr>
      </w:pPr>
    </w:p>
    <w:p>
      <w:pPr>
        <w:ind w:left="660" w:right="3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for the fourth quarter 2019 revenue grew 28.8% to $48.7 million, net of $1.1 million attributed to the non-cash impact of warrants, compared to $37.8 million, net of $1.4 million attributed to the non-cash impact of warrants in the prior year period.</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income for the fourth quarter 2019 was $4.8 million, or $0.11 per diluted share, compared to net income of $7.0 million, or $0.19 per diluted share, for the fourth quarter 2018.</w:t>
      </w:r>
    </w:p>
    <w:p>
      <w:pPr>
        <w:ind w:left="660" w:right="1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for the fourth quarter 2019 was $7.1 million, or $0.17 per diluted share, net of $0.02 per diluted share attributed to the non-cash impact of warrants, compared to $3.0 million, or $0.08 per diluted share, net of $0.04 per diluted share attributed to the non-cash impact of warrants, for the fourth quarter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2019 Results of Operations</w:t>
      </w:r>
    </w:p>
    <w:p>
      <w:pPr>
        <w:spacing w:after="0" w:line="229" w:lineRule="exact"/>
        <w:rPr>
          <w:sz w:val="20"/>
          <w:szCs w:val="20"/>
          <w:color w:val="auto"/>
        </w:rPr>
      </w:pPr>
    </w:p>
    <w:p>
      <w:pPr>
        <w:ind w:left="660" w:right="4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for the full-year 2019 revenue was $179.9 million, net of $5.1 million attributed to the non-cash impact of warrants, compared to $142.4 million, net of $4.6 million attributed to the non-cash impact of warrants in the prior year period.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income for the full-year 2019 was $10.2 million, or $0.26 per diluted share, compared to net income of $12.4 million, or $0.35 per diluted share, for the full-year 2018.</w:t>
      </w:r>
    </w:p>
    <w:p>
      <w:pPr>
        <w:ind w:left="660" w:right="10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for the full-year 2019 was $19.6 million, or $0.49 per diluted share, net of $0.13 per diluted share attributed to the non-cash impact of warrants, compared to $13.1 million, or $0.37 per diluted share, net of $0.13 per diluted share attributed to the non-cash impact of warrants, for the full-year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Guidance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will discuss the details of its guidance live during its earnings conference call, which will be available for replay via webcast at ir.kornit.com, as referenced below.</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will host a conference call today at 5:00 p.m. ET, or 0:00 a.m. Israel time, to discuss the results, followed by a question and answer session for the investment community. A live webcast of the call can be accessed at ir.kornit.com. To access the call, participants may dial toll-free at 1-800-289-0438 or +1-323-794-2423. The toll-free Israeli number is 1 809 212 883. The confirmation code is 1770690.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1770690. The telephonic replay will be available beginning at 8:00 p.m. ET on Tuesday, February 11, 2020, and will last through 11:59 p.m. ET on Tuesday, February 25, 2020.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the Company's Annual Report on Form 20-F for the year ended December 31, 2018, filed with the U.S. Securities and Exchange Commission on March 26, 2019.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offering costs, excess cost of acquired inventory, foreign exchange differences associated with ASC 842, amortization of acquired intangible assets, deferred tax impact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60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(U.S. dollars 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Short-term bank deposit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Trade receivables, net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95,393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expenses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Severance pay fund</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Property,plant and equipment, net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45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154,064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407,346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Trade payables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23,449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severance pay</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156,594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16,644</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53,303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19,201</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97,790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72,504</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24,616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82,076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25,596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16,436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5,604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10,911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7,037</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5,494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(5,392)</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used in computing basic net income per share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38,079,394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34,521,352</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40,655,404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34,956,121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net income per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39,500,305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35,363,704</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42,210,359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35,986,581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97,790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24,616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on cost of product (3)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vMerge w:val="continue"/>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24,232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vMerge w:val="continue"/>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86,146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(4,654)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(c)</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vMerge w:val="continue"/>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Financial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Financial income</w:t>
            </w: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vMerge w:val="continue"/>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Taxes on income (benefit)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benefit (b)</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Taxes on income</w:t>
            </w: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2,153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net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10,167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12,429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4,756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Offering costs (c)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on income (benefit) (b)</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(5,941)</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w:t>
            </w: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19,588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7,071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diluted earning per share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Non-GAAP diluted earning per share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used in computing GAAP diluted net earning per share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39,500,305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35,363,704</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42,210,359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35,986,581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39,751,470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35,626,160</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42,710,001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36,154,121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 of product revenues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Cost of service revenues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4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r>
      <w:tr>
        <w:trPr>
          <w:trHeight w:val="210"/>
        </w:trPr>
        <w:tc>
          <w:tcPr>
            <w:tcW w:w="608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6,614</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5,546</w:t>
            </w: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2,030</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 Acquisition related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66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0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(3) Intangible assets amortization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7"/>
        </w:trPr>
        <w:tc>
          <w:tcPr>
            <w:tcW w:w="6080" w:type="dxa"/>
            <w:vAlign w:val="bottom"/>
          </w:tcPr>
          <w:p>
            <w:pPr>
              <w:ind w:left="66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757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right="4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 cash impact related to the recognition of deferred taxes with respect to carryforward losses in Israel.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costs related to the secondary offering of the company’s shares.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96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4,576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loss (gain) on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receivables and prepaid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4,037</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operating leases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deferred taxes,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(6,665)</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trade payables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4,394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employees and payroll accruals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1,621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accrued severance pay,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long term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and disposal of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8"/>
              </w:rPr>
              <w:t>Foreign currency translation income on inter company balances with foreign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33,368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(7,294)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Acquisition of intangible assets and capitalization of software development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bank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6,564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secondary offering,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6,425</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 related to shares withheld for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135,131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94,670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40,743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4" w:name="page15"/>
    <w:bookmarkEnd w:id="14"/>
    <w:p>
      <w:pPr>
        <w:spacing w:after="0"/>
        <w:tabs>
          <w:tab w:leader="none" w:pos="6960" w:val="left"/>
          <w:tab w:leader="none" w:pos="8540" w:val="left"/>
          <w:tab w:leader="none" w:pos="9680" w:val="left"/>
          <w:tab w:leader="none" w:pos="11240" w:val="left"/>
        </w:tabs>
        <w:rPr>
          <w:sz w:val="20"/>
          <w:szCs w:val="20"/>
          <w:color w:val="auto"/>
        </w:rPr>
      </w:pPr>
      <w:r>
        <w:rPr>
          <w:rFonts w:ascii="Arial" w:cs="Arial" w:eastAsia="Arial" w:hAnsi="Arial"/>
          <w:sz w:val="18"/>
          <w:szCs w:val="18"/>
          <w:color w:val="auto"/>
        </w:rPr>
        <w:t>Capitalization of software development costs</w:t>
      </w:r>
      <w:r>
        <w:rPr>
          <w:sz w:val="20"/>
          <w:szCs w:val="20"/>
          <w:color w:val="auto"/>
        </w:rPr>
        <w:tab/>
      </w: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917"/>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2020-02-11T15:17:18Z</dcterms:created>
  <dcterms:modified xsi:type="dcterms:W3CDTF">2020-02-11T15:17:18Z</dcterms:modified>
</cp:coreProperties>
</file>