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November 2015</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KORNIT DIGITAL LTD.</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60" w:right="1719" w:hanging="4543"/>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On November 3, 2015, Kornit Digital Ltd. issued a press release entitled “Kornit Digital Reports Third Quarter 2015 Results.” A copy of this press release is furnished as Exhibit 99.1 hereto.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3120"/>
              <w:spacing w:after="0"/>
              <w:rPr>
                <w:sz w:val="20"/>
                <w:szCs w:val="20"/>
                <w:color w:val="auto"/>
              </w:rPr>
            </w:pPr>
            <w:r>
              <w:rPr>
                <w:rFonts w:ascii="Arial" w:cs="Arial" w:eastAsia="Arial" w:hAnsi="Arial"/>
                <w:sz w:val="18"/>
                <w:szCs w:val="18"/>
                <w:color w:val="auto"/>
              </w:rPr>
              <w:t>KORNIT DIGITAL LTD.</w:t>
            </w: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Date: November 4, 2015</w:t>
            </w:r>
          </w:p>
        </w:tc>
        <w:tc>
          <w:tcPr>
            <w:tcW w:w="370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3740" w:type="dxa"/>
            <w:vAlign w:val="bottom"/>
          </w:tcPr>
          <w:p>
            <w:pPr>
              <w:spacing w:after="0"/>
              <w:rPr>
                <w:sz w:val="17"/>
                <w:szCs w:val="17"/>
                <w:color w:val="auto"/>
              </w:rPr>
            </w:pPr>
          </w:p>
        </w:tc>
        <w:tc>
          <w:tcPr>
            <w:tcW w:w="3700" w:type="dxa"/>
            <w:vAlign w:val="bottom"/>
          </w:tcPr>
          <w:p>
            <w:pPr>
              <w:ind w:left="31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3740" w:type="dxa"/>
            <w:vAlign w:val="bottom"/>
          </w:tcPr>
          <w:p>
            <w:pPr>
              <w:spacing w:after="0"/>
              <w:rPr>
                <w:sz w:val="20"/>
                <w:szCs w:val="20"/>
                <w:color w:val="auto"/>
              </w:rPr>
            </w:pPr>
          </w:p>
        </w:tc>
        <w:tc>
          <w:tcPr>
            <w:tcW w:w="3700" w:type="dxa"/>
            <w:vAlign w:val="bottom"/>
          </w:tcPr>
          <w:p>
            <w:pPr>
              <w:ind w:left="31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7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3</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3, 2015 entitled “Kornit Digital Reports Third Quarter 2015 Results”</w:t>
            </w:r>
          </w:p>
        </w:tc>
      </w:tr>
      <w:tr>
        <w:trPr>
          <w:trHeight w:val="65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Kornit Digital Reports Third Quarter 2015 Results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quarter 2015 sales of $22.2 million, an increase of 20.0% over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margin of 13.5%, or $3 million; GAAP operating margin of 10%, or $2.2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Third quarter non-GAAP net income of $2.9 million, or $0.09 per diluted share; GAAP net income of $2.1 million or $0.07 per diluted share.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Key customer places fourth order for Allegro R2R system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ROSH-HA'AYIN, Israel, Nov. 3, 2015 (GLOBE NEWSWIRE) -- Kornit Digital Ltd. (NASDAQ:KRNT), a leading provider of digital printing solutions for the global printed textile industry, today reported results for the third quarter ended September 30,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for the third quarter of 2015 increased 20.0% year-over-year to $22.2 million, as a result of incremental revenue associated with the new Allegro roll-to-roll system, combined with continued growth in direct-to-garment (DTG) systems and ink.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income in the third quarter of 2015 was $2.9 million, or $0.09 per diluted share, compared to prior-year net income of $3.5 million. On a GAAP basis, the Company reported a net income of $2.1 million, or $0.07 per diluted share, compared to a net income of $3.2 million, in the third quarter of 2014.</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Gabi Seligsohn, Kornit Digital's Chief Executive Officer commented, "During the third quarter, we continued to deepen our customer relationships and generate strong interest for our disruptive solutions, particularly of our recently introduced high throughput systems. To that point, throughout the quarter we hosted multiple demonstrations for our newly introduced Allegro and pre-beta Vulcan systems, which generated strong customer interest. For the Allegro, several customer interactions have led to system orders which will be installed during the fourth quarter. For Vulcan, we successfully executed on multiple pre-beta customer demos, all of which have led to firm demand for systems by those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Seligsohn continued, "We are pleased with the growth in our business through the first nine-months of 29% vs. the same period last year, although third quarter growth came in at the lower end of our guided range due to the timing of system volume. As we have seen in the past, quarter-to-quarter growth is not linear at this stage in our evolution. Looking to the balance of the year, we anticipate revenue from our recently introduced high throughput systems and volume from several new customers to provide a tailwind as we close out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2015, Kornit reported sales of $22.2 million, an increase of 20.0% compared with the prior-year level of $18.5 million. Higher sales were the result of contributions from all product categories including systems, ink and consumables,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Non-GAAP gross margin as a percentage of sales in the third quarter of 2015 was 48.3%, compared with 50.6% in the prior-year period. Lower gross margin compared to the prior year resulted from two large customer orders of multiple high-end systems in the third quarter of 2014, which provided a favorable margin rate during the period. Excluding the impact of these orders, our gross margin run rate continued to expand as a result of the ongoing mix shift to higher throughput systems, incremental ink sales, and a stronger contribution from services. On a GAAP basis, gross margin was $10.6 million, or 47.6% of sales.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Non-GAAP operating expenses in the third quarter increased to $7.7 million, compared to $5.6 million in the prior year. The increase in total operating expenses is consistent with the previously stated growth strategy, as the Company continues to execute to its global infrastructure build out. As a percent of sales, non-GAAP operating expenses for the third quarter were 34.8% of sales, an increase from 30.4% of sales in the prior year. On a GAAP basis, operating expenses were $8.4 million, or 37.7% during the quarter.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research and development expenses were $2.9 million, compared to $2.2 million in the prior-year. On a GAAP basis, research and development expenses were $3.1 million, or 13.8% of sales during the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operating profit in the third quarter declined to $3.0 million, compared to $3.7 million in the prior year. As a percent of sales, non-GAAP operating profit for the third quarter was 13.5% of sales, a decrease from 20.2% of sales in the prior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income for the third quarter of 2015 were $2.9 million, or $0.09 per diluted share, compared with Non-GAAP net income of $3.5 million, or $0.31 in the prior year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GAAP basis, the Company reported net earnings of $2.1 million, or $0.07 per diluted share, compared to a net income of $3.2 million, or $0.3 per diluted share in the third quarter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Third Quarter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will host a conference call today at 5:00 p.m. ET, or 12:00 a.m. Israel time, to discuss the results, followed by a question and answer session for the investment community. A live webcast of the call can be accessed at ir.kornit.com. To access the call, participants may dial toll-free at 1-888-427-9411 or +1-719-325-2458. The toll-free Israeli number is 1-809-24 5906. The confirmation code is 8335584.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 listen to a telephonic replay of the conference call, dial toll-free 1-877-870-5176 or +1-858-384-5517 (international) and enter confirmation code 8335584.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telephonic replay will be available beginning at 8:00 p.m. ET on Tuesday, November 3, 2015, and will last through 11:59 p.m. ET November 17,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call will also be available for replay via the webcast link on Kornit's Investor Relations website.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development of the market for digital textile printing, availability of alternative ink, competition, sales concentration, changes to our relationships with suppliers, our success in developing, introducing and selling new or improved products, our success in marketing, our success in effectively increasing our field presence and those factors referred to under "Risk Factors" in the company's final prospectus filed with the U.S. Securities and Exchange Commission.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Non-GAAP financial measures consist of GAAP financial measures adjusted to exclude acquisition related expenses, share-based compensation expenses, amortization of acquired intangible assets and compensation related to the IPO.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Kornit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32,547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26,855</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6,851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3,716</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3,399</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2,305</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2,497</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3,342</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Taxes on income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used in computing basic net income per share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22,814,312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8,968,343</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29,779,017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8,968,343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Diluted net income per share</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diluted net income per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share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24,734,519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10,139,704</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31,743,307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10,663,649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GAAP TO NON-GAAP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per share data)</w:t>
      </w:r>
    </w:p>
    <w:p>
      <w:pPr>
        <w:sectPr>
          <w:pgSz w:w="11900" w:h="16838" w:orient="portrait"/>
          <w:cols w:equalWidth="0" w:num="1">
            <w:col w:w="11420"/>
          </w:cols>
          <w:pgMar w:left="240" w:top="904" w:right="239" w:bottom="144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122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15779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904" w:right="23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net income as reported</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Expenses recorded for share-based compensation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Compensation in relation to the IPO</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Separation payment to shareholder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IPO bonuses to employees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adjustments</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Non-GAAP net income</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6,213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2,912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diluted net income per</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25,111,776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10,431,433</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32,096,739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11,125,629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vMerge w:val="restart"/>
          </w:tcPr>
          <w:p>
            <w:pPr>
              <w:jc w:val="center"/>
              <w:ind w:left="1430"/>
              <w:spacing w:after="0"/>
              <w:rPr>
                <w:sz w:val="20"/>
                <w:szCs w:val="20"/>
                <w:color w:val="auto"/>
              </w:rPr>
            </w:pPr>
            <w:r>
              <w:rPr>
                <w:rFonts w:ascii="Arial" w:cs="Arial" w:eastAsia="Arial" w:hAnsi="Arial"/>
                <w:sz w:val="18"/>
                <w:szCs w:val="18"/>
                <w:b w:val="1"/>
                <w:bCs w:val="1"/>
                <w:color w:val="auto"/>
                <w:w w:val="91"/>
              </w:rPr>
              <w:t>ASSETS</w:t>
            </w: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37,377</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Short term bank deposits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11,000</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Trade receivables, net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17,319</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3,473</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14,729</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11,986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40" w:type="dxa"/>
            <w:vAlign w:val="bottom"/>
          </w:tcPr>
          <w:p>
            <w:pPr>
              <w:spacing w:after="0" w:line="189" w:lineRule="exact"/>
              <w:rPr>
                <w:sz w:val="20"/>
                <w:szCs w:val="20"/>
                <w:color w:val="auto"/>
              </w:rPr>
            </w:pPr>
            <w:r>
              <w:rPr>
                <w:rFonts w:ascii="Arial" w:cs="Arial" w:eastAsia="Arial" w:hAnsi="Arial"/>
                <w:sz w:val="18"/>
                <w:szCs w:val="18"/>
                <w:color w:val="auto"/>
              </w:rPr>
              <w:t>LONG-TERM ASSETS:</w:t>
            </w: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long-term marketable securities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22,305</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Severance pay fund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1,121</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4,097</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1,079</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issuance costs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assets</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116,335</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34,714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jc w:val="center"/>
              <w:ind w:left="1430"/>
              <w:spacing w:after="0"/>
              <w:rPr>
                <w:sz w:val="20"/>
                <w:szCs w:val="20"/>
                <w:color w:val="auto"/>
              </w:rPr>
            </w:pPr>
            <w:r>
              <w:rPr>
                <w:rFonts w:ascii="Arial" w:cs="Arial" w:eastAsia="Arial" w:hAnsi="Arial"/>
                <w:sz w:val="18"/>
                <w:szCs w:val="18"/>
                <w:b w:val="1"/>
                <w:bCs w:val="1"/>
                <w:color w:val="auto"/>
              </w:rPr>
              <w:t>LIABILITIES AND EQUITY</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9,028</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4,442</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3,116</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Accrued severance pay</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1,829</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3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16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1,982</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SHAREHOLDERS' EQUITY</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97,215</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1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116,335</w:t>
            </w: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34,714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9"/>
                <w:szCs w:val="19"/>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32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4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3"/>
          </w:tcPr>
          <w:p>
            <w:pPr>
              <w:spacing w:after="0" w:line="201" w:lineRule="exact"/>
              <w:rPr>
                <w:sz w:val="20"/>
                <w:szCs w:val="20"/>
                <w:color w:val="auto"/>
              </w:rPr>
            </w:pPr>
            <w:r>
              <w:rPr>
                <w:rFonts w:ascii="Arial" w:cs="Arial" w:eastAsia="Arial" w:hAnsi="Arial"/>
                <w:sz w:val="18"/>
                <w:szCs w:val="18"/>
                <w:color w:val="auto"/>
                <w:w w:val="98"/>
              </w:rPr>
              <w:t>Adjustments to reconcile net income to net cash (used in) provided by operating</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Increase in accrued interest and amortization of premium on marketable securities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Increase (decrease) in accrued severance pay,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1"/>
              </w:rPr>
              <w:t>Increase in inventories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Changes in deferred taxes,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other long term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Increase (decrease) in trade payables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employees and payroll accruals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Increase (decrease) in deferred revenues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Interest on short-term bank deposit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from sale of property and equipments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3"/>
          </w:tcPr>
          <w:p>
            <w:pPr>
              <w:spacing w:after="0" w:line="201" w:lineRule="exact"/>
              <w:rPr>
                <w:sz w:val="20"/>
                <w:szCs w:val="20"/>
                <w:color w:val="auto"/>
              </w:rPr>
            </w:pPr>
            <w:r>
              <w:rPr>
                <w:rFonts w:ascii="Arial" w:cs="Arial" w:eastAsia="Arial" w:hAnsi="Arial"/>
                <w:sz w:val="18"/>
                <w:szCs w:val="18"/>
                <w:color w:val="auto"/>
              </w:rPr>
              <w:t>Foreign currency translation loss on inter company balances with foreign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4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(1,407)</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Proceeds from (investment in) bank deposits, net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2,094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Proceeds from sale of property and equipment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(38,972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693</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(37,199</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issuance costs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Proceeds from initial public offering, net (Payment of issuance costs)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74,240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80,424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37,377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Non-cash investing activities: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issuance expenses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680" w:type="dxa"/>
            <w:vAlign w:val="bottom"/>
            <w:gridSpan w:val="2"/>
          </w:tcPr>
          <w:p>
            <w:pPr>
              <w:spacing w:after="0"/>
              <w:rPr>
                <w:sz w:val="20"/>
                <w:szCs w:val="20"/>
                <w:color w:val="auto"/>
              </w:rPr>
            </w:pPr>
            <w:r>
              <w:rPr>
                <w:rFonts w:ascii="Arial" w:cs="Arial" w:eastAsia="Arial" w:hAnsi="Arial"/>
                <w:sz w:val="18"/>
                <w:szCs w:val="18"/>
                <w:color w:val="auto"/>
              </w:rPr>
              <w:t>CONTACT:</w:t>
            </w: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Investor Contact: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Michael Callahan, ICR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(203) 682-8311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Michael.Callahan@icrinc.com</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398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891" w:right="239" w:bottom="4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2019-12-09T04:54:14Z</dcterms:created>
  <dcterms:modified xsi:type="dcterms:W3CDTF">2019-12-09T04:54:14Z</dcterms:modified>
</cp:coreProperties>
</file>