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20" w:right="639" w:hanging="5272"/>
        <w:spacing w:after="0" w:line="426" w:lineRule="auto"/>
        <w:rPr>
          <w:sz w:val="20"/>
          <w:szCs w:val="20"/>
          <w:color w:val="auto"/>
        </w:rPr>
      </w:pPr>
      <w:r>
        <w:rPr>
          <w:rFonts w:ascii="Arial" w:cs="Arial" w:eastAsia="Arial" w:hAnsi="Arial"/>
          <w:sz w:val="16"/>
          <w:szCs w:val="16"/>
          <w:b w:val="1"/>
          <w:bCs w:val="1"/>
          <w:color w:val="auto"/>
        </w:rPr>
        <w:t>As filed with the Securities and Exchange Commission on February 25, 2015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-106045</wp:posOffset>
            </wp:positionV>
            <wp:extent cx="5574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4030" cy="1714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-80010</wp:posOffset>
            </wp:positionV>
            <wp:extent cx="5574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403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line="234"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jc w:val="center"/>
        <w:spacing w:after="0" w:line="234" w:lineRule="auto"/>
        <w:rPr>
          <w:sz w:val="20"/>
          <w:szCs w:val="20"/>
          <w:color w:val="auto"/>
        </w:rPr>
      </w:pPr>
      <w:r>
        <w:rPr>
          <w:rFonts w:ascii="Arial" w:cs="Arial" w:eastAsia="Arial" w:hAnsi="Arial"/>
          <w:sz w:val="18"/>
          <w:szCs w:val="18"/>
          <w:b w:val="1"/>
          <w:bCs w:val="1"/>
          <w:color w:val="auto"/>
        </w:rPr>
        <w:t>THE SECURITIES ACT OF 1933</w:t>
      </w:r>
    </w:p>
    <w:p>
      <w:pPr>
        <w:spacing w:after="0" w:line="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46"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i w:val="1"/>
          <w:iCs w:val="1"/>
          <w:color w:val="auto"/>
        </w:rPr>
        <w:t>(Exact Name of Registrant as Specified in its Charter)</w:t>
      </w:r>
    </w:p>
    <w:p>
      <w:pPr>
        <w:spacing w:after="0" w:line="3"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91" w:lineRule="exact"/>
        <w:rPr>
          <w:sz w:val="24"/>
          <w:szCs w:val="24"/>
          <w:color w:val="auto"/>
        </w:rPr>
      </w:pPr>
    </w:p>
    <w:tbl>
      <w:tblPr>
        <w:tblLayout w:type="fixed"/>
        <w:tblInd w:w="360" w:type="dxa"/>
        <w:tblCellMar>
          <w:top w:w="0" w:type="dxa"/>
          <w:left w:w="0" w:type="dxa"/>
          <w:bottom w:w="0" w:type="dxa"/>
          <w:right w:w="0" w:type="dxa"/>
        </w:tblCellMar>
      </w:tblPr>
      <w:tr>
        <w:trPr>
          <w:trHeight w:val="210"/>
        </w:trPr>
        <w:tc>
          <w:tcPr>
            <w:tcW w:w="2860" w:type="dxa"/>
            <w:vAlign w:val="bottom"/>
          </w:tcPr>
          <w:p>
            <w:pPr>
              <w:jc w:val="center"/>
              <w:ind w:right="128"/>
              <w:spacing w:after="0"/>
              <w:rPr>
                <w:sz w:val="20"/>
                <w:szCs w:val="20"/>
                <w:color w:val="auto"/>
              </w:rPr>
            </w:pPr>
            <w:r>
              <w:rPr>
                <w:rFonts w:ascii="Arial" w:cs="Arial" w:eastAsia="Arial" w:hAnsi="Arial"/>
                <w:sz w:val="14"/>
                <w:szCs w:val="14"/>
                <w:b w:val="1"/>
                <w:bCs w:val="1"/>
                <w:color w:val="auto"/>
              </w:rPr>
              <w:t>State of Israel</w:t>
            </w:r>
          </w:p>
        </w:tc>
        <w:tc>
          <w:tcPr>
            <w:tcW w:w="3020" w:type="dxa"/>
            <w:vAlign w:val="bottom"/>
          </w:tcPr>
          <w:p>
            <w:pPr>
              <w:jc w:val="right"/>
              <w:ind w:right="1348"/>
              <w:spacing w:after="0"/>
              <w:rPr>
                <w:sz w:val="20"/>
                <w:szCs w:val="20"/>
                <w:color w:val="auto"/>
              </w:rPr>
            </w:pPr>
            <w:r>
              <w:rPr>
                <w:rFonts w:ascii="Arial" w:cs="Arial" w:eastAsia="Arial" w:hAnsi="Arial"/>
                <w:sz w:val="14"/>
                <w:szCs w:val="14"/>
                <w:b w:val="1"/>
                <w:bCs w:val="1"/>
                <w:color w:val="auto"/>
              </w:rPr>
              <w:t>3555</w:t>
            </w:r>
          </w:p>
        </w:tc>
        <w:tc>
          <w:tcPr>
            <w:tcW w:w="2040" w:type="dxa"/>
            <w:vAlign w:val="bottom"/>
          </w:tcPr>
          <w:p>
            <w:pPr>
              <w:jc w:val="center"/>
              <w:ind w:left="328"/>
              <w:spacing w:after="0"/>
              <w:rPr>
                <w:sz w:val="20"/>
                <w:szCs w:val="20"/>
                <w:color w:val="auto"/>
              </w:rPr>
            </w:pPr>
            <w:r>
              <w:rPr>
                <w:rFonts w:ascii="Arial" w:cs="Arial" w:eastAsia="Arial" w:hAnsi="Arial"/>
                <w:sz w:val="14"/>
                <w:szCs w:val="14"/>
                <w:b w:val="1"/>
                <w:bCs w:val="1"/>
                <w:color w:val="auto"/>
              </w:rPr>
              <w:t>Not Applicable</w:t>
            </w:r>
          </w:p>
        </w:tc>
        <w:tc>
          <w:tcPr>
            <w:tcW w:w="0" w:type="dxa"/>
            <w:vAlign w:val="bottom"/>
          </w:tcPr>
          <w:p>
            <w:pPr>
              <w:spacing w:after="0"/>
              <w:rPr>
                <w:sz w:val="1"/>
                <w:szCs w:val="1"/>
                <w:color w:val="auto"/>
              </w:rPr>
            </w:pPr>
          </w:p>
        </w:tc>
      </w:tr>
      <w:tr>
        <w:trPr>
          <w:trHeight w:val="160"/>
        </w:trPr>
        <w:tc>
          <w:tcPr>
            <w:tcW w:w="2860" w:type="dxa"/>
            <w:vAlign w:val="bottom"/>
          </w:tcPr>
          <w:p>
            <w:pPr>
              <w:jc w:val="center"/>
              <w:ind w:right="108"/>
              <w:spacing w:after="0"/>
              <w:rPr>
                <w:sz w:val="20"/>
                <w:szCs w:val="20"/>
                <w:color w:val="auto"/>
              </w:rPr>
            </w:pPr>
            <w:r>
              <w:rPr>
                <w:rFonts w:ascii="Courier New" w:cs="Courier New" w:eastAsia="Courier New" w:hAnsi="Courier New"/>
                <w:sz w:val="14"/>
                <w:szCs w:val="14"/>
                <w:i w:val="1"/>
                <w:iCs w:val="1"/>
                <w:color w:val="auto"/>
              </w:rPr>
              <w:t>(State or Other Jurisdiction of</w:t>
            </w:r>
          </w:p>
        </w:tc>
        <w:tc>
          <w:tcPr>
            <w:tcW w:w="3020" w:type="dxa"/>
            <w:vAlign w:val="bottom"/>
            <w:vMerge w:val="restart"/>
          </w:tcPr>
          <w:p>
            <w:pPr>
              <w:jc w:val="center"/>
              <w:ind w:right="128"/>
              <w:spacing w:after="0"/>
              <w:rPr>
                <w:sz w:val="20"/>
                <w:szCs w:val="20"/>
                <w:color w:val="auto"/>
              </w:rPr>
            </w:pPr>
            <w:r>
              <w:rPr>
                <w:rFonts w:ascii="Courier New" w:cs="Courier New" w:eastAsia="Courier New" w:hAnsi="Courier New"/>
                <w:sz w:val="14"/>
                <w:szCs w:val="14"/>
                <w:i w:val="1"/>
                <w:iCs w:val="1"/>
                <w:color w:val="auto"/>
              </w:rPr>
              <w:t>(Primary Standard Industrial</w:t>
            </w:r>
          </w:p>
        </w:tc>
        <w:tc>
          <w:tcPr>
            <w:tcW w:w="2040" w:type="dxa"/>
            <w:vAlign w:val="bottom"/>
          </w:tcPr>
          <w:p>
            <w:pPr>
              <w:jc w:val="center"/>
              <w:ind w:left="308"/>
              <w:spacing w:after="0"/>
              <w:rPr>
                <w:sz w:val="20"/>
                <w:szCs w:val="20"/>
                <w:color w:val="auto"/>
              </w:rPr>
            </w:pPr>
            <w:r>
              <w:rPr>
                <w:rFonts w:ascii="Courier New" w:cs="Courier New" w:eastAsia="Courier New" w:hAnsi="Courier New"/>
                <w:sz w:val="14"/>
                <w:szCs w:val="14"/>
                <w:i w:val="1"/>
                <w:iCs w:val="1"/>
                <w:color w:val="auto"/>
              </w:rPr>
              <w:t>(I.R.S. Employer</w:t>
            </w:r>
          </w:p>
        </w:tc>
        <w:tc>
          <w:tcPr>
            <w:tcW w:w="0" w:type="dxa"/>
            <w:vAlign w:val="bottom"/>
          </w:tcPr>
          <w:p>
            <w:pPr>
              <w:spacing w:after="0"/>
              <w:rPr>
                <w:sz w:val="1"/>
                <w:szCs w:val="1"/>
                <w:color w:val="auto"/>
              </w:rPr>
            </w:pPr>
          </w:p>
        </w:tc>
      </w:tr>
      <w:tr>
        <w:trPr>
          <w:trHeight w:val="42"/>
        </w:trPr>
        <w:tc>
          <w:tcPr>
            <w:tcW w:w="2860" w:type="dxa"/>
            <w:vAlign w:val="bottom"/>
            <w:vMerge w:val="restart"/>
          </w:tcPr>
          <w:p>
            <w:pPr>
              <w:jc w:val="center"/>
              <w:ind w:right="128"/>
              <w:spacing w:after="0"/>
              <w:rPr>
                <w:sz w:val="20"/>
                <w:szCs w:val="20"/>
                <w:color w:val="auto"/>
              </w:rPr>
            </w:pPr>
            <w:r>
              <w:rPr>
                <w:rFonts w:ascii="Courier New" w:cs="Courier New" w:eastAsia="Courier New" w:hAnsi="Courier New"/>
                <w:sz w:val="14"/>
                <w:szCs w:val="14"/>
                <w:i w:val="1"/>
                <w:iCs w:val="1"/>
                <w:color w:val="auto"/>
              </w:rPr>
              <w:t>Incorporation or Organization)</w:t>
            </w:r>
          </w:p>
        </w:tc>
        <w:tc>
          <w:tcPr>
            <w:tcW w:w="3020" w:type="dxa"/>
            <w:vAlign w:val="bottom"/>
            <w:vMerge w:val="continue"/>
          </w:tcPr>
          <w:p>
            <w:pPr>
              <w:spacing w:after="0"/>
              <w:rPr>
                <w:sz w:val="3"/>
                <w:szCs w:val="3"/>
                <w:color w:val="auto"/>
              </w:rPr>
            </w:pPr>
          </w:p>
        </w:tc>
        <w:tc>
          <w:tcPr>
            <w:tcW w:w="2040" w:type="dxa"/>
            <w:vAlign w:val="bottom"/>
            <w:vMerge w:val="restart"/>
          </w:tcPr>
          <w:p>
            <w:pPr>
              <w:jc w:val="center"/>
              <w:ind w:left="328"/>
              <w:spacing w:after="0"/>
              <w:rPr>
                <w:sz w:val="20"/>
                <w:szCs w:val="20"/>
                <w:color w:val="auto"/>
              </w:rPr>
            </w:pPr>
            <w:r>
              <w:rPr>
                <w:rFonts w:ascii="Courier New" w:cs="Courier New" w:eastAsia="Courier New" w:hAnsi="Courier New"/>
                <w:sz w:val="14"/>
                <w:szCs w:val="14"/>
                <w:i w:val="1"/>
                <w:iCs w:val="1"/>
                <w:color w:val="auto"/>
              </w:rPr>
              <w:t>Identification No.)</w:t>
            </w:r>
          </w:p>
        </w:tc>
        <w:tc>
          <w:tcPr>
            <w:tcW w:w="0" w:type="dxa"/>
            <w:vAlign w:val="bottom"/>
          </w:tcPr>
          <w:p>
            <w:pPr>
              <w:spacing w:after="0"/>
              <w:rPr>
                <w:sz w:val="1"/>
                <w:szCs w:val="1"/>
                <w:color w:val="auto"/>
              </w:rPr>
            </w:pPr>
          </w:p>
        </w:tc>
      </w:tr>
      <w:tr>
        <w:trPr>
          <w:trHeight w:val="120"/>
        </w:trPr>
        <w:tc>
          <w:tcPr>
            <w:tcW w:w="2860" w:type="dxa"/>
            <w:vAlign w:val="bottom"/>
            <w:vMerge w:val="continue"/>
          </w:tcPr>
          <w:p>
            <w:pPr>
              <w:spacing w:after="0"/>
              <w:rPr>
                <w:sz w:val="10"/>
                <w:szCs w:val="10"/>
                <w:color w:val="auto"/>
              </w:rPr>
            </w:pPr>
          </w:p>
        </w:tc>
        <w:tc>
          <w:tcPr>
            <w:tcW w:w="3020" w:type="dxa"/>
            <w:vAlign w:val="bottom"/>
            <w:vMerge w:val="restart"/>
          </w:tcPr>
          <w:p>
            <w:pPr>
              <w:jc w:val="center"/>
              <w:ind w:right="128"/>
              <w:spacing w:after="0"/>
              <w:rPr>
                <w:sz w:val="20"/>
                <w:szCs w:val="20"/>
                <w:color w:val="auto"/>
              </w:rPr>
            </w:pPr>
            <w:r>
              <w:rPr>
                <w:rFonts w:ascii="Courier New" w:cs="Courier New" w:eastAsia="Courier New" w:hAnsi="Courier New"/>
                <w:sz w:val="14"/>
                <w:szCs w:val="14"/>
                <w:i w:val="1"/>
                <w:iCs w:val="1"/>
                <w:color w:val="auto"/>
              </w:rPr>
              <w:t>Classification Code Number)</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860" w:type="dxa"/>
            <w:vAlign w:val="bottom"/>
          </w:tcPr>
          <w:p>
            <w:pPr>
              <w:spacing w:after="0"/>
              <w:rPr>
                <w:sz w:val="3"/>
                <w:szCs w:val="3"/>
                <w:color w:val="auto"/>
              </w:rPr>
            </w:pPr>
          </w:p>
        </w:tc>
        <w:tc>
          <w:tcPr>
            <w:tcW w:w="3020" w:type="dxa"/>
            <w:vAlign w:val="bottom"/>
            <w:vMerge w:val="continue"/>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 Ha`Amal Street, Afek Park,</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Rosh-Ha`Ayin 4809246, Israel</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+972-3-908-5800</w:t>
      </w:r>
    </w:p>
    <w:p>
      <w:pPr>
        <w:spacing w:after="0" w:line="49" w:lineRule="exact"/>
        <w:rPr>
          <w:sz w:val="24"/>
          <w:szCs w:val="24"/>
          <w:color w:val="auto"/>
        </w:rPr>
      </w:pPr>
    </w:p>
    <w:p>
      <w:pPr>
        <w:jc w:val="center"/>
        <w:ind w:left="120" w:right="119"/>
        <w:spacing w:after="0" w:line="332" w:lineRule="auto"/>
        <w:rPr>
          <w:sz w:val="20"/>
          <w:szCs w:val="20"/>
          <w:color w:val="auto"/>
        </w:rPr>
      </w:pPr>
      <w:r>
        <w:rPr>
          <w:rFonts w:ascii="Courier New" w:cs="Courier New" w:eastAsia="Courier New" w:hAnsi="Courier New"/>
          <w:sz w:val="14"/>
          <w:szCs w:val="14"/>
          <w:i w:val="1"/>
          <w:iCs w:val="1"/>
          <w:color w:val="auto"/>
        </w:rPr>
        <w:t>(Address, including zip code, and telephone number, including area code, of Registrant’s principal executive offices)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North America Inc.</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10541-10601 North Commerce Street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Mequon, WI 53092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(262) 518-0200</w:t>
      </w:r>
    </w:p>
    <w:p>
      <w:pPr>
        <w:spacing w:after="0" w:line="49"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i w:val="1"/>
          <w:iCs w:val="1"/>
          <w:color w:val="auto"/>
        </w:rPr>
        <w:t>(Name, address, including zip code, and telephone number, including area code, of agent for service)</w:t>
      </w:r>
    </w:p>
    <w:p>
      <w:pPr>
        <w:spacing w:after="0" w:line="88"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20" w:lineRule="exact"/>
        <w:rPr>
          <w:sz w:val="24"/>
          <w:szCs w:val="24"/>
          <w:color w:val="auto"/>
        </w:rPr>
      </w:pPr>
    </w:p>
    <w:tbl>
      <w:tblPr>
        <w:tblLayout w:type="fixed"/>
        <w:tblInd w:w="260" w:type="dxa"/>
        <w:tblCellMar>
          <w:top w:w="0" w:type="dxa"/>
          <w:left w:w="0" w:type="dxa"/>
          <w:bottom w:w="0" w:type="dxa"/>
          <w:right w:w="0" w:type="dxa"/>
        </w:tblCellMar>
      </w:tblPr>
      <w:tr>
        <w:trPr>
          <w:trHeight w:val="226"/>
        </w:trPr>
        <w:tc>
          <w:tcPr>
            <w:tcW w:w="2000" w:type="dxa"/>
            <w:vAlign w:val="bottom"/>
          </w:tcPr>
          <w:p>
            <w:pPr>
              <w:spacing w:after="0"/>
              <w:rPr>
                <w:sz w:val="19"/>
                <w:szCs w:val="19"/>
                <w:color w:val="auto"/>
              </w:rPr>
            </w:pPr>
          </w:p>
        </w:tc>
        <w:tc>
          <w:tcPr>
            <w:tcW w:w="4480" w:type="dxa"/>
            <w:vAlign w:val="bottom"/>
            <w:gridSpan w:val="2"/>
          </w:tcPr>
          <w:p>
            <w:pPr>
              <w:ind w:left="1100"/>
              <w:spacing w:after="0"/>
              <w:rPr>
                <w:sz w:val="20"/>
                <w:szCs w:val="20"/>
                <w:color w:val="auto"/>
              </w:rPr>
            </w:pPr>
            <w:r>
              <w:rPr>
                <w:rFonts w:ascii="Arial" w:cs="Arial" w:eastAsia="Arial" w:hAnsi="Arial"/>
                <w:sz w:val="14"/>
                <w:szCs w:val="14"/>
                <w:color w:val="auto"/>
              </w:rPr>
              <w:t>Copies of all correspondence to:</w:t>
            </w:r>
          </w:p>
        </w:tc>
        <w:tc>
          <w:tcPr>
            <w:tcW w:w="2120" w:type="dxa"/>
            <w:vAlign w:val="bottom"/>
          </w:tcPr>
          <w:p>
            <w:pPr>
              <w:spacing w:after="0"/>
              <w:rPr>
                <w:sz w:val="19"/>
                <w:szCs w:val="19"/>
                <w:color w:val="auto"/>
              </w:rPr>
            </w:pPr>
          </w:p>
        </w:tc>
      </w:tr>
      <w:tr>
        <w:trPr>
          <w:trHeight w:val="193"/>
        </w:trPr>
        <w:tc>
          <w:tcPr>
            <w:tcW w:w="2000" w:type="dxa"/>
            <w:vAlign w:val="bottom"/>
          </w:tcPr>
          <w:p>
            <w:pPr>
              <w:jc w:val="center"/>
              <w:ind w:right="48"/>
              <w:spacing w:after="0"/>
              <w:rPr>
                <w:sz w:val="20"/>
                <w:szCs w:val="20"/>
                <w:color w:val="auto"/>
              </w:rPr>
            </w:pPr>
            <w:r>
              <w:rPr>
                <w:rFonts w:ascii="Arial" w:cs="Arial" w:eastAsia="Arial" w:hAnsi="Arial"/>
                <w:sz w:val="14"/>
                <w:szCs w:val="14"/>
                <w:b w:val="1"/>
                <w:bCs w:val="1"/>
                <w:color w:val="auto"/>
              </w:rPr>
              <w:t>Colin J. Diamond, Esq</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Cliﬀord M. J. Felig, Adv.</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David Goldschmidt, Esq.</w:t>
            </w:r>
          </w:p>
        </w:tc>
        <w:tc>
          <w:tcPr>
            <w:tcW w:w="2120" w:type="dxa"/>
            <w:vAlign w:val="bottom"/>
          </w:tcPr>
          <w:p>
            <w:pPr>
              <w:jc w:val="center"/>
              <w:ind w:left="48"/>
              <w:spacing w:after="0"/>
              <w:rPr>
                <w:sz w:val="20"/>
                <w:szCs w:val="20"/>
                <w:color w:val="auto"/>
              </w:rPr>
            </w:pPr>
            <w:r>
              <w:rPr>
                <w:rFonts w:ascii="Arial" w:cs="Arial" w:eastAsia="Arial" w:hAnsi="Arial"/>
                <w:sz w:val="14"/>
                <w:szCs w:val="14"/>
                <w:b w:val="1"/>
                <w:bCs w:val="1"/>
                <w:color w:val="auto"/>
              </w:rPr>
              <w:t>Shachar Hadar, Adv.</w:t>
            </w:r>
          </w:p>
        </w:tc>
      </w:tr>
      <w:tr>
        <w:trPr>
          <w:trHeight w:val="176"/>
        </w:trPr>
        <w:tc>
          <w:tcPr>
            <w:tcW w:w="2000" w:type="dxa"/>
            <w:vAlign w:val="bottom"/>
          </w:tcPr>
          <w:p>
            <w:pPr>
              <w:jc w:val="center"/>
              <w:ind w:right="48"/>
              <w:spacing w:after="0"/>
              <w:rPr>
                <w:sz w:val="20"/>
                <w:szCs w:val="20"/>
                <w:color w:val="auto"/>
              </w:rPr>
            </w:pPr>
            <w:r>
              <w:rPr>
                <w:rFonts w:ascii="Arial" w:cs="Arial" w:eastAsia="Arial" w:hAnsi="Arial"/>
                <w:sz w:val="14"/>
                <w:szCs w:val="14"/>
                <w:b w:val="1"/>
                <w:bCs w:val="1"/>
                <w:color w:val="auto"/>
              </w:rPr>
              <w:t>Joshua G. Kiernan, Esq.</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Aviv Avidan-Shalit, Adv.</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Phyllis G. Korﬀ, Esq.</w:t>
            </w:r>
          </w:p>
        </w:tc>
        <w:tc>
          <w:tcPr>
            <w:tcW w:w="2120" w:type="dxa"/>
            <w:vAlign w:val="bottom"/>
          </w:tcPr>
          <w:p>
            <w:pPr>
              <w:jc w:val="center"/>
              <w:ind w:left="48"/>
              <w:spacing w:after="0"/>
              <w:rPr>
                <w:sz w:val="20"/>
                <w:szCs w:val="20"/>
                <w:color w:val="auto"/>
              </w:rPr>
            </w:pPr>
            <w:r>
              <w:rPr>
                <w:rFonts w:ascii="Arial" w:cs="Arial" w:eastAsia="Arial" w:hAnsi="Arial"/>
                <w:sz w:val="14"/>
                <w:szCs w:val="14"/>
                <w:b w:val="1"/>
                <w:bCs w:val="1"/>
                <w:color w:val="auto"/>
              </w:rPr>
              <w:t>Gross, Kleinhendler,</w:t>
            </w:r>
          </w:p>
        </w:tc>
      </w:tr>
      <w:tr>
        <w:trPr>
          <w:trHeight w:val="176"/>
        </w:trPr>
        <w:tc>
          <w:tcPr>
            <w:tcW w:w="2000" w:type="dxa"/>
            <w:vAlign w:val="bottom"/>
          </w:tcPr>
          <w:p>
            <w:pPr>
              <w:jc w:val="center"/>
              <w:ind w:right="48"/>
              <w:spacing w:after="0"/>
              <w:rPr>
                <w:sz w:val="20"/>
                <w:szCs w:val="20"/>
                <w:color w:val="auto"/>
              </w:rPr>
            </w:pPr>
            <w:r>
              <w:rPr>
                <w:rFonts w:ascii="Arial" w:cs="Arial" w:eastAsia="Arial" w:hAnsi="Arial"/>
                <w:sz w:val="14"/>
                <w:szCs w:val="14"/>
                <w:b w:val="1"/>
                <w:bCs w:val="1"/>
                <w:color w:val="auto"/>
              </w:rPr>
              <w:t>White &amp; Case LLP</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Meitar Liquornik Geva</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Skadden, Arps, Slate,</w:t>
            </w:r>
          </w:p>
        </w:tc>
        <w:tc>
          <w:tcPr>
            <w:tcW w:w="2120" w:type="dxa"/>
            <w:vAlign w:val="bottom"/>
          </w:tcPr>
          <w:p>
            <w:pPr>
              <w:jc w:val="center"/>
              <w:ind w:left="48"/>
              <w:spacing w:after="0"/>
              <w:rPr>
                <w:sz w:val="20"/>
                <w:szCs w:val="20"/>
                <w:color w:val="auto"/>
              </w:rPr>
            </w:pPr>
            <w:r>
              <w:rPr>
                <w:rFonts w:ascii="Arial" w:cs="Arial" w:eastAsia="Arial" w:hAnsi="Arial"/>
                <w:sz w:val="14"/>
                <w:szCs w:val="14"/>
                <w:b w:val="1"/>
                <w:bCs w:val="1"/>
                <w:color w:val="auto"/>
              </w:rPr>
              <w:t>Hodak,</w:t>
            </w:r>
          </w:p>
        </w:tc>
      </w:tr>
      <w:tr>
        <w:trPr>
          <w:trHeight w:val="176"/>
        </w:trPr>
        <w:tc>
          <w:tcPr>
            <w:tcW w:w="2000" w:type="dxa"/>
            <w:vAlign w:val="bottom"/>
          </w:tcPr>
          <w:p>
            <w:pPr>
              <w:jc w:val="center"/>
              <w:ind w:right="68"/>
              <w:spacing w:after="0"/>
              <w:rPr>
                <w:sz w:val="20"/>
                <w:szCs w:val="20"/>
                <w:color w:val="auto"/>
              </w:rPr>
            </w:pPr>
            <w:r>
              <w:rPr>
                <w:rFonts w:ascii="Arial" w:cs="Arial" w:eastAsia="Arial" w:hAnsi="Arial"/>
                <w:sz w:val="14"/>
                <w:szCs w:val="14"/>
                <w:b w:val="1"/>
                <w:bCs w:val="1"/>
                <w:color w:val="auto"/>
              </w:rPr>
              <w:t>1155 Avenue of the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Leshem Tal</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Meagher &amp; Flom LLP</w:t>
            </w:r>
          </w:p>
        </w:tc>
        <w:tc>
          <w:tcPr>
            <w:tcW w:w="2120" w:type="dxa"/>
            <w:vAlign w:val="bottom"/>
          </w:tcPr>
          <w:p>
            <w:pPr>
              <w:jc w:val="center"/>
              <w:ind w:left="48"/>
              <w:spacing w:after="0"/>
              <w:rPr>
                <w:sz w:val="20"/>
                <w:szCs w:val="20"/>
                <w:color w:val="auto"/>
              </w:rPr>
            </w:pPr>
            <w:r>
              <w:rPr>
                <w:rFonts w:ascii="Arial" w:cs="Arial" w:eastAsia="Arial" w:hAnsi="Arial"/>
                <w:sz w:val="14"/>
                <w:szCs w:val="14"/>
                <w:b w:val="1"/>
                <w:bCs w:val="1"/>
                <w:color w:val="auto"/>
              </w:rPr>
              <w:t>Halevy, Greenberg &amp; Co.</w:t>
            </w:r>
          </w:p>
        </w:tc>
      </w:tr>
      <w:tr>
        <w:trPr>
          <w:trHeight w:val="176"/>
        </w:trPr>
        <w:tc>
          <w:tcPr>
            <w:tcW w:w="2000" w:type="dxa"/>
            <w:vAlign w:val="bottom"/>
          </w:tcPr>
          <w:p>
            <w:pPr>
              <w:jc w:val="center"/>
              <w:ind w:right="48"/>
              <w:spacing w:after="0"/>
              <w:rPr>
                <w:sz w:val="20"/>
                <w:szCs w:val="20"/>
                <w:color w:val="auto"/>
              </w:rPr>
            </w:pPr>
            <w:r>
              <w:rPr>
                <w:rFonts w:ascii="Arial" w:cs="Arial" w:eastAsia="Arial" w:hAnsi="Arial"/>
                <w:sz w:val="14"/>
                <w:szCs w:val="14"/>
                <w:b w:val="1"/>
                <w:bCs w:val="1"/>
                <w:color w:val="auto"/>
              </w:rPr>
              <w:t>Americas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16 Abba Hillel Silver Rd.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4 Times Square</w:t>
            </w:r>
          </w:p>
        </w:tc>
        <w:tc>
          <w:tcPr>
            <w:tcW w:w="2120" w:type="dxa"/>
            <w:vAlign w:val="bottom"/>
          </w:tcPr>
          <w:p>
            <w:pPr>
              <w:jc w:val="center"/>
              <w:ind w:left="48"/>
              <w:spacing w:after="0"/>
              <w:rPr>
                <w:sz w:val="20"/>
                <w:szCs w:val="20"/>
                <w:color w:val="auto"/>
              </w:rPr>
            </w:pPr>
            <w:r>
              <w:rPr>
                <w:rFonts w:ascii="Arial" w:cs="Arial" w:eastAsia="Arial" w:hAnsi="Arial"/>
                <w:sz w:val="14"/>
                <w:szCs w:val="14"/>
                <w:b w:val="1"/>
                <w:bCs w:val="1"/>
                <w:color w:val="auto"/>
              </w:rPr>
              <w:t>One Azrieli Center</w:t>
            </w:r>
          </w:p>
        </w:tc>
      </w:tr>
      <w:tr>
        <w:trPr>
          <w:trHeight w:val="176"/>
        </w:trPr>
        <w:tc>
          <w:tcPr>
            <w:tcW w:w="2000" w:type="dxa"/>
            <w:vAlign w:val="bottom"/>
          </w:tcPr>
          <w:p>
            <w:pPr>
              <w:jc w:val="center"/>
              <w:ind w:right="48"/>
              <w:spacing w:after="0"/>
              <w:rPr>
                <w:sz w:val="20"/>
                <w:szCs w:val="20"/>
                <w:color w:val="auto"/>
              </w:rPr>
            </w:pPr>
            <w:r>
              <w:rPr>
                <w:rFonts w:ascii="Arial" w:cs="Arial" w:eastAsia="Arial" w:hAnsi="Arial"/>
                <w:sz w:val="14"/>
                <w:szCs w:val="14"/>
                <w:b w:val="1"/>
                <w:bCs w:val="1"/>
                <w:color w:val="auto"/>
              </w:rPr>
              <w:t>New York, NY 10036</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Ramat Gan 5250608,</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New York, NY 10036</w:t>
            </w:r>
          </w:p>
        </w:tc>
        <w:tc>
          <w:tcPr>
            <w:tcW w:w="2120" w:type="dxa"/>
            <w:vAlign w:val="bottom"/>
          </w:tcPr>
          <w:p>
            <w:pPr>
              <w:jc w:val="center"/>
              <w:ind w:left="48"/>
              <w:spacing w:after="0"/>
              <w:rPr>
                <w:sz w:val="20"/>
                <w:szCs w:val="20"/>
                <w:color w:val="auto"/>
              </w:rPr>
            </w:pPr>
            <w:r>
              <w:rPr>
                <w:rFonts w:ascii="Arial" w:cs="Arial" w:eastAsia="Arial" w:hAnsi="Arial"/>
                <w:sz w:val="14"/>
                <w:szCs w:val="14"/>
                <w:b w:val="1"/>
                <w:bCs w:val="1"/>
                <w:color w:val="auto"/>
              </w:rPr>
              <w:t>Tel Aviv 67021, Israel</w:t>
            </w:r>
          </w:p>
        </w:tc>
      </w:tr>
      <w:tr>
        <w:trPr>
          <w:trHeight w:val="176"/>
        </w:trPr>
        <w:tc>
          <w:tcPr>
            <w:tcW w:w="2000" w:type="dxa"/>
            <w:vAlign w:val="bottom"/>
          </w:tcPr>
          <w:p>
            <w:pPr>
              <w:jc w:val="center"/>
              <w:ind w:right="48"/>
              <w:spacing w:after="0"/>
              <w:rPr>
                <w:sz w:val="20"/>
                <w:szCs w:val="20"/>
                <w:color w:val="auto"/>
              </w:rPr>
            </w:pPr>
            <w:r>
              <w:rPr>
                <w:rFonts w:ascii="Arial" w:cs="Arial" w:eastAsia="Arial" w:hAnsi="Arial"/>
                <w:sz w:val="14"/>
                <w:szCs w:val="14"/>
                <w:b w:val="1"/>
                <w:bCs w:val="1"/>
                <w:color w:val="auto"/>
              </w:rPr>
              <w:t>Tel: (212) 819-8200</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Israel</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Tel: (212) 735-3000</w:t>
            </w:r>
          </w:p>
        </w:tc>
        <w:tc>
          <w:tcPr>
            <w:tcW w:w="2120" w:type="dxa"/>
            <w:vAlign w:val="bottom"/>
          </w:tcPr>
          <w:p>
            <w:pPr>
              <w:jc w:val="center"/>
              <w:ind w:left="28"/>
              <w:spacing w:after="0"/>
              <w:rPr>
                <w:sz w:val="20"/>
                <w:szCs w:val="20"/>
                <w:color w:val="auto"/>
              </w:rPr>
            </w:pPr>
            <w:r>
              <w:rPr>
                <w:rFonts w:ascii="Arial" w:cs="Arial" w:eastAsia="Arial" w:hAnsi="Arial"/>
                <w:sz w:val="14"/>
                <w:szCs w:val="14"/>
                <w:b w:val="1"/>
                <w:bCs w:val="1"/>
                <w:color w:val="auto"/>
              </w:rPr>
              <w:t>Tel: +972-3-607-4444</w:t>
            </w:r>
          </w:p>
        </w:tc>
      </w:tr>
      <w:tr>
        <w:trPr>
          <w:trHeight w:val="176"/>
        </w:trPr>
        <w:tc>
          <w:tcPr>
            <w:tcW w:w="2000" w:type="dxa"/>
            <w:vAlign w:val="bottom"/>
          </w:tcPr>
          <w:p>
            <w:pPr>
              <w:jc w:val="center"/>
              <w:ind w:right="48"/>
              <w:spacing w:after="0"/>
              <w:rPr>
                <w:sz w:val="20"/>
                <w:szCs w:val="20"/>
                <w:color w:val="auto"/>
              </w:rPr>
            </w:pPr>
            <w:r>
              <w:rPr>
                <w:rFonts w:ascii="Arial" w:cs="Arial" w:eastAsia="Arial" w:hAnsi="Arial"/>
                <w:sz w:val="14"/>
                <w:szCs w:val="14"/>
                <w:b w:val="1"/>
                <w:bCs w:val="1"/>
                <w:color w:val="auto"/>
              </w:rPr>
              <w:t>Fax: (212) 354-8113</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Tel: +972-3-610-3100</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Fax: (212) 735-2000</w:t>
            </w:r>
          </w:p>
        </w:tc>
        <w:tc>
          <w:tcPr>
            <w:tcW w:w="2120" w:type="dxa"/>
            <w:vAlign w:val="bottom"/>
          </w:tcPr>
          <w:p>
            <w:pPr>
              <w:jc w:val="center"/>
              <w:ind w:left="48"/>
              <w:spacing w:after="0"/>
              <w:rPr>
                <w:sz w:val="20"/>
                <w:szCs w:val="20"/>
                <w:color w:val="auto"/>
              </w:rPr>
            </w:pPr>
            <w:r>
              <w:rPr>
                <w:rFonts w:ascii="Arial" w:cs="Arial" w:eastAsia="Arial" w:hAnsi="Arial"/>
                <w:sz w:val="14"/>
                <w:szCs w:val="14"/>
                <w:b w:val="1"/>
                <w:bCs w:val="1"/>
                <w:color w:val="auto"/>
              </w:rPr>
              <w:t>Fax: +972-3-607-4470</w:t>
            </w:r>
          </w:p>
        </w:tc>
      </w:tr>
      <w:tr>
        <w:trPr>
          <w:trHeight w:val="203"/>
        </w:trPr>
        <w:tc>
          <w:tcPr>
            <w:tcW w:w="20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Fax: +972-3-610-3111</w:t>
            </w:r>
          </w:p>
        </w:tc>
        <w:tc>
          <w:tcPr>
            <w:tcW w:w="226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ind w:left="3380"/>
        <w:spacing w:after="0" w:line="238" w:lineRule="auto"/>
        <w:rPr>
          <w:sz w:val="20"/>
          <w:szCs w:val="20"/>
          <w:color w:val="auto"/>
        </w:rPr>
      </w:pPr>
      <w:r>
        <w:rPr>
          <w:rFonts w:ascii="Arial" w:cs="Arial" w:eastAsia="Arial" w:hAnsi="Arial"/>
          <w:sz w:val="18"/>
          <w:szCs w:val="18"/>
          <w:b w:val="1"/>
          <w:bCs w:val="1"/>
          <w:color w:val="auto"/>
        </w:rPr>
        <w:t>_________________________</w:t>
      </w:r>
    </w:p>
    <w:p>
      <w:pPr>
        <w:ind w:left="120" w:right="1039"/>
        <w:spacing w:after="0" w:line="265" w:lineRule="auto"/>
        <w:rPr>
          <w:sz w:val="20"/>
          <w:szCs w:val="20"/>
          <w:color w:val="auto"/>
        </w:rPr>
      </w:pPr>
      <w:r>
        <w:rPr>
          <w:rFonts w:ascii="Arial" w:cs="Arial" w:eastAsia="Arial" w:hAnsi="Arial"/>
          <w:sz w:val="16"/>
          <w:szCs w:val="16"/>
          <w:color w:val="auto"/>
        </w:rPr>
        <w:t>Approximate date of commencement of proposed sale to the public: As soon as practicable after eﬀectiveness of this registration statement.</w:t>
      </w:r>
    </w:p>
    <w:p>
      <w:pPr>
        <w:spacing w:after="0" w:line="1" w:lineRule="exact"/>
        <w:rPr>
          <w:sz w:val="24"/>
          <w:szCs w:val="24"/>
          <w:color w:val="auto"/>
        </w:rPr>
      </w:pPr>
    </w:p>
    <w:p>
      <w:pPr>
        <w:ind w:left="120" w:right="499"/>
        <w:spacing w:after="0" w:line="239" w:lineRule="exact"/>
        <w:rPr>
          <w:sz w:val="20"/>
          <w:szCs w:val="20"/>
          <w:color w:val="auto"/>
        </w:rPr>
      </w:pPr>
      <w:r>
        <w:rPr>
          <w:rFonts w:ascii="Arial" w:cs="Arial" w:eastAsia="Arial" w:hAnsi="Arial"/>
          <w:sz w:val="16"/>
          <w:szCs w:val="16"/>
          <w:color w:val="auto"/>
        </w:rPr>
        <w:t xml:space="preserve">If any of the securities being registered on this Form are to be oﬀered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9" w:lineRule="exact"/>
        <w:rPr>
          <w:sz w:val="24"/>
          <w:szCs w:val="24"/>
          <w:color w:val="auto"/>
        </w:rPr>
      </w:pPr>
    </w:p>
    <w:p>
      <w:pPr>
        <w:ind w:left="120" w:right="559"/>
        <w:spacing w:after="0" w:line="231" w:lineRule="exact"/>
        <w:rPr>
          <w:sz w:val="20"/>
          <w:szCs w:val="20"/>
          <w:color w:val="auto"/>
        </w:rPr>
      </w:pPr>
      <w:r>
        <w:rPr>
          <w:rFonts w:ascii="Arial" w:cs="Arial" w:eastAsia="Arial" w:hAnsi="Arial"/>
          <w:sz w:val="16"/>
          <w:szCs w:val="16"/>
          <w:color w:val="auto"/>
        </w:rPr>
        <w:t xml:space="preserve">If this Form is filed to register additional securities for an oﬀering pursuant to Rule 462(b) under the Securities Act, check the following box and list the Securities Act registration statement number of the earlier eﬀective registration statement for the same oﬀering. </w:t>
      </w:r>
      <w:r>
        <w:rPr>
          <w:rFonts w:ascii="MS PGothic" w:cs="MS PGothic" w:eastAsia="MS PGothic" w:hAnsi="MS PGothic"/>
          <w:sz w:val="18"/>
          <w:szCs w:val="18"/>
          <w:color w:val="auto"/>
        </w:rPr>
        <w:t>☐</w:t>
      </w:r>
    </w:p>
    <w:p>
      <w:pPr>
        <w:spacing w:after="0" w:line="10" w:lineRule="exact"/>
        <w:rPr>
          <w:sz w:val="24"/>
          <w:szCs w:val="24"/>
          <w:color w:val="auto"/>
        </w:rPr>
      </w:pPr>
    </w:p>
    <w:p>
      <w:pPr>
        <w:ind w:left="120" w:right="179"/>
        <w:spacing w:after="0" w:line="231" w:lineRule="exact"/>
        <w:rPr>
          <w:sz w:val="20"/>
          <w:szCs w:val="20"/>
          <w:color w:val="auto"/>
        </w:rPr>
      </w:pPr>
      <w:r>
        <w:rPr>
          <w:rFonts w:ascii="Arial" w:cs="Arial" w:eastAsia="Arial" w:hAnsi="Arial"/>
          <w:sz w:val="16"/>
          <w:szCs w:val="16"/>
          <w:color w:val="auto"/>
        </w:rPr>
        <w:t xml:space="preserve">If this Form is a post-eﬀective amendment filed pursuant to Rule 462(c) under the Securities Act, check the following box and list the Securities Act registration statement number of the earlier eﬀective registration statement for the same oﬀering. </w:t>
      </w:r>
      <w:r>
        <w:rPr>
          <w:rFonts w:ascii="MS PGothic" w:cs="MS PGothic" w:eastAsia="MS PGothic" w:hAnsi="MS PGothic"/>
          <w:sz w:val="18"/>
          <w:szCs w:val="18"/>
          <w:color w:val="auto"/>
        </w:rPr>
        <w:t>☐</w:t>
      </w:r>
    </w:p>
    <w:p>
      <w:pPr>
        <w:spacing w:after="0" w:line="2" w:lineRule="exact"/>
        <w:rPr>
          <w:sz w:val="24"/>
          <w:szCs w:val="24"/>
          <w:color w:val="auto"/>
        </w:rPr>
      </w:pPr>
    </w:p>
    <w:p>
      <w:pPr>
        <w:ind w:left="120" w:right="159"/>
        <w:spacing w:after="0" w:line="208" w:lineRule="exact"/>
        <w:rPr>
          <w:sz w:val="20"/>
          <w:szCs w:val="20"/>
          <w:color w:val="auto"/>
        </w:rPr>
      </w:pPr>
      <w:r>
        <w:rPr>
          <w:rFonts w:ascii="Arial" w:cs="Arial" w:eastAsia="Arial" w:hAnsi="Arial"/>
          <w:sz w:val="16"/>
          <w:szCs w:val="16"/>
          <w:color w:val="auto"/>
        </w:rPr>
        <w:t xml:space="preserve">If this Form is a post-eﬀective amendment filed pursuant to Rule 462(d) under the Securities Act, check the following box and list the Securities Act registration statement number of the earlier eﬀective registration statement for the same oﬀering. </w:t>
      </w:r>
      <w:r>
        <w:rPr>
          <w:rFonts w:ascii="MS PGothic" w:cs="MS PGothic" w:eastAsia="MS PGothic" w:hAnsi="MS PGothic"/>
          <w:sz w:val="18"/>
          <w:szCs w:val="18"/>
          <w:color w:val="auto"/>
        </w:rPr>
        <w:t>☐</w:t>
      </w: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90"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020" w:type="dxa"/>
            <w:vAlign w:val="bottom"/>
            <w:gridSpan w:val="3"/>
          </w:tcPr>
          <w:p>
            <w:pPr>
              <w:ind w:left="2880"/>
              <w:spacing w:after="0"/>
              <w:rPr>
                <w:sz w:val="20"/>
                <w:szCs w:val="20"/>
                <w:color w:val="auto"/>
              </w:rPr>
            </w:pPr>
            <w:r>
              <w:rPr>
                <w:rFonts w:ascii="Arial" w:cs="Arial" w:eastAsia="Arial" w:hAnsi="Arial"/>
                <w:sz w:val="14"/>
                <w:szCs w:val="14"/>
                <w:b w:val="1"/>
                <w:bCs w:val="1"/>
                <w:color w:val="auto"/>
              </w:rPr>
              <w:t>CALCULATION OF REGISTRATION FEE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Proposed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oﬀering</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registration</w:t>
            </w:r>
          </w:p>
        </w:tc>
        <w:tc>
          <w:tcPr>
            <w:tcW w:w="0" w:type="dxa"/>
            <w:vAlign w:val="bottom"/>
          </w:tcPr>
          <w:p>
            <w:pPr>
              <w:spacing w:after="0"/>
              <w:rPr>
                <w:sz w:val="1"/>
                <w:szCs w:val="1"/>
                <w:color w:val="auto"/>
              </w:rPr>
            </w:pPr>
          </w:p>
        </w:tc>
      </w:tr>
      <w:tr>
        <w:trPr>
          <w:trHeight w:val="216"/>
        </w:trPr>
        <w:tc>
          <w:tcPr>
            <w:tcW w:w="5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price</w:t>
            </w:r>
            <w:r>
              <w:rPr>
                <w:rFonts w:ascii="Arial" w:cs="Arial" w:eastAsia="Arial" w:hAnsi="Arial"/>
                <w:sz w:val="12"/>
                <w:szCs w:val="12"/>
                <w:b w:val="1"/>
                <w:bCs w:val="1"/>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Ordinary shares, par value NIS 0.01 per share</w:t>
            </w: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$ 115,000,000</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13,363</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_________________________</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40" w:right="219" w:hanging="315"/>
        <w:spacing w:after="0" w:line="273" w:lineRule="auto"/>
        <w:tabs>
          <w:tab w:leader="none" w:pos="462"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w:t>
      </w:r>
    </w:p>
    <w:p>
      <w:pPr>
        <w:spacing w:after="0" w:line="215" w:lineRule="exact"/>
        <w:rPr>
          <w:rFonts w:ascii="Arial" w:cs="Arial" w:eastAsia="Arial" w:hAnsi="Arial"/>
          <w:sz w:val="14"/>
          <w:szCs w:val="14"/>
          <w:color w:val="auto"/>
        </w:rPr>
      </w:pPr>
    </w:p>
    <w:p>
      <w:pPr>
        <w:ind w:left="440" w:right="719" w:hanging="315"/>
        <w:spacing w:after="0" w:line="292" w:lineRule="auto"/>
        <w:tabs>
          <w:tab w:leader="none" w:pos="462"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ordinary shares that the underwriters may purchase pursuant to their option to purchase additional ordinary shares.</w:t>
      </w:r>
    </w:p>
    <w:p>
      <w:pPr>
        <w:spacing w:after="0" w:line="196"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57" w:lineRule="exact"/>
        <w:rPr>
          <w:sz w:val="24"/>
          <w:szCs w:val="24"/>
          <w:color w:val="auto"/>
        </w:rPr>
      </w:pPr>
    </w:p>
    <w:p>
      <w:pPr>
        <w:ind w:left="120" w:right="299"/>
        <w:spacing w:after="0" w:line="30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eﬀective date until the Registrant shall file a further amendment which specifically states that this Registration Statement shall thereafter become eﬀective in accordance with Section 8(a) of the</w:t>
      </w:r>
    </w:p>
    <w:p>
      <w:pPr>
        <w:sectPr>
          <w:pgSz w:w="11900" w:h="16838" w:orient="portrait"/>
          <w:cols w:equalWidth="0" w:num="1">
            <w:col w:w="9019"/>
          </w:cols>
          <w:pgMar w:left="1440" w:top="532" w:right="1440" w:bottom="0" w:gutter="0" w:footer="0" w:header="0"/>
        </w:sectPr>
      </w:pPr>
    </w:p>
    <w:bookmarkStart w:id="1" w:name="page2"/>
    <w:bookmarkEnd w:id="1"/>
    <w:p>
      <w:pPr>
        <w:ind w:left="120" w:right="119"/>
        <w:spacing w:after="0" w:line="358" w:lineRule="auto"/>
        <w:rPr>
          <w:sz w:val="20"/>
          <w:szCs w:val="20"/>
          <w:color w:val="auto"/>
        </w:rPr>
      </w:pPr>
      <w:r>
        <w:rPr>
          <w:rFonts w:ascii="Arial" w:cs="Arial" w:eastAsia="Arial" w:hAnsi="Arial"/>
          <w:sz w:val="14"/>
          <w:szCs w:val="14"/>
          <w:b w:val="1"/>
          <w:bCs w:val="1"/>
          <w:color w:val="auto"/>
        </w:rPr>
        <w:t>Securities Act or until the Registration Statement shall become eﬀective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118745</wp:posOffset>
            </wp:positionV>
            <wp:extent cx="5574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jc w:val="both"/>
        <w:ind w:left="120" w:right="199"/>
        <w:spacing w:after="0" w:line="280" w:lineRule="auto"/>
        <w:rPr>
          <w:sz w:val="20"/>
          <w:szCs w:val="20"/>
          <w:color w:val="auto"/>
        </w:rPr>
      </w:pPr>
      <w:r>
        <w:rPr>
          <w:rFonts w:ascii="Arial" w:cs="Arial" w:eastAsia="Arial" w:hAnsi="Arial"/>
          <w:sz w:val="18"/>
          <w:szCs w:val="18"/>
          <w:color w:val="D80000"/>
        </w:rPr>
        <w:t>The information in this prospectus is not complete and may be changed. We may not sell these securities until the registration statement filed with the Securities and Exchange Commission is eﬀective. This prospectus is not an oﬀer to sell these securities and it is not soliciting an oﬀer to buy these securities in any state where the oﬀer or sale is not permitted.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D80000"/>
        </w:rPr>
        <w:t>Subject to Completion, dated February 25, 2015</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Preliminary Prospectus</w:t>
      </w:r>
    </w:p>
    <w:p>
      <w:pPr>
        <w:spacing w:after="0" w:line="139"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156845</wp:posOffset>
            </wp:positionV>
            <wp:extent cx="2280920" cy="141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9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Kornit Digital Ltd.</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Ordinary Shares</w:t>
      </w:r>
    </w:p>
    <w:p>
      <w:pPr>
        <w:spacing w:after="0" w:line="4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ectPr>
          <w:pgSz w:w="11900" w:h="16838" w:orient="portrait"/>
          <w:cols w:equalWidth="0" w:num="1">
            <w:col w:w="9019"/>
          </w:cols>
          <w:pgMar w:left="1440" w:top="91" w:right="1440" w:bottom="887" w:gutter="0" w:footer="0" w:header="0"/>
        </w:sectPr>
      </w:pPr>
    </w:p>
    <w:p>
      <w:pPr>
        <w:spacing w:after="0" w:line="129" w:lineRule="exact"/>
        <w:rPr>
          <w:sz w:val="20"/>
          <w:szCs w:val="20"/>
          <w:color w:val="auto"/>
        </w:rPr>
      </w:pPr>
    </w:p>
    <w:p>
      <w:pPr>
        <w:ind w:left="120" w:right="440" w:firstLine="216"/>
        <w:spacing w:after="0" w:line="289" w:lineRule="auto"/>
        <w:rPr>
          <w:sz w:val="20"/>
          <w:szCs w:val="20"/>
          <w:color w:val="auto"/>
        </w:rPr>
      </w:pPr>
      <w:r>
        <w:rPr>
          <w:rFonts w:ascii="Arial" w:cs="Arial" w:eastAsia="Arial" w:hAnsi="Arial"/>
          <w:sz w:val="18"/>
          <w:szCs w:val="18"/>
          <w:color w:val="auto"/>
        </w:rPr>
        <w:t>This is Kornit Digital Ltd.’s initial public oﬀering. We are selling shares.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of our ordinary</w:t>
      </w:r>
    </w:p>
    <w:p>
      <w:pPr>
        <w:spacing w:after="0" w:line="242" w:lineRule="exact"/>
        <w:rPr>
          <w:sz w:val="20"/>
          <w:szCs w:val="20"/>
          <w:color w:val="auto"/>
        </w:rPr>
      </w:pPr>
    </w:p>
    <w:p>
      <w:pPr>
        <w:sectPr>
          <w:pgSz w:w="11900" w:h="16838" w:orient="portrait"/>
          <w:cols w:equalWidth="0" w:num="2">
            <w:col w:w="6400" w:space="720"/>
            <w:col w:w="1899"/>
          </w:cols>
          <w:pgMar w:left="1440" w:top="91" w:right="1440" w:bottom="887" w:gutter="0" w:footer="0" w:header="0"/>
          <w:type w:val="continuous"/>
        </w:sectPr>
      </w:pPr>
    </w:p>
    <w:p>
      <w:pPr>
        <w:spacing w:after="0" w:line="199" w:lineRule="exact"/>
        <w:rPr>
          <w:sz w:val="20"/>
          <w:szCs w:val="20"/>
          <w:color w:val="auto"/>
        </w:rPr>
      </w:pPr>
    </w:p>
    <w:p>
      <w:pPr>
        <w:ind w:left="340"/>
        <w:spacing w:after="0"/>
        <w:tabs>
          <w:tab w:leader="none" w:pos="5400" w:val="left"/>
          <w:tab w:leader="none" w:pos="6380" w:val="left"/>
        </w:tabs>
        <w:rPr>
          <w:sz w:val="20"/>
          <w:szCs w:val="20"/>
          <w:color w:val="auto"/>
        </w:rPr>
      </w:pPr>
      <w:r>
        <w:rPr>
          <w:rFonts w:ascii="Arial" w:cs="Arial" w:eastAsia="Arial" w:hAnsi="Arial"/>
          <w:sz w:val="18"/>
          <w:szCs w:val="18"/>
          <w:color w:val="auto"/>
        </w:rPr>
        <w:t>We expect the public oﬀering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Prior to this</w:t>
      </w:r>
    </w:p>
    <w:p>
      <w:pPr>
        <w:sectPr>
          <w:pgSz w:w="11900" w:h="16838" w:orient="portrait"/>
          <w:cols w:equalWidth="0" w:num="1">
            <w:col w:w="9019"/>
          </w:cols>
          <w:pgMar w:left="1440" w:top="91" w:right="1440" w:bottom="887" w:gutter="0" w:footer="0" w:header="0"/>
          <w:type w:val="continuous"/>
        </w:sectPr>
      </w:pPr>
    </w:p>
    <w:p>
      <w:pPr>
        <w:spacing w:after="0" w:line="76" w:lineRule="exact"/>
        <w:rPr>
          <w:sz w:val="20"/>
          <w:szCs w:val="20"/>
          <w:color w:val="auto"/>
        </w:rPr>
      </w:pPr>
    </w:p>
    <w:p>
      <w:pPr>
        <w:ind w:left="120" w:right="119"/>
        <w:spacing w:after="0" w:line="261" w:lineRule="auto"/>
        <w:rPr>
          <w:sz w:val="20"/>
          <w:szCs w:val="20"/>
          <w:color w:val="auto"/>
        </w:rPr>
      </w:pPr>
      <w:r>
        <w:rPr>
          <w:rFonts w:ascii="Arial" w:cs="Arial" w:eastAsia="Arial" w:hAnsi="Arial"/>
          <w:sz w:val="18"/>
          <w:szCs w:val="18"/>
          <w:color w:val="auto"/>
        </w:rPr>
        <w:t>oﬀering, there has been no public market for our ordinary shares. We intend to apply to have the ordinary shares listed on the NASDAQ Global Market under the symbol “KRNT.”</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9"/>
                <w:szCs w:val="19"/>
                <w:color w:val="auto"/>
              </w:rPr>
            </w:pPr>
          </w:p>
        </w:tc>
        <w:tc>
          <w:tcPr>
            <w:tcW w:w="140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oﬀering price</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34"/>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34"/>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3"/>
                <w:szCs w:val="23"/>
                <w:color w:val="auto"/>
                <w:vertAlign w:val="superscript"/>
              </w:rPr>
              <w:t>(1)</w:t>
            </w:r>
          </w:p>
        </w:tc>
        <w:tc>
          <w:tcPr>
            <w:tcW w:w="2180" w:type="dxa"/>
            <w:vAlign w:val="bottom"/>
            <w:gridSpan w:val="2"/>
          </w:tcPr>
          <w:p>
            <w:pPr>
              <w:jc w:val="right"/>
              <w:ind w:right="1034"/>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r>
      <w:tr>
        <w:trPr>
          <w:trHeight w:val="238"/>
        </w:trPr>
        <w:tc>
          <w:tcPr>
            <w:tcW w:w="4860" w:type="dxa"/>
            <w:vAlign w:val="bottom"/>
            <w:gridSpan w:val="2"/>
          </w:tcPr>
          <w:p>
            <w:pPr>
              <w:spacing w:after="0"/>
              <w:rPr>
                <w:sz w:val="20"/>
                <w:szCs w:val="20"/>
                <w:color w:val="auto"/>
              </w:rPr>
            </w:pPr>
            <w:r>
              <w:rPr>
                <w:rFonts w:ascii="Arial" w:cs="Arial" w:eastAsia="Arial" w:hAnsi="Arial"/>
                <w:sz w:val="18"/>
                <w:szCs w:val="18"/>
                <w:color w:val="auto"/>
              </w:rPr>
              <w:t>Proceeds, before expenses, to us</w:t>
            </w:r>
          </w:p>
        </w:tc>
        <w:tc>
          <w:tcPr>
            <w:tcW w:w="2180" w:type="dxa"/>
            <w:vAlign w:val="bottom"/>
            <w:gridSpan w:val="2"/>
          </w:tcPr>
          <w:p>
            <w:pPr>
              <w:jc w:val="right"/>
              <w:ind w:right="103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-125095</wp:posOffset>
            </wp:positionV>
            <wp:extent cx="557403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4030" cy="128905"/>
                    </a:xfrm>
                    <a:prstGeom prst="rect">
                      <a:avLst/>
                    </a:prstGeom>
                    <a:noFill/>
                  </pic:spPr>
                </pic:pic>
              </a:graphicData>
            </a:graphic>
          </wp:anchor>
        </w:drawing>
      </w:r>
    </w:p>
    <w:p>
      <w:pPr>
        <w:ind w:left="340"/>
        <w:spacing w:after="0" w:line="234" w:lineRule="auto"/>
        <w:rPr>
          <w:sz w:val="20"/>
          <w:szCs w:val="20"/>
          <w:color w:val="auto"/>
        </w:rPr>
      </w:pPr>
      <w:r>
        <w:rPr>
          <w:rFonts w:ascii="Arial" w:cs="Arial" w:eastAsia="Arial" w:hAnsi="Arial"/>
          <w:sz w:val="18"/>
          <w:szCs w:val="18"/>
          <w:color w:val="auto"/>
        </w:rPr>
        <w:t>______________</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  See “Underwriting” for a description of the compensation </w:t>
      </w:r>
      <w:r>
        <w:rPr>
          <w:rFonts w:ascii="Arial" w:cs="Arial" w:eastAsia="Arial" w:hAnsi="Arial"/>
          <w:sz w:val="16"/>
          <w:szCs w:val="16"/>
          <w:color w:val="auto"/>
        </w:rPr>
        <w:t>payable to the underwriters.</w:t>
      </w:r>
    </w:p>
    <w:p>
      <w:pPr>
        <w:spacing w:after="0" w:line="143" w:lineRule="exact"/>
        <w:rPr>
          <w:sz w:val="20"/>
          <w:szCs w:val="20"/>
          <w:color w:val="auto"/>
        </w:rPr>
      </w:pPr>
    </w:p>
    <w:p>
      <w:pPr>
        <w:ind w:left="120" w:right="919" w:firstLine="216"/>
        <w:spacing w:after="0" w:line="294" w:lineRule="auto"/>
        <w:rPr>
          <w:sz w:val="20"/>
          <w:szCs w:val="20"/>
          <w:color w:val="auto"/>
        </w:rPr>
      </w:pPr>
      <w:r>
        <w:rPr>
          <w:rFonts w:ascii="Arial" w:cs="Arial" w:eastAsia="Arial" w:hAnsi="Arial"/>
          <w:sz w:val="18"/>
          <w:szCs w:val="18"/>
          <w:color w:val="auto"/>
        </w:rPr>
        <w:t>The underwriters may also exercise their option to purchase up to an additional ordinary shares from us, at the public oﬀering price, less the underwriting discounts and commissions, for 30 days after the date of this prospectus.</w:t>
      </w:r>
    </w:p>
    <w:p>
      <w:pPr>
        <w:spacing w:after="0" w:line="136" w:lineRule="exact"/>
        <w:rPr>
          <w:sz w:val="20"/>
          <w:szCs w:val="20"/>
          <w:color w:val="auto"/>
        </w:rPr>
      </w:pPr>
    </w:p>
    <w:p>
      <w:pPr>
        <w:ind w:left="120" w:right="239" w:firstLine="216"/>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under federal securities laws and, as such, may elect to comply with certain reduced public company reporting requirements for future filings.</w:t>
      </w:r>
    </w:p>
    <w:p>
      <w:pPr>
        <w:spacing w:after="0" w:line="170"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b w:val="1"/>
          <w:bCs w:val="1"/>
          <w:i w:val="1"/>
          <w:iCs w:val="1"/>
          <w:color w:val="auto"/>
        </w:rPr>
        <w:t>Investing in our ordinary shares involves risks that are described in the ‘‘Risk Factors’’ section beginning on page 9 of this prospectus.</w:t>
      </w:r>
    </w:p>
    <w:p>
      <w:pPr>
        <w:spacing w:after="0" w:line="138" w:lineRule="exact"/>
        <w:rPr>
          <w:sz w:val="20"/>
          <w:szCs w:val="20"/>
          <w:color w:val="auto"/>
        </w:rPr>
      </w:pPr>
    </w:p>
    <w:p>
      <w:pPr>
        <w:ind w:left="120" w:right="539" w:firstLine="216"/>
        <w:spacing w:after="0" w:line="29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 representation to the contrary is a criminal oﬀense.</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820" w:type="dxa"/>
            <w:vAlign w:val="bottom"/>
            <w:gridSpan w:val="2"/>
          </w:tcPr>
          <w:p>
            <w:pPr>
              <w:jc w:val="right"/>
              <w:ind w:right="186"/>
              <w:spacing w:after="0"/>
              <w:rPr>
                <w:sz w:val="20"/>
                <w:szCs w:val="20"/>
                <w:color w:val="auto"/>
              </w:rPr>
            </w:pPr>
            <w:r>
              <w:rPr>
                <w:rFonts w:ascii="Arial" w:cs="Arial" w:eastAsia="Arial" w:hAnsi="Arial"/>
                <w:sz w:val="18"/>
                <w:szCs w:val="18"/>
                <w:color w:val="auto"/>
              </w:rPr>
              <w:t>The underwriters expect to deliver the ordinary shares to purchasers on or about</w:t>
            </w:r>
          </w:p>
        </w:tc>
        <w:tc>
          <w:tcPr>
            <w:tcW w:w="940" w:type="dxa"/>
            <w:vAlign w:val="bottom"/>
          </w:tcPr>
          <w:p>
            <w:pPr>
              <w:jc w:val="right"/>
              <w:ind w:right="221"/>
              <w:spacing w:after="0"/>
              <w:rPr>
                <w:sz w:val="20"/>
                <w:szCs w:val="20"/>
                <w:color w:val="auto"/>
              </w:rPr>
            </w:pPr>
            <w:r>
              <w:rPr>
                <w:rFonts w:ascii="Arial" w:cs="Arial" w:eastAsia="Arial" w:hAnsi="Arial"/>
                <w:sz w:val="18"/>
                <w:szCs w:val="18"/>
                <w:color w:val="auto"/>
              </w:rPr>
              <w:t>,</w:t>
            </w: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2015.</w:t>
            </w: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83"/>
        </w:trPr>
        <w:tc>
          <w:tcPr>
            <w:tcW w:w="5680" w:type="dxa"/>
            <w:vAlign w:val="bottom"/>
            <w:gridSpan w:val="2"/>
          </w:tcPr>
          <w:p>
            <w:pPr>
              <w:ind w:left="3460"/>
              <w:spacing w:after="0"/>
              <w:rPr>
                <w:sz w:val="20"/>
                <w:szCs w:val="20"/>
                <w:color w:val="auto"/>
              </w:rPr>
            </w:pPr>
            <w:r>
              <w:rPr>
                <w:rFonts w:ascii="Arial" w:cs="Arial" w:eastAsia="Arial" w:hAnsi="Arial"/>
                <w:sz w:val="18"/>
                <w:szCs w:val="18"/>
                <w:color w:val="auto"/>
                <w:w w:val="95"/>
              </w:rPr>
              <w:t>_______________________</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45"/>
        </w:trPr>
        <w:tc>
          <w:tcPr>
            <w:tcW w:w="5680" w:type="dxa"/>
            <w:vAlign w:val="bottom"/>
            <w:gridSpan w:val="2"/>
          </w:tcPr>
          <w:p>
            <w:pPr>
              <w:spacing w:after="0"/>
              <w:rPr>
                <w:sz w:val="20"/>
                <w:szCs w:val="20"/>
                <w:color w:val="auto"/>
              </w:rPr>
            </w:pPr>
            <w:r>
              <w:rPr>
                <w:rFonts w:ascii="Arial" w:cs="Arial" w:eastAsia="Arial" w:hAnsi="Arial"/>
                <w:sz w:val="29"/>
                <w:szCs w:val="29"/>
                <w:b w:val="1"/>
                <w:bCs w:val="1"/>
                <w:color w:val="auto"/>
              </w:rPr>
              <w:t>Barclays</w:t>
            </w:r>
          </w:p>
        </w:tc>
        <w:tc>
          <w:tcPr>
            <w:tcW w:w="3100" w:type="dxa"/>
            <w:vAlign w:val="bottom"/>
            <w:gridSpan w:val="2"/>
          </w:tcPr>
          <w:p>
            <w:pPr>
              <w:jc w:val="right"/>
              <w:spacing w:after="0"/>
              <w:rPr>
                <w:sz w:val="20"/>
                <w:szCs w:val="20"/>
                <w:color w:val="auto"/>
              </w:rPr>
            </w:pPr>
            <w:r>
              <w:rPr>
                <w:rFonts w:ascii="Arial" w:cs="Arial" w:eastAsia="Arial" w:hAnsi="Arial"/>
                <w:sz w:val="29"/>
                <w:szCs w:val="29"/>
                <w:b w:val="1"/>
                <w:bCs w:val="1"/>
                <w:color w:val="auto"/>
              </w:rPr>
              <w:t>Citigroup</w:t>
            </w:r>
          </w:p>
        </w:tc>
      </w:tr>
      <w:tr>
        <w:trPr>
          <w:trHeight w:val="740"/>
        </w:trPr>
        <w:tc>
          <w:tcPr>
            <w:tcW w:w="5680" w:type="dxa"/>
            <w:vAlign w:val="bottom"/>
            <w:gridSpan w:val="2"/>
          </w:tcPr>
          <w:p>
            <w:pPr>
              <w:spacing w:after="0"/>
              <w:rPr>
                <w:sz w:val="20"/>
                <w:szCs w:val="20"/>
                <w:color w:val="auto"/>
              </w:rPr>
            </w:pPr>
            <w:r>
              <w:rPr>
                <w:rFonts w:ascii="Arial" w:cs="Arial" w:eastAsia="Arial" w:hAnsi="Arial"/>
                <w:sz w:val="22"/>
                <w:szCs w:val="22"/>
                <w:b w:val="1"/>
                <w:bCs w:val="1"/>
                <w:color w:val="auto"/>
              </w:rPr>
              <w:t>William Blair</w:t>
            </w:r>
          </w:p>
        </w:tc>
        <w:tc>
          <w:tcPr>
            <w:tcW w:w="2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756"/>
        </w:trPr>
        <w:tc>
          <w:tcPr>
            <w:tcW w:w="5680" w:type="dxa"/>
            <w:vAlign w:val="bottom"/>
            <w:gridSpan w:val="2"/>
          </w:tcPr>
          <w:p>
            <w:pPr>
              <w:spacing w:after="0"/>
              <w:rPr>
                <w:sz w:val="20"/>
                <w:szCs w:val="20"/>
                <w:color w:val="auto"/>
              </w:rPr>
            </w:pPr>
            <w:r>
              <w:rPr>
                <w:rFonts w:ascii="Arial" w:cs="Arial" w:eastAsia="Arial" w:hAnsi="Arial"/>
                <w:sz w:val="22"/>
                <w:szCs w:val="22"/>
                <w:b w:val="1"/>
                <w:bCs w:val="1"/>
                <w:color w:val="auto"/>
              </w:rPr>
              <w:t>Canaccord Genuity</w:t>
            </w:r>
          </w:p>
        </w:tc>
        <w:tc>
          <w:tcPr>
            <w:tcW w:w="3100" w:type="dxa"/>
            <w:vAlign w:val="bottom"/>
            <w:gridSpan w:val="2"/>
          </w:tcPr>
          <w:p>
            <w:pPr>
              <w:jc w:val="right"/>
              <w:spacing w:after="0"/>
              <w:rPr>
                <w:sz w:val="20"/>
                <w:szCs w:val="20"/>
                <w:color w:val="auto"/>
              </w:rPr>
            </w:pPr>
            <w:r>
              <w:rPr>
                <w:rFonts w:ascii="Arial" w:cs="Arial" w:eastAsia="Arial" w:hAnsi="Arial"/>
                <w:sz w:val="22"/>
                <w:szCs w:val="22"/>
                <w:b w:val="1"/>
                <w:bCs w:val="1"/>
                <w:color w:val="auto"/>
              </w:rPr>
              <w:t>Needham &amp; Company</w:t>
            </w:r>
          </w:p>
        </w:tc>
      </w:tr>
      <w:tr>
        <w:trPr>
          <w:trHeight w:val="378"/>
        </w:trPr>
        <w:tc>
          <w:tcPr>
            <w:tcW w:w="20" w:type="dxa"/>
            <w:vAlign w:val="bottom"/>
          </w:tcPr>
          <w:p>
            <w:pPr>
              <w:spacing w:after="0"/>
              <w:rPr>
                <w:sz w:val="24"/>
                <w:szCs w:val="24"/>
                <w:color w:val="auto"/>
              </w:rPr>
            </w:pPr>
          </w:p>
        </w:tc>
        <w:tc>
          <w:tcPr>
            <w:tcW w:w="5660" w:type="dxa"/>
            <w:vAlign w:val="bottom"/>
          </w:tcPr>
          <w:p>
            <w:pPr>
              <w:ind w:left="2300"/>
              <w:spacing w:after="0"/>
              <w:rPr>
                <w:sz w:val="20"/>
                <w:szCs w:val="20"/>
                <w:color w:val="auto"/>
              </w:rPr>
            </w:pPr>
            <w:r>
              <w:rPr>
                <w:rFonts w:ascii="Arial" w:cs="Arial" w:eastAsia="Arial" w:hAnsi="Arial"/>
                <w:sz w:val="18"/>
                <w:szCs w:val="18"/>
                <w:color w:val="auto"/>
              </w:rPr>
              <w:t>The date of this prospectus is</w:t>
            </w:r>
          </w:p>
        </w:tc>
        <w:tc>
          <w:tcPr>
            <w:tcW w:w="2160" w:type="dxa"/>
            <w:vAlign w:val="bottom"/>
          </w:tcPr>
          <w:p>
            <w:pPr>
              <w:jc w:val="right"/>
              <w:ind w:right="1266"/>
              <w:spacing w:after="0"/>
              <w:rPr>
                <w:sz w:val="20"/>
                <w:szCs w:val="20"/>
                <w:color w:val="auto"/>
              </w:rPr>
            </w:pPr>
            <w:r>
              <w:rPr>
                <w:rFonts w:ascii="Arial" w:cs="Arial" w:eastAsia="Arial" w:hAnsi="Arial"/>
                <w:sz w:val="18"/>
                <w:szCs w:val="18"/>
                <w:color w:val="auto"/>
              </w:rPr>
              <w:t>, 2015.</w:t>
            </w:r>
          </w:p>
        </w:tc>
        <w:tc>
          <w:tcPr>
            <w:tcW w:w="940" w:type="dxa"/>
            <w:vAlign w:val="bottom"/>
          </w:tcPr>
          <w:p>
            <w:pPr>
              <w:spacing w:after="0"/>
              <w:rPr>
                <w:sz w:val="24"/>
                <w:szCs w:val="24"/>
                <w:color w:val="auto"/>
              </w:rPr>
            </w:pPr>
          </w:p>
        </w:tc>
      </w:tr>
      <w:tr>
        <w:trPr>
          <w:trHeight w:val="345"/>
        </w:trPr>
        <w:tc>
          <w:tcPr>
            <w:tcW w:w="20" w:type="dxa"/>
            <w:vAlign w:val="bottom"/>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 w:right="1440" w:bottom="887"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7538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403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1900" w:type="dxa"/>
            <w:vAlign w:val="bottom"/>
            <w:tcBorders>
              <w:top w:val="single" w:sz="8" w:color="CCEEFF"/>
              <w:bottom w:val="single" w:sz="8" w:color="auto"/>
            </w:tcBorders>
            <w:gridSpan w:val="11"/>
            <w:shd w:val="clear" w:color="auto" w:fill="CCEEFF"/>
          </w:tcPr>
          <w:p>
            <w:pPr>
              <w:spacing w:after="0" w:line="170" w:lineRule="exact"/>
              <w:rPr>
                <w:rFonts w:ascii="Arial" w:cs="Arial" w:eastAsia="Arial" w:hAnsi="Arial"/>
                <w:sz w:val="18"/>
                <w:szCs w:val="18"/>
                <w:color w:val="auto"/>
              </w:rPr>
            </w:pPr>
            <w:hyperlink w:anchor="page6">
              <w:r>
                <w:rPr>
                  <w:rFonts w:ascii="Arial" w:cs="Arial" w:eastAsia="Arial" w:hAnsi="Arial"/>
                  <w:sz w:val="18"/>
                  <w:szCs w:val="18"/>
                  <w:color w:val="auto"/>
                </w:rPr>
                <w:t>Prospectus Summary</w:t>
              </w:r>
            </w:hyperlink>
          </w:p>
        </w:tc>
        <w:tc>
          <w:tcPr>
            <w:tcW w:w="5460" w:type="dxa"/>
            <w:vAlign w:val="bottom"/>
            <w:tcBorders>
              <w:top w:val="single" w:sz="8" w:color="CCEEFF"/>
              <w:bottom w:val="single" w:sz="8" w:color="CCEEFF"/>
            </w:tcBorders>
            <w:gridSpan w:val="13"/>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spacing w:after="0" w:line="163" w:lineRule="exact"/>
              <w:rPr>
                <w:rFonts w:ascii="Arial" w:cs="Arial" w:eastAsia="Arial" w:hAnsi="Arial"/>
                <w:sz w:val="18"/>
                <w:szCs w:val="18"/>
                <w:color w:val="auto"/>
              </w:rPr>
            </w:pPr>
            <w:hyperlink w:anchor="page14">
              <w:r>
                <w:rPr>
                  <w:rFonts w:ascii="Arial" w:cs="Arial" w:eastAsia="Arial" w:hAnsi="Arial"/>
                  <w:sz w:val="18"/>
                  <w:szCs w:val="18"/>
                  <w:color w:val="auto"/>
                </w:rPr>
                <w:t>Risk Factors</w:t>
              </w:r>
            </w:hyperlink>
          </w:p>
        </w:tc>
        <w:tc>
          <w:tcPr>
            <w:tcW w:w="6300" w:type="dxa"/>
            <w:vAlign w:val="bottom"/>
            <w:gridSpan w:val="19"/>
          </w:tcPr>
          <w:p>
            <w:pPr>
              <w:spacing w:after="0"/>
              <w:rPr>
                <w:sz w:val="14"/>
                <w:szCs w:val="14"/>
                <w:color w:val="auto"/>
              </w:rPr>
            </w:pPr>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gridSpan w:val="20"/>
            <w:shd w:val="clear" w:color="auto" w:fill="CCEEFF"/>
          </w:tcPr>
          <w:p>
            <w:pPr>
              <w:spacing w:after="0" w:line="182" w:lineRule="exact"/>
              <w:rPr>
                <w:rFonts w:ascii="Arial" w:cs="Arial" w:eastAsia="Arial" w:hAnsi="Arial"/>
                <w:sz w:val="18"/>
                <w:szCs w:val="18"/>
                <w:color w:val="auto"/>
              </w:rPr>
            </w:pPr>
            <w:hyperlink w:anchor="page31">
              <w:r>
                <w:rPr>
                  <w:rFonts w:ascii="Arial" w:cs="Arial" w:eastAsia="Arial" w:hAnsi="Arial"/>
                  <w:sz w:val="18"/>
                  <w:szCs w:val="18"/>
                  <w:color w:val="auto"/>
                </w:rPr>
                <w:t>Special Note Regarding Forward-Looking Statements</w:t>
              </w:r>
            </w:hyperlink>
          </w:p>
        </w:tc>
        <w:tc>
          <w:tcPr>
            <w:tcW w:w="2620" w:type="dxa"/>
            <w:vAlign w:val="bottom"/>
            <w:tcBorders>
              <w:bottom w:val="single" w:sz="8" w:color="CCEEFF"/>
            </w:tcBorders>
            <w:gridSpan w:val="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gridSpan w:val="24"/>
          </w:tcPr>
          <w:p>
            <w:pPr>
              <w:spacing w:after="0" w:line="163" w:lineRule="exact"/>
              <w:rPr>
                <w:rFonts w:ascii="Arial" w:cs="Arial" w:eastAsia="Arial" w:hAnsi="Arial"/>
                <w:sz w:val="18"/>
                <w:szCs w:val="18"/>
                <w:color w:val="auto"/>
              </w:rPr>
            </w:pPr>
            <w:hyperlink w:anchor="page32">
              <w:r>
                <w:rPr>
                  <w:rFonts w:ascii="Arial" w:cs="Arial" w:eastAsia="Arial" w:hAnsi="Arial"/>
                  <w:sz w:val="18"/>
                  <w:szCs w:val="18"/>
                  <w:color w:val="auto"/>
                </w:rPr>
                <w:t>Use of Proceeds</w:t>
              </w:r>
            </w:hyperlink>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27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9"/>
            <w:shd w:val="clear" w:color="auto" w:fill="CCEEFF"/>
          </w:tcPr>
          <w:p>
            <w:pPr>
              <w:spacing w:after="0" w:line="182" w:lineRule="exact"/>
              <w:rPr>
                <w:rFonts w:ascii="Arial" w:cs="Arial" w:eastAsia="Arial" w:hAnsi="Arial"/>
                <w:sz w:val="18"/>
                <w:szCs w:val="18"/>
                <w:color w:val="auto"/>
              </w:rPr>
            </w:pPr>
            <w:hyperlink w:anchor="page33">
              <w:r>
                <w:rPr>
                  <w:rFonts w:ascii="Arial" w:cs="Arial" w:eastAsia="Arial" w:hAnsi="Arial"/>
                  <w:sz w:val="18"/>
                  <w:szCs w:val="18"/>
                  <w:color w:val="auto"/>
                </w:rPr>
                <w:t>Dividend Policy</w:t>
              </w:r>
            </w:hyperlink>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5940" w:type="dxa"/>
            <w:vAlign w:val="bottom"/>
            <w:tcBorders>
              <w:bottom w:val="single" w:sz="8" w:color="CCEEFF"/>
            </w:tcBorders>
            <w:gridSpan w:val="14"/>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8"/>
          </w:tcPr>
          <w:p>
            <w:pPr>
              <w:spacing w:after="0" w:line="163" w:lineRule="exact"/>
              <w:rPr>
                <w:rFonts w:ascii="Arial" w:cs="Arial" w:eastAsia="Arial" w:hAnsi="Arial"/>
                <w:sz w:val="18"/>
                <w:szCs w:val="18"/>
                <w:color w:val="auto"/>
              </w:rPr>
            </w:pPr>
            <w:hyperlink w:anchor="page34">
              <w:r>
                <w:rPr>
                  <w:rFonts w:ascii="Arial" w:cs="Arial" w:eastAsia="Arial" w:hAnsi="Arial"/>
                  <w:sz w:val="18"/>
                  <w:szCs w:val="18"/>
                  <w:color w:val="auto"/>
                </w:rPr>
                <w:t>Capitalization</w:t>
              </w:r>
            </w:hyperlink>
          </w:p>
        </w:tc>
        <w:tc>
          <w:tcPr>
            <w:tcW w:w="6140" w:type="dxa"/>
            <w:vAlign w:val="bottom"/>
            <w:gridSpan w:val="16"/>
          </w:tcPr>
          <w:p>
            <w:pPr>
              <w:spacing w:after="0"/>
              <w:rPr>
                <w:sz w:val="14"/>
                <w:szCs w:val="14"/>
                <w:color w:val="auto"/>
              </w:rPr>
            </w:pPr>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60" w:type="dxa"/>
            <w:vAlign w:val="bottom"/>
            <w:gridSpan w:val="24"/>
            <w:shd w:val="clear" w:color="auto" w:fill="CCEEFF"/>
          </w:tcPr>
          <w:p>
            <w:pPr>
              <w:spacing w:after="0" w:line="182" w:lineRule="exact"/>
              <w:rPr>
                <w:rFonts w:ascii="Arial" w:cs="Arial" w:eastAsia="Arial" w:hAnsi="Arial"/>
                <w:sz w:val="18"/>
                <w:szCs w:val="18"/>
                <w:color w:val="auto"/>
              </w:rPr>
            </w:pPr>
            <w:hyperlink w:anchor="page35">
              <w:r>
                <w:rPr>
                  <w:rFonts w:ascii="Arial" w:cs="Arial" w:eastAsia="Arial" w:hAnsi="Arial"/>
                  <w:sz w:val="18"/>
                  <w:szCs w:val="18"/>
                  <w:color w:val="auto"/>
                </w:rPr>
                <w:t>Dilution</w:t>
              </w:r>
            </w:hyperlink>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60" w:type="dxa"/>
            <w:vAlign w:val="bottom"/>
            <w:gridSpan w:val="24"/>
          </w:tcPr>
          <w:p>
            <w:pPr>
              <w:spacing w:after="0" w:line="163" w:lineRule="exact"/>
              <w:rPr>
                <w:rFonts w:ascii="Arial" w:cs="Arial" w:eastAsia="Arial" w:hAnsi="Arial"/>
                <w:sz w:val="18"/>
                <w:szCs w:val="18"/>
                <w:color w:val="auto"/>
              </w:rPr>
            </w:pPr>
            <w:hyperlink w:anchor="page37">
              <w:r>
                <w:rPr>
                  <w:rFonts w:ascii="Arial" w:cs="Arial" w:eastAsia="Arial" w:hAnsi="Arial"/>
                  <w:sz w:val="18"/>
                  <w:szCs w:val="18"/>
                  <w:color w:val="auto"/>
                </w:rPr>
                <w:t>Selected Consolidated Financial Data</w:t>
              </w:r>
            </w:hyperlink>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360" w:type="dxa"/>
            <w:vAlign w:val="bottom"/>
            <w:gridSpan w:val="24"/>
            <w:shd w:val="clear" w:color="auto" w:fill="CCEEFF"/>
          </w:tcPr>
          <w:p>
            <w:pPr>
              <w:spacing w:after="0" w:line="182" w:lineRule="exact"/>
              <w:rPr>
                <w:rFonts w:ascii="Arial" w:cs="Arial" w:eastAsia="Arial" w:hAnsi="Arial"/>
                <w:sz w:val="18"/>
                <w:szCs w:val="18"/>
                <w:color w:val="auto"/>
              </w:rPr>
            </w:pPr>
            <w:hyperlink w:anchor="page40">
              <w:r>
                <w:rPr>
                  <w:rFonts w:ascii="Arial" w:cs="Arial" w:eastAsia="Arial" w:hAnsi="Arial"/>
                  <w:sz w:val="18"/>
                  <w:szCs w:val="18"/>
                  <w:color w:val="auto"/>
                </w:rPr>
                <w:t>Management’s Discussion and Analysis of Financial Condition and Results of</w:t>
              </w:r>
            </w:hyperlink>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4"/>
            <w:shd w:val="clear" w:color="auto" w:fill="CCEEFF"/>
          </w:tcPr>
          <w:p>
            <w:pPr>
              <w:spacing w:after="0" w:line="182" w:lineRule="exact"/>
              <w:rPr>
                <w:rFonts w:ascii="Arial" w:cs="Arial" w:eastAsia="Arial" w:hAnsi="Arial"/>
                <w:sz w:val="18"/>
                <w:szCs w:val="18"/>
                <w:color w:val="auto"/>
              </w:rPr>
            </w:pPr>
            <w:hyperlink w:anchor="page40">
              <w:r>
                <w:rPr>
                  <w:rFonts w:ascii="Arial" w:cs="Arial" w:eastAsia="Arial" w:hAnsi="Arial"/>
                  <w:sz w:val="18"/>
                  <w:szCs w:val="18"/>
                  <w:color w:val="auto"/>
                </w:rPr>
                <w:t>Operations</w:t>
              </w:r>
            </w:hyperlink>
          </w:p>
        </w:tc>
        <w:tc>
          <w:tcPr>
            <w:tcW w:w="5880" w:type="dxa"/>
            <w:vAlign w:val="bottom"/>
            <w:tcBorders>
              <w:top w:val="single" w:sz="8" w:color="auto"/>
              <w:bottom w:val="single" w:sz="8" w:color="CCEEFF"/>
            </w:tcBorders>
            <w:gridSpan w:val="19"/>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gridSpan w:val="24"/>
          </w:tcPr>
          <w:p>
            <w:pPr>
              <w:spacing w:after="0" w:line="163" w:lineRule="exact"/>
              <w:rPr>
                <w:rFonts w:ascii="Arial" w:cs="Arial" w:eastAsia="Arial" w:hAnsi="Arial"/>
                <w:sz w:val="18"/>
                <w:szCs w:val="18"/>
                <w:color w:val="auto"/>
              </w:rPr>
            </w:pPr>
            <w:hyperlink w:anchor="page57">
              <w:r>
                <w:rPr>
                  <w:rFonts w:ascii="Arial" w:cs="Arial" w:eastAsia="Arial" w:hAnsi="Arial"/>
                  <w:sz w:val="18"/>
                  <w:szCs w:val="18"/>
                  <w:color w:val="auto"/>
                </w:rPr>
                <w:t>Industry</w:t>
              </w:r>
            </w:hyperlink>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shd w:val="clear" w:color="auto" w:fill="CCEEFF"/>
          </w:tcPr>
          <w:p>
            <w:pPr>
              <w:spacing w:after="0" w:line="182" w:lineRule="exact"/>
              <w:rPr>
                <w:rFonts w:ascii="Arial" w:cs="Arial" w:eastAsia="Arial" w:hAnsi="Arial"/>
                <w:sz w:val="18"/>
                <w:szCs w:val="18"/>
                <w:color w:val="auto"/>
              </w:rPr>
            </w:pPr>
            <w:hyperlink w:anchor="page61">
              <w:r>
                <w:rPr>
                  <w:rFonts w:ascii="Arial" w:cs="Arial" w:eastAsia="Arial" w:hAnsi="Arial"/>
                  <w:sz w:val="18"/>
                  <w:szCs w:val="18"/>
                  <w:color w:val="auto"/>
                </w:rPr>
                <w:t>Business</w:t>
              </w:r>
            </w:hyperlink>
          </w:p>
        </w:tc>
        <w:tc>
          <w:tcPr>
            <w:tcW w:w="6580" w:type="dxa"/>
            <w:vAlign w:val="bottom"/>
            <w:tcBorders>
              <w:bottom w:val="single" w:sz="8" w:color="CCEEFF"/>
            </w:tcBorders>
            <w:gridSpan w:val="21"/>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spacing w:after="0" w:line="163" w:lineRule="exact"/>
              <w:rPr>
                <w:rFonts w:ascii="Arial" w:cs="Arial" w:eastAsia="Arial" w:hAnsi="Arial"/>
                <w:sz w:val="18"/>
                <w:szCs w:val="18"/>
                <w:color w:val="auto"/>
              </w:rPr>
            </w:pPr>
            <w:hyperlink w:anchor="page72">
              <w:r>
                <w:rPr>
                  <w:rFonts w:ascii="Arial" w:cs="Arial" w:eastAsia="Arial" w:hAnsi="Arial"/>
                  <w:sz w:val="18"/>
                  <w:szCs w:val="18"/>
                  <w:color w:val="auto"/>
                </w:rPr>
                <w:t>Management</w:t>
              </w:r>
            </w:hyperlink>
          </w:p>
        </w:tc>
        <w:tc>
          <w:tcPr>
            <w:tcW w:w="6160" w:type="dxa"/>
            <w:vAlign w:val="bottom"/>
            <w:gridSpan w:val="17"/>
          </w:tcPr>
          <w:p>
            <w:pPr>
              <w:spacing w:after="0"/>
              <w:rPr>
                <w:sz w:val="14"/>
                <w:szCs w:val="14"/>
                <w:color w:val="auto"/>
              </w:rPr>
            </w:pPr>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67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12"/>
            <w:shd w:val="clear" w:color="auto" w:fill="CCEEFF"/>
          </w:tcPr>
          <w:p>
            <w:pPr>
              <w:spacing w:after="0" w:line="182" w:lineRule="exact"/>
              <w:rPr>
                <w:rFonts w:ascii="Arial" w:cs="Arial" w:eastAsia="Arial" w:hAnsi="Arial"/>
                <w:sz w:val="18"/>
                <w:szCs w:val="18"/>
                <w:color w:val="auto"/>
              </w:rPr>
            </w:pPr>
            <w:hyperlink w:anchor="page92">
              <w:r>
                <w:rPr>
                  <w:rFonts w:ascii="Arial" w:cs="Arial" w:eastAsia="Arial" w:hAnsi="Arial"/>
                  <w:sz w:val="18"/>
                  <w:szCs w:val="18"/>
                  <w:color w:val="auto"/>
                </w:rPr>
                <w:t>Principal Shareholders</w:t>
              </w:r>
            </w:hyperlink>
          </w:p>
        </w:tc>
        <w:tc>
          <w:tcPr>
            <w:tcW w:w="5360" w:type="dxa"/>
            <w:vAlign w:val="bottom"/>
            <w:tcBorders>
              <w:bottom w:val="single" w:sz="8" w:color="CCEEFF"/>
            </w:tcBorders>
            <w:gridSpan w:val="1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gridSpan w:val="20"/>
          </w:tcPr>
          <w:p>
            <w:pPr>
              <w:spacing w:after="0" w:line="163" w:lineRule="exact"/>
              <w:rPr>
                <w:rFonts w:ascii="Arial" w:cs="Arial" w:eastAsia="Arial" w:hAnsi="Arial"/>
                <w:sz w:val="18"/>
                <w:szCs w:val="18"/>
                <w:color w:val="auto"/>
              </w:rPr>
            </w:pPr>
            <w:hyperlink w:anchor="page94">
              <w:r>
                <w:rPr>
                  <w:rFonts w:ascii="Arial" w:cs="Arial" w:eastAsia="Arial" w:hAnsi="Arial"/>
                  <w:sz w:val="18"/>
                  <w:szCs w:val="18"/>
                  <w:color w:val="auto"/>
                </w:rPr>
                <w:t>Certain Relationships and Related Party Transactions</w:t>
              </w:r>
            </w:hyperlink>
          </w:p>
        </w:tc>
        <w:tc>
          <w:tcPr>
            <w:tcW w:w="2620" w:type="dxa"/>
            <w:vAlign w:val="bottom"/>
            <w:gridSpan w:val="4"/>
          </w:tcPr>
          <w:p>
            <w:pPr>
              <w:spacing w:after="0"/>
              <w:rPr>
                <w:sz w:val="14"/>
                <w:szCs w:val="14"/>
                <w:color w:val="auto"/>
              </w:rPr>
            </w:pPr>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88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60" w:type="dxa"/>
            <w:vAlign w:val="bottom"/>
            <w:gridSpan w:val="24"/>
            <w:shd w:val="clear" w:color="auto" w:fill="CCEEFF"/>
          </w:tcPr>
          <w:p>
            <w:pPr>
              <w:spacing w:after="0" w:line="182" w:lineRule="exact"/>
              <w:rPr>
                <w:rFonts w:ascii="Arial" w:cs="Arial" w:eastAsia="Arial" w:hAnsi="Arial"/>
                <w:sz w:val="18"/>
                <w:szCs w:val="18"/>
                <w:color w:val="auto"/>
              </w:rPr>
            </w:pPr>
            <w:hyperlink w:anchor="page97">
              <w:r>
                <w:rPr>
                  <w:rFonts w:ascii="Arial" w:cs="Arial" w:eastAsia="Arial" w:hAnsi="Arial"/>
                  <w:sz w:val="18"/>
                  <w:szCs w:val="18"/>
                  <w:color w:val="auto"/>
                </w:rPr>
                <w:t>Description of Share Capital</w:t>
              </w:r>
            </w:hyperlink>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60" w:type="dxa"/>
            <w:vAlign w:val="bottom"/>
            <w:gridSpan w:val="24"/>
          </w:tcPr>
          <w:p>
            <w:pPr>
              <w:spacing w:after="0" w:line="163" w:lineRule="exact"/>
              <w:rPr>
                <w:rFonts w:ascii="Arial" w:cs="Arial" w:eastAsia="Arial" w:hAnsi="Arial"/>
                <w:sz w:val="18"/>
                <w:szCs w:val="18"/>
                <w:color w:val="auto"/>
              </w:rPr>
            </w:pPr>
            <w:hyperlink w:anchor="page104">
              <w:r>
                <w:rPr>
                  <w:rFonts w:ascii="Arial" w:cs="Arial" w:eastAsia="Arial" w:hAnsi="Arial"/>
                  <w:sz w:val="18"/>
                  <w:szCs w:val="18"/>
                  <w:color w:val="auto"/>
                </w:rPr>
                <w:t>Shares Eligible for Future Sale</w:t>
              </w:r>
            </w:hyperlink>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98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4"/>
            <w:shd w:val="clear" w:color="auto" w:fill="CCEEFF"/>
          </w:tcPr>
          <w:p>
            <w:pPr>
              <w:spacing w:after="0" w:line="182" w:lineRule="exact"/>
              <w:rPr>
                <w:rFonts w:ascii="Arial" w:cs="Arial" w:eastAsia="Arial" w:hAnsi="Arial"/>
                <w:sz w:val="18"/>
                <w:szCs w:val="18"/>
                <w:color w:val="auto"/>
              </w:rPr>
            </w:pPr>
            <w:hyperlink w:anchor="page106">
              <w:r>
                <w:rPr>
                  <w:rFonts w:ascii="Arial" w:cs="Arial" w:eastAsia="Arial" w:hAnsi="Arial"/>
                  <w:sz w:val="18"/>
                  <w:szCs w:val="18"/>
                  <w:color w:val="auto"/>
                </w:rPr>
                <w:t>Taxation and Israeli Government Programs Applicable to our Company</w:t>
              </w:r>
            </w:hyperlink>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6320" w:type="dxa"/>
            <w:vAlign w:val="bottom"/>
            <w:tcBorders>
              <w:top w:val="single" w:sz="8" w:color="auto"/>
            </w:tcBorders>
            <w:gridSpan w:val="22"/>
          </w:tcPr>
          <w:p>
            <w:pPr>
              <w:spacing w:after="0" w:line="163" w:lineRule="exact"/>
              <w:rPr>
                <w:rFonts w:ascii="Arial" w:cs="Arial" w:eastAsia="Arial" w:hAnsi="Arial"/>
                <w:sz w:val="18"/>
                <w:szCs w:val="18"/>
                <w:color w:val="auto"/>
              </w:rPr>
            </w:pPr>
            <w:hyperlink w:anchor="page109">
              <w:r>
                <w:rPr>
                  <w:rFonts w:ascii="Arial" w:cs="Arial" w:eastAsia="Arial" w:hAnsi="Arial"/>
                  <w:sz w:val="18"/>
                  <w:szCs w:val="18"/>
                  <w:color w:val="auto"/>
                </w:rPr>
                <w:t>U.S. and Israeli Tax Consequences for our Shareholders</w:t>
              </w:r>
            </w:hyperlink>
          </w:p>
        </w:tc>
        <w:tc>
          <w:tcPr>
            <w:tcW w:w="1040" w:type="dxa"/>
            <w:vAlign w:val="bottom"/>
            <w:tcBorders>
              <w:top w:val="single" w:sz="8" w:color="CCEEFF"/>
            </w:tcBorders>
            <w:gridSpan w:val="2"/>
          </w:tcPr>
          <w:p>
            <w:pPr>
              <w:spacing w:after="0"/>
              <w:rPr>
                <w:sz w:val="14"/>
                <w:szCs w:val="14"/>
                <w:color w:val="auto"/>
              </w:rPr>
            </w:pPr>
          </w:p>
        </w:tc>
        <w:tc>
          <w:tcPr>
            <w:tcW w:w="1240" w:type="dxa"/>
            <w:vAlign w:val="bottom"/>
            <w:tcBorders>
              <w:top w:val="single" w:sz="8" w:color="CCEEFF"/>
            </w:tcBorders>
          </w:tcPr>
          <w:p>
            <w:pPr>
              <w:jc w:val="right"/>
              <w:spacing w:after="0" w:line="163" w:lineRule="exact"/>
              <w:rPr>
                <w:sz w:val="20"/>
                <w:szCs w:val="20"/>
                <w:color w:val="auto"/>
              </w:rPr>
            </w:pPr>
            <w:r>
              <w:rPr>
                <w:rFonts w:ascii="Arial" w:cs="Arial" w:eastAsia="Arial" w:hAnsi="Arial"/>
                <w:sz w:val="18"/>
                <w:szCs w:val="18"/>
                <w:color w:val="auto"/>
              </w:rPr>
              <w:t>103</w:t>
            </w: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4960" w:type="dxa"/>
            <w:vAlign w:val="bottom"/>
            <w:tcBorders>
              <w:top w:val="single" w:sz="8" w:color="auto"/>
            </w:tcBorders>
            <w:gridSpan w:val="21"/>
            <w:shd w:val="clear" w:color="auto" w:fill="CCEEFF"/>
          </w:tcPr>
          <w:p>
            <w:pPr>
              <w:spacing w:after="0" w:line="182" w:lineRule="exact"/>
              <w:rPr>
                <w:rFonts w:ascii="Arial" w:cs="Arial" w:eastAsia="Arial" w:hAnsi="Arial"/>
                <w:sz w:val="18"/>
                <w:szCs w:val="18"/>
                <w:color w:val="auto"/>
              </w:rPr>
            </w:pPr>
            <w:hyperlink w:anchor="page116">
              <w:r>
                <w:rPr>
                  <w:rFonts w:ascii="Arial" w:cs="Arial" w:eastAsia="Arial" w:hAnsi="Arial"/>
                  <w:sz w:val="18"/>
                  <w:szCs w:val="18"/>
                  <w:color w:val="auto"/>
                </w:rPr>
                <w:t>Underwriting</w:t>
              </w:r>
            </w:hyperlink>
          </w:p>
        </w:tc>
        <w:tc>
          <w:tcPr>
            <w:tcW w:w="2400" w:type="dxa"/>
            <w:vAlign w:val="bottom"/>
            <w:gridSpan w:val="3"/>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auto"/>
            </w:tcBorders>
            <w:vMerge w:val="continue"/>
          </w:tcPr>
          <w:p>
            <w:pPr>
              <w:spacing w:after="0"/>
              <w:rPr>
                <w:sz w:val="14"/>
                <w:szCs w:val="14"/>
                <w:color w:val="auto"/>
              </w:rPr>
            </w:pPr>
          </w:p>
        </w:tc>
        <w:tc>
          <w:tcPr>
            <w:tcW w:w="3000" w:type="dxa"/>
            <w:vAlign w:val="bottom"/>
            <w:tcBorders>
              <w:bottom w:val="single" w:sz="8" w:color="auto"/>
            </w:tcBorders>
            <w:gridSpan w:val="16"/>
          </w:tcPr>
          <w:p>
            <w:pPr>
              <w:spacing w:after="0" w:line="163" w:lineRule="exact"/>
              <w:rPr>
                <w:rFonts w:ascii="Arial" w:cs="Arial" w:eastAsia="Arial" w:hAnsi="Arial"/>
                <w:sz w:val="18"/>
                <w:szCs w:val="18"/>
                <w:color w:val="auto"/>
              </w:rPr>
            </w:pPr>
            <w:hyperlink w:anchor="page121">
              <w:r>
                <w:rPr>
                  <w:rFonts w:ascii="Arial" w:cs="Arial" w:eastAsia="Arial" w:hAnsi="Arial"/>
                  <w:sz w:val="18"/>
                  <w:szCs w:val="18"/>
                  <w:color w:val="auto"/>
                </w:rPr>
                <w:t>Expenses Related to this Oﬀering</w:t>
              </w:r>
            </w:hyperlink>
          </w:p>
        </w:tc>
        <w:tc>
          <w:tcPr>
            <w:tcW w:w="4360" w:type="dxa"/>
            <w:vAlign w:val="bottom"/>
            <w:gridSpan w:val="8"/>
          </w:tcPr>
          <w:p>
            <w:pPr>
              <w:spacing w:after="0"/>
              <w:rPr>
                <w:sz w:val="14"/>
                <w:szCs w:val="14"/>
                <w:color w:val="auto"/>
              </w:rPr>
            </w:pPr>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115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60" w:type="dxa"/>
            <w:vAlign w:val="bottom"/>
            <w:gridSpan w:val="24"/>
            <w:shd w:val="clear" w:color="auto" w:fill="CCEEFF"/>
          </w:tcPr>
          <w:p>
            <w:pPr>
              <w:spacing w:after="0" w:line="182" w:lineRule="exact"/>
              <w:rPr>
                <w:rFonts w:ascii="Arial" w:cs="Arial" w:eastAsia="Arial" w:hAnsi="Arial"/>
                <w:sz w:val="18"/>
                <w:szCs w:val="18"/>
                <w:color w:val="auto"/>
              </w:rPr>
            </w:pPr>
            <w:hyperlink w:anchor="page121">
              <w:r>
                <w:rPr>
                  <w:rFonts w:ascii="Arial" w:cs="Arial" w:eastAsia="Arial" w:hAnsi="Arial"/>
                  <w:sz w:val="18"/>
                  <w:szCs w:val="18"/>
                  <w:color w:val="auto"/>
                </w:rPr>
                <w:t>Experts</w:t>
              </w:r>
            </w:hyperlink>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60" w:type="dxa"/>
            <w:vAlign w:val="bottom"/>
            <w:gridSpan w:val="24"/>
          </w:tcPr>
          <w:p>
            <w:pPr>
              <w:spacing w:after="0" w:line="163" w:lineRule="exact"/>
              <w:rPr>
                <w:rFonts w:ascii="Arial" w:cs="Arial" w:eastAsia="Arial" w:hAnsi="Arial"/>
                <w:sz w:val="18"/>
                <w:szCs w:val="18"/>
                <w:color w:val="auto"/>
              </w:rPr>
            </w:pPr>
            <w:hyperlink w:anchor="page121">
              <w:r>
                <w:rPr>
                  <w:rFonts w:ascii="Arial" w:cs="Arial" w:eastAsia="Arial" w:hAnsi="Arial"/>
                  <w:sz w:val="18"/>
                  <w:szCs w:val="18"/>
                  <w:color w:val="auto"/>
                </w:rPr>
                <w:t>Legal Matters</w:t>
              </w:r>
            </w:hyperlink>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115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15"/>
            <w:shd w:val="clear" w:color="auto" w:fill="CCEEFF"/>
          </w:tcPr>
          <w:p>
            <w:pPr>
              <w:spacing w:after="0" w:line="182" w:lineRule="exact"/>
              <w:rPr>
                <w:rFonts w:ascii="Arial" w:cs="Arial" w:eastAsia="Arial" w:hAnsi="Arial"/>
                <w:sz w:val="18"/>
                <w:szCs w:val="18"/>
                <w:color w:val="auto"/>
              </w:rPr>
            </w:pPr>
            <w:hyperlink w:anchor="page121">
              <w:r>
                <w:rPr>
                  <w:rFonts w:ascii="Arial" w:cs="Arial" w:eastAsia="Arial" w:hAnsi="Arial"/>
                  <w:sz w:val="18"/>
                  <w:szCs w:val="18"/>
                  <w:color w:val="auto"/>
                </w:rPr>
                <w:t>Enforceability of Civil Liabilities</w:t>
              </w:r>
            </w:hyperlink>
          </w:p>
        </w:tc>
        <w:tc>
          <w:tcPr>
            <w:tcW w:w="4560" w:type="dxa"/>
            <w:vAlign w:val="bottom"/>
            <w:tcBorders>
              <w:bottom w:val="single" w:sz="8" w:color="CCEEFF"/>
            </w:tcBorders>
            <w:gridSpan w:val="9"/>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gridSpan w:val="24"/>
          </w:tcPr>
          <w:p>
            <w:pPr>
              <w:spacing w:after="0" w:line="163" w:lineRule="exact"/>
              <w:rPr>
                <w:rFonts w:ascii="Arial" w:cs="Arial" w:eastAsia="Arial" w:hAnsi="Arial"/>
                <w:sz w:val="18"/>
                <w:szCs w:val="18"/>
                <w:color w:val="auto"/>
              </w:rPr>
            </w:pPr>
            <w:hyperlink w:anchor="page122">
              <w:r>
                <w:rPr>
                  <w:rFonts w:ascii="Arial" w:cs="Arial" w:eastAsia="Arial" w:hAnsi="Arial"/>
                  <w:sz w:val="18"/>
                  <w:szCs w:val="18"/>
                  <w:color w:val="auto"/>
                </w:rPr>
                <w:t>Where You Can Find Additional Information</w:t>
              </w:r>
            </w:hyperlink>
          </w:p>
        </w:tc>
        <w:tc>
          <w:tcPr>
            <w:tcW w:w="1240" w:type="dxa"/>
            <w:vAlign w:val="bottom"/>
          </w:tcPr>
          <w:p>
            <w:pPr>
              <w:jc w:val="right"/>
              <w:spacing w:after="0" w:line="163" w:lineRule="exact"/>
              <w:rPr>
                <w:sz w:val="20"/>
                <w:szCs w:val="20"/>
                <w:color w:val="auto"/>
              </w:rPr>
            </w:pPr>
            <w:r>
              <w:rPr>
                <w:rFonts w:ascii="Arial" w:cs="Arial" w:eastAsia="Arial" w:hAnsi="Arial"/>
                <w:sz w:val="18"/>
                <w:szCs w:val="18"/>
                <w:color w:val="auto"/>
              </w:rPr>
              <w:t>116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60" w:type="dxa"/>
            <w:vAlign w:val="bottom"/>
            <w:gridSpan w:val="24"/>
            <w:shd w:val="clear" w:color="auto" w:fill="CCEEFF"/>
          </w:tcPr>
          <w:p>
            <w:pPr>
              <w:spacing w:after="0" w:line="182" w:lineRule="exact"/>
              <w:rPr>
                <w:rFonts w:ascii="Arial" w:cs="Arial" w:eastAsia="Arial" w:hAnsi="Arial"/>
                <w:sz w:val="18"/>
                <w:szCs w:val="18"/>
                <w:color w:val="auto"/>
              </w:rPr>
            </w:pPr>
            <w:hyperlink w:anchor="page123">
              <w:r>
                <w:rPr>
                  <w:rFonts w:ascii="Arial" w:cs="Arial" w:eastAsia="Arial" w:hAnsi="Arial"/>
                  <w:sz w:val="18"/>
                  <w:szCs w:val="18"/>
                  <w:color w:val="auto"/>
                </w:rPr>
                <w:t>Index to Consolidated Financial Statements</w:t>
              </w:r>
            </w:hyperlink>
          </w:p>
        </w:tc>
        <w:tc>
          <w:tcPr>
            <w:tcW w:w="1400" w:type="dxa"/>
            <w:vAlign w:val="bottom"/>
            <w:gridSpan w:val="2"/>
            <w:shd w:val="clear" w:color="auto" w:fill="CCEEFF"/>
          </w:tcPr>
          <w:p>
            <w:pPr>
              <w:ind w:left="94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1360" w:type="dxa"/>
            <w:vAlign w:val="bottom"/>
            <w:tcBorders>
              <w:top w:val="single" w:sz="8" w:color="CCEEFF"/>
              <w:bottom w:val="single" w:sz="8" w:color="auto"/>
            </w:tcBorders>
          </w:tcPr>
          <w:p>
            <w:pPr>
              <w:spacing w:after="0"/>
              <w:rPr>
                <w:sz w:val="17"/>
                <w:szCs w:val="17"/>
                <w:color w:val="auto"/>
              </w:rPr>
            </w:pPr>
          </w:p>
        </w:tc>
        <w:tc>
          <w:tcPr>
            <w:tcW w:w="540" w:type="dxa"/>
            <w:vAlign w:val="bottom"/>
            <w:tcBorders>
              <w:top w:val="single" w:sz="8" w:color="CCEEFF"/>
              <w:bottom w:val="single" w:sz="8" w:color="auto"/>
            </w:tcBorders>
          </w:tcPr>
          <w:p>
            <w:pPr>
              <w:spacing w:after="0"/>
              <w:rPr>
                <w:sz w:val="17"/>
                <w:szCs w:val="17"/>
                <w:color w:val="auto"/>
              </w:rPr>
            </w:pPr>
          </w:p>
        </w:tc>
        <w:tc>
          <w:tcPr>
            <w:tcW w:w="500" w:type="dxa"/>
            <w:vAlign w:val="bottom"/>
            <w:tcBorders>
              <w:top w:val="single" w:sz="8" w:color="CCEEFF"/>
              <w:bottom w:val="single" w:sz="8" w:color="auto"/>
            </w:tcBorders>
          </w:tcPr>
          <w:p>
            <w:pPr>
              <w:spacing w:after="0"/>
              <w:rPr>
                <w:sz w:val="17"/>
                <w:szCs w:val="17"/>
                <w:color w:val="auto"/>
              </w:rPr>
            </w:pPr>
          </w:p>
        </w:tc>
        <w:tc>
          <w:tcPr>
            <w:tcW w:w="124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20" w:right="119" w:firstLine="216"/>
        <w:spacing w:after="0" w:line="260" w:lineRule="auto"/>
        <w:rPr>
          <w:sz w:val="20"/>
          <w:szCs w:val="20"/>
          <w:color w:val="auto"/>
        </w:rPr>
      </w:pPr>
      <w:r>
        <w:rPr>
          <w:rFonts w:ascii="Arial" w:cs="Arial" w:eastAsia="Arial" w:hAnsi="Arial"/>
          <w:sz w:val="18"/>
          <w:szCs w:val="18"/>
          <w:color w:val="auto"/>
        </w:rPr>
        <w:t>Neither we nor the underwriters have authorized anyone to provide information diﬀerent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oﬀer to sell or the solicitation of an oﬀer to buy our ordinary shares in any circumstances under which such oﬀer or solicitation is unlawful.</w:t>
      </w:r>
    </w:p>
    <w:p>
      <w:pPr>
        <w:spacing w:after="0" w:line="359" w:lineRule="exact"/>
        <w:rPr>
          <w:sz w:val="20"/>
          <w:szCs w:val="20"/>
          <w:color w:val="auto"/>
        </w:rPr>
      </w:pPr>
    </w:p>
    <w:p>
      <w:pPr>
        <w:ind w:left="120" w:right="339" w:firstLine="216"/>
        <w:spacing w:after="0" w:line="294" w:lineRule="auto"/>
        <w:rPr>
          <w:sz w:val="20"/>
          <w:szCs w:val="20"/>
          <w:color w:val="auto"/>
        </w:rPr>
      </w:pPr>
      <w:r>
        <w:rPr>
          <w:rFonts w:ascii="Arial" w:cs="Arial" w:eastAsia="Arial" w:hAnsi="Arial"/>
          <w:sz w:val="18"/>
          <w:szCs w:val="18"/>
          <w:color w:val="auto"/>
        </w:rPr>
        <w:t>This prospectus includes statistical data, market data and other industry data and forecasts, which we obtained from market research, publicly available information and independent industry publications and reports that we believe to be reliable sources.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9975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8475" cy="9975850"/>
                    </a:xfrm>
                    <a:prstGeom prst="rect">
                      <a:avLst/>
                    </a:prstGeom>
                    <a:noFill/>
                  </pic:spPr>
                </pic:pic>
              </a:graphicData>
            </a:graphic>
          </wp:anchor>
        </w:drawing>
        <w:t>PROSPECTUS SUMMARY</w:t>
      </w:r>
    </w:p>
    <w:p>
      <w:pPr>
        <w:spacing w:after="0" w:line="273" w:lineRule="exact"/>
        <w:rPr>
          <w:sz w:val="20"/>
          <w:szCs w:val="20"/>
          <w:color w:val="auto"/>
        </w:rPr>
      </w:pPr>
    </w:p>
    <w:p>
      <w:pPr>
        <w:ind w:left="220" w:right="279"/>
        <w:spacing w:after="0" w:line="254" w:lineRule="auto"/>
        <w:rPr>
          <w:sz w:val="20"/>
          <w:szCs w:val="20"/>
          <w:color w:val="auto"/>
        </w:rPr>
      </w:pPr>
      <w:r>
        <w:rPr>
          <w:rFonts w:ascii="Courier New" w:cs="Courier New" w:eastAsia="Courier New" w:hAnsi="Courier New"/>
          <w:sz w:val="18"/>
          <w:szCs w:val="18"/>
          <w:b w:val="1"/>
          <w:bCs w:val="1"/>
          <w:i w:val="1"/>
          <w:iCs w:val="1"/>
          <w:color w:val="auto"/>
        </w:rPr>
        <w:t>This summary highlights selected information contained elsewhere in this prospectus. This summary does not contain all of the information you should consider before investing in our ordinary shares. You should read the entire prospectus carefully, including “Risk Factors” and our consolidated financial statements and notes to those consolidated financial statements, before making an investment decision. Unless the context otherwise requires, all references to “Kornit,” “we,” “us,” “our,” “the Company” and similar designations refer to Kornit Digital Ltd. and its subsidiaries.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Company</w:t>
      </w:r>
    </w:p>
    <w:p>
      <w:pPr>
        <w:spacing w:after="0" w:line="227" w:lineRule="exact"/>
        <w:rPr>
          <w:sz w:val="20"/>
          <w:szCs w:val="20"/>
          <w:color w:val="auto"/>
        </w:rPr>
      </w:pPr>
    </w:p>
    <w:p>
      <w:pPr>
        <w:ind w:left="220" w:right="319" w:firstLine="216"/>
        <w:spacing w:after="0" w:line="256"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diﬀerentiated from other digital methods of production because they eliminate the need to pre-treat fabrics prior to printing, thereby oﬀering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eﬃciently and cost-eﬀectively produce smaller quantities of individually printed designs, thereby mitigating the risk of excess inventory, which is a significant challenge for the printed textile industry.</w:t>
      </w:r>
    </w:p>
    <w:p>
      <w:pPr>
        <w:spacing w:after="0" w:line="200" w:lineRule="exact"/>
        <w:rPr>
          <w:sz w:val="20"/>
          <w:szCs w:val="20"/>
          <w:color w:val="auto"/>
        </w:rPr>
      </w:pPr>
    </w:p>
    <w:p>
      <w:pPr>
        <w:spacing w:after="0" w:line="382" w:lineRule="exact"/>
        <w:rPr>
          <w:sz w:val="20"/>
          <w:szCs w:val="20"/>
          <w:color w:val="auto"/>
        </w:rPr>
      </w:pPr>
    </w:p>
    <w:p>
      <w:pPr>
        <w:ind w:left="220" w:right="259" w:firstLine="216"/>
        <w:spacing w:after="0" w:line="258" w:lineRule="auto"/>
        <w:rPr>
          <w:sz w:val="20"/>
          <w:szCs w:val="20"/>
          <w:color w:val="auto"/>
        </w:rPr>
      </w:pPr>
      <w:r>
        <w:rPr>
          <w:rFonts w:ascii="Arial" w:cs="Arial" w:eastAsia="Arial" w:hAnsi="Arial"/>
          <w:sz w:val="18"/>
          <w:szCs w:val="18"/>
          <w:color w:val="auto"/>
        </w:rPr>
        <w:t>There are a number of trends within the global printed textile industry that we believe are resulting in greater demand for our solutions. Consumers are increasingly seeking to diﬀerentiate themselves by wearing customized and personalized garments with colorful and intricate images and designs. Brand owners and contract printers are seeking methods to shorten time to market and reduce production lead times in order to more eﬃciently and cost-eﬀectively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eﬃcient, cost-eﬀective and environmentally friendly manner.</w:t>
      </w:r>
    </w:p>
    <w:p>
      <w:pPr>
        <w:spacing w:after="0" w:line="200" w:lineRule="exact"/>
        <w:rPr>
          <w:sz w:val="20"/>
          <w:szCs w:val="20"/>
          <w:color w:val="auto"/>
        </w:rPr>
      </w:pPr>
    </w:p>
    <w:p>
      <w:pPr>
        <w:spacing w:after="0" w:line="384" w:lineRule="exact"/>
        <w:rPr>
          <w:sz w:val="20"/>
          <w:szCs w:val="20"/>
          <w:color w:val="auto"/>
        </w:rPr>
      </w:pPr>
    </w:p>
    <w:p>
      <w:pPr>
        <w:ind w:left="220" w:right="219" w:firstLine="216"/>
        <w:spacing w:after="0" w:line="261" w:lineRule="auto"/>
        <w:rPr>
          <w:sz w:val="20"/>
          <w:szCs w:val="20"/>
          <w:color w:val="auto"/>
        </w:rPr>
      </w:pPr>
      <w:r>
        <w:rPr>
          <w:rFonts w:ascii="Arial" w:cs="Arial" w:eastAsia="Arial" w:hAnsi="Arial"/>
          <w:sz w:val="18"/>
          <w:szCs w:val="18"/>
          <w:color w:val="auto"/>
        </w:rPr>
        <w:t>We have developed and oﬀer a broad portfolio of diﬀerentiated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Building on the expertise and capabilities we have accumulated throughout our history in developing and oﬀering diﬀerentiated solutions for the DTG market, we are in the advanced stages of finalizing a digital printing solution aimed at another segment of the printed textile industry, the roll-to-roll, or R2R, market.</w:t>
      </w:r>
    </w:p>
    <w:p>
      <w:pPr>
        <w:spacing w:after="0" w:line="360" w:lineRule="exact"/>
        <w:rPr>
          <w:sz w:val="20"/>
          <w:szCs w:val="20"/>
          <w:color w:val="auto"/>
        </w:rPr>
      </w:pPr>
    </w:p>
    <w:p>
      <w:pPr>
        <w:ind w:left="220" w:right="299" w:firstLine="216"/>
        <w:spacing w:after="0" w:line="265" w:lineRule="auto"/>
        <w:rPr>
          <w:sz w:val="20"/>
          <w:szCs w:val="20"/>
          <w:color w:val="auto"/>
        </w:rPr>
      </w:pPr>
      <w:r>
        <w:rPr>
          <w:rFonts w:ascii="Arial" w:cs="Arial" w:eastAsia="Arial" w:hAnsi="Arial"/>
          <w:sz w:val="18"/>
          <w:szCs w:val="18"/>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3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Industry Overview</w:t>
      </w:r>
    </w:p>
    <w:p>
      <w:pPr>
        <w:spacing w:after="0" w:line="227" w:lineRule="exact"/>
        <w:rPr>
          <w:sz w:val="20"/>
          <w:szCs w:val="20"/>
          <w:color w:val="auto"/>
        </w:rPr>
      </w:pPr>
    </w:p>
    <w:p>
      <w:pPr>
        <w:ind w:left="220" w:right="259" w:firstLine="216"/>
        <w:spacing w:after="0" w:line="26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ectPr>
          <w:pgSz w:w="11900" w:h="16838" w:orient="portrait"/>
          <w:cols w:equalWidth="0" w:num="1">
            <w:col w:w="9019"/>
          </w:cols>
          <w:pgMar w:left="1440" w:top="293" w:right="1440" w:bottom="1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3" w:right="1440" w:bottom="164" w:gutter="0" w:footer="0" w:header="0"/>
          <w:type w:val="continuous"/>
        </w:sectPr>
      </w:pPr>
    </w:p>
    <w:bookmarkStart w:id="6" w:name="page7"/>
    <w:bookmarkEnd w:id="6"/>
    <w:p>
      <w:pPr>
        <w:ind w:left="220" w:right="299" w:firstLine="21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9752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8475" cy="9752965"/>
                    </a:xfrm>
                    <a:prstGeom prst="rect">
                      <a:avLst/>
                    </a:prstGeom>
                    <a:noFill/>
                  </pic:spPr>
                </pic:pic>
              </a:graphicData>
            </a:graphic>
          </wp:anchor>
        </w:drawing>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digital textile printing output is forecasted to grow at approximately 20% per year globally for the foreseeable future. Within digital textile printing, clothing applications represent the greatest amount of digital printed textile output and are projected to grow at a faster rate than household, technical and display applications.</w: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Solutions</w:t>
      </w:r>
    </w:p>
    <w:p>
      <w:pPr>
        <w:spacing w:after="0" w:line="187" w:lineRule="exact"/>
        <w:rPr>
          <w:sz w:val="20"/>
          <w:szCs w:val="20"/>
          <w:color w:val="auto"/>
        </w:rPr>
      </w:pPr>
    </w:p>
    <w:p>
      <w:pPr>
        <w:ind w:left="220" w:right="199" w:firstLine="216"/>
        <w:spacing w:after="0" w:line="265" w:lineRule="auto"/>
        <w:rPr>
          <w:sz w:val="20"/>
          <w:szCs w:val="20"/>
          <w:color w:val="auto"/>
        </w:rPr>
      </w:pPr>
      <w:r>
        <w:rPr>
          <w:rFonts w:ascii="Arial" w:cs="Arial" w:eastAsia="Arial" w:hAnsi="Arial"/>
          <w:sz w:val="18"/>
          <w:szCs w:val="18"/>
          <w:color w:val="auto"/>
        </w:rPr>
        <w:t>Our solutions include a combination of proprietary digital textile printing systems, ink and other consumables and associated software as well as value added services. Our line of DTG systems oﬀers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303" w:lineRule="exact"/>
        <w:rPr>
          <w:sz w:val="20"/>
          <w:szCs w:val="20"/>
          <w:color w:val="auto"/>
        </w:rPr>
      </w:pPr>
    </w:p>
    <w:p>
      <w:pPr>
        <w:ind w:left="640" w:right="359" w:hanging="209"/>
        <w:spacing w:after="0" w:line="267" w:lineRule="auto"/>
        <w:tabs>
          <w:tab w:leader="none" w:pos="794" w:val="left"/>
        </w:tabs>
        <w:numPr>
          <w:ilvl w:val="0"/>
          <w:numId w:val="2"/>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Entry Level</w:t>
      </w:r>
      <w:r>
        <w:rPr>
          <w:rFonts w:ascii="Arial" w:cs="Arial" w:eastAsia="Arial" w:hAnsi="Arial"/>
          <w:sz w:val="18"/>
          <w:szCs w:val="18"/>
          <w:color w:val="auto"/>
        </w:rPr>
        <w:t>. Our entry level systems consist of our Breeze and Thunder systems. The</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Breeze and Thunder allow businesses to adopt digital technology with a limited upfront investment and use the same technology as our high throughput systems but with smaller garment printing areas and at lower throughput levels.</w:t>
      </w:r>
    </w:p>
    <w:p>
      <w:pPr>
        <w:spacing w:after="0" w:line="125" w:lineRule="exact"/>
        <w:rPr>
          <w:rFonts w:ascii="Courier New" w:cs="Courier New" w:eastAsia="Courier New" w:hAnsi="Courier New"/>
          <w:sz w:val="22"/>
          <w:szCs w:val="22"/>
          <w:i w:val="1"/>
          <w:iCs w:val="1"/>
          <w:color w:val="auto"/>
        </w:rPr>
      </w:pPr>
    </w:p>
    <w:p>
      <w:pPr>
        <w:ind w:left="640" w:right="219" w:hanging="209"/>
        <w:spacing w:after="0" w:line="263" w:lineRule="auto"/>
        <w:tabs>
          <w:tab w:leader="none" w:pos="794" w:val="left"/>
        </w:tabs>
        <w:numPr>
          <w:ilvl w:val="0"/>
          <w:numId w:val="2"/>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of systems, Storm II and Paradigm II, oﬀer high throughput printing capabilities and are designed for customers who conduct large scale printing of small runs of a variety of images and designs.</w:t>
      </w:r>
    </w:p>
    <w:p>
      <w:pPr>
        <w:spacing w:after="0" w:line="313" w:lineRule="exact"/>
        <w:rPr>
          <w:sz w:val="20"/>
          <w:szCs w:val="20"/>
          <w:color w:val="auto"/>
        </w:rPr>
      </w:pPr>
    </w:p>
    <w:p>
      <w:pPr>
        <w:ind w:left="220" w:right="259" w:firstLine="216"/>
        <w:spacing w:after="0" w:line="261"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enables us to print on a wide range of fabrics without the need for a separate pre-treatment process or system reconfiguration, resulting in minimal setup times for each run and high throughput levels. We are also investing in the development of new ink formulas for our new systems in order to expand the range of fabrics on which we can print and further improve the quality of our high resolution images and designs.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Competitive Strengths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our key competitive strengths:</w:t>
      </w:r>
    </w:p>
    <w:p>
      <w:pPr>
        <w:spacing w:after="0" w:line="183" w:lineRule="exact"/>
        <w:rPr>
          <w:sz w:val="20"/>
          <w:szCs w:val="20"/>
          <w:color w:val="auto"/>
        </w:rPr>
      </w:pPr>
    </w:p>
    <w:p>
      <w:pPr>
        <w:ind w:left="640" w:right="219" w:hanging="209"/>
        <w:spacing w:after="0" w:line="253" w:lineRule="auto"/>
        <w:tabs>
          <w:tab w:leader="none" w:pos="726"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Leading player in fast-growing digital DTG printing market</w:t>
      </w:r>
      <w:r>
        <w:rPr>
          <w:rFonts w:ascii="Arial" w:cs="Arial" w:eastAsia="Arial" w:hAnsi="Arial"/>
          <w:sz w:val="18"/>
          <w:szCs w:val="18"/>
          <w:color w:val="auto"/>
        </w:rPr>
        <w:t>. We are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player in the fast-growing 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200" w:lineRule="exact"/>
        <w:rPr>
          <w:rFonts w:ascii="Arial" w:cs="Arial" w:eastAsia="Arial" w:hAnsi="Arial"/>
          <w:sz w:val="22"/>
          <w:szCs w:val="22"/>
          <w:b w:val="1"/>
          <w:bCs w:val="1"/>
          <w:color w:val="auto"/>
        </w:rPr>
      </w:pPr>
    </w:p>
    <w:p>
      <w:pPr>
        <w:spacing w:after="0" w:line="313" w:lineRule="exact"/>
        <w:rPr>
          <w:rFonts w:ascii="Arial" w:cs="Arial" w:eastAsia="Arial" w:hAnsi="Arial"/>
          <w:sz w:val="22"/>
          <w:szCs w:val="22"/>
          <w:b w:val="1"/>
          <w:bCs w:val="1"/>
          <w:color w:val="auto"/>
        </w:rPr>
      </w:pPr>
    </w:p>
    <w:p>
      <w:pPr>
        <w:ind w:left="640" w:right="219" w:hanging="209"/>
        <w:spacing w:after="0" w:line="255" w:lineRule="auto"/>
        <w:tabs>
          <w:tab w:leader="none" w:pos="726"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Disruptive technology that enables our customers to adopt new or improve existing business models. </w:t>
      </w:r>
      <w:r>
        <w:rPr>
          <w:rFonts w:ascii="Arial" w:cs="Arial" w:eastAsia="Arial" w:hAnsi="Arial"/>
          <w:sz w:val="18"/>
          <w:szCs w:val="18"/>
          <w:color w:val="auto"/>
        </w:rPr>
        <w:t>Our digital printing solutions allow our customers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new or improve existing business models by enabling them to produce short to medium runs of high-quality customized garments eﬃciently. This facilitates online business models that manufacture on a “produce to order” basis and allows brand owners to produce garments in house.</w:t>
      </w:r>
    </w:p>
    <w:p>
      <w:pPr>
        <w:spacing w:after="0" w:line="377" w:lineRule="exact"/>
        <w:rPr>
          <w:rFonts w:ascii="Arial" w:cs="Arial" w:eastAsia="Arial" w:hAnsi="Arial"/>
          <w:sz w:val="22"/>
          <w:szCs w:val="22"/>
          <w:b w:val="1"/>
          <w:bCs w:val="1"/>
          <w:color w:val="auto"/>
        </w:rPr>
      </w:pPr>
    </w:p>
    <w:p>
      <w:pPr>
        <w:ind w:left="640" w:right="239" w:hanging="209"/>
        <w:spacing w:after="0" w:line="266" w:lineRule="auto"/>
        <w:tabs>
          <w:tab w:leader="none" w:pos="726"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Attractive business model. </w:t>
      </w:r>
      <w:r>
        <w:rPr>
          <w:rFonts w:ascii="Arial" w:cs="Arial" w:eastAsia="Arial" w:hAnsi="Arial"/>
          <w:sz w:val="18"/>
          <w:szCs w:val="18"/>
          <w:color w:val="auto"/>
        </w:rPr>
        <w:t>Our existing and growing installed base of systems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in recurring sales of ink and other consumables. Recurring sales of ink and other consumables have historically oﬀered us visibility into a significant</w:t>
      </w:r>
    </w:p>
    <w:p>
      <w:pPr>
        <w:sectPr>
          <w:pgSz w:w="11900" w:h="16838" w:orient="portrait"/>
          <w:cols w:equalWidth="0" w:num="1">
            <w:col w:w="9019"/>
          </w:cols>
          <w:pgMar w:left="1440" w:top="295" w:right="1440" w:bottom="515" w:gutter="0" w:footer="0" w:header="0"/>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5" w:right="1440" w:bottom="515" w:gutter="0" w:footer="0" w:header="0"/>
          <w:type w:val="continuous"/>
        </w:sectPr>
      </w:pPr>
    </w:p>
    <w:bookmarkStart w:id="7" w:name="page8"/>
    <w:bookmarkEnd w:id="7"/>
    <w:p>
      <w:pPr>
        <w:ind w:left="640" w:right="31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9006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8475" cy="9006840"/>
                    </a:xfrm>
                    <a:prstGeom prst="rect">
                      <a:avLst/>
                    </a:prstGeom>
                    <a:noFill/>
                  </pic:spPr>
                </pic:pic>
              </a:graphicData>
            </a:graphic>
          </wp:anchor>
        </w:drawing>
        <w:t>component of our results of operations. We believe that our recurring sales model also enables us to foster close customer relationships and allows us to provide value added services to our customers.</w:t>
      </w:r>
    </w:p>
    <w:p>
      <w:pPr>
        <w:spacing w:after="0" w:line="149" w:lineRule="exact"/>
        <w:rPr>
          <w:sz w:val="20"/>
          <w:szCs w:val="20"/>
          <w:color w:val="auto"/>
        </w:rPr>
      </w:pPr>
    </w:p>
    <w:p>
      <w:pPr>
        <w:ind w:left="640" w:right="679" w:hanging="209"/>
        <w:spacing w:after="0" w:line="257" w:lineRule="auto"/>
        <w:tabs>
          <w:tab w:leader="none" w:pos="726"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 portfolio reflects over a decade of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digital textile printing, which we believe creates significant barriers to entry.</w:t>
      </w:r>
    </w:p>
    <w:p>
      <w:pPr>
        <w:spacing w:after="0" w:line="379" w:lineRule="exact"/>
        <w:rPr>
          <w:rFonts w:ascii="Arial" w:cs="Arial" w:eastAsia="Arial" w:hAnsi="Arial"/>
          <w:sz w:val="22"/>
          <w:szCs w:val="22"/>
          <w:b w:val="1"/>
          <w:bCs w:val="1"/>
          <w:color w:val="auto"/>
        </w:rPr>
      </w:pPr>
    </w:p>
    <w:p>
      <w:pPr>
        <w:ind w:left="640" w:right="379" w:hanging="209"/>
        <w:spacing w:after="0" w:line="258" w:lineRule="auto"/>
        <w:tabs>
          <w:tab w:leader="none" w:pos="726"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Extensive product portfolio and strong new product pipeline. </w:t>
      </w:r>
      <w:r>
        <w:rPr>
          <w:rFonts w:ascii="Arial" w:cs="Arial" w:eastAsia="Arial" w:hAnsi="Arial"/>
          <w:sz w:val="18"/>
          <w:szCs w:val="18"/>
          <w:color w:val="auto"/>
        </w:rPr>
        <w:t>Our DTG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are suited for smaller commercial operators with limited budgets, as well as mass producers with mature operations and complex needs. In addition, we plan to introduce two new solutions to market: the Allegro, a one-step, integrated R2R printing and drying system, and the Vulcan, a cost-eﬀective digital substitution for carousel screen printing.</w:t>
      </w:r>
    </w:p>
    <w:p>
      <w:pPr>
        <w:spacing w:after="0" w:line="148" w:lineRule="exact"/>
        <w:rPr>
          <w:rFonts w:ascii="Arial" w:cs="Arial" w:eastAsia="Arial" w:hAnsi="Arial"/>
          <w:sz w:val="22"/>
          <w:szCs w:val="22"/>
          <w:b w:val="1"/>
          <w:bCs w:val="1"/>
          <w:color w:val="auto"/>
        </w:rPr>
      </w:pPr>
    </w:p>
    <w:p>
      <w:pPr>
        <w:ind w:left="640" w:right="219" w:hanging="209"/>
        <w:spacing w:after="0" w:line="258" w:lineRule="auto"/>
        <w:tabs>
          <w:tab w:leader="none" w:pos="726"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Environmentally friendly printing processes. </w:t>
      </w:r>
      <w:r>
        <w:rPr>
          <w:rFonts w:ascii="Arial" w:cs="Arial" w:eastAsia="Arial" w:hAnsi="Arial"/>
          <w:sz w:val="18"/>
          <w:szCs w:val="18"/>
          <w:color w:val="auto"/>
        </w:rPr>
        <w:t>A significant portion of global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water pollution comes from textile 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pacing w:after="0" w:line="148" w:lineRule="exact"/>
        <w:rPr>
          <w:rFonts w:ascii="Arial" w:cs="Arial" w:eastAsia="Arial" w:hAnsi="Arial"/>
          <w:sz w:val="22"/>
          <w:szCs w:val="22"/>
          <w:b w:val="1"/>
          <w:bCs w:val="1"/>
          <w:color w:val="auto"/>
        </w:rPr>
      </w:pPr>
    </w:p>
    <w:p>
      <w:pPr>
        <w:ind w:left="640" w:right="439" w:hanging="209"/>
        <w:spacing w:after="0" w:line="266" w:lineRule="auto"/>
        <w:tabs>
          <w:tab w:leader="none" w:pos="726"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Experienced management team. </w:t>
      </w:r>
      <w:r>
        <w:rPr>
          <w:rFonts w:ascii="Arial" w:cs="Arial" w:eastAsia="Arial" w:hAnsi="Arial"/>
          <w:sz w:val="18"/>
          <w:szCs w:val="18"/>
          <w:color w:val="auto"/>
        </w:rPr>
        <w:t>We believe that our management team’s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long history with our company and extensive experience in running global publicly traded companies will enable us to execute our growth strategy.</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Strategy</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39" w:lineRule="exact"/>
        <w:rPr>
          <w:sz w:val="20"/>
          <w:szCs w:val="20"/>
          <w:color w:val="auto"/>
        </w:rPr>
      </w:pPr>
    </w:p>
    <w:p>
      <w:pPr>
        <w:ind w:left="720" w:hanging="289"/>
        <w:spacing w:after="0"/>
        <w:tabs>
          <w:tab w:leader="none" w:pos="720" w:val="left"/>
        </w:tabs>
        <w:numPr>
          <w:ilvl w:val="0"/>
          <w:numId w:val="5"/>
        </w:numPr>
        <w:rPr>
          <w:rFonts w:ascii="Arial" w:cs="Arial" w:eastAsia="Arial" w:hAnsi="Arial"/>
          <w:sz w:val="22"/>
          <w:szCs w:val="22"/>
          <w:color w:val="auto"/>
        </w:rPr>
      </w:pPr>
      <w:r>
        <w:rPr>
          <w:rFonts w:ascii="Arial" w:cs="Arial" w:eastAsia="Arial" w:hAnsi="Arial"/>
          <w:sz w:val="18"/>
          <w:szCs w:val="18"/>
          <w:color w:val="auto"/>
        </w:rPr>
        <w:t>capitalize on continued growth of the digital DTG market;</w:t>
      </w:r>
    </w:p>
    <w:p>
      <w:pPr>
        <w:spacing w:after="0" w:line="192" w:lineRule="exact"/>
        <w:rPr>
          <w:rFonts w:ascii="Arial" w:cs="Arial" w:eastAsia="Arial" w:hAnsi="Arial"/>
          <w:sz w:val="22"/>
          <w:szCs w:val="22"/>
          <w:color w:val="auto"/>
        </w:rPr>
      </w:pPr>
    </w:p>
    <w:p>
      <w:pPr>
        <w:ind w:left="720" w:hanging="289"/>
        <w:spacing w:after="0"/>
        <w:tabs>
          <w:tab w:leader="none" w:pos="720" w:val="left"/>
        </w:tabs>
        <w:numPr>
          <w:ilvl w:val="0"/>
          <w:numId w:val="5"/>
        </w:numPr>
        <w:rPr>
          <w:rFonts w:ascii="Arial" w:cs="Arial" w:eastAsia="Arial" w:hAnsi="Arial"/>
          <w:sz w:val="22"/>
          <w:szCs w:val="22"/>
          <w:color w:val="auto"/>
        </w:rPr>
      </w:pPr>
      <w:r>
        <w:rPr>
          <w:rFonts w:ascii="Arial" w:cs="Arial" w:eastAsia="Arial" w:hAnsi="Arial"/>
          <w:sz w:val="18"/>
          <w:szCs w:val="18"/>
          <w:color w:val="auto"/>
        </w:rPr>
        <w:t>focus on fast-growing web-to-print businesses;</w:t>
      </w:r>
    </w:p>
    <w:p>
      <w:pPr>
        <w:spacing w:after="0" w:line="192" w:lineRule="exact"/>
        <w:rPr>
          <w:rFonts w:ascii="Arial" w:cs="Arial" w:eastAsia="Arial" w:hAnsi="Arial"/>
          <w:sz w:val="22"/>
          <w:szCs w:val="22"/>
          <w:color w:val="auto"/>
        </w:rPr>
      </w:pPr>
    </w:p>
    <w:p>
      <w:pPr>
        <w:ind w:left="640" w:right="479" w:hanging="209"/>
        <w:spacing w:after="0" w:line="285" w:lineRule="auto"/>
        <w:tabs>
          <w:tab w:leader="none" w:pos="706" w:val="left"/>
        </w:tabs>
        <w:numPr>
          <w:ilvl w:val="0"/>
          <w:numId w:val="5"/>
        </w:numPr>
        <w:rPr>
          <w:rFonts w:ascii="Arial" w:cs="Arial" w:eastAsia="Arial" w:hAnsi="Arial"/>
          <w:sz w:val="22"/>
          <w:szCs w:val="22"/>
          <w:color w:val="auto"/>
        </w:rPr>
      </w:pPr>
      <w:r>
        <w:rPr>
          <w:rFonts w:ascii="Arial" w:cs="Arial" w:eastAsia="Arial" w:hAnsi="Arial"/>
          <w:sz w:val="18"/>
          <w:szCs w:val="18"/>
          <w:color w:val="auto"/>
        </w:rPr>
        <w:t>drive adoption of digital DTG printing solutions by customers who primarily use screen printing carousels; and</w:t>
      </w:r>
    </w:p>
    <w:p>
      <w:pPr>
        <w:spacing w:after="0" w:line="115" w:lineRule="exact"/>
        <w:rPr>
          <w:rFonts w:ascii="Arial" w:cs="Arial" w:eastAsia="Arial" w:hAnsi="Arial"/>
          <w:sz w:val="22"/>
          <w:szCs w:val="22"/>
          <w:color w:val="auto"/>
        </w:rPr>
      </w:pPr>
    </w:p>
    <w:p>
      <w:pPr>
        <w:ind w:left="640" w:right="639" w:hanging="209"/>
        <w:spacing w:after="0" w:line="285" w:lineRule="auto"/>
        <w:tabs>
          <w:tab w:leader="none" w:pos="706" w:val="left"/>
        </w:tabs>
        <w:numPr>
          <w:ilvl w:val="0"/>
          <w:numId w:val="5"/>
        </w:numPr>
        <w:rPr>
          <w:rFonts w:ascii="Arial" w:cs="Arial" w:eastAsia="Arial" w:hAnsi="Arial"/>
          <w:sz w:val="22"/>
          <w:szCs w:val="22"/>
          <w:color w:val="auto"/>
        </w:rPr>
      </w:pPr>
      <w:r>
        <w:rPr>
          <w:rFonts w:ascii="Arial" w:cs="Arial" w:eastAsia="Arial" w:hAnsi="Arial"/>
          <w:sz w:val="18"/>
          <w:szCs w:val="18"/>
          <w:color w:val="auto"/>
        </w:rPr>
        <w:t>extend our technological leadership through ongoing research and development and continuing to introduce new products.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w:t>
      </w:r>
    </w:p>
    <w:p>
      <w:pPr>
        <w:spacing w:after="0" w:line="197" w:lineRule="exact"/>
        <w:rPr>
          <w:sz w:val="20"/>
          <w:szCs w:val="20"/>
          <w:color w:val="auto"/>
        </w:rPr>
      </w:pPr>
    </w:p>
    <w:p>
      <w:pPr>
        <w:ind w:left="220" w:right="379" w:firstLine="216"/>
        <w:spacing w:after="0" w:line="268"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section beginning on page 9 before making a decision to invest in our ordinary shares. If any of these risks actually occur, our business, financial condition or results of operations would likely be materially adversely aﬀected. In such case, the trading price of our ordinary shares would likely decline, and you may lose all or part of your investment. The following is a summary of some of the principal risks we face:</w:t>
      </w:r>
    </w:p>
    <w:p>
      <w:pPr>
        <w:spacing w:after="0" w:line="139" w:lineRule="exact"/>
        <w:rPr>
          <w:sz w:val="20"/>
          <w:szCs w:val="20"/>
          <w:color w:val="auto"/>
        </w:rPr>
      </w:pPr>
    </w:p>
    <w:p>
      <w:pPr>
        <w:ind w:left="640" w:right="319" w:hanging="209"/>
        <w:spacing w:after="0" w:line="285" w:lineRule="auto"/>
        <w:tabs>
          <w:tab w:leader="none" w:pos="706"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the market for digital textile printing does not develop as we anticipate, our sales may not grow as quickly as expected and our share price could decline.</w:t>
      </w:r>
    </w:p>
    <w:p>
      <w:pPr>
        <w:spacing w:after="0" w:line="115" w:lineRule="exact"/>
        <w:rPr>
          <w:rFonts w:ascii="Arial" w:cs="Arial" w:eastAsia="Arial" w:hAnsi="Arial"/>
          <w:sz w:val="22"/>
          <w:szCs w:val="22"/>
          <w:color w:val="auto"/>
        </w:rPr>
      </w:pPr>
    </w:p>
    <w:p>
      <w:pPr>
        <w:ind w:left="640" w:right="759" w:hanging="209"/>
        <w:spacing w:after="0" w:line="285" w:lineRule="auto"/>
        <w:tabs>
          <w:tab w:leader="none" w:pos="706"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our customers use alternative ink or other consumables in our systems, our gross margin could decline significantly, and our business could be harmed.</w:t>
      </w:r>
    </w:p>
    <w:p>
      <w:pPr>
        <w:spacing w:after="0" w:line="115" w:lineRule="exact"/>
        <w:rPr>
          <w:rFonts w:ascii="Arial" w:cs="Arial" w:eastAsia="Arial" w:hAnsi="Arial"/>
          <w:sz w:val="22"/>
          <w:szCs w:val="22"/>
          <w:color w:val="auto"/>
        </w:rPr>
      </w:pPr>
    </w:p>
    <w:p>
      <w:pPr>
        <w:ind w:left="640" w:right="899" w:hanging="209"/>
        <w:spacing w:after="0" w:line="285" w:lineRule="auto"/>
        <w:tabs>
          <w:tab w:leader="none" w:pos="706"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failure to compete successfully could cause our revenues and demand for our solutions to decline.</w:t>
      </w:r>
    </w:p>
    <w:p>
      <w:pPr>
        <w:spacing w:after="0" w:line="115" w:lineRule="exact"/>
        <w:rPr>
          <w:rFonts w:ascii="Arial" w:cs="Arial" w:eastAsia="Arial" w:hAnsi="Arial"/>
          <w:sz w:val="22"/>
          <w:szCs w:val="22"/>
          <w:color w:val="auto"/>
        </w:rPr>
      </w:pPr>
    </w:p>
    <w:p>
      <w:pPr>
        <w:ind w:left="640" w:right="319" w:hanging="209"/>
        <w:spacing w:after="0" w:line="265" w:lineRule="auto"/>
        <w:tabs>
          <w:tab w:leader="none" w:pos="706" w:val="left"/>
        </w:tabs>
        <w:numPr>
          <w:ilvl w:val="0"/>
          <w:numId w:val="6"/>
        </w:numPr>
        <w:rPr>
          <w:rFonts w:ascii="Arial" w:cs="Arial" w:eastAsia="Arial" w:hAnsi="Arial"/>
          <w:sz w:val="22"/>
          <w:szCs w:val="22"/>
          <w:color w:val="auto"/>
        </w:rPr>
      </w:pPr>
      <w:r>
        <w:rPr>
          <w:rFonts w:ascii="Arial" w:cs="Arial" w:eastAsia="Arial" w:hAnsi="Arial"/>
          <w:sz w:val="18"/>
          <w:szCs w:val="18"/>
          <w:color w:val="auto"/>
        </w:rPr>
        <w:t>A significant portion of our sales is concentrated among two of our independent distributors and our business would be adversely aﬀected by a decline in sales by, or the loss of, either of these independent distributors.</w:t>
      </w:r>
    </w:p>
    <w:p>
      <w:pPr>
        <w:spacing w:after="0" w:line="141" w:lineRule="exact"/>
        <w:rPr>
          <w:rFonts w:ascii="Arial" w:cs="Arial" w:eastAsia="Arial" w:hAnsi="Arial"/>
          <w:sz w:val="22"/>
          <w:szCs w:val="22"/>
          <w:color w:val="auto"/>
        </w:rPr>
      </w:pPr>
    </w:p>
    <w:p>
      <w:pPr>
        <w:ind w:left="640" w:right="419" w:hanging="209"/>
        <w:spacing w:after="0" w:line="285" w:lineRule="auto"/>
        <w:tabs>
          <w:tab w:leader="none" w:pos="706"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quarterly results of operations have fluctuated in the past and may fluctuate in the future due to variability in our revenues.</w:t>
      </w:r>
    </w:p>
    <w:p>
      <w:pPr>
        <w:sectPr>
          <w:pgSz w:w="11900" w:h="16838" w:orient="portrait"/>
          <w:cols w:equalWidth="0" w:num="1">
            <w:col w:w="9019"/>
          </w:cols>
          <w:pgMar w:left="1440" w:top="544"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8" w:name="page9"/>
    <w:bookmarkEnd w:id="8"/>
    <w:p>
      <w:pPr>
        <w:ind w:left="640" w:right="319" w:hanging="209"/>
        <w:spacing w:after="0" w:line="232" w:lineRule="auto"/>
        <w:tabs>
          <w:tab w:leader="none" w:pos="621" w:val="left"/>
        </w:tabs>
        <w:numPr>
          <w:ilvl w:val="0"/>
          <w:numId w:val="7"/>
        </w:numPr>
        <w:rPr>
          <w:rFonts w:ascii="Arial" w:cs="Arial" w:eastAsia="Arial" w:hAnsi="Arial"/>
          <w:sz w:val="22"/>
          <w:szCs w:val="22"/>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636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8475" cy="6365240"/>
                    </a:xfrm>
                    <a:prstGeom prst="rect">
                      <a:avLst/>
                    </a:prstGeom>
                    <a:noFill/>
                  </pic:spPr>
                </pic:pic>
              </a:graphicData>
            </a:graphic>
          </wp:anchor>
        </w:drawing>
        <w:t>If our relationships with suppliers, especially with single source suppliers of components, were to terminate, our business could be harmed.</w:t>
      </w:r>
    </w:p>
    <w:p>
      <w:pPr>
        <w:spacing w:after="0" w:line="184" w:lineRule="exact"/>
        <w:rPr>
          <w:rFonts w:ascii="Arial" w:cs="Arial" w:eastAsia="Arial" w:hAnsi="Arial"/>
          <w:sz w:val="22"/>
          <w:szCs w:val="22"/>
          <w:color w:val="auto"/>
        </w:rPr>
      </w:pPr>
    </w:p>
    <w:p>
      <w:pPr>
        <w:ind w:left="640" w:right="979" w:hanging="209"/>
        <w:spacing w:after="0" w:line="285" w:lineRule="auto"/>
        <w:tabs>
          <w:tab w:leader="none" w:pos="706"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we cannot successfully market our systems to major brand owners and fashion designers, our future growth and prospects could be harmed.</w:t>
      </w:r>
    </w:p>
    <w:p>
      <w:pPr>
        <w:spacing w:after="0" w:line="115" w:lineRule="exact"/>
        <w:rPr>
          <w:rFonts w:ascii="Arial" w:cs="Arial" w:eastAsia="Arial" w:hAnsi="Arial"/>
          <w:sz w:val="22"/>
          <w:szCs w:val="22"/>
          <w:color w:val="auto"/>
        </w:rPr>
      </w:pPr>
    </w:p>
    <w:p>
      <w:pPr>
        <w:ind w:left="640" w:right="359" w:hanging="209"/>
        <w:spacing w:after="0" w:line="285" w:lineRule="auto"/>
        <w:tabs>
          <w:tab w:leader="none" w:pos="706" w:val="left"/>
        </w:tabs>
        <w:numPr>
          <w:ilvl w:val="0"/>
          <w:numId w:val="7"/>
        </w:numPr>
        <w:rPr>
          <w:rFonts w:ascii="Arial" w:cs="Arial" w:eastAsia="Arial" w:hAnsi="Arial"/>
          <w:sz w:val="22"/>
          <w:szCs w:val="22"/>
          <w:color w:val="auto"/>
        </w:rPr>
      </w:pPr>
      <w:r>
        <w:rPr>
          <w:rFonts w:ascii="Arial" w:cs="Arial" w:eastAsia="Arial" w:hAnsi="Arial"/>
          <w:sz w:val="18"/>
          <w:szCs w:val="18"/>
          <w:color w:val="auto"/>
        </w:rPr>
        <w:t>Disruption of operations at our manufacturing site or those of third-party manufacturers could prevent us from filling customer orders on a timely basis.</w:t>
      </w:r>
    </w:p>
    <w:p>
      <w:pPr>
        <w:spacing w:after="0" w:line="115" w:lineRule="exact"/>
        <w:rPr>
          <w:rFonts w:ascii="Arial" w:cs="Arial" w:eastAsia="Arial" w:hAnsi="Arial"/>
          <w:sz w:val="22"/>
          <w:szCs w:val="22"/>
          <w:color w:val="auto"/>
        </w:rPr>
      </w:pPr>
    </w:p>
    <w:p>
      <w:pPr>
        <w:ind w:left="640" w:right="459" w:hanging="209"/>
        <w:spacing w:after="0" w:line="285" w:lineRule="auto"/>
        <w:tabs>
          <w:tab w:leader="none" w:pos="706"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not be able to introduce new systems or other technological enhancements to the market on the timescales that we project.</w:t>
      </w:r>
    </w:p>
    <w:p>
      <w:pPr>
        <w:spacing w:after="0" w:line="115" w:lineRule="exact"/>
        <w:rPr>
          <w:rFonts w:ascii="Arial" w:cs="Arial" w:eastAsia="Arial" w:hAnsi="Arial"/>
          <w:sz w:val="22"/>
          <w:szCs w:val="22"/>
          <w:color w:val="auto"/>
        </w:rPr>
      </w:pPr>
    </w:p>
    <w:p>
      <w:pPr>
        <w:ind w:left="640" w:right="239" w:hanging="209"/>
        <w:spacing w:after="0" w:line="285" w:lineRule="auto"/>
        <w:tabs>
          <w:tab w:leader="none" w:pos="706"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Allegro system, which we expect to launch commercially in the next 18 months, may not achieve market acceptance or gain adequate market share.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Principal Shareholder</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the closing of this oﬀering, entities aﬃliated with Fortissimo Capital Fund II (Israel)</w:t>
      </w:r>
    </w:p>
    <w:p>
      <w:pPr>
        <w:spacing w:after="0" w:line="51" w:lineRule="exact"/>
        <w:rPr>
          <w:sz w:val="20"/>
          <w:szCs w:val="20"/>
          <w:color w:val="auto"/>
        </w:rPr>
      </w:pPr>
    </w:p>
    <w:p>
      <w:pPr>
        <w:ind w:left="220" w:right="259"/>
        <w:spacing w:after="0" w:line="261" w:lineRule="auto"/>
        <w:rPr>
          <w:sz w:val="20"/>
          <w:szCs w:val="20"/>
          <w:color w:val="auto"/>
        </w:rPr>
      </w:pPr>
      <w:r>
        <w:rPr>
          <w:rFonts w:ascii="Arial" w:cs="Arial" w:eastAsia="Arial" w:hAnsi="Arial"/>
          <w:sz w:val="18"/>
          <w:szCs w:val="18"/>
          <w:color w:val="auto"/>
        </w:rPr>
        <w:t>L.P. will beneficially own % of our outstanding shares in the aggregate (or % if the underwriters exercise in full their option to purchase additional shares). Following the closing of this oﬀering, we will not be a party to and are not otherwise aware of any voting agreement among our shareholders. For further information about the ownership of our ordinary shares following this oﬀering, see “Principal Shareholders.”</w:t>
      </w:r>
    </w:p>
    <w:p>
      <w:pPr>
        <w:spacing w:after="0" w:line="3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Corporate Information</w:t>
      </w:r>
    </w:p>
    <w:p>
      <w:pPr>
        <w:spacing w:after="0" w:line="227" w:lineRule="exact"/>
        <w:rPr>
          <w:sz w:val="20"/>
          <w:szCs w:val="20"/>
          <w:color w:val="auto"/>
        </w:rPr>
      </w:pPr>
    </w:p>
    <w:p>
      <w:pPr>
        <w:ind w:left="220" w:right="219" w:firstLine="216"/>
        <w:spacing w:after="0" w:line="263" w:lineRule="auto"/>
        <w:rPr>
          <w:sz w:val="20"/>
          <w:szCs w:val="20"/>
          <w:color w:val="auto"/>
        </w:rPr>
      </w:pPr>
      <w:r>
        <w:rPr>
          <w:rFonts w:ascii="Arial" w:cs="Arial" w:eastAsia="Arial" w:hAnsi="Arial"/>
          <w:sz w:val="18"/>
          <w:szCs w:val="18"/>
          <w:color w:val="auto"/>
        </w:rPr>
        <w:t>We were incorporated under the laws of the State of Israel on January 16, 2002. Our principal executive oﬃces are located at 12 Ha’Amal Street, Rosh Ha’Ayin 4809246, Israel, and our telephone number is +972-3-908-5800. Our website address is www.kornit.com. The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Kornit Digital North America Inc., located at 10541-10601 North Commerce Street, Mequon, Wisconsin 53092, and its telephone number is (262) 518-0200.</w:t>
      </w:r>
    </w:p>
    <w:p>
      <w:pPr>
        <w:spacing w:after="0" w:line="130" w:lineRule="exact"/>
        <w:rPr>
          <w:sz w:val="20"/>
          <w:szCs w:val="20"/>
          <w:color w:val="auto"/>
        </w:rPr>
      </w:pPr>
    </w:p>
    <w:p>
      <w:pPr>
        <w:ind w:left="220" w:right="239" w:firstLine="216"/>
        <w:spacing w:after="0" w:line="266" w:lineRule="auto"/>
        <w:rPr>
          <w:sz w:val="20"/>
          <w:szCs w:val="20"/>
          <w:color w:val="auto"/>
        </w:rPr>
      </w:pPr>
      <w:r>
        <w:rPr>
          <w:rFonts w:ascii="Arial" w:cs="Arial" w:eastAsia="Arial" w:hAnsi="Arial"/>
          <w:sz w:val="18"/>
          <w:szCs w:val="18"/>
          <w:color w:val="auto"/>
        </w:rPr>
        <w:t>Throughout this prospectus, we refer to various trademarks, service marks and trade names that we use in our business. The “Kornit Digital” design logo and other trademarks or service marks of Kornit Digital Ltd. appearing in this prospectus are the property of Kornit Digital Ltd. We have several other registered trademarks, service marks and pending applications relating</w:t>
      </w:r>
    </w:p>
    <w:p>
      <w:pPr>
        <w:spacing w:after="0" w:line="3" w:lineRule="exact"/>
        <w:rPr>
          <w:sz w:val="20"/>
          <w:szCs w:val="20"/>
          <w:color w:val="auto"/>
        </w:rPr>
      </w:pPr>
    </w:p>
    <w:p>
      <w:pPr>
        <w:ind w:left="220" w:right="359"/>
        <w:spacing w:after="0"/>
        <w:rPr>
          <w:sz w:val="20"/>
          <w:szCs w:val="20"/>
          <w:color w:val="auto"/>
        </w:rPr>
      </w:pPr>
      <w:r>
        <w:rPr>
          <w:rFonts w:ascii="Arial" w:cs="Arial" w:eastAsia="Arial" w:hAnsi="Arial"/>
          <w:sz w:val="18"/>
          <w:szCs w:val="18"/>
          <w:color w:val="auto"/>
        </w:rPr>
        <w:t>to our solutions. Although we have omitted the “</w:t>
      </w:r>
      <w:r>
        <w:rPr>
          <w:rFonts w:ascii="Arial" w:cs="Arial" w:eastAsia="Arial" w:hAnsi="Arial"/>
          <w:sz w:val="30"/>
          <w:szCs w:val="30"/>
          <w:color w:val="auto"/>
          <w:vertAlign w:val="superscript"/>
        </w:rPr>
        <w:t>®</w:t>
      </w:r>
      <w:r>
        <w:rPr>
          <w:rFonts w:ascii="Arial" w:cs="Arial" w:eastAsia="Arial" w:hAnsi="Arial"/>
          <w:sz w:val="18"/>
          <w:szCs w:val="18"/>
          <w:color w:val="auto"/>
        </w:rPr>
        <w:t>”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9478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8475" cy="9478645"/>
                    </a:xfrm>
                    <a:prstGeom prst="rect">
                      <a:avLst/>
                    </a:prstGeom>
                    <a:noFill/>
                  </pic:spPr>
                </pic:pic>
              </a:graphicData>
            </a:graphic>
          </wp:anchor>
        </w:drawing>
        <w:t>The Oﬀering</w:t>
      </w:r>
    </w:p>
    <w:p>
      <w:pPr>
        <w:spacing w:after="0" w:line="260" w:lineRule="exact"/>
        <w:rPr>
          <w:sz w:val="20"/>
          <w:szCs w:val="20"/>
          <w:color w:val="auto"/>
        </w:rPr>
      </w:pPr>
    </w:p>
    <w:p>
      <w:pPr>
        <w:ind w:left="220"/>
        <w:spacing w:after="0"/>
        <w:tabs>
          <w:tab w:leader="none" w:pos="3880" w:val="left"/>
          <w:tab w:leader="none" w:pos="5920" w:val="left"/>
        </w:tabs>
        <w:rPr>
          <w:sz w:val="20"/>
          <w:szCs w:val="20"/>
          <w:color w:val="auto"/>
        </w:rPr>
      </w:pPr>
      <w:r>
        <w:rPr>
          <w:rFonts w:ascii="Arial" w:cs="Arial" w:eastAsia="Arial" w:hAnsi="Arial"/>
          <w:sz w:val="18"/>
          <w:szCs w:val="18"/>
          <w:color w:val="auto"/>
        </w:rPr>
        <w:t>Ordinary shares we are offering</w:t>
      </w:r>
      <w:r>
        <w:rPr>
          <w:sz w:val="20"/>
          <w:szCs w:val="20"/>
          <w:color w:val="auto"/>
        </w:rPr>
        <w:tab/>
      </w: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if the underwriters exercise in full their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option to purchase additional ordinary shares)</w:t>
      </w:r>
    </w:p>
    <w:p>
      <w:pPr>
        <w:spacing w:after="0" w:line="211" w:lineRule="exact"/>
        <w:rPr>
          <w:sz w:val="20"/>
          <w:szCs w:val="20"/>
          <w:color w:val="auto"/>
        </w:rPr>
      </w:pPr>
    </w:p>
    <w:p>
      <w:pPr>
        <w:ind w:left="220"/>
        <w:spacing w:after="0"/>
        <w:tabs>
          <w:tab w:leader="none" w:pos="3880" w:val="left"/>
          <w:tab w:leader="none" w:pos="5920" w:val="left"/>
        </w:tabs>
        <w:rPr>
          <w:sz w:val="20"/>
          <w:szCs w:val="20"/>
          <w:color w:val="auto"/>
        </w:rPr>
      </w:pPr>
      <w:r>
        <w:rPr>
          <w:rFonts w:ascii="Arial" w:cs="Arial" w:eastAsia="Arial" w:hAnsi="Arial"/>
          <w:sz w:val="18"/>
          <w:szCs w:val="18"/>
          <w:color w:val="auto"/>
        </w:rPr>
        <w:t>Ordinary shares to be outstanding</w:t>
      </w:r>
      <w:r>
        <w:rPr>
          <w:sz w:val="20"/>
          <w:szCs w:val="20"/>
          <w:color w:val="auto"/>
        </w:rPr>
        <w:tab/>
      </w: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if the underwriters exercise in full their</w:t>
      </w:r>
    </w:p>
    <w:p>
      <w:pPr>
        <w:spacing w:after="0" w:line="23" w:lineRule="exact"/>
        <w:rPr>
          <w:sz w:val="20"/>
          <w:szCs w:val="20"/>
          <w:color w:val="auto"/>
        </w:rPr>
      </w:pPr>
    </w:p>
    <w:p>
      <w:pPr>
        <w:ind w:left="440"/>
        <w:spacing w:after="0"/>
        <w:tabs>
          <w:tab w:leader="none" w:pos="3220" w:val="left"/>
        </w:tabs>
        <w:rPr>
          <w:sz w:val="20"/>
          <w:szCs w:val="20"/>
          <w:color w:val="auto"/>
        </w:rPr>
      </w:pPr>
      <w:r>
        <w:rPr>
          <w:rFonts w:ascii="Arial" w:cs="Arial" w:eastAsia="Arial" w:hAnsi="Arial"/>
          <w:sz w:val="18"/>
          <w:szCs w:val="18"/>
          <w:color w:val="auto"/>
        </w:rPr>
        <w:t>immediately after this offering</w:t>
      </w:r>
      <w:r>
        <w:rPr>
          <w:sz w:val="20"/>
          <w:szCs w:val="20"/>
          <w:color w:val="auto"/>
        </w:rPr>
        <w:tab/>
      </w:r>
      <w:r>
        <w:rPr>
          <w:rFonts w:ascii="Arial" w:cs="Arial" w:eastAsia="Arial" w:hAnsi="Arial"/>
          <w:sz w:val="16"/>
          <w:szCs w:val="16"/>
          <w:color w:val="auto"/>
        </w:rPr>
        <w:t>option to purchase additional ordinary shares)</w:t>
      </w:r>
    </w:p>
    <w:p>
      <w:pPr>
        <w:spacing w:after="0" w:line="211" w:lineRule="exact"/>
        <w:rPr>
          <w:sz w:val="20"/>
          <w:szCs w:val="20"/>
          <w:color w:val="auto"/>
        </w:rPr>
      </w:pPr>
    </w:p>
    <w:p>
      <w:pPr>
        <w:ind w:left="220"/>
        <w:spacing w:after="0"/>
        <w:tabs>
          <w:tab w:leader="none" w:pos="32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we will receive net proceeds from this offering of</w:t>
      </w:r>
    </w:p>
    <w:p>
      <w:pPr>
        <w:spacing w:after="0" w:line="23" w:lineRule="exact"/>
        <w:rPr>
          <w:sz w:val="20"/>
          <w:szCs w:val="20"/>
          <w:color w:val="auto"/>
        </w:rPr>
      </w:pPr>
    </w:p>
    <w:p>
      <w:pPr>
        <w:ind w:left="3240"/>
        <w:spacing w:after="0"/>
        <w:tabs>
          <w:tab w:leader="none" w:pos="5060" w:val="left"/>
          <w:tab w:leader="none" w:pos="664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million if the underwriters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exercise in full their option to purchase additional ordinary shares, based on</w:t>
      </w:r>
    </w:p>
    <w:p>
      <w:pPr>
        <w:spacing w:after="0" w:line="32" w:lineRule="exact"/>
        <w:rPr>
          <w:sz w:val="20"/>
          <w:szCs w:val="20"/>
          <w:color w:val="auto"/>
        </w:rPr>
      </w:pPr>
    </w:p>
    <w:p>
      <w:pPr>
        <w:ind w:left="3240"/>
        <w:spacing w:after="0"/>
        <w:tabs>
          <w:tab w:leader="none" w:pos="6820" w:val="left"/>
        </w:tabs>
        <w:rPr>
          <w:sz w:val="20"/>
          <w:szCs w:val="20"/>
          <w:color w:val="auto"/>
        </w:rPr>
      </w:pPr>
      <w:r>
        <w:rPr>
          <w:rFonts w:ascii="Arial" w:cs="Arial" w:eastAsia="Arial" w:hAnsi="Arial"/>
          <w:sz w:val="18"/>
          <w:szCs w:val="18"/>
          <w:color w:val="auto"/>
        </w:rPr>
        <w:t>an assumed initial public offering price of $</w:t>
      </w:r>
      <w:r>
        <w:rPr>
          <w:sz w:val="20"/>
          <w:szCs w:val="20"/>
          <w:color w:val="auto"/>
        </w:rPr>
        <w:tab/>
      </w:r>
      <w:r>
        <w:rPr>
          <w:rFonts w:ascii="Arial" w:cs="Arial" w:eastAsia="Arial" w:hAnsi="Arial"/>
          <w:sz w:val="16"/>
          <w:szCs w:val="16"/>
          <w:color w:val="auto"/>
        </w:rPr>
        <w:t>, the midpoint of the price</w:t>
      </w:r>
    </w:p>
    <w:p>
      <w:pPr>
        <w:spacing w:after="0" w:line="9" w:lineRule="exact"/>
        <w:rPr>
          <w:sz w:val="20"/>
          <w:szCs w:val="20"/>
          <w:color w:val="auto"/>
        </w:rPr>
      </w:pPr>
    </w:p>
    <w:p>
      <w:pPr>
        <w:ind w:left="3240" w:right="479"/>
        <w:spacing w:after="0" w:line="255" w:lineRule="auto"/>
        <w:rPr>
          <w:sz w:val="20"/>
          <w:szCs w:val="20"/>
          <w:color w:val="auto"/>
        </w:rPr>
      </w:pPr>
      <w:r>
        <w:rPr>
          <w:rFonts w:ascii="Arial" w:cs="Arial" w:eastAsia="Arial" w:hAnsi="Arial"/>
          <w:sz w:val="18"/>
          <w:szCs w:val="18"/>
          <w:color w:val="auto"/>
        </w:rPr>
        <w:t>range set forth on the cover page of this prospectus, after deducting underwriting discounts and commissions and estimated offering expenses payable by us.</w:t>
      </w:r>
    </w:p>
    <w:p>
      <w:pPr>
        <w:spacing w:after="0" w:line="190" w:lineRule="exact"/>
        <w:rPr>
          <w:sz w:val="20"/>
          <w:szCs w:val="20"/>
          <w:color w:val="auto"/>
        </w:rPr>
      </w:pPr>
    </w:p>
    <w:p>
      <w:pPr>
        <w:ind w:left="3240" w:right="239"/>
        <w:spacing w:after="0" w:line="270" w:lineRule="auto"/>
        <w:rPr>
          <w:sz w:val="20"/>
          <w:szCs w:val="20"/>
          <w:color w:val="auto"/>
        </w:rPr>
      </w:pPr>
      <w:r>
        <w:rPr>
          <w:rFonts w:ascii="Arial" w:cs="Arial" w:eastAsia="Arial" w:hAnsi="Arial"/>
          <w:sz w:val="17"/>
          <w:szCs w:val="17"/>
          <w:color w:val="auto"/>
        </w:rPr>
        <w:t>We intend to use the net proceeds from this offering to obtain additional capital, to increase our financial flexibility and visibility in the marketplace, to create a public market for our ordinary shares and to facilitate our future access to the public equity markets. While we do not currently have specific plans for the net proceeds resulting from this offering, we expect to use the net proceeds for general corporate purposes. We do not currently have any acquisitions or investments planned however we may use a portion of the net proceeds to acquire or invest in complementary companies, products or technologies in the future. See “Use of Proceeds” on page 27 for additional information.</w:t>
      </w:r>
    </w:p>
    <w:p>
      <w:pPr>
        <w:spacing w:after="0" w:line="178" w:lineRule="exact"/>
        <w:rPr>
          <w:sz w:val="20"/>
          <w:szCs w:val="20"/>
          <w:color w:val="auto"/>
        </w:rPr>
      </w:pPr>
    </w:p>
    <w:p>
      <w:pPr>
        <w:ind w:left="220"/>
        <w:spacing w:after="0"/>
        <w:tabs>
          <w:tab w:leader="none" w:pos="32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ordinary shares involves a high degree of risk and purchasers</w:t>
      </w:r>
    </w:p>
    <w:p>
      <w:pPr>
        <w:spacing w:after="0" w:line="23" w:lineRule="exact"/>
        <w:rPr>
          <w:sz w:val="20"/>
          <w:szCs w:val="20"/>
          <w:color w:val="auto"/>
        </w:rPr>
      </w:pPr>
    </w:p>
    <w:p>
      <w:pPr>
        <w:ind w:left="3240" w:right="239"/>
        <w:spacing w:after="0" w:line="254" w:lineRule="auto"/>
        <w:rPr>
          <w:sz w:val="20"/>
          <w:szCs w:val="20"/>
          <w:color w:val="auto"/>
        </w:rPr>
      </w:pPr>
      <w:r>
        <w:rPr>
          <w:rFonts w:ascii="Arial" w:cs="Arial" w:eastAsia="Arial" w:hAnsi="Arial"/>
          <w:sz w:val="18"/>
          <w:szCs w:val="18"/>
          <w:color w:val="auto"/>
        </w:rPr>
        <w:t>of our ordinary shares may lose part or all of their investment. See “Risk Factors” and other information included in this prospectus for a discussion of factors you should carefully consider before deciding to invest in our ordinary shares.</w:t>
      </w:r>
    </w:p>
    <w:p>
      <w:pPr>
        <w:spacing w:after="0" w:line="203" w:lineRule="exact"/>
        <w:rPr>
          <w:sz w:val="20"/>
          <w:szCs w:val="20"/>
          <w:color w:val="auto"/>
        </w:rPr>
      </w:pPr>
    </w:p>
    <w:p>
      <w:pPr>
        <w:ind w:left="220"/>
        <w:spacing w:after="0"/>
        <w:tabs>
          <w:tab w:leader="none" w:pos="3220" w:val="left"/>
        </w:tabs>
        <w:rPr>
          <w:sz w:val="20"/>
          <w:szCs w:val="20"/>
          <w:color w:val="auto"/>
        </w:rPr>
      </w:pPr>
      <w:r>
        <w:rPr>
          <w:rFonts w:ascii="Arial" w:cs="Arial" w:eastAsia="Arial" w:hAnsi="Arial"/>
          <w:sz w:val="18"/>
          <w:szCs w:val="18"/>
          <w:color w:val="auto"/>
        </w:rPr>
        <w:t>Proposed NASDAQ Global Market</w:t>
      </w:r>
      <w:r>
        <w:rPr>
          <w:sz w:val="20"/>
          <w:szCs w:val="20"/>
          <w:color w:val="auto"/>
        </w:rPr>
        <w:tab/>
      </w:r>
      <w:r>
        <w:rPr>
          <w:rFonts w:ascii="Arial" w:cs="Arial" w:eastAsia="Arial" w:hAnsi="Arial"/>
          <w:sz w:val="16"/>
          <w:szCs w:val="16"/>
          <w:color w:val="auto"/>
        </w:rPr>
        <w:t>We intend to apply to have our ordinary shares listed on the NASDAQ</w:t>
      </w:r>
    </w:p>
    <w:p>
      <w:pPr>
        <w:spacing w:after="0" w:line="23" w:lineRule="exact"/>
        <w:rPr>
          <w:sz w:val="20"/>
          <w:szCs w:val="20"/>
          <w:color w:val="auto"/>
        </w:rPr>
      </w:pPr>
    </w:p>
    <w:p>
      <w:pPr>
        <w:ind w:left="440"/>
        <w:spacing w:after="0"/>
        <w:tabs>
          <w:tab w:leader="none" w:pos="3220" w:val="left"/>
        </w:tabs>
        <w:rPr>
          <w:sz w:val="20"/>
          <w:szCs w:val="20"/>
          <w:color w:val="auto"/>
        </w:rPr>
      </w:pPr>
      <w:r>
        <w:rPr>
          <w:rFonts w:ascii="Arial" w:cs="Arial" w:eastAsia="Arial" w:hAnsi="Arial"/>
          <w:sz w:val="18"/>
          <w:szCs w:val="18"/>
          <w:color w:val="auto"/>
        </w:rPr>
        <w:t>symbol</w:t>
      </w:r>
      <w:r>
        <w:rPr>
          <w:sz w:val="20"/>
          <w:szCs w:val="20"/>
          <w:color w:val="auto"/>
        </w:rPr>
        <w:tab/>
      </w:r>
      <w:r>
        <w:rPr>
          <w:rFonts w:ascii="Arial" w:cs="Arial" w:eastAsia="Arial" w:hAnsi="Arial"/>
          <w:sz w:val="18"/>
          <w:szCs w:val="18"/>
          <w:color w:val="auto"/>
        </w:rPr>
        <w:t>Global Market under the symbol “KRNT.”</w:t>
      </w:r>
    </w:p>
    <w:p>
      <w:pPr>
        <w:spacing w:after="0" w:line="138" w:lineRule="exact"/>
        <w:rPr>
          <w:sz w:val="20"/>
          <w:szCs w:val="20"/>
          <w:color w:val="auto"/>
        </w:rPr>
      </w:pPr>
    </w:p>
    <w:p>
      <w:pPr>
        <w:ind w:left="220" w:right="199" w:firstLine="216"/>
        <w:spacing w:after="0" w:line="265" w:lineRule="auto"/>
        <w:rPr>
          <w:sz w:val="20"/>
          <w:szCs w:val="20"/>
          <w:color w:val="auto"/>
        </w:rPr>
      </w:pPr>
      <w:r>
        <w:rPr>
          <w:rFonts w:ascii="Arial" w:cs="Arial" w:eastAsia="Arial" w:hAnsi="Arial"/>
          <w:sz w:val="18"/>
          <w:szCs w:val="18"/>
          <w:color w:val="auto"/>
        </w:rPr>
        <w:t>Unless otherwise indicated, the number of ordinary shares to be outstanding after this oﬀering is based on 3,296,450 ordinary shares outstanding as of December 31, 2014 assuming the conversion of all outstanding Series A-1 preferred shares into an equal number of ordinary shares and excludes 402,949 ordinary shares reserved for issuance under our equity incentive plans in respect of which, as of December 31, 2014, we had outstanding options to purchase 393,452 ordinary shares at a weighted average exercise price of $9.65 per share.</w:t>
      </w:r>
    </w:p>
    <w:p>
      <w:pPr>
        <w:spacing w:after="0" w:line="3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239" w:lineRule="exact"/>
        <w:rPr>
          <w:sz w:val="20"/>
          <w:szCs w:val="20"/>
          <w:color w:val="auto"/>
        </w:rPr>
      </w:pPr>
    </w:p>
    <w:p>
      <w:pPr>
        <w:jc w:val="both"/>
        <w:ind w:left="640" w:right="859" w:hanging="209"/>
        <w:spacing w:after="0" w:line="259" w:lineRule="auto"/>
        <w:tabs>
          <w:tab w:leader="none" w:pos="706" w:val="left"/>
        </w:tabs>
        <w:numPr>
          <w:ilvl w:val="0"/>
          <w:numId w:val="8"/>
        </w:numPr>
        <w:rPr>
          <w:rFonts w:ascii="Arial" w:cs="Arial" w:eastAsia="Arial" w:hAnsi="Arial"/>
          <w:sz w:val="22"/>
          <w:szCs w:val="22"/>
          <w:color w:val="auto"/>
        </w:rPr>
      </w:pPr>
      <w:r>
        <w:rPr>
          <w:rFonts w:ascii="Arial" w:cs="Arial" w:eastAsia="Arial" w:hAnsi="Arial"/>
          <w:sz w:val="18"/>
          <w:szCs w:val="18"/>
          <w:color w:val="auto"/>
        </w:rPr>
        <w:t>reflects the conversion of all outstanding Series A-1 preferred shares into an equal number of ordinary shares which will occur immediately prior to the closing of this oﬀering;</w:t>
      </w:r>
    </w:p>
    <w:p>
      <w:pPr>
        <w:spacing w:after="0" w:line="340" w:lineRule="exact"/>
        <w:rPr>
          <w:sz w:val="20"/>
          <w:szCs w:val="20"/>
          <w:color w:val="auto"/>
        </w:rPr>
      </w:pPr>
    </w:p>
    <w:p>
      <w:pPr>
        <w:ind w:left="640" w:right="339" w:hanging="215"/>
        <w:spacing w:after="0" w:line="289"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assumes an initial public oﬀering price of $</w:t>
      </w:r>
      <w:r>
        <w:rPr>
          <w:sz w:val="20"/>
          <w:szCs w:val="20"/>
          <w:color w:val="auto"/>
        </w:rPr>
        <w:t xml:space="preserve"> </w:t>
      </w:r>
      <w:r>
        <w:rPr>
          <w:rFonts w:ascii="Arial" w:cs="Arial" w:eastAsia="Arial" w:hAnsi="Arial"/>
          <w:sz w:val="18"/>
          <w:szCs w:val="18"/>
          <w:color w:val="auto"/>
        </w:rPr>
        <w:t>per ordinary share, the midpoint of the price range set forth on the cover page of this prospectus;</w:t>
      </w:r>
    </w:p>
    <w:p>
      <w:pPr>
        <w:spacing w:after="0" w:line="365" w:lineRule="exact"/>
        <w:rPr>
          <w:sz w:val="20"/>
          <w:szCs w:val="20"/>
          <w:color w:val="auto"/>
        </w:rPr>
      </w:pPr>
    </w:p>
    <w:p>
      <w:pPr>
        <w:ind w:left="720" w:hanging="289"/>
        <w:spacing w:after="0"/>
        <w:tabs>
          <w:tab w:leader="none" w:pos="720" w:val="left"/>
        </w:tabs>
        <w:numPr>
          <w:ilvl w:val="0"/>
          <w:numId w:val="9"/>
        </w:numPr>
        <w:rPr>
          <w:rFonts w:ascii="Arial" w:cs="Arial" w:eastAsia="Arial" w:hAnsi="Arial"/>
          <w:sz w:val="22"/>
          <w:szCs w:val="22"/>
          <w:color w:val="auto"/>
        </w:rPr>
      </w:pPr>
      <w:r>
        <w:rPr>
          <w:rFonts w:ascii="Arial" w:cs="Arial" w:eastAsia="Arial" w:hAnsi="Arial"/>
          <w:sz w:val="18"/>
          <w:szCs w:val="18"/>
          <w:color w:val="auto"/>
        </w:rPr>
        <w:t>assumes no exercise by the underwriters of their option to purchase up to an</w:t>
      </w:r>
    </w:p>
    <w:p>
      <w:pPr>
        <w:spacing w:after="0" w:line="5"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color w:val="auto"/>
        </w:rPr>
        <w:t>additional</w:t>
      </w:r>
      <w:r>
        <w:rPr>
          <w:sz w:val="20"/>
          <w:szCs w:val="20"/>
          <w:color w:val="auto"/>
        </w:rPr>
        <w:tab/>
      </w:r>
      <w:r>
        <w:rPr>
          <w:rFonts w:ascii="Arial" w:cs="Arial" w:eastAsia="Arial" w:hAnsi="Arial"/>
          <w:sz w:val="18"/>
          <w:szCs w:val="18"/>
          <w:color w:val="auto"/>
        </w:rPr>
        <w:t>ordinary shares from us;</w:t>
      </w:r>
    </w:p>
    <w:p>
      <w:pPr>
        <w:spacing w:after="0" w:line="197" w:lineRule="exact"/>
        <w:rPr>
          <w:sz w:val="20"/>
          <w:szCs w:val="20"/>
          <w:color w:val="auto"/>
        </w:rPr>
      </w:pPr>
    </w:p>
    <w:p>
      <w:pPr>
        <w:ind w:left="640" w:right="219" w:hanging="209"/>
        <w:spacing w:after="0" w:line="285" w:lineRule="auto"/>
        <w:tabs>
          <w:tab w:leader="none" w:pos="706" w:val="left"/>
        </w:tabs>
        <w:numPr>
          <w:ilvl w:val="0"/>
          <w:numId w:val="10"/>
        </w:numPr>
        <w:rPr>
          <w:rFonts w:ascii="Arial" w:cs="Arial" w:eastAsia="Arial" w:hAnsi="Arial"/>
          <w:sz w:val="22"/>
          <w:szCs w:val="22"/>
          <w:color w:val="auto"/>
        </w:rPr>
      </w:pPr>
      <w:r>
        <w:rPr>
          <w:rFonts w:ascii="Arial" w:cs="Arial" w:eastAsia="Arial" w:hAnsi="Arial"/>
          <w:sz w:val="18"/>
          <w:szCs w:val="18"/>
          <w:color w:val="auto"/>
        </w:rPr>
        <w:t>gives eﬀect to the adoption of our amended and restated articles of association prior to the closing of this oﬀering, which will replace our articles of association currently in eﬀect;</w:t>
      </w:r>
    </w:p>
    <w:p>
      <w:pPr>
        <w:spacing w:after="0" w:line="115" w:lineRule="exact"/>
        <w:rPr>
          <w:rFonts w:ascii="Arial" w:cs="Arial" w:eastAsia="Arial" w:hAnsi="Arial"/>
          <w:sz w:val="22"/>
          <w:szCs w:val="22"/>
          <w:color w:val="auto"/>
        </w:rPr>
      </w:pPr>
    </w:p>
    <w:p>
      <w:pPr>
        <w:jc w:val="both"/>
        <w:ind w:left="640" w:right="399" w:hanging="209"/>
        <w:spacing w:after="0" w:line="265" w:lineRule="auto"/>
        <w:tabs>
          <w:tab w:leader="none" w:pos="706"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reflects a 10-for-1 share split eﬀected on May 24, 2012 by means of a share dividend of nine ordinary shares or Series A-1 preferred shares for each ordinary share or Series A-1 preferred shares, respectively, then outstanding; and</w:t>
      </w:r>
    </w:p>
    <w:p>
      <w:pPr>
        <w:spacing w:after="0" w:line="100" w:lineRule="exact"/>
        <w:rPr>
          <w:sz w:val="20"/>
          <w:szCs w:val="20"/>
          <w:color w:val="auto"/>
        </w:rPr>
      </w:pPr>
    </w:p>
    <w:p>
      <w:pPr>
        <w:ind w:left="440"/>
        <w:spacing w:after="0"/>
        <w:tabs>
          <w:tab w:leader="none" w:pos="2780" w:val="left"/>
          <w:tab w:leader="none" w:pos="3720" w:val="left"/>
          <w:tab w:leader="none" w:pos="630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reflects a further</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share split eﬀected on</w:t>
      </w:r>
      <w:r>
        <w:rPr>
          <w:sz w:val="20"/>
          <w:szCs w:val="20"/>
          <w:color w:val="auto"/>
        </w:rPr>
        <w:tab/>
      </w:r>
      <w:r>
        <w:rPr>
          <w:rFonts w:ascii="Arial" w:cs="Arial" w:eastAsia="Arial" w:hAnsi="Arial"/>
          <w:sz w:val="18"/>
          <w:szCs w:val="18"/>
          <w:color w:val="auto"/>
        </w:rPr>
        <w:t>by means of a share</w:t>
      </w:r>
    </w:p>
    <w:p>
      <w:pPr>
        <w:spacing w:after="0" w:line="47"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8"/>
          <w:szCs w:val="18"/>
          <w:color w:val="auto"/>
        </w:rPr>
        <w:t>dividend of</w:t>
      </w:r>
      <w:r>
        <w:rPr>
          <w:sz w:val="20"/>
          <w:szCs w:val="20"/>
          <w:color w:val="auto"/>
        </w:rPr>
        <w:tab/>
      </w:r>
      <w:r>
        <w:rPr>
          <w:rFonts w:ascii="Arial" w:cs="Arial" w:eastAsia="Arial" w:hAnsi="Arial"/>
          <w:sz w:val="18"/>
          <w:szCs w:val="18"/>
          <w:color w:val="auto"/>
        </w:rPr>
        <w:t>ordinary shares for each ordinary share then outstanding.</w:t>
      </w:r>
    </w:p>
    <w:p>
      <w:pPr>
        <w:sectPr>
          <w:pgSz w:w="11900" w:h="16838" w:orient="portrait"/>
          <w:cols w:equalWidth="0" w:num="1">
            <w:col w:w="9019"/>
          </w:cols>
          <w:pgMar w:left="1440" w:top="293" w:right="1440"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3" w:right="1440" w:bottom="947"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7385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8475" cy="7385685"/>
                    </a:xfrm>
                    <a:prstGeom prst="rect">
                      <a:avLst/>
                    </a:prstGeom>
                    <a:noFill/>
                  </pic:spPr>
                </pic:pic>
              </a:graphicData>
            </a:graphic>
          </wp:anchor>
        </w:drawing>
        <w:t>Summary Consolidated Financial Data</w:t>
      </w:r>
    </w:p>
    <w:p>
      <w:pPr>
        <w:spacing w:after="0" w:line="227" w:lineRule="exact"/>
        <w:rPr>
          <w:sz w:val="20"/>
          <w:szCs w:val="20"/>
          <w:color w:val="auto"/>
        </w:rPr>
      </w:pPr>
    </w:p>
    <w:p>
      <w:pPr>
        <w:ind w:left="220" w:right="319" w:firstLine="216"/>
        <w:spacing w:after="0" w:line="268" w:lineRule="auto"/>
        <w:rPr>
          <w:sz w:val="20"/>
          <w:szCs w:val="20"/>
          <w:color w:val="auto"/>
        </w:rPr>
      </w:pPr>
      <w:r>
        <w:rPr>
          <w:rFonts w:ascii="Arial" w:cs="Arial" w:eastAsia="Arial" w:hAnsi="Arial"/>
          <w:sz w:val="18"/>
          <w:szCs w:val="18"/>
          <w:color w:val="auto"/>
        </w:rPr>
        <w:t>The following tables set forth our summary consolidated financial data. You should read the following summary consolidated financial data in conjunction with, and it is qualified in its entirety by reference to, our historical financial information and other information provided in this prospectus, including “Selected Consolidated Financial Data,” “Management’s Discussion and Analysis of Financial Condition and Results of Operations” and our consolidated financial statements and the related notes appearing elsewhere in this prospectus.</w:t>
      </w:r>
    </w:p>
    <w:p>
      <w:pPr>
        <w:spacing w:after="0" w:line="126" w:lineRule="exact"/>
        <w:rPr>
          <w:sz w:val="20"/>
          <w:szCs w:val="20"/>
          <w:color w:val="auto"/>
        </w:rPr>
      </w:pPr>
    </w:p>
    <w:p>
      <w:pPr>
        <w:ind w:left="220" w:right="219" w:firstLine="216"/>
        <w:spacing w:after="0" w:line="268" w:lineRule="auto"/>
        <w:rPr>
          <w:sz w:val="20"/>
          <w:szCs w:val="20"/>
          <w:color w:val="auto"/>
        </w:rPr>
      </w:pPr>
      <w:r>
        <w:rPr>
          <w:rFonts w:ascii="Arial" w:cs="Arial" w:eastAsia="Arial" w:hAnsi="Arial"/>
          <w:sz w:val="18"/>
          <w:szCs w:val="18"/>
          <w:color w:val="auto"/>
        </w:rPr>
        <w:t>The summary consolidated statements of income data for the years ended December 31, 2012, 2013 and 2014 and summary consolidated balance sheet data as of December 31, 2014 are derived from our audited consolidated financial statements appearing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center"/>
              <w:ind w:left="651"/>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1"/>
              <w:spacing w:after="0" w:line="183" w:lineRule="exact"/>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1"/>
              <w:spacing w:after="0" w:line="183" w:lineRule="exact"/>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0"/>
              <w:spacing w:after="0" w:line="183" w:lineRule="exact"/>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80" w:type="dxa"/>
            <w:vAlign w:val="bottom"/>
            <w:gridSpan w:val="7"/>
          </w:tcPr>
          <w:p>
            <w:pPr>
              <w:jc w:val="center"/>
              <w:ind w:right="110"/>
              <w:spacing w:after="0" w:line="143" w:lineRule="exact"/>
              <w:rPr>
                <w:sz w:val="20"/>
                <w:szCs w:val="20"/>
                <w:color w:val="auto"/>
              </w:rPr>
            </w:pPr>
            <w:r>
              <w:rPr>
                <w:rFonts w:ascii="Arial" w:cs="Arial" w:eastAsia="Arial" w:hAnsi="Arial"/>
                <w:sz w:val="16"/>
                <w:szCs w:val="16"/>
                <w:b w:val="1"/>
                <w:bCs w:val="1"/>
                <w:color w:val="auto"/>
              </w:rPr>
              <w:t>(in thousands, except share and per share</w:t>
            </w:r>
          </w:p>
        </w:tc>
        <w:tc>
          <w:tcPr>
            <w:tcW w:w="2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111"/>
              <w:spacing w:after="0"/>
              <w:rPr>
                <w:sz w:val="20"/>
                <w:szCs w:val="20"/>
                <w:color w:val="auto"/>
              </w:rPr>
            </w:pPr>
            <w:r>
              <w:rPr>
                <w:rFonts w:ascii="Arial" w:cs="Arial" w:eastAsia="Arial" w:hAnsi="Arial"/>
                <w:sz w:val="16"/>
                <w:szCs w:val="16"/>
                <w:b w:val="1"/>
                <w:bCs w:val="1"/>
                <w:color w:val="auto"/>
              </w:rPr>
              <w:t>data)</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39,167</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49,395</w:t>
            </w:r>
          </w:p>
        </w:tc>
        <w:tc>
          <w:tcPr>
            <w:tcW w:w="6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66,364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2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Cost of revenues</w:t>
            </w:r>
            <w:r>
              <w:rPr>
                <w:rFonts w:ascii="Arial" w:cs="Arial" w:eastAsia="Arial" w:hAnsi="Arial"/>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3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37,187</w:t>
            </w:r>
          </w:p>
        </w:tc>
        <w:tc>
          <w:tcPr>
            <w:tcW w:w="1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16,426</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21,442</w:t>
            </w:r>
          </w:p>
        </w:tc>
        <w:tc>
          <w:tcPr>
            <w:tcW w:w="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29,177</w:t>
            </w:r>
          </w:p>
        </w:tc>
        <w:tc>
          <w:tcPr>
            <w:tcW w:w="180" w:type="dxa"/>
            <w:vAlign w:val="bottom"/>
            <w:tcBorders>
              <w:bottom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20" w:type="dxa"/>
            <w:vAlign w:val="bottom"/>
          </w:tcPr>
          <w:p>
            <w:pPr>
              <w:ind w:left="220"/>
              <w:spacing w:after="0" w:line="243"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4,839</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9,475</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20" w:type="dxa"/>
            <w:vAlign w:val="bottom"/>
            <w:shd w:val="clear" w:color="auto" w:fill="CCEEFF"/>
          </w:tcPr>
          <w:p>
            <w:pPr>
              <w:ind w:left="220"/>
              <w:spacing w:after="0" w:line="243"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20" w:type="dxa"/>
            <w:vAlign w:val="bottom"/>
            <w:tcBorders>
              <w:bottom w:val="single" w:sz="8" w:color="CCEEFF"/>
            </w:tcBorders>
          </w:tcPr>
          <w:p>
            <w:pPr>
              <w:ind w:left="220"/>
              <w:spacing w:after="0" w:line="243"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12,599</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18,455</w:t>
            </w:r>
          </w:p>
        </w:tc>
        <w:tc>
          <w:tcPr>
            <w:tcW w:w="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25,357</w:t>
            </w:r>
          </w:p>
        </w:tc>
        <w:tc>
          <w:tcPr>
            <w:tcW w:w="1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3,827</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2,987</w:t>
            </w:r>
          </w:p>
        </w:tc>
        <w:tc>
          <w:tcPr>
            <w:tcW w:w="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3,820</w:t>
            </w:r>
          </w:p>
        </w:tc>
        <w:tc>
          <w:tcPr>
            <w:tcW w:w="180" w:type="dxa"/>
            <w:vAlign w:val="bottom"/>
            <w:tcBorders>
              <w:bottom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Finance expenses, net</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w:t>
            </w:r>
          </w:p>
        </w:tc>
        <w:tc>
          <w:tcPr>
            <w:tcW w:w="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Pr>
          <w:p>
            <w:pPr>
              <w:spacing w:after="0" w:line="196" w:lineRule="exact"/>
              <w:rPr>
                <w:sz w:val="20"/>
                <w:szCs w:val="20"/>
                <w:color w:val="auto"/>
              </w:rPr>
            </w:pPr>
            <w:r>
              <w:rPr>
                <w:rFonts w:ascii="Arial" w:cs="Arial" w:eastAsia="Arial" w:hAnsi="Arial"/>
                <w:sz w:val="18"/>
                <w:szCs w:val="18"/>
                <w:color w:val="auto"/>
              </w:rPr>
              <w:t>Income before taxes on income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3,542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2,527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3,805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on income</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1,228</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1,393</w:t>
            </w:r>
          </w:p>
        </w:tc>
        <w:tc>
          <w:tcPr>
            <w:tcW w:w="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2,314</w:t>
            </w:r>
          </w:p>
        </w:tc>
        <w:tc>
          <w:tcPr>
            <w:tcW w:w="3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1,134</w:t>
            </w:r>
          </w:p>
        </w:tc>
        <w:tc>
          <w:tcPr>
            <w:tcW w:w="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3,023</w:t>
            </w:r>
          </w:p>
        </w:tc>
        <w:tc>
          <w:tcPr>
            <w:tcW w:w="18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Net earnings per ordinary share</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0.83</w:t>
            </w:r>
          </w:p>
        </w:tc>
        <w:tc>
          <w:tcPr>
            <w:tcW w:w="6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tcBorders>
              <w:top w:val="single" w:sz="8" w:color="CCEEFF"/>
              <w:bottom w:val="single" w:sz="8" w:color="CCEEFF"/>
            </w:tcBorders>
            <w:shd w:val="clear" w:color="auto" w:fill="CCEEFF"/>
          </w:tcPr>
          <w:p>
            <w:pPr>
              <w:ind w:left="220"/>
              <w:spacing w:after="0" w:line="183"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1.57</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0.75</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1.90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vMerge w:val="restart"/>
          </w:tcPr>
          <w:p>
            <w:pPr>
              <w:spacing w:after="0" w:line="156" w:lineRule="exact"/>
              <w:rPr>
                <w:sz w:val="20"/>
                <w:szCs w:val="20"/>
                <w:color w:val="auto"/>
              </w:rPr>
            </w:pPr>
            <w:r>
              <w:rPr>
                <w:rFonts w:ascii="Arial" w:cs="Arial" w:eastAsia="Arial" w:hAnsi="Arial"/>
                <w:sz w:val="18"/>
                <w:szCs w:val="18"/>
                <w:color w:val="auto"/>
              </w:rPr>
              <w:t>Weighted average number of ordinary</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Pr>
          <w:p>
            <w:pPr>
              <w:ind w:left="220"/>
              <w:spacing w:after="0" w:line="205" w:lineRule="exact"/>
              <w:rPr>
                <w:sz w:val="20"/>
                <w:szCs w:val="20"/>
                <w:color w:val="auto"/>
              </w:rPr>
            </w:pPr>
            <w:r>
              <w:rPr>
                <w:rFonts w:ascii="Arial" w:cs="Arial" w:eastAsia="Arial" w:hAnsi="Arial"/>
                <w:sz w:val="18"/>
                <w:szCs w:val="18"/>
                <w:color w:val="auto"/>
              </w:rPr>
              <w:t>shares used in computing income per</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ind w:left="220"/>
              <w:spacing w:after="0" w:line="281" w:lineRule="exact"/>
              <w:rPr>
                <w:sz w:val="20"/>
                <w:szCs w:val="20"/>
                <w:color w:val="auto"/>
              </w:rPr>
            </w:pPr>
            <w:r>
              <w:rPr>
                <w:rFonts w:ascii="Arial" w:cs="Arial" w:eastAsia="Arial" w:hAnsi="Arial"/>
                <w:sz w:val="18"/>
                <w:szCs w:val="18"/>
                <w:color w:val="auto"/>
              </w:rPr>
              <w:t>ordinary share</w:t>
            </w:r>
            <w:r>
              <w:rPr>
                <w:rFonts w:ascii="Arial" w:cs="Arial" w:eastAsia="Arial" w:hAnsi="Arial"/>
                <w:sz w:val="30"/>
                <w:szCs w:val="30"/>
                <w:color w:val="auto"/>
                <w:vertAlign w:val="superscript"/>
              </w:rPr>
              <w:t>(2)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1,366,310</w:t>
            </w: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1,366,310</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1,368,734</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1,472,521</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1,507,690</w:t>
            </w: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1,594,084</w:t>
            </w:r>
          </w:p>
        </w:tc>
        <w:tc>
          <w:tcPr>
            <w:tcW w:w="18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2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earnings per ordinary</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shd w:val="clear" w:color="auto" w:fill="CCEEFF"/>
          </w:tcPr>
          <w:p>
            <w:pPr>
              <w:spacing w:after="0" w:line="281" w:lineRule="exact"/>
              <w:rPr>
                <w:sz w:val="20"/>
                <w:szCs w:val="20"/>
                <w:color w:val="auto"/>
              </w:rPr>
            </w:pPr>
            <w:r>
              <w:rPr>
                <w:rFonts w:ascii="Arial" w:cs="Arial" w:eastAsia="Arial" w:hAnsi="Arial"/>
                <w:sz w:val="18"/>
                <w:szCs w:val="18"/>
                <w:color w:val="auto"/>
              </w:rPr>
              <w:t>share</w:t>
            </w:r>
            <w:r>
              <w:rPr>
                <w:rFonts w:ascii="Arial" w:cs="Arial" w:eastAsia="Arial" w:hAnsi="Arial"/>
                <w:sz w:val="30"/>
                <w:szCs w:val="30"/>
                <w:color w:val="auto"/>
                <w:vertAlign w:val="superscript"/>
              </w:rPr>
              <w:t>(3)</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0.92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tcBorders>
              <w:top w:val="single" w:sz="8" w:color="CCEEFF"/>
              <w:bottom w:val="single" w:sz="8" w:color="CCEEFF"/>
            </w:tcBorders>
            <w:shd w:val="clear" w:color="auto" w:fill="CCEEFF"/>
          </w:tcPr>
          <w:p>
            <w:pPr>
              <w:ind w:left="220"/>
              <w:spacing w:after="0" w:line="183"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0.86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vMerge w:val="restart"/>
          </w:tcPr>
          <w:p>
            <w:pPr>
              <w:spacing w:after="0" w:line="156" w:lineRule="exact"/>
              <w:rPr>
                <w:sz w:val="20"/>
                <w:szCs w:val="20"/>
                <w:color w:val="auto"/>
              </w:rPr>
            </w:pPr>
            <w:r>
              <w:rPr>
                <w:rFonts w:ascii="Arial" w:cs="Arial" w:eastAsia="Arial" w:hAnsi="Arial"/>
                <w:sz w:val="18"/>
                <w:szCs w:val="18"/>
                <w:color w:val="auto"/>
              </w:rPr>
              <w:t>Weighted average number of ordinary</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Pr>
          <w:p>
            <w:pPr>
              <w:ind w:left="220"/>
              <w:spacing w:after="0" w:line="205" w:lineRule="exact"/>
              <w:rPr>
                <w:sz w:val="20"/>
                <w:szCs w:val="20"/>
                <w:color w:val="auto"/>
              </w:rPr>
            </w:pPr>
            <w:r>
              <w:rPr>
                <w:rFonts w:ascii="Arial" w:cs="Arial" w:eastAsia="Arial" w:hAnsi="Arial"/>
                <w:sz w:val="18"/>
                <w:szCs w:val="18"/>
                <w:color w:val="auto"/>
              </w:rPr>
              <w:t>shares used in computing pro forma</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ind w:left="220"/>
              <w:spacing w:after="0" w:line="281" w:lineRule="exact"/>
              <w:rPr>
                <w:sz w:val="20"/>
                <w:szCs w:val="20"/>
                <w:color w:val="auto"/>
              </w:rPr>
            </w:pPr>
            <w:r>
              <w:rPr>
                <w:rFonts w:ascii="Arial" w:cs="Arial" w:eastAsia="Arial" w:hAnsi="Arial"/>
                <w:sz w:val="18"/>
                <w:szCs w:val="18"/>
                <w:color w:val="auto"/>
              </w:rPr>
              <w:t>income per ordinary share</w:t>
            </w:r>
            <w:r>
              <w:rPr>
                <w:rFonts w:ascii="Arial" w:cs="Arial" w:eastAsia="Arial" w:hAnsi="Arial"/>
                <w:sz w:val="30"/>
                <w:szCs w:val="30"/>
                <w:color w:val="auto"/>
                <w:vertAlign w:val="superscript"/>
              </w:rPr>
              <w:t>(3)</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3,295,874</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3,521,224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w:t>
            </w: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93" w:right="1440"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75571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8475" cy="755713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8"/>
          </w:tcPr>
          <w:p>
            <w:pPr>
              <w:jc w:val="center"/>
              <w:ind w:left="593"/>
              <w:spacing w:after="0"/>
              <w:rPr>
                <w:sz w:val="20"/>
                <w:szCs w:val="20"/>
                <w:color w:val="auto"/>
              </w:rPr>
            </w:pPr>
            <w:r>
              <w:rPr>
                <w:rFonts w:ascii="Arial" w:cs="Arial" w:eastAsia="Arial" w:hAnsi="Arial"/>
                <w:sz w:val="16"/>
                <w:szCs w:val="16"/>
                <w:b w:val="1"/>
                <w:bCs w:val="1"/>
                <w:color w:val="auto"/>
              </w:rPr>
              <w:t>As of December 31, 2014</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520"/>
              <w:spacing w:after="0"/>
              <w:rPr>
                <w:sz w:val="20"/>
                <w:szCs w:val="20"/>
                <w:color w:val="auto"/>
              </w:rPr>
            </w:pPr>
            <w:r>
              <w:rPr>
                <w:rFonts w:ascii="Arial" w:cs="Arial" w:eastAsia="Arial" w:hAnsi="Arial"/>
                <w:sz w:val="16"/>
                <w:szCs w:val="16"/>
                <w:b w:val="1"/>
                <w:bCs w:val="1"/>
                <w:color w:val="auto"/>
              </w:rPr>
              <w:t>Pro</w:t>
            </w:r>
          </w:p>
        </w:tc>
        <w:tc>
          <w:tcPr>
            <w:tcW w:w="2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Arial" w:cs="Arial" w:eastAsia="Arial" w:hAnsi="Arial"/>
                <w:sz w:val="16"/>
                <w:szCs w:val="16"/>
                <w:b w:val="1"/>
                <w:bCs w:val="1"/>
                <w:color w:val="auto"/>
              </w:rPr>
              <w:t>Pro forma</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65"/>
        </w:trPr>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center"/>
              <w:ind w:right="520"/>
              <w:spacing w:after="0" w:line="266" w:lineRule="exact"/>
              <w:rPr>
                <w:sz w:val="20"/>
                <w:szCs w:val="20"/>
                <w:color w:val="auto"/>
              </w:rPr>
            </w:pPr>
            <w:r>
              <w:rPr>
                <w:rFonts w:ascii="Arial" w:cs="Arial" w:eastAsia="Arial" w:hAnsi="Arial"/>
                <w:sz w:val="16"/>
                <w:szCs w:val="16"/>
                <w:b w:val="1"/>
                <w:bCs w:val="1"/>
                <w:color w:val="auto"/>
              </w:rPr>
              <w:t>forma</w:t>
            </w:r>
            <w:r>
              <w:rPr>
                <w:rFonts w:ascii="Arial" w:cs="Arial" w:eastAsia="Arial" w:hAnsi="Arial"/>
                <w:sz w:val="27"/>
                <w:szCs w:val="27"/>
                <w:b w:val="1"/>
                <w:bCs w:val="1"/>
                <w:color w:val="auto"/>
                <w:vertAlign w:val="superscript"/>
              </w:rPr>
              <w:t>(4)</w:t>
            </w:r>
          </w:p>
        </w:tc>
        <w:tc>
          <w:tcPr>
            <w:tcW w:w="20" w:type="dxa"/>
            <w:vAlign w:val="bottom"/>
          </w:tcPr>
          <w:p>
            <w:pPr>
              <w:spacing w:after="0"/>
              <w:rPr>
                <w:sz w:val="23"/>
                <w:szCs w:val="23"/>
                <w:color w:val="auto"/>
              </w:rPr>
            </w:pPr>
          </w:p>
        </w:tc>
        <w:tc>
          <w:tcPr>
            <w:tcW w:w="1360" w:type="dxa"/>
            <w:vAlign w:val="bottom"/>
            <w:gridSpan w:val="3"/>
          </w:tcPr>
          <w:p>
            <w:pPr>
              <w:jc w:val="center"/>
              <w:ind w:right="200"/>
              <w:spacing w:after="0" w:line="266"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27"/>
                <w:szCs w:val="27"/>
                <w:b w:val="1"/>
                <w:bCs w:val="1"/>
                <w:color w:val="auto"/>
                <w:vertAlign w:val="superscript"/>
              </w:rPr>
              <w:t>(4)</w:t>
            </w: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4"/>
          </w:tcPr>
          <w:p>
            <w:pPr>
              <w:jc w:val="center"/>
              <w:ind w:right="200"/>
              <w:spacing w:after="0" w:line="183" w:lineRule="exact"/>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Working capital</w:t>
            </w:r>
            <w:r>
              <w:rPr>
                <w:rFonts w:ascii="Arial" w:cs="Arial" w:eastAsia="Arial" w:hAnsi="Arial"/>
                <w:sz w:val="28"/>
                <w:szCs w:val="28"/>
                <w:color w:val="auto"/>
                <w:vertAlign w:val="superscript"/>
              </w:rPr>
              <w:t>(5)</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9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19,351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left="593"/>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3"/>
              <w:spacing w:after="0" w:line="183" w:lineRule="exact"/>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4"/>
              <w:spacing w:after="0" w:line="183" w:lineRule="exact"/>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13"/>
              <w:spacing w:after="0" w:line="183" w:lineRule="exact"/>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center"/>
              <w:ind w:right="200"/>
              <w:spacing w:after="0" w:line="183" w:lineRule="exact"/>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Financial Data:</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line="228"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4,690</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4,281</w:t>
            </w:r>
          </w:p>
        </w:tc>
        <w:tc>
          <w:tcPr>
            <w:tcW w:w="340" w:type="dxa"/>
            <w:vAlign w:val="bottom"/>
          </w:tcPr>
          <w:p>
            <w:pPr>
              <w:spacing w:after="0"/>
              <w:rPr>
                <w:sz w:val="19"/>
                <w:szCs w:val="19"/>
                <w:color w:val="auto"/>
              </w:rPr>
            </w:pPr>
          </w:p>
        </w:tc>
        <w:tc>
          <w:tcPr>
            <w:tcW w:w="300" w:type="dxa"/>
            <w:vAlign w:val="bottom"/>
            <w:gridSpan w:val="2"/>
          </w:tcPr>
          <w:p>
            <w:pPr>
              <w:jc w:val="right"/>
              <w:ind w:right="9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line="183" w:lineRule="exact"/>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5540" w:type="dxa"/>
            <w:vAlign w:val="bottom"/>
            <w:gridSpan w:val="5"/>
          </w:tcPr>
          <w:p>
            <w:pPr>
              <w:spacing w:after="0"/>
              <w:rPr>
                <w:sz w:val="20"/>
                <w:szCs w:val="20"/>
                <w:color w:val="auto"/>
              </w:rPr>
            </w:pPr>
            <w:r>
              <w:rPr>
                <w:rFonts w:ascii="Arial" w:cs="Arial" w:eastAsia="Arial" w:hAnsi="Arial"/>
                <w:sz w:val="18"/>
                <w:szCs w:val="18"/>
                <w:color w:val="auto"/>
              </w:rPr>
              <w:t>(1)  Includes share-based compensation expense as follows: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left="593"/>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3"/>
              <w:spacing w:after="0" w:line="183" w:lineRule="exact"/>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4"/>
              <w:spacing w:after="0" w:line="183" w:lineRule="exact"/>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13"/>
              <w:spacing w:after="0" w:line="183" w:lineRule="exact"/>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center"/>
              <w:ind w:right="200"/>
              <w:spacing w:after="0" w:line="183" w:lineRule="exact"/>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00" w:type="dxa"/>
            <w:vAlign w:val="bottom"/>
            <w:gridSpan w:val="2"/>
          </w:tcPr>
          <w:p>
            <w:pPr>
              <w:jc w:val="right"/>
              <w:ind w:right="96"/>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540" w:right="439" w:hanging="325"/>
        <w:spacing w:after="0" w:line="279" w:lineRule="auto"/>
        <w:tabs>
          <w:tab w:leader="none" w:pos="6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Basic and diluted net earnings per ordinary share is computed based on the basic and diluted weighted average number of ordinary shares outstanding during each period. For additional information, see notes 2v and 10 to our consolidated financial statements included elsewhere in this prospectus.</w:t>
      </w:r>
    </w:p>
    <w:p>
      <w:pPr>
        <w:spacing w:after="0" w:line="117" w:lineRule="exact"/>
        <w:rPr>
          <w:rFonts w:ascii="Arial" w:cs="Arial" w:eastAsia="Arial" w:hAnsi="Arial"/>
          <w:sz w:val="18"/>
          <w:szCs w:val="18"/>
          <w:color w:val="auto"/>
        </w:rPr>
      </w:pPr>
    </w:p>
    <w:p>
      <w:pPr>
        <w:ind w:left="540" w:right="259" w:hanging="325"/>
        <w:spacing w:after="0" w:line="268" w:lineRule="auto"/>
        <w:tabs>
          <w:tab w:leader="none" w:pos="6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Series A-1 preferred shares into ordinary shares, which will occur upon the closing of this oﬀering, but does not give eﬀect to the issuance of ordinary shares in connection with this oﬀering. For additional information on the conversion of the Series A-1 preferred shares, see note 2c to our consolidated financial statements included elsewhere in this prospectus.</w:t>
      </w:r>
    </w:p>
    <w:p>
      <w:pPr>
        <w:spacing w:after="0" w:line="125" w:lineRule="exact"/>
        <w:rPr>
          <w:rFonts w:ascii="Arial" w:cs="Arial" w:eastAsia="Arial" w:hAnsi="Arial"/>
          <w:sz w:val="18"/>
          <w:szCs w:val="18"/>
          <w:color w:val="auto"/>
        </w:rPr>
      </w:pPr>
    </w:p>
    <w:p>
      <w:pPr>
        <w:ind w:left="620" w:hanging="40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gives eﬀect to the conversion into ordinary shares of all of our outstanding</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Series A-1 preferred shares. Pro forma as adjusted gives eﬀect to (a) the same item as "pro</w:t>
      </w:r>
    </w:p>
    <w:p>
      <w:pPr>
        <w:spacing w:after="0" w:line="9" w:lineRule="exact"/>
        <w:rPr>
          <w:sz w:val="20"/>
          <w:szCs w:val="20"/>
          <w:color w:val="auto"/>
        </w:rPr>
      </w:pPr>
    </w:p>
    <w:p>
      <w:pPr>
        <w:ind w:left="540"/>
        <w:spacing w:after="0"/>
        <w:tabs>
          <w:tab w:leader="none" w:pos="4320" w:val="left"/>
        </w:tabs>
        <w:rPr>
          <w:sz w:val="20"/>
          <w:szCs w:val="20"/>
          <w:color w:val="auto"/>
        </w:rPr>
      </w:pPr>
      <w:r>
        <w:rPr>
          <w:rFonts w:ascii="Arial" w:cs="Arial" w:eastAsia="Arial" w:hAnsi="Arial"/>
          <w:sz w:val="18"/>
          <w:szCs w:val="18"/>
          <w:color w:val="auto"/>
        </w:rPr>
        <w:t>forma," (b) the issuance and sale of</w:t>
      </w:r>
      <w:r>
        <w:rPr>
          <w:sz w:val="20"/>
          <w:szCs w:val="20"/>
          <w:color w:val="auto"/>
        </w:rPr>
        <w:tab/>
      </w:r>
      <w:r>
        <w:rPr>
          <w:rFonts w:ascii="Arial" w:cs="Arial" w:eastAsia="Arial" w:hAnsi="Arial"/>
          <w:sz w:val="18"/>
          <w:szCs w:val="18"/>
          <w:color w:val="auto"/>
        </w:rPr>
        <w:t>ordinary shares in this oﬀering at an assumed</w:t>
      </w:r>
    </w:p>
    <w:p>
      <w:pPr>
        <w:spacing w:after="0" w:line="9" w:lineRule="exact"/>
        <w:rPr>
          <w:sz w:val="20"/>
          <w:szCs w:val="20"/>
          <w:color w:val="auto"/>
        </w:rPr>
      </w:pPr>
    </w:p>
    <w:p>
      <w:pPr>
        <w:ind w:left="540" w:right="219"/>
        <w:spacing w:after="0" w:line="250" w:lineRule="auto"/>
        <w:rPr>
          <w:sz w:val="20"/>
          <w:szCs w:val="20"/>
          <w:color w:val="auto"/>
        </w:rPr>
      </w:pPr>
      <w:r>
        <w:rPr>
          <w:rFonts w:ascii="Arial" w:cs="Arial" w:eastAsia="Arial" w:hAnsi="Arial"/>
          <w:sz w:val="18"/>
          <w:szCs w:val="18"/>
          <w:color w:val="auto"/>
        </w:rPr>
        <w:t>initial public oﬀering price of $ per ordinary share, the midpoint of the price range set forth on the cover page of this prospectus, after deducting underwriting discounts and commissions and estimated oﬀering expenses payable by us, (c) a one-time payment in</w:t>
      </w:r>
    </w:p>
    <w:p>
      <w:pPr>
        <w:spacing w:after="0" w:line="1" w:lineRule="exact"/>
        <w:rPr>
          <w:sz w:val="20"/>
          <w:szCs w:val="20"/>
          <w:color w:val="auto"/>
        </w:rPr>
      </w:pPr>
    </w:p>
    <w:p>
      <w:pPr>
        <w:ind w:left="540" w:right="259"/>
        <w:spacing w:after="0" w:line="263" w:lineRule="auto"/>
        <w:rPr>
          <w:sz w:val="20"/>
          <w:szCs w:val="20"/>
          <w:color w:val="auto"/>
        </w:rPr>
      </w:pPr>
      <w:r>
        <w:rPr>
          <w:rFonts w:ascii="Arial" w:cs="Arial" w:eastAsia="Arial" w:hAnsi="Arial"/>
          <w:sz w:val="18"/>
          <w:szCs w:val="18"/>
          <w:color w:val="auto"/>
        </w:rPr>
        <w:t>the aggregate amount of $ to our sponsor, Fortissimo Capital, in connection with the termination of our existing management services agreement with them and (d) the payment of $250,000 in the aggregate to certain of our employees, including some of our executive oﬃcers, for their contribution to completing this oﬀering.</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  Working capital is defined as total current assets minus total current liabilities.</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6734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8475" cy="6734175"/>
                    </a:xfrm>
                    <a:prstGeom prst="rect">
                      <a:avLst/>
                    </a:prstGeom>
                    <a:noFill/>
                  </pic:spPr>
                </pic:pic>
              </a:graphicData>
            </a:graphic>
          </wp:anchor>
        </w:drawing>
        <w:t>(6)  The following table reconciles net income to Adjusted EBITDA for the periods presented:</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7"/>
          </w:tcPr>
          <w:p>
            <w:pPr>
              <w:jc w:val="center"/>
              <w:ind w:left="572"/>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83"/>
        </w:trPr>
        <w:tc>
          <w:tcPr>
            <w:tcW w:w="3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2"/>
              <w:spacing w:after="0" w:line="183" w:lineRule="exact"/>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1"/>
              <w:spacing w:after="0" w:line="183" w:lineRule="exact"/>
              <w:rPr>
                <w:sz w:val="20"/>
                <w:szCs w:val="20"/>
                <w:color w:val="auto"/>
              </w:rPr>
            </w:pPr>
            <w:r>
              <w:rPr>
                <w:rFonts w:ascii="Arial" w:cs="Arial" w:eastAsia="Arial" w:hAnsi="Arial"/>
                <w:sz w:val="16"/>
                <w:szCs w:val="16"/>
                <w:b w:val="1"/>
                <w:bCs w:val="1"/>
                <w:color w:val="auto"/>
              </w:rPr>
              <w:t>2013</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line="183" w:lineRule="exact"/>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5"/>
                <w:szCs w:val="15"/>
                <w:color w:val="auto"/>
              </w:rPr>
            </w:pPr>
          </w:p>
        </w:tc>
      </w:tr>
      <w:tr>
        <w:trPr>
          <w:trHeight w:val="183"/>
        </w:trPr>
        <w:tc>
          <w:tcPr>
            <w:tcW w:w="3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gridSpan w:val="4"/>
          </w:tcPr>
          <w:p>
            <w:pPr>
              <w:jc w:val="center"/>
              <w:ind w:left="54"/>
              <w:spacing w:after="0" w:line="183" w:lineRule="exact"/>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2"/>
        </w:trPr>
        <w:tc>
          <w:tcPr>
            <w:tcW w:w="370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Reconciliation of Net Income to</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43"/>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5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200" w:type="dxa"/>
            <w:vAlign w:val="bottom"/>
          </w:tcPr>
          <w:p>
            <w:pPr>
              <w:spacing w:after="0"/>
              <w:rPr>
                <w:sz w:val="17"/>
                <w:szCs w:val="17"/>
                <w:color w:val="auto"/>
              </w:rPr>
            </w:pPr>
          </w:p>
        </w:tc>
        <w:tc>
          <w:tcPr>
            <w:tcW w:w="4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3,023</w:t>
            </w:r>
          </w:p>
        </w:tc>
        <w:tc>
          <w:tcPr>
            <w:tcW w:w="180" w:type="dxa"/>
            <w:vAlign w:val="bottom"/>
          </w:tcPr>
          <w:p>
            <w:pPr>
              <w:spacing w:after="0"/>
              <w:rPr>
                <w:sz w:val="17"/>
                <w:szCs w:val="17"/>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Finance expenses, net</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Taxes on income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1,228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1,393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782</w:t>
            </w:r>
          </w:p>
        </w:tc>
        <w:tc>
          <w:tcPr>
            <w:tcW w:w="18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1,352</w:t>
            </w:r>
          </w:p>
        </w:tc>
        <w:tc>
          <w:tcPr>
            <w:tcW w:w="180" w:type="dxa"/>
            <w:vAlign w:val="bottom"/>
            <w:shd w:val="clear" w:color="auto" w:fill="CCEEFF"/>
          </w:tcPr>
          <w:p>
            <w:pPr>
              <w:spacing w:after="0"/>
              <w:rPr>
                <w:sz w:val="17"/>
                <w:szCs w:val="17"/>
                <w:color w:val="auto"/>
              </w:rPr>
            </w:pPr>
          </w:p>
        </w:tc>
      </w:tr>
      <w:tr>
        <w:trPr>
          <w:trHeight w:val="203"/>
        </w:trPr>
        <w:tc>
          <w:tcPr>
            <w:tcW w:w="3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897</w:t>
            </w:r>
          </w:p>
        </w:tc>
        <w:tc>
          <w:tcPr>
            <w:tcW w:w="180" w:type="dxa"/>
            <w:vAlign w:val="bottom"/>
            <w:tcBorders>
              <w:bottom w:val="single" w:sz="8" w:color="CCEEFF"/>
            </w:tcBorders>
          </w:tcPr>
          <w:p>
            <w:pPr>
              <w:spacing w:after="0"/>
              <w:rPr>
                <w:sz w:val="17"/>
                <w:szCs w:val="17"/>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4,690</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4,281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6,069</w:t>
            </w:r>
          </w:p>
        </w:tc>
        <w:tc>
          <w:tcPr>
            <w:tcW w:w="180" w:type="dxa"/>
            <w:vAlign w:val="bottom"/>
            <w:shd w:val="clear" w:color="auto" w:fill="CCEEFF"/>
          </w:tcPr>
          <w:p>
            <w:pPr>
              <w:spacing w:after="0"/>
              <w:rPr>
                <w:sz w:val="17"/>
                <w:szCs w:val="17"/>
                <w:color w:val="auto"/>
              </w:rPr>
            </w:pPr>
          </w:p>
        </w:tc>
      </w:tr>
    </w:tbl>
    <w:p>
      <w:pPr>
        <w:spacing w:after="0" w:line="129" w:lineRule="exact"/>
        <w:rPr>
          <w:sz w:val="20"/>
          <w:szCs w:val="20"/>
          <w:color w:val="auto"/>
        </w:rPr>
      </w:pPr>
    </w:p>
    <w:p>
      <w:pPr>
        <w:ind w:left="220" w:right="299" w:firstLine="216"/>
        <w:spacing w:after="0" w:line="258" w:lineRule="auto"/>
        <w:rPr>
          <w:sz w:val="20"/>
          <w:szCs w:val="20"/>
          <w:color w:val="auto"/>
        </w:rPr>
      </w:pPr>
      <w:r>
        <w:rPr>
          <w:rFonts w:ascii="Arial" w:cs="Arial" w:eastAsia="Arial" w:hAnsi="Arial"/>
          <w:sz w:val="18"/>
          <w:szCs w:val="18"/>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diﬀerently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369" w:lineRule="exact"/>
        <w:rPr>
          <w:sz w:val="20"/>
          <w:szCs w:val="20"/>
          <w:color w:val="auto"/>
        </w:rPr>
      </w:pPr>
    </w:p>
    <w:p>
      <w:pPr>
        <w:ind w:left="640" w:right="859" w:hanging="209"/>
        <w:spacing w:after="0" w:line="285" w:lineRule="auto"/>
        <w:tabs>
          <w:tab w:leader="none" w:pos="706"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15" w:lineRule="exact"/>
        <w:rPr>
          <w:rFonts w:ascii="Arial" w:cs="Arial" w:eastAsia="Arial" w:hAnsi="Arial"/>
          <w:sz w:val="22"/>
          <w:szCs w:val="22"/>
          <w:color w:val="auto"/>
        </w:rPr>
      </w:pPr>
    </w:p>
    <w:p>
      <w:pPr>
        <w:ind w:left="640" w:right="779" w:hanging="209"/>
        <w:spacing w:after="0" w:line="285" w:lineRule="auto"/>
        <w:tabs>
          <w:tab w:leader="none" w:pos="706"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115" w:lineRule="exact"/>
        <w:rPr>
          <w:rFonts w:ascii="Arial" w:cs="Arial" w:eastAsia="Arial" w:hAnsi="Arial"/>
          <w:sz w:val="22"/>
          <w:szCs w:val="22"/>
          <w:color w:val="auto"/>
        </w:rPr>
      </w:pPr>
    </w:p>
    <w:p>
      <w:pPr>
        <w:jc w:val="both"/>
        <w:ind w:left="640" w:right="279" w:hanging="209"/>
        <w:spacing w:after="0" w:line="265" w:lineRule="auto"/>
        <w:tabs>
          <w:tab w:leader="none" w:pos="706" w:val="left"/>
        </w:tabs>
        <w:numPr>
          <w:ilvl w:val="0"/>
          <w:numId w:val="12"/>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128" w:lineRule="exact"/>
        <w:rPr>
          <w:sz w:val="20"/>
          <w:szCs w:val="20"/>
          <w:color w:val="auto"/>
        </w:rPr>
      </w:pPr>
    </w:p>
    <w:p>
      <w:pPr>
        <w:ind w:left="220" w:right="319" w:firstLine="216"/>
        <w:spacing w:after="0" w:line="263" w:lineRule="auto"/>
        <w:rPr>
          <w:sz w:val="20"/>
          <w:szCs w:val="20"/>
          <w:color w:val="auto"/>
        </w:rPr>
      </w:pPr>
      <w:r>
        <w:rPr>
          <w:rFonts w:ascii="Arial" w:cs="Arial" w:eastAsia="Arial" w:hAnsi="Arial"/>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diﬀerences caused by changes in foreign exchange rates that impact financial assets and liabilities denominated in currencies other than the euro (aﬀecting finance expenses, net), tax positions (such as the impact on periods or companies of changes in eﬀective tax rates), the age and book depreciation of fixed assets (aﬀecting relative depreciation expense) and share-based compensation expense (because it is a non-cash expense).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2" w:lineRule="exact"/>
        <w:rPr>
          <w:sz w:val="20"/>
          <w:szCs w:val="20"/>
          <w:color w:val="auto"/>
        </w:rPr>
      </w:pPr>
    </w:p>
    <w:p>
      <w:pPr>
        <w:ind w:left="120" w:right="139" w:firstLine="216"/>
        <w:spacing w:after="0" w:line="254" w:lineRule="auto"/>
        <w:rPr>
          <w:sz w:val="20"/>
          <w:szCs w:val="20"/>
          <w:color w:val="auto"/>
        </w:rPr>
      </w:pPr>
      <w:r>
        <w:rPr>
          <w:rFonts w:ascii="Courier New" w:cs="Courier New" w:eastAsia="Courier New" w:hAnsi="Courier New"/>
          <w:sz w:val="18"/>
          <w:szCs w:val="18"/>
          <w:i w:val="1"/>
          <w:iCs w:val="1"/>
          <w:color w:val="auto"/>
        </w:rPr>
        <w:t>Investing in our ordinary shares involves a high degree of risk. You should carefully consider the risks and uncertainties described below, in addition to the other information set forth in this prospectus, including the consolidated financial statements and the related notes included elsewhere in this prospectus, before purchasing our ordinary shares. If any of the following risks actually occur, our business, financial condition, cash flows, and results of operations could be materially adversely affected. In that case, the trading price of our ordinary shares would likely decline and you might lose all or part of your investment.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60" w:lineRule="exact"/>
        <w:rPr>
          <w:sz w:val="20"/>
          <w:szCs w:val="20"/>
          <w:color w:val="auto"/>
        </w:rPr>
      </w:pPr>
    </w:p>
    <w:p>
      <w:pPr>
        <w:ind w:left="120" w:right="719"/>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38"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suﬀer.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cost-eﬀective,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1099"/>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138" w:lineRule="exact"/>
        <w:rPr>
          <w:sz w:val="20"/>
          <w:szCs w:val="20"/>
          <w:color w:val="auto"/>
        </w:rPr>
      </w:pPr>
    </w:p>
    <w:p>
      <w:pPr>
        <w:ind w:left="120" w:right="139" w:firstLine="216"/>
        <w:spacing w:after="0" w:line="263" w:lineRule="auto"/>
        <w:rPr>
          <w:sz w:val="20"/>
          <w:szCs w:val="20"/>
          <w:color w:val="auto"/>
        </w:rPr>
      </w:pPr>
      <w:r>
        <w:rPr>
          <w:rFonts w:ascii="Arial" w:cs="Arial" w:eastAsia="Arial" w:hAnsi="Arial"/>
          <w:sz w:val="18"/>
          <w:szCs w:val="18"/>
          <w:color w:val="auto"/>
        </w:rPr>
        <w:t>Our business model benefits significantly from recurring sales of our ink and other consumables for our existing and growing installed base of systems. Third parties sell, and purchasers of our systems can seek to buy, alternative versions of our ink or other consumables. We are aware of a small number of instances in which customers are using such third party inks in our systems. These third-party ink and other consumables may be less expensive or otherwise more appealing to our customers than our ink and other consumables. Significant sales of third-party inks and other consumables to our customers could adversely impact our revenues and would have a more significant eﬀect on our gross margins and overall profitability.</w:t>
      </w:r>
    </w:p>
    <w:p>
      <w:pPr>
        <w:spacing w:after="0" w:line="357" w:lineRule="exact"/>
        <w:rPr>
          <w:sz w:val="20"/>
          <w:szCs w:val="20"/>
          <w:color w:val="auto"/>
        </w:rPr>
      </w:pPr>
    </w:p>
    <w:p>
      <w:pPr>
        <w:ind w:left="120" w:right="199" w:firstLine="216"/>
        <w:spacing w:after="0" w:line="260" w:lineRule="auto"/>
        <w:rPr>
          <w:sz w:val="20"/>
          <w:szCs w:val="20"/>
          <w:color w:val="auto"/>
        </w:rPr>
      </w:pPr>
      <w:r>
        <w:rPr>
          <w:rFonts w:ascii="Arial" w:cs="Arial" w:eastAsia="Arial" w:hAnsi="Arial"/>
          <w:sz w:val="18"/>
          <w:szCs w:val="18"/>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compete successfully could cause our revenues and demand for our solutions to decline.</w:t>
      </w:r>
    </w:p>
    <w:p>
      <w:pPr>
        <w:spacing w:after="0" w:line="204" w:lineRule="exact"/>
        <w:rPr>
          <w:sz w:val="20"/>
          <w:szCs w:val="20"/>
          <w:color w:val="auto"/>
        </w:rPr>
      </w:pPr>
    </w:p>
    <w:p>
      <w:pPr>
        <w:ind w:left="120" w:right="159" w:firstLine="216"/>
        <w:spacing w:after="0" w:line="265" w:lineRule="auto"/>
        <w:rPr>
          <w:sz w:val="20"/>
          <w:szCs w:val="20"/>
          <w:color w:val="auto"/>
        </w:rPr>
      </w:pPr>
      <w:r>
        <w:rPr>
          <w:rFonts w:ascii="Arial" w:cs="Arial" w:eastAsia="Arial" w:hAnsi="Arial"/>
          <w:sz w:val="18"/>
          <w:szCs w:val="18"/>
          <w:color w:val="auto"/>
        </w:rPr>
        <w:t>The principal competition for our digital printing systems comes from manufacturers of screen printing systems. Our principal competitor in the high throughput digital direct-to -garment, or DTG, market is Aeoon Technologies GmbH. We also face competition from Brother International Corporation, Seiko Epson Corporation and a number of smaller competitors with respect to our entry level systems. Some of our current and potential competitors have larger overall installed bases of customers, longer operating histories and greater name recognition than we have. In addition, many of these competitors</w:t>
      </w:r>
    </w:p>
    <w:p>
      <w:pPr>
        <w:sectPr>
          <w:pgSz w:w="11900" w:h="16838" w:orient="portrait"/>
          <w:cols w:equalWidth="0" w:num="1">
            <w:col w:w="9019"/>
          </w:cols>
          <w:pgMar w:left="1440" w:top="92"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14" w:name="page15"/>
    <w:bookmarkEnd w:id="14"/>
    <w:p>
      <w:pPr>
        <w:ind w:left="120" w:right="179"/>
        <w:spacing w:after="0" w:line="260" w:lineRule="auto"/>
        <w:rPr>
          <w:sz w:val="20"/>
          <w:szCs w:val="20"/>
          <w:color w:val="auto"/>
        </w:rPr>
      </w:pPr>
      <w:r>
        <w:rPr>
          <w:rFonts w:ascii="Arial" w:cs="Arial" w:eastAsia="Arial" w:hAnsi="Arial"/>
          <w:sz w:val="18"/>
          <w:szCs w:val="18"/>
          <w:color w:val="auto"/>
        </w:rPr>
        <w:t>have greater sales and marketing resources, more advanced manufacturing operations, broader distribution channels and established relationships with channel partners, and greater customer support resources than we have. Current and future competitors may be able to respond more quickly to changes in customer demands and devote greater resources to the development, promotion and sale of their printers and ink and other consumables than we can. Our current and potential competitors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392" w:lineRule="exact"/>
        <w:rPr>
          <w:sz w:val="20"/>
          <w:szCs w:val="20"/>
          <w:color w:val="auto"/>
        </w:rPr>
      </w:pPr>
    </w:p>
    <w:p>
      <w:pPr>
        <w:ind w:left="120" w:right="259"/>
        <w:spacing w:after="0" w:line="342" w:lineRule="auto"/>
        <w:rPr>
          <w:sz w:val="20"/>
          <w:szCs w:val="20"/>
          <w:color w:val="auto"/>
        </w:rPr>
      </w:pPr>
      <w:r>
        <w:rPr>
          <w:rFonts w:ascii="Arial" w:cs="Arial" w:eastAsia="Arial" w:hAnsi="Arial"/>
          <w:sz w:val="16"/>
          <w:szCs w:val="16"/>
          <w:b w:val="1"/>
          <w:bCs w:val="1"/>
          <w:i w:val="1"/>
          <w:iCs w:val="1"/>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91" w:lineRule="exact"/>
        <w:rPr>
          <w:sz w:val="20"/>
          <w:szCs w:val="20"/>
          <w:color w:val="auto"/>
        </w:rPr>
      </w:pPr>
    </w:p>
    <w:p>
      <w:pPr>
        <w:ind w:left="120" w:right="119" w:firstLine="216"/>
        <w:spacing w:after="0" w:line="256" w:lineRule="auto"/>
        <w:rPr>
          <w:sz w:val="20"/>
          <w:szCs w:val="20"/>
          <w:color w:val="auto"/>
        </w:rPr>
      </w:pPr>
      <w:r>
        <w:rPr>
          <w:rFonts w:ascii="Arial" w:cs="Arial" w:eastAsia="Arial" w:hAnsi="Arial"/>
          <w:sz w:val="18"/>
          <w:szCs w:val="18"/>
          <w:color w:val="auto"/>
        </w:rPr>
        <w:t>We are subject to revenue concentration with respect to two of our independent distributors. In 2013 and 2014, Hirsch International Corporation and SPSI, Inc., both distributors in the United States, accounted for 20% and 25% of our revenues in each such period, respectively, in the case of Hirsch, and 13% and 15% of our revenues in each such period in the case of SPSI, respectively. We have entered into non-exclusive distributor agreements with each of these distributors with a term that ends in April 2017 subject to automatic renewal for successive one-year periods unless one party notifies the other party that it does not wish to renew the agreement. These distributors may fail to devote the same level of attention to our solutions as they currently do, elect to distribute competitors’ products or be less successful than distributors of competitors’ products in their territories and, as a result, sales of our solutions may suﬀer. In addition, our relationships with these distributors could be terminated with little or no notice if these distributors become subject to bankruptcy or other similar proceedings or otherwise become unable or unwilling to continue their business relationship with us and we may not be able to find qualified and successful replacements for our distributors in a timely manner. Due to the concentration of our revenues with these distributors, any such event could have a material adverse eﬀect on our results of operations. Additionally, a default by one or more independent distributors that has a significant receivables balance could harm our financial condition.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138" w:lineRule="exact"/>
        <w:rPr>
          <w:sz w:val="20"/>
          <w:szCs w:val="20"/>
          <w:color w:val="auto"/>
        </w:rPr>
      </w:pPr>
    </w:p>
    <w:p>
      <w:pPr>
        <w:ind w:left="120" w:right="199" w:firstLine="216"/>
        <w:spacing w:after="0" w:line="256" w:lineRule="auto"/>
        <w:rPr>
          <w:sz w:val="20"/>
          <w:szCs w:val="20"/>
          <w:color w:val="auto"/>
        </w:rPr>
      </w:pPr>
      <w:r>
        <w:rPr>
          <w:rFonts w:ascii="Arial" w:cs="Arial" w:eastAsia="Arial" w:hAnsi="Arial"/>
          <w:sz w:val="18"/>
          <w:szCs w:val="18"/>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Moreover, the closing of an especially large transaction in a particular quarter may make it more difficult for us to meet market expectations in subsequent quarters, and our failure to close a large transaction in a particular quarter could adversely impact our revenues for that quarter.</w:t>
      </w:r>
    </w:p>
    <w:p>
      <w:pPr>
        <w:spacing w:after="0" w:line="200" w:lineRule="exact"/>
        <w:rPr>
          <w:sz w:val="20"/>
          <w:szCs w:val="20"/>
          <w:color w:val="auto"/>
        </w:rPr>
      </w:pPr>
    </w:p>
    <w:p>
      <w:pPr>
        <w:spacing w:after="0" w:line="382"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In addition, while we recently started implementing a means of collecting real time data about our customers’ consumption of ink and other consumables when using our systems, we have thus far done so only to a limited extent and, accordingly, our ability to predict consumption is limited. 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suﬃcient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361" w:lineRule="exact"/>
        <w:rPr>
          <w:sz w:val="20"/>
          <w:szCs w:val="20"/>
          <w:color w:val="auto"/>
        </w:rPr>
      </w:pPr>
    </w:p>
    <w:p>
      <w:pPr>
        <w:ind w:left="120" w:right="219" w:firstLine="216"/>
        <w:spacing w:after="0" w:line="279" w:lineRule="auto"/>
        <w:rPr>
          <w:sz w:val="20"/>
          <w:szCs w:val="20"/>
          <w:color w:val="auto"/>
        </w:rPr>
      </w:pPr>
      <w:r>
        <w:rPr>
          <w:rFonts w:ascii="Arial" w:cs="Arial" w:eastAsia="Arial" w:hAnsi="Arial"/>
          <w:sz w:val="18"/>
          <w:szCs w:val="18"/>
          <w:color w:val="auto"/>
        </w:rPr>
        <w:t>Furthermore, we base our current and future expense levels on our revenue forecasts and operating plans, and our expenses are relatively fixed in the short term, due in part to long lead times required for ordering certain components of our systems and ordering assembly of our systems by third-party manufacturers. Accordingly, we would likely not be able to reduce our</w:t>
      </w:r>
    </w:p>
    <w:p>
      <w:pPr>
        <w:sectPr>
          <w:pgSz w:w="11900" w:h="16838" w:orient="portrait"/>
          <w:cols w:equalWidth="0" w:num="1">
            <w:col w:w="9019"/>
          </w:cols>
          <w:pgMar w:left="1440" w:top="92" w:right="1440" w:bottom="88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880" w:gutter="0" w:footer="0" w:header="0"/>
          <w:type w:val="continuous"/>
        </w:sectPr>
      </w:pPr>
    </w:p>
    <w:bookmarkStart w:id="15" w:name="page16"/>
    <w:bookmarkEnd w:id="15"/>
    <w:p>
      <w:pPr>
        <w:ind w:left="120" w:right="119"/>
        <w:spacing w:after="0" w:line="280" w:lineRule="auto"/>
        <w:rPr>
          <w:sz w:val="20"/>
          <w:szCs w:val="20"/>
          <w:color w:val="auto"/>
        </w:rPr>
      </w:pPr>
      <w:r>
        <w:rPr>
          <w:rFonts w:ascii="Arial" w:cs="Arial" w:eastAsia="Arial" w:hAnsi="Arial"/>
          <w:sz w:val="18"/>
          <w:szCs w:val="18"/>
          <w:color w:val="auto"/>
        </w:rPr>
        <w:t>costs suﬃciently to compensate for an unexpected shortfall in revenues during a particular quarter, and even a relatively small decrease in revenues could disproportionately and adversely aﬀect our financial results for that quarter. The variability and unpredictability of these and other factors could result in our failing to meet financial expectations for a given period.</w:t>
      </w:r>
    </w:p>
    <w:p>
      <w:pPr>
        <w:spacing w:after="0" w:line="148" w:lineRule="exact"/>
        <w:rPr>
          <w:sz w:val="20"/>
          <w:szCs w:val="20"/>
          <w:color w:val="auto"/>
        </w:rPr>
      </w:pPr>
    </w:p>
    <w:p>
      <w:pPr>
        <w:ind w:left="120" w:right="599"/>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especially with single source suppliers of components, were to terminate, our business could be harmed.</w:t>
      </w:r>
    </w:p>
    <w:p>
      <w:pPr>
        <w:spacing w:after="0" w:line="138" w:lineRule="exact"/>
        <w:rPr>
          <w:sz w:val="20"/>
          <w:szCs w:val="20"/>
          <w:color w:val="auto"/>
        </w:rPr>
      </w:pPr>
    </w:p>
    <w:p>
      <w:pPr>
        <w:ind w:left="120" w:right="159" w:firstLine="216"/>
        <w:spacing w:after="0" w:line="274" w:lineRule="auto"/>
        <w:rPr>
          <w:sz w:val="20"/>
          <w:szCs w:val="20"/>
          <w:color w:val="auto"/>
        </w:rPr>
      </w:pPr>
      <w:r>
        <w:rPr>
          <w:rFonts w:ascii="Arial" w:cs="Arial" w:eastAsia="Arial" w:hAnsi="Arial"/>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such as our print heads and emulsion, are only available from single or limited sources as described below.</w:t>
      </w:r>
    </w:p>
    <w:p>
      <w:pPr>
        <w:spacing w:after="0" w:line="365" w:lineRule="exact"/>
        <w:rPr>
          <w:sz w:val="20"/>
          <w:szCs w:val="20"/>
          <w:color w:val="auto"/>
        </w:rPr>
      </w:pPr>
    </w:p>
    <w:p>
      <w:pPr>
        <w:ind w:left="560" w:right="279" w:hanging="219"/>
        <w:spacing w:after="0" w:line="253" w:lineRule="auto"/>
        <w:tabs>
          <w:tab w:leader="none" w:pos="626"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print heads for our systems are supplied by a sole supplier, FujiFilm Dimatix, Inc., or FDMX. We entered into an agreement with FDMX in 2006, pursuant to which FDMX sells us certain oﬀ-the-shelf print heads and additional products, including ink, all of which FDMX regularly sells to providers of inkjet systems. The agreement renews automatically for successive one-year periods, but FDMX or we can terminate the agreement upon 90 days’ notice prior to the end of the current term, which currently ends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380" w:lineRule="exact"/>
        <w:rPr>
          <w:rFonts w:ascii="Arial" w:cs="Arial" w:eastAsia="Arial" w:hAnsi="Arial"/>
          <w:sz w:val="22"/>
          <w:szCs w:val="22"/>
          <w:color w:val="auto"/>
        </w:rPr>
      </w:pPr>
    </w:p>
    <w:p>
      <w:pPr>
        <w:ind w:left="560" w:right="279" w:hanging="219"/>
        <w:spacing w:after="0" w:line="285" w:lineRule="auto"/>
        <w:tabs>
          <w:tab w:leader="none" w:pos="626"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102"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The loss of either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emulsion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suﬃcient to enable us to continue supplying our products should we need to locate and qualify a new supplier.</w:t>
      </w: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39" w:lineRule="exact"/>
        <w:rPr>
          <w:sz w:val="20"/>
          <w:szCs w:val="20"/>
          <w:color w:val="auto"/>
        </w:rPr>
      </w:pPr>
    </w:p>
    <w:p>
      <w:pPr>
        <w:ind w:left="560" w:right="339" w:hanging="219"/>
        <w:spacing w:after="0" w:line="285" w:lineRule="auto"/>
        <w:tabs>
          <w:tab w:leader="none" w:pos="626" w:val="left"/>
        </w:tabs>
        <w:numPr>
          <w:ilvl w:val="0"/>
          <w:numId w:val="14"/>
        </w:numPr>
        <w:rPr>
          <w:rFonts w:ascii="Arial" w:cs="Arial" w:eastAsia="Arial" w:hAnsi="Arial"/>
          <w:sz w:val="22"/>
          <w:szCs w:val="22"/>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w:t>
      </w:r>
    </w:p>
    <w:p>
      <w:pPr>
        <w:spacing w:after="0" w:line="115" w:lineRule="exact"/>
        <w:rPr>
          <w:rFonts w:ascii="Arial" w:cs="Arial" w:eastAsia="Arial" w:hAnsi="Arial"/>
          <w:sz w:val="22"/>
          <w:szCs w:val="22"/>
          <w:color w:val="auto"/>
        </w:rPr>
      </w:pPr>
    </w:p>
    <w:p>
      <w:pPr>
        <w:ind w:left="560" w:right="199" w:hanging="219"/>
        <w:spacing w:after="0" w:line="285" w:lineRule="auto"/>
        <w:tabs>
          <w:tab w:leader="none" w:pos="626"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15" w:lineRule="exact"/>
        <w:rPr>
          <w:rFonts w:ascii="Arial" w:cs="Arial" w:eastAsia="Arial" w:hAnsi="Arial"/>
          <w:sz w:val="22"/>
          <w:szCs w:val="22"/>
          <w:color w:val="auto"/>
        </w:rPr>
      </w:pPr>
    </w:p>
    <w:p>
      <w:pPr>
        <w:ind w:left="560" w:right="519" w:hanging="219"/>
        <w:spacing w:after="0" w:line="285" w:lineRule="auto"/>
        <w:tabs>
          <w:tab w:leader="none" w:pos="626"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115" w:lineRule="exact"/>
        <w:rPr>
          <w:rFonts w:ascii="Arial" w:cs="Arial" w:eastAsia="Arial" w:hAnsi="Arial"/>
          <w:sz w:val="22"/>
          <w:szCs w:val="22"/>
          <w:color w:val="auto"/>
        </w:rPr>
      </w:pPr>
    </w:p>
    <w:p>
      <w:pPr>
        <w:ind w:left="560" w:right="159" w:hanging="219"/>
        <w:spacing w:after="0" w:line="285" w:lineRule="auto"/>
        <w:tabs>
          <w:tab w:leader="none" w:pos="626"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115" w:lineRule="exact"/>
        <w:rPr>
          <w:rFonts w:ascii="Arial" w:cs="Arial" w:eastAsia="Arial" w:hAnsi="Arial"/>
          <w:sz w:val="22"/>
          <w:szCs w:val="22"/>
          <w:color w:val="auto"/>
        </w:rPr>
      </w:pPr>
    </w:p>
    <w:p>
      <w:pPr>
        <w:ind w:left="560" w:right="479" w:hanging="219"/>
        <w:spacing w:after="0" w:line="285" w:lineRule="auto"/>
        <w:tabs>
          <w:tab w:leader="none" w:pos="626"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and</w:t>
      </w:r>
    </w:p>
    <w:p>
      <w:pPr>
        <w:spacing w:after="0" w:line="115" w:lineRule="exact"/>
        <w:rPr>
          <w:rFonts w:ascii="Arial" w:cs="Arial" w:eastAsia="Arial" w:hAnsi="Arial"/>
          <w:sz w:val="22"/>
          <w:szCs w:val="22"/>
          <w:color w:val="auto"/>
        </w:rPr>
      </w:pPr>
    </w:p>
    <w:p>
      <w:pPr>
        <w:ind w:left="560" w:right="599" w:hanging="219"/>
        <w:spacing w:after="0" w:line="285" w:lineRule="auto"/>
        <w:tabs>
          <w:tab w:leader="none" w:pos="626" w:val="left"/>
        </w:tabs>
        <w:numPr>
          <w:ilvl w:val="0"/>
          <w:numId w:val="14"/>
        </w:numPr>
        <w:rPr>
          <w:rFonts w:ascii="Arial" w:cs="Arial" w:eastAsia="Arial" w:hAnsi="Arial"/>
          <w:sz w:val="22"/>
          <w:szCs w:val="22"/>
          <w:color w:val="auto"/>
        </w:rPr>
      </w:pPr>
      <w:r>
        <w:rPr>
          <w:rFonts w:ascii="Arial" w:cs="Arial" w:eastAsia="Arial" w:hAnsi="Arial"/>
          <w:sz w:val="18"/>
          <w:szCs w:val="18"/>
          <w:color w:val="auto"/>
        </w:rPr>
        <w:t>fluctuations in demand for components that our suppliers manufacture for others may aﬀect their ability or willingness to deliver components to us in a timely manner.</w:t>
      </w:r>
    </w:p>
    <w:p>
      <w:pPr>
        <w:spacing w:after="0" w:line="102" w:lineRule="exact"/>
        <w:rPr>
          <w:sz w:val="20"/>
          <w:szCs w:val="20"/>
          <w:color w:val="auto"/>
        </w:rPr>
      </w:pPr>
    </w:p>
    <w:p>
      <w:pPr>
        <w:ind w:left="120" w:right="139" w:firstLine="216"/>
        <w:spacing w:after="0" w:line="261" w:lineRule="auto"/>
        <w:rPr>
          <w:sz w:val="20"/>
          <w:szCs w:val="20"/>
          <w:color w:val="auto"/>
        </w:rPr>
      </w:pPr>
      <w:r>
        <w:rPr>
          <w:rFonts w:ascii="Arial" w:cs="Arial" w:eastAsia="Arial" w:hAnsi="Arial"/>
          <w:sz w:val="18"/>
          <w:szCs w:val="18"/>
          <w:color w:val="auto"/>
        </w:rPr>
        <w:t>If any of these risks materialize, the costs associated with developing alternative sources of supply or assembly in a timely manner could have a material adverse eﬀect on our ability to meet demand for our solutions. Our ability to generate revenues could be impaired, market acceptance of our solutions could be adversely aﬀected, and customers may instead purchase or use alternative products. We may not be able to find new or alternative components of a requisite quality or reconfigure our systems and manufacturing processes in a timely manner if the necessary components become unavailable. As a result, we could incur increased production costs, experience delays in the delivery of our solutions and suﬀer harm to our reputation, which may have an adverse eﬀect on our business and results of operations.</w:t>
      </w:r>
    </w:p>
    <w:p>
      <w:pPr>
        <w:sectPr>
          <w:pgSz w:w="11900" w:h="16838" w:orient="portrait"/>
          <w:cols w:equalWidth="0" w:num="1">
            <w:col w:w="9019"/>
          </w:cols>
          <w:pgMar w:left="1440" w:top="92" w:right="1440" w:bottom="772"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772" w:gutter="0" w:footer="0" w:header="0"/>
          <w:type w:val="continuous"/>
        </w:sectPr>
      </w:pPr>
    </w:p>
    <w:bookmarkStart w:id="16" w:name="page17"/>
    <w:bookmarkEnd w:id="16"/>
    <w:p>
      <w:pPr>
        <w:ind w:left="120" w:right="399"/>
        <w:spacing w:after="0" w:line="277" w:lineRule="auto"/>
        <w:rPr>
          <w:sz w:val="20"/>
          <w:szCs w:val="20"/>
          <w:color w:val="auto"/>
        </w:rPr>
      </w:pPr>
      <w:r>
        <w:rPr>
          <w:rFonts w:ascii="Arial" w:cs="Arial" w:eastAsia="Arial" w:hAnsi="Arial"/>
          <w:sz w:val="18"/>
          <w:szCs w:val="18"/>
          <w:b w:val="1"/>
          <w:bCs w:val="1"/>
          <w:i w:val="1"/>
          <w:iCs w:val="1"/>
          <w:color w:val="auto"/>
        </w:rPr>
        <w:t>If we cannot successfully market our systems to major brand owners and fashion designers, our future growth and prospects could be harmed.</w:t>
      </w:r>
    </w:p>
    <w:p>
      <w:pPr>
        <w:spacing w:after="0" w:line="138"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A key element of our strategy for growing our business is to market and sell digital printing systems to contract printers that serve major textile brand owners and fashion designers. Accordingly, we are investing in eﬀorts to educate leading textile brand owners and fashion designers about the potential benefits of digital textile printing. Although we have successfully marketed our systems to online businesses and custom decorators, we have limited experience marketing our systems to brand owners and fashion designers. If our eﬀorts to expand awareness of our systems do not succeed or do not influence major brand owners and fashion designers to adopt our digital printing technologies, or if there is a significant reduction in the popularity of printed textiles, especially those that are customized or personalized, among the consumers to whom such brand owners and fashion designers cater, our future growth and prospects could suﬀer.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139"/>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38" w:lineRule="exact"/>
        <w:rPr>
          <w:sz w:val="20"/>
          <w:szCs w:val="20"/>
          <w:color w:val="auto"/>
        </w:rPr>
      </w:pPr>
    </w:p>
    <w:p>
      <w:pPr>
        <w:ind w:left="120" w:right="139" w:firstLine="216"/>
        <w:spacing w:after="0" w:line="256" w:lineRule="auto"/>
        <w:rPr>
          <w:sz w:val="20"/>
          <w:szCs w:val="20"/>
          <w:color w:val="auto"/>
        </w:rPr>
      </w:pPr>
      <w:r>
        <w:rPr>
          <w:rFonts w:ascii="Arial" w:cs="Arial" w:eastAsia="Arial" w:hAnsi="Arial"/>
          <w:sz w:val="18"/>
          <w:szCs w:val="18"/>
          <w:color w:val="auto"/>
        </w:rPr>
        <w:t>We manufacture our ink and other consumables at our facility in Kiryat Gat, Israel. We also rely on contract manufacturing services provided by ITS Industrial Techno Logic Solutions Ltd. in Israel to assemble the majority of our systems and receive contract manufacturing services from IFAT Technologies Ltd. with respect to certain of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we currently have only a limited inventory of our systems and ink and other consumables that we can supply to our customers in the event that our manufacturing is disrupted.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may not be able to introduce new systems or other technological enhancements to the market on the timescales that we project.</w:t>
      </w:r>
    </w:p>
    <w:p>
      <w:pPr>
        <w:spacing w:after="0" w:line="138" w:lineRule="exact"/>
        <w:rPr>
          <w:sz w:val="20"/>
          <w:szCs w:val="20"/>
          <w:color w:val="auto"/>
        </w:rPr>
      </w:pPr>
    </w:p>
    <w:p>
      <w:pPr>
        <w:ind w:left="120" w:right="199" w:firstLine="216"/>
        <w:spacing w:after="0" w:line="258" w:lineRule="auto"/>
        <w:rPr>
          <w:sz w:val="20"/>
          <w:szCs w:val="20"/>
          <w:color w:val="auto"/>
        </w:rPr>
      </w:pPr>
      <w:r>
        <w:rPr>
          <w:rFonts w:ascii="Arial" w:cs="Arial" w:eastAsia="Arial" w:hAnsi="Arial"/>
          <w:sz w:val="18"/>
          <w:szCs w:val="18"/>
          <w:color w:val="auto"/>
        </w:rPr>
        <w:t>Our growth plan includes the introduction of new systems. For example, we are seeking to penetrate the roll-to -roll, or R2R, market with the commercial launch of our Allegro system, which is targeted to occur within the next 18 months. We are also seeking to expand our presence in the industrial market with the commercial launch of our Vulcan system, which is targeted to occur within the next 24 months. The process of developing new or improved solutions is expensive, complex and involves uncertainties. The success of new or improved solutions depends on several factors, including appropriate component and raw materials costs, timely completion and introduction, reliability and stability, diﬀerentiation of new or improved solutions, and market acceptance. There can be no assurance that we will be successful in developing and marketing our new or improved solutions in a timely manner or that our new or improved solutions will adequately address market demands. Furthermore, we may experience unanticipated delays in the availability of new or improved solutions, and may fail to meet customer expectations with respect to the timing of such availability.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859"/>
        <w:spacing w:after="0" w:line="277" w:lineRule="auto"/>
        <w:rPr>
          <w:sz w:val="20"/>
          <w:szCs w:val="20"/>
          <w:color w:val="auto"/>
        </w:rPr>
      </w:pPr>
      <w:r>
        <w:rPr>
          <w:rFonts w:ascii="Arial" w:cs="Arial" w:eastAsia="Arial" w:hAnsi="Arial"/>
          <w:sz w:val="18"/>
          <w:szCs w:val="18"/>
          <w:b w:val="1"/>
          <w:bCs w:val="1"/>
          <w:i w:val="1"/>
          <w:iCs w:val="1"/>
          <w:color w:val="auto"/>
        </w:rPr>
        <w:t>Our Allegro system, which we expect to launch commercially in the next 18 months, may not achieve market acceptance or gain adequate market share.</w:t>
      </w:r>
    </w:p>
    <w:p>
      <w:pPr>
        <w:spacing w:after="0" w:line="138" w:lineRule="exact"/>
        <w:rPr>
          <w:sz w:val="20"/>
          <w:szCs w:val="20"/>
          <w:color w:val="auto"/>
        </w:rPr>
      </w:pPr>
    </w:p>
    <w:p>
      <w:pPr>
        <w:ind w:left="120" w:right="279" w:firstLine="216"/>
        <w:spacing w:after="0" w:line="258" w:lineRule="auto"/>
        <w:rPr>
          <w:sz w:val="20"/>
          <w:szCs w:val="20"/>
          <w:color w:val="auto"/>
        </w:rPr>
      </w:pPr>
      <w:r>
        <w:rPr>
          <w:rFonts w:ascii="Arial" w:cs="Arial" w:eastAsia="Arial" w:hAnsi="Arial"/>
          <w:sz w:val="18"/>
          <w:szCs w:val="18"/>
          <w:color w:val="auto"/>
        </w:rPr>
        <w:t>Our Allegro system, which is currently in beta testing, is our first R2R printing system. Although the Allegro is based on the technology used in our DTG printing systems and we have experience in marketing our systems and ink and other consumables to the DTG printing market, the Allegro is our first R2R system. The market for digital R2R printers is more mature than the market for digital DTG printers, and we expect to face significant competition from major textile printer and ink manufacturers in the R2R market, such as MS Printing Solutions SRL, Reggiani Macchine S.P.A., and Durst Phototechnik AG. In addition, we expect to focus marketing eﬀorts for our R2R systems towards customers with more capital-intensive operations, such as fabric converters, who source large quantities of fabric and convert untreated fabrics into finished materials to be sold to garment and home décor manufacturers. This diﬀers from the customer base that we currently serve in the DTG market. We cannot ensure that the significant investments that we have made in distribution, sales and</w:t>
      </w:r>
    </w:p>
    <w:p>
      <w:pPr>
        <w:sectPr>
          <w:pgSz w:w="11900" w:h="16838" w:orient="portrait"/>
          <w:cols w:equalWidth="0" w:num="1">
            <w:col w:w="9019"/>
          </w:cols>
          <w:pgMar w:left="1440" w:top="125"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7" w:name="page18"/>
    <w:bookmarkEnd w:id="17"/>
    <w:p>
      <w:pPr>
        <w:ind w:left="120" w:right="179"/>
        <w:spacing w:after="0" w:line="263" w:lineRule="auto"/>
        <w:rPr>
          <w:sz w:val="20"/>
          <w:szCs w:val="20"/>
          <w:color w:val="auto"/>
        </w:rPr>
      </w:pPr>
      <w:r>
        <w:rPr>
          <w:rFonts w:ascii="Arial" w:cs="Arial" w:eastAsia="Arial" w:hAnsi="Arial"/>
          <w:sz w:val="18"/>
          <w:szCs w:val="18"/>
          <w:color w:val="auto"/>
        </w:rPr>
        <w:t>customer service teams in preparation for the launch of the Allegro will enable us to market, sell and distribute the Allegro as planned. Market acceptance of the Allegro will depend on, among other things, the system demonstrating a real advantage over existing printers, the success of our sales and marketing teams in creating awareness of the Allegro, the sales price of the Allegro relative to alternative printers, customer recognition of the value of our technology, the eﬀectiveness of our marketing campaigns, and the general willingness of potential customers to try new technologies. In the event that we are unable to achieve market acceptance of the Allegro, our growth and future prospects may be adversely aﬀected.</w:t>
      </w:r>
    </w:p>
    <w:p>
      <w:pPr>
        <w:spacing w:after="0" w:line="391" w:lineRule="exact"/>
        <w:rPr>
          <w:sz w:val="20"/>
          <w:szCs w:val="20"/>
          <w:color w:val="auto"/>
        </w:rPr>
      </w:pPr>
    </w:p>
    <w:p>
      <w:pPr>
        <w:ind w:left="120" w:right="119"/>
        <w:spacing w:after="0" w:line="308" w:lineRule="auto"/>
        <w:rPr>
          <w:sz w:val="20"/>
          <w:szCs w:val="20"/>
          <w:color w:val="auto"/>
        </w:rPr>
      </w:pPr>
      <w:r>
        <w:rPr>
          <w:rFonts w:ascii="Arial" w:cs="Arial" w:eastAsia="Arial" w:hAnsi="Arial"/>
          <w:sz w:val="17"/>
          <w:szCs w:val="17"/>
          <w:b w:val="1"/>
          <w:bCs w:val="1"/>
          <w:i w:val="1"/>
          <w:iCs w:val="1"/>
          <w:color w:val="auto"/>
        </w:rPr>
        <w:t>If we fail to effectively manage our growth, our business and operations will be negatively affected, and as we invest in the growth of our business, our operating and net profit margins could decline in the near-term.</w:t>
      </w:r>
    </w:p>
    <w:p>
      <w:pPr>
        <w:spacing w:after="0" w:line="100"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We have experienced significant growth in a relatively short period of time and intend to continue to grow our business. Our revenues grew from $49.4 million in 2013 to $66.4 million in 2014. Our headcount increased from 109 as of December 31, 2011 to 251 as of December 31, 2014, and during such period we hired our current Chief Executive Oﬃcer and Chief Financial Oﬃcer. We plan to hire additional employees in 2015 across all areas of our company. Our rapid growth has placed significant demands on our management, sales and operational and financial infrastructure, and our growth will continue to place significant demands on these resources. Further, in order to manage our future growth eﬀectively, and in connection with our transition to a public company, we must continue to improve and expand our IT and financial infrastructure, operating and administrative systems and controls and eﬃciently manage headcount, capital and processes. We may not be able to successfully implement these improvements in a timely or eﬃcient manner, and our failure to do so may materially impact our projected growth rate.</w:t>
      </w:r>
    </w:p>
    <w:p>
      <w:pPr>
        <w:spacing w:after="0" w:line="200" w:lineRule="exact"/>
        <w:rPr>
          <w:sz w:val="20"/>
          <w:szCs w:val="20"/>
          <w:color w:val="auto"/>
        </w:rPr>
      </w:pPr>
    </w:p>
    <w:p>
      <w:pPr>
        <w:spacing w:after="0" w:line="383" w:lineRule="exact"/>
        <w:rPr>
          <w:sz w:val="20"/>
          <w:szCs w:val="20"/>
          <w:color w:val="auto"/>
        </w:rPr>
      </w:pPr>
    </w:p>
    <w:p>
      <w:pPr>
        <w:ind w:left="120" w:right="519"/>
        <w:spacing w:after="0" w:line="308" w:lineRule="auto"/>
        <w:rPr>
          <w:sz w:val="20"/>
          <w:szCs w:val="20"/>
          <w:color w:val="auto"/>
        </w:rPr>
      </w:pPr>
      <w:r>
        <w:rPr>
          <w:rFonts w:ascii="Arial" w:cs="Arial" w:eastAsia="Arial" w:hAnsi="Arial"/>
          <w:sz w:val="17"/>
          <w:szCs w:val="17"/>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00" w:lineRule="exact"/>
        <w:rPr>
          <w:sz w:val="20"/>
          <w:szCs w:val="20"/>
          <w:color w:val="auto"/>
        </w:rPr>
      </w:pPr>
    </w:p>
    <w:p>
      <w:pPr>
        <w:ind w:left="120" w:right="239" w:firstLine="216"/>
        <w:spacing w:after="0" w:line="254" w:lineRule="auto"/>
        <w:rPr>
          <w:sz w:val="20"/>
          <w:szCs w:val="20"/>
          <w:color w:val="auto"/>
        </w:rPr>
      </w:pPr>
      <w:r>
        <w:rPr>
          <w:rFonts w:ascii="Arial" w:cs="Arial" w:eastAsia="Arial" w:hAnsi="Arial"/>
          <w:sz w:val="18"/>
          <w:szCs w:val="18"/>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Exchange rate fluctuations between the U.S. dollar and the Israeli shekel, the Euro and other non-U.S. currencies may negatively affect our earnings.</w:t>
      </w:r>
    </w:p>
    <w:p>
      <w:pPr>
        <w:spacing w:after="0" w:line="111"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aﬀected. 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once implemented, will be successful in protecting us in full from adverse impacts from currency exchange rate fluctuations since we only plan to</w:t>
      </w:r>
    </w:p>
    <w:p>
      <w:pPr>
        <w:sectPr>
          <w:pgSz w:w="11900" w:h="16838" w:orient="portrait"/>
          <w:cols w:equalWidth="0" w:num="1">
            <w:col w:w="9019"/>
          </w:cols>
          <w:pgMar w:left="1440" w:top="92" w:right="1440" w:bottom="75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758" w:gutter="0" w:footer="0" w:header="0"/>
          <w:type w:val="continuous"/>
        </w:sectPr>
      </w:pPr>
    </w:p>
    <w:bookmarkStart w:id="18" w:name="page19"/>
    <w:bookmarkEnd w:id="18"/>
    <w:p>
      <w:pPr>
        <w:ind w:left="120" w:right="139"/>
        <w:spacing w:after="0" w:line="262" w:lineRule="auto"/>
        <w:rPr>
          <w:sz w:val="20"/>
          <w:szCs w:val="20"/>
          <w:color w:val="auto"/>
        </w:rPr>
      </w:pPr>
      <w:r>
        <w:rPr>
          <w:rFonts w:ascii="Arial" w:cs="Arial" w:eastAsia="Arial" w:hAnsi="Arial"/>
          <w:sz w:val="18"/>
          <w:szCs w:val="18"/>
          <w:color w:val="auto"/>
        </w:rPr>
        <w:t>hedge a portion of our foreign currency exposure, and we cannot predict any future trends in the rate of inflation in Israel or the rate of devaluation (if any) of the NIS against the dollar. For example, based on annual average exchange rates, the dollar appreciated by 7.8% against the NIS in 2012, depreciated by 6.4% against the NIS in 2013 and depreciated by 0.9% against the NIS in 2014. This depreciation was further compounded by inflation in Israel of 1.8% in 2013 and deflation in Israel of 0.2% in 2014. If the dollar cost of our operations increases, our dollar-measured results of operations will be adversely aﬀected. See “Management’s Discussion and Analysis of Financial Condition and Results of Operations—Quantitative and Qualitative Disclosure About Market Risk—Foreign Currency Risk.”</w:t>
      </w: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152" w:lineRule="exact"/>
        <w:rPr>
          <w:sz w:val="20"/>
          <w:szCs w:val="20"/>
          <w:color w:val="auto"/>
        </w:rPr>
      </w:pPr>
    </w:p>
    <w:p>
      <w:pPr>
        <w:ind w:left="120" w:right="179" w:firstLine="216"/>
        <w:spacing w:after="0" w:line="260" w:lineRule="auto"/>
        <w:rPr>
          <w:sz w:val="20"/>
          <w:szCs w:val="20"/>
          <w:color w:val="auto"/>
        </w:rPr>
      </w:pPr>
      <w:r>
        <w:rPr>
          <w:rFonts w:ascii="Arial" w:cs="Arial" w:eastAsia="Arial" w:hAnsi="Arial"/>
          <w:sz w:val="18"/>
          <w:szCs w:val="18"/>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aﬀect our ability to manage our company eﬀectively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200" w:lineRule="exact"/>
        <w:rPr>
          <w:sz w:val="20"/>
          <w:szCs w:val="20"/>
          <w:color w:val="auto"/>
        </w:rPr>
      </w:pPr>
    </w:p>
    <w:p>
      <w:pPr>
        <w:spacing w:after="0" w:line="356" w:lineRule="exact"/>
        <w:rPr>
          <w:sz w:val="20"/>
          <w:szCs w:val="20"/>
          <w:color w:val="auto"/>
        </w:rPr>
      </w:pPr>
    </w:p>
    <w:p>
      <w:pPr>
        <w:ind w:left="120" w:right="119" w:firstLine="216"/>
        <w:spacing w:after="0" w:line="258" w:lineRule="auto"/>
        <w:rPr>
          <w:sz w:val="20"/>
          <w:szCs w:val="20"/>
          <w:color w:val="auto"/>
        </w:rPr>
      </w:pPr>
      <w:r>
        <w:rPr>
          <w:rFonts w:ascii="Arial" w:cs="Arial" w:eastAsia="Arial" w:hAnsi="Arial"/>
          <w:sz w:val="18"/>
          <w:szCs w:val="18"/>
          <w:color w:val="auto"/>
        </w:rPr>
        <w:t>Our growth and success also depend on our ability to attract and retain additional highly qualified scientific, technical, sales, managerial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diﬃcult for us to compete successfully for key personnel. If we cannot attract and retain suﬃciently qualified technical employees for our research and development operations on acceptable terms, we may not be able to continue to develop and commercialize our solutions or new applications for our existing systems. Further, any failure to eﬀectively integrate new personnel could prevent us from successfully growing our company.</w:t>
      </w:r>
    </w:p>
    <w:p>
      <w:pPr>
        <w:spacing w:after="0" w:line="354" w:lineRule="exact"/>
        <w:rPr>
          <w:sz w:val="20"/>
          <w:szCs w:val="20"/>
          <w:color w:val="auto"/>
        </w:rPr>
      </w:pPr>
    </w:p>
    <w:p>
      <w:pPr>
        <w:ind w:left="120" w:right="479"/>
        <w:spacing w:after="0" w:line="381" w:lineRule="auto"/>
        <w:rPr>
          <w:sz w:val="20"/>
          <w:szCs w:val="20"/>
          <w:color w:val="auto"/>
        </w:rPr>
      </w:pPr>
      <w:r>
        <w:rPr>
          <w:rFonts w:ascii="Arial" w:cs="Arial" w:eastAsia="Arial" w:hAnsi="Arial"/>
          <w:sz w:val="15"/>
          <w:szCs w:val="15"/>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27" w:lineRule="exact"/>
        <w:rPr>
          <w:sz w:val="20"/>
          <w:szCs w:val="20"/>
          <w:color w:val="auto"/>
        </w:rPr>
      </w:pPr>
    </w:p>
    <w:p>
      <w:pPr>
        <w:ind w:left="120" w:right="179" w:firstLine="216"/>
        <w:spacing w:after="0" w:line="260" w:lineRule="auto"/>
        <w:rPr>
          <w:sz w:val="20"/>
          <w:szCs w:val="20"/>
          <w:color w:val="auto"/>
        </w:rPr>
      </w:pPr>
      <w:r>
        <w:rPr>
          <w:rFonts w:ascii="Arial" w:cs="Arial" w:eastAsia="Arial" w:hAnsi="Arial"/>
          <w:sz w:val="18"/>
          <w:szCs w:val="18"/>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diﬃcult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364" w:lineRule="exact"/>
        <w:rPr>
          <w:sz w:val="20"/>
          <w:szCs w:val="20"/>
          <w:color w:val="auto"/>
        </w:rPr>
      </w:pPr>
    </w:p>
    <w:p>
      <w:pPr>
        <w:ind w:left="120" w:right="219"/>
        <w:spacing w:after="0" w:line="312" w:lineRule="auto"/>
        <w:rPr>
          <w:sz w:val="20"/>
          <w:szCs w:val="20"/>
          <w:color w:val="auto"/>
        </w:rPr>
      </w:pPr>
      <w:r>
        <w:rPr>
          <w:rFonts w:ascii="Arial" w:cs="Arial" w:eastAsia="Arial" w:hAnsi="Arial"/>
          <w:sz w:val="16"/>
          <w:szCs w:val="16"/>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74" w:lineRule="exact"/>
        <w:rPr>
          <w:sz w:val="20"/>
          <w:szCs w:val="20"/>
          <w:color w:val="auto"/>
        </w:rPr>
      </w:pPr>
    </w:p>
    <w:p>
      <w:pPr>
        <w:ind w:left="120" w:right="119" w:firstLine="216"/>
        <w:spacing w:after="0" w:line="260" w:lineRule="auto"/>
        <w:rPr>
          <w:sz w:val="20"/>
          <w:szCs w:val="20"/>
          <w:color w:val="auto"/>
        </w:rPr>
      </w:pPr>
      <w:r>
        <w:rPr>
          <w:rFonts w:ascii="Arial" w:cs="Arial" w:eastAsia="Arial" w:hAnsi="Arial"/>
          <w:sz w:val="18"/>
          <w:szCs w:val="18"/>
          <w:color w:val="auto"/>
        </w:rPr>
        <w:t>Based on our current business plan, we believe our cash flows from operating activities and our existing cash resources will be suﬃcient to meet our currently anticipated cash requirements through the next 12 months without drawing on our lines of credit or using the net proceeds from this oﬀering. Nevertheless, to the extent our anticipated cash requirements change, we may seek additional funding in the future. This funding may consist of equity oﬀerings, debt financings or any other means to expand our sales and marketing capabilities, develop our future solutions or pursue other general corporate purposes. Securing additional financing may divert our management from our day-to-day activities, which may adversely aﬀect our ability to market our current solutions and develop and sell future solutions. Additional funding may not be available to us on acceptable terms, or at all.</w:t>
      </w:r>
    </w:p>
    <w:p>
      <w:pPr>
        <w:spacing w:after="0" w:line="318" w:lineRule="exact"/>
        <w:rPr>
          <w:sz w:val="20"/>
          <w:szCs w:val="20"/>
          <w:color w:val="auto"/>
        </w:rPr>
      </w:pPr>
    </w:p>
    <w:p>
      <w:pPr>
        <w:ind w:left="120" w:right="239" w:firstLine="216"/>
        <w:spacing w:after="0" w:line="261"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aﬀect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ectPr>
          <w:pgSz w:w="11900" w:h="16838" w:orient="portrait"/>
          <w:cols w:equalWidth="0" w:num="1">
            <w:col w:w="9019"/>
          </w:cols>
          <w:pgMar w:left="1440" w:top="92" w:right="1440" w:bottom="83"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83" w:gutter="0" w:footer="0" w:header="0"/>
          <w:type w:val="continuous"/>
        </w:sectPr>
      </w:pPr>
    </w:p>
    <w:bookmarkStart w:id="19" w:name="page20"/>
    <w:bookmarkEnd w:id="19"/>
    <w:p>
      <w:pPr>
        <w:ind w:left="120" w:right="159" w:firstLine="216"/>
        <w:spacing w:after="0" w:line="258" w:lineRule="auto"/>
        <w:rPr>
          <w:sz w:val="20"/>
          <w:szCs w:val="20"/>
          <w:color w:val="auto"/>
        </w:rPr>
      </w:pPr>
      <w:r>
        <w:rPr>
          <w:rFonts w:ascii="Arial" w:cs="Arial" w:eastAsia="Arial" w:hAnsi="Arial"/>
          <w:sz w:val="18"/>
          <w:szCs w:val="18"/>
          <w:color w:val="auto"/>
        </w:rPr>
        <w:t>Further, while we have two lines of credit from Israeli banks in a total amount of up to $3.0 million, all of which is undrawn as of December 31, 2014, the lines of credit contain change of control provisions that, absent a waiver or amendment, could cause us to be in default or require us to repay any amounts borrowed under certain circumstances. Specifically, we would be in default under one of our lines of credit if our controlling shareholder, Fortissimo Capital, ceases to control us. However, because the agreement provides an exception for changes of control that occur as a result of a listing on a stock exchange, such as the NASDAQ, we do not expect to be in default under this line of credit for this reason following the closing of this oﬀering. Any borrowings under our second line of credit would become repayable if Fortissimo Capital ceases to hold 25.0% of our issued and outstanding shares and no longer has the right to appoint 25% of our directors. While Fortissimo will no longer have the right to appoint any directors following the closing of this oﬀering, we do not anticipate that Fortissimo will cease to hold 25.0% of our issued and outstanding shares, although they may hold less than 25.0% in the future.</w:t>
      </w:r>
    </w:p>
    <w:p>
      <w:pPr>
        <w:spacing w:after="0" w:line="356" w:lineRule="exact"/>
        <w:rPr>
          <w:sz w:val="20"/>
          <w:szCs w:val="20"/>
          <w:color w:val="auto"/>
        </w:rPr>
      </w:pPr>
    </w:p>
    <w:p>
      <w:pPr>
        <w:ind w:left="120" w:right="119" w:firstLine="216"/>
        <w:spacing w:after="0" w:line="274" w:lineRule="auto"/>
        <w:rPr>
          <w:sz w:val="20"/>
          <w:szCs w:val="20"/>
          <w:color w:val="auto"/>
        </w:rPr>
      </w:pPr>
      <w:r>
        <w:rPr>
          <w:rFonts w:ascii="Arial" w:cs="Arial" w:eastAsia="Arial" w:hAnsi="Arial"/>
          <w:sz w:val="18"/>
          <w:szCs w:val="18"/>
          <w:color w:val="auto"/>
        </w:rPr>
        <w:t>If we are unable to raise additional capital when required and on acceptable terms, we may be required to delay, scale back or discontinue the development, manufacturing scale-up or commercialization of our current and future solutions, which would have a material adverse eﬀect on our business, operating results and prospects and on our ability to develop our solutions.</w:t>
      </w:r>
    </w:p>
    <w:p>
      <w:pPr>
        <w:spacing w:after="0" w:line="384"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38" w:lineRule="exact"/>
        <w:rPr>
          <w:sz w:val="20"/>
          <w:szCs w:val="20"/>
          <w:color w:val="auto"/>
        </w:rPr>
      </w:pPr>
    </w:p>
    <w:p>
      <w:pPr>
        <w:ind w:left="120" w:right="159" w:firstLine="216"/>
        <w:spacing w:after="0" w:line="261" w:lineRule="auto"/>
        <w:rPr>
          <w:sz w:val="20"/>
          <w:szCs w:val="20"/>
          <w:color w:val="auto"/>
        </w:rPr>
      </w:pPr>
      <w:r>
        <w:rPr>
          <w:rFonts w:ascii="Arial" w:cs="Arial" w:eastAsia="Arial" w:hAnsi="Arial"/>
          <w:sz w:val="18"/>
          <w:szCs w:val="18"/>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374" w:lineRule="exact"/>
        <w:rPr>
          <w:sz w:val="20"/>
          <w:szCs w:val="20"/>
          <w:color w:val="auto"/>
        </w:rPr>
      </w:pPr>
    </w:p>
    <w:p>
      <w:pPr>
        <w:ind w:left="560" w:right="699" w:hanging="219"/>
        <w:spacing w:after="0" w:line="285"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greater diﬃculty in enforcing contracts and accounts receivable collection, as well as longer collection periods;</w:t>
      </w:r>
    </w:p>
    <w:p>
      <w:pPr>
        <w:spacing w:after="0" w:line="75" w:lineRule="exact"/>
        <w:rPr>
          <w:rFonts w:ascii="Arial" w:cs="Arial" w:eastAsia="Arial" w:hAnsi="Arial"/>
          <w:sz w:val="22"/>
          <w:szCs w:val="22"/>
          <w:color w:val="auto"/>
        </w:rPr>
      </w:pPr>
    </w:p>
    <w:p>
      <w:pPr>
        <w:ind w:left="560" w:right="359" w:hanging="219"/>
        <w:spacing w:after="0" w:line="285"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increased expenses incurred in establishing and maintaining oﬃce space and equipment for our international operations;</w:t>
      </w:r>
    </w:p>
    <w:p>
      <w:pPr>
        <w:spacing w:after="0" w:line="88" w:lineRule="exact"/>
        <w:rPr>
          <w:rFonts w:ascii="Arial" w:cs="Arial" w:eastAsia="Arial" w:hAnsi="Arial"/>
          <w:sz w:val="22"/>
          <w:szCs w:val="22"/>
          <w:color w:val="auto"/>
        </w:rPr>
      </w:pPr>
    </w:p>
    <w:p>
      <w:pPr>
        <w:ind w:left="560" w:right="419" w:hanging="219"/>
        <w:spacing w:after="0" w:line="285"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75" w:lineRule="exact"/>
        <w:rPr>
          <w:rFonts w:ascii="Arial" w:cs="Arial" w:eastAsia="Arial" w:hAnsi="Arial"/>
          <w:sz w:val="22"/>
          <w:szCs w:val="22"/>
          <w:color w:val="auto"/>
        </w:rPr>
      </w:pPr>
    </w:p>
    <w:p>
      <w:pPr>
        <w:ind w:left="560" w:right="519" w:hanging="219"/>
        <w:spacing w:after="0" w:line="285"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greater diﬃculty in recruiting local experienced personnel, and the costs and expenses associated with such activities;</w:t>
      </w:r>
    </w:p>
    <w:p>
      <w:pPr>
        <w:spacing w:after="0" w:line="75" w:lineRule="exact"/>
        <w:rPr>
          <w:rFonts w:ascii="Arial" w:cs="Arial" w:eastAsia="Arial" w:hAnsi="Arial"/>
          <w:sz w:val="22"/>
          <w:szCs w:val="22"/>
          <w:color w:val="auto"/>
        </w:rPr>
      </w:pPr>
    </w:p>
    <w:p>
      <w:pPr>
        <w:ind w:left="620" w:hanging="279"/>
        <w:spacing w:after="0"/>
        <w:tabs>
          <w:tab w:leader="none" w:pos="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general economic and political conditions in these foreign markets;</w:t>
      </w:r>
    </w:p>
    <w:p>
      <w:pPr>
        <w:spacing w:after="0" w:line="165" w:lineRule="exact"/>
        <w:rPr>
          <w:rFonts w:ascii="Arial" w:cs="Arial" w:eastAsia="Arial" w:hAnsi="Arial"/>
          <w:sz w:val="22"/>
          <w:szCs w:val="22"/>
          <w:color w:val="auto"/>
        </w:rPr>
      </w:pPr>
    </w:p>
    <w:p>
      <w:pPr>
        <w:ind w:left="560" w:right="499" w:hanging="219"/>
        <w:spacing w:after="0" w:line="285"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economic uncertainty around the world, including continued economic uncertainty as a result of sovereign debt issues in Europe and Latin America;</w:t>
      </w:r>
    </w:p>
    <w:p>
      <w:pPr>
        <w:spacing w:after="0" w:line="75" w:lineRule="exact"/>
        <w:rPr>
          <w:rFonts w:ascii="Arial" w:cs="Arial" w:eastAsia="Arial" w:hAnsi="Arial"/>
          <w:sz w:val="22"/>
          <w:szCs w:val="22"/>
          <w:color w:val="auto"/>
        </w:rPr>
      </w:pPr>
    </w:p>
    <w:p>
      <w:pPr>
        <w:ind w:left="560" w:right="939" w:hanging="219"/>
        <w:spacing w:after="0" w:line="285"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management communication and integration problems resulting from cultural and geographic dispersion;</w:t>
      </w:r>
    </w:p>
    <w:p>
      <w:pPr>
        <w:spacing w:after="0" w:line="75" w:lineRule="exact"/>
        <w:rPr>
          <w:rFonts w:ascii="Arial" w:cs="Arial" w:eastAsia="Arial" w:hAnsi="Arial"/>
          <w:sz w:val="22"/>
          <w:szCs w:val="22"/>
          <w:color w:val="auto"/>
        </w:rPr>
      </w:pPr>
    </w:p>
    <w:p>
      <w:pPr>
        <w:ind w:left="560" w:right="579" w:hanging="219"/>
        <w:spacing w:after="0" w:line="256"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355" w:lineRule="exact"/>
        <w:rPr>
          <w:rFonts w:ascii="Arial" w:cs="Arial" w:eastAsia="Arial" w:hAnsi="Arial"/>
          <w:sz w:val="22"/>
          <w:szCs w:val="22"/>
          <w:color w:val="auto"/>
        </w:rPr>
      </w:pPr>
    </w:p>
    <w:p>
      <w:pPr>
        <w:ind w:left="560" w:right="819" w:hanging="219"/>
        <w:spacing w:after="0"/>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greater risk of unexpected changes in regulatory practices, tariﬀs, and tax laws and treaties;</w:t>
      </w:r>
    </w:p>
    <w:p>
      <w:pPr>
        <w:spacing w:after="0" w:line="368" w:lineRule="exact"/>
        <w:rPr>
          <w:rFonts w:ascii="Arial" w:cs="Arial" w:eastAsia="Arial" w:hAnsi="Arial"/>
          <w:sz w:val="22"/>
          <w:szCs w:val="22"/>
          <w:color w:val="auto"/>
        </w:rPr>
      </w:pPr>
    </w:p>
    <w:p>
      <w:pPr>
        <w:ind w:left="620" w:hanging="279"/>
        <w:spacing w:after="0"/>
        <w:tabs>
          <w:tab w:leader="none" w:pos="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uncertainty of protection for intellectual property rights in some countries;</w:t>
      </w:r>
    </w:p>
    <w:p>
      <w:pPr>
        <w:spacing w:after="0" w:line="152" w:lineRule="exact"/>
        <w:rPr>
          <w:rFonts w:ascii="Arial" w:cs="Arial" w:eastAsia="Arial" w:hAnsi="Arial"/>
          <w:sz w:val="22"/>
          <w:szCs w:val="22"/>
          <w:color w:val="auto"/>
        </w:rPr>
      </w:pPr>
    </w:p>
    <w:p>
      <w:pPr>
        <w:ind w:left="560" w:right="319" w:hanging="219"/>
        <w:spacing w:after="0" w:line="265"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greater risk of a failure of employees to comply with both U.S. and foreign laws, including antitrust regulations, the U.S. Foreign Corrupt Practices Act (FCPA), and any trade regulations ensuring fair trade practices; and</w:t>
      </w:r>
    </w:p>
    <w:p>
      <w:pPr>
        <w:spacing w:after="0" w:line="114" w:lineRule="exact"/>
        <w:rPr>
          <w:rFonts w:ascii="Arial" w:cs="Arial" w:eastAsia="Arial" w:hAnsi="Arial"/>
          <w:sz w:val="22"/>
          <w:szCs w:val="22"/>
          <w:color w:val="auto"/>
        </w:rPr>
      </w:pPr>
    </w:p>
    <w:p>
      <w:pPr>
        <w:ind w:left="560" w:right="139" w:hanging="219"/>
        <w:spacing w:after="0" w:line="265" w:lineRule="auto"/>
        <w:tabs>
          <w:tab w:leader="none" w:pos="626" w:val="left"/>
        </w:tabs>
        <w:numPr>
          <w:ilvl w:val="0"/>
          <w:numId w:val="15"/>
        </w:numPr>
        <w:rPr>
          <w:rFonts w:ascii="Arial" w:cs="Arial" w:eastAsia="Arial" w:hAnsi="Arial"/>
          <w:sz w:val="22"/>
          <w:szCs w:val="22"/>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28" w:lineRule="exact"/>
        <w:rPr>
          <w:sz w:val="20"/>
          <w:szCs w:val="20"/>
          <w:color w:val="auto"/>
        </w:rPr>
      </w:pPr>
    </w:p>
    <w:p>
      <w:pPr>
        <w:ind w:left="120" w:right="159" w:firstLine="216"/>
        <w:spacing w:after="0" w:line="294" w:lineRule="auto"/>
        <w:rPr>
          <w:sz w:val="20"/>
          <w:szCs w:val="20"/>
          <w:color w:val="auto"/>
        </w:rPr>
      </w:pPr>
      <w:r>
        <w:rPr>
          <w:rFonts w:ascii="Arial" w:cs="Arial" w:eastAsia="Arial" w:hAnsi="Arial"/>
          <w:sz w:val="18"/>
          <w:szCs w:val="18"/>
          <w:color w:val="auto"/>
        </w:rPr>
        <w:t>Any of these risks could adversely aﬀect our international operations, reduce our revenues from outside the United States or increase our operating costs, adversely aﬀecting our business, results of operations and financial condition and growth</w:t>
      </w:r>
    </w:p>
    <w:p>
      <w:pPr>
        <w:sectPr>
          <w:pgSz w:w="11900" w:h="16838" w:orient="portrait"/>
          <w:cols w:equalWidth="0" w:num="1">
            <w:col w:w="9019"/>
          </w:cols>
          <w:pgMar w:left="1440" w:top="91" w:right="1440" w:bottom="29"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29" w:gutter="0" w:footer="0" w:header="0"/>
          <w:type w:val="continuous"/>
        </w:sectPr>
      </w:pPr>
    </w:p>
    <w:bookmarkStart w:id="20" w:name="page21"/>
    <w:bookmarkEnd w:id="20"/>
    <w:p>
      <w:pPr>
        <w:ind w:left="120" w:right="219"/>
        <w:spacing w:after="0" w:line="269" w:lineRule="auto"/>
        <w:rPr>
          <w:sz w:val="20"/>
          <w:szCs w:val="20"/>
          <w:color w:val="auto"/>
        </w:rPr>
      </w:pPr>
      <w:r>
        <w:rPr>
          <w:rFonts w:ascii="Arial" w:cs="Arial" w:eastAsia="Arial" w:hAnsi="Arial"/>
          <w:sz w:val="18"/>
          <w:szCs w:val="18"/>
          <w:color w:val="auto"/>
        </w:rPr>
        <w:t>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eﬀect on our business and results of operations.</w:t>
      </w:r>
    </w:p>
    <w:p>
      <w:pPr>
        <w:spacing w:after="0" w:line="386"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If we are unable to obtain patent protection for our solutions or otherwise protect our intellectual property rights, our business could suffer.</w:t>
      </w:r>
    </w:p>
    <w:p>
      <w:pPr>
        <w:spacing w:after="0" w:line="138" w:lineRule="exact"/>
        <w:rPr>
          <w:sz w:val="20"/>
          <w:szCs w:val="20"/>
          <w:color w:val="auto"/>
        </w:rPr>
      </w:pPr>
    </w:p>
    <w:p>
      <w:pPr>
        <w:ind w:left="120" w:right="139" w:firstLine="216"/>
        <w:spacing w:after="0" w:line="274" w:lineRule="auto"/>
        <w:rPr>
          <w:sz w:val="20"/>
          <w:szCs w:val="20"/>
          <w:color w:val="auto"/>
        </w:rPr>
      </w:pPr>
      <w:r>
        <w:rPr>
          <w:rFonts w:ascii="Arial" w:cs="Arial" w:eastAsia="Arial" w:hAnsi="Arial"/>
          <w:sz w:val="18"/>
          <w:szCs w:val="18"/>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oﬀer only limited protection.</w:t>
      </w:r>
    </w:p>
    <w:p>
      <w:pPr>
        <w:spacing w:after="0" w:line="351" w:lineRule="exact"/>
        <w:rPr>
          <w:sz w:val="20"/>
          <w:szCs w:val="20"/>
          <w:color w:val="auto"/>
        </w:rPr>
      </w:pPr>
    </w:p>
    <w:p>
      <w:pPr>
        <w:ind w:left="120" w:right="279" w:firstLine="216"/>
        <w:spacing w:after="0" w:line="253" w:lineRule="auto"/>
        <w:rPr>
          <w:sz w:val="20"/>
          <w:szCs w:val="20"/>
          <w:color w:val="auto"/>
        </w:rPr>
      </w:pPr>
      <w:r>
        <w:rPr>
          <w:rFonts w:ascii="Arial" w:cs="Arial" w:eastAsia="Arial" w:hAnsi="Arial"/>
          <w:sz w:val="18"/>
          <w:szCs w:val="18"/>
          <w:color w:val="auto"/>
        </w:rPr>
        <w:t>As of December 31,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insuﬃcient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619"/>
        <w:spacing w:after="0" w:line="266" w:lineRule="auto"/>
        <w:rPr>
          <w:sz w:val="20"/>
          <w:szCs w:val="20"/>
          <w:color w:val="auto"/>
        </w:rPr>
      </w:pPr>
      <w:r>
        <w:rPr>
          <w:rFonts w:ascii="Arial" w:cs="Arial" w:eastAsia="Arial" w:hAnsi="Arial"/>
          <w:sz w:val="18"/>
          <w:szCs w:val="18"/>
          <w:color w:val="auto"/>
        </w:rPr>
        <w:t>detect infringement and pursue infringement claims in certain circumstances in relevant jurisdictions, all of which are costly and time-consuming. As a result, we may not be able to obtain adequate protection or to eﬀectively enforce our issued patents or other intellectual property rights.</w:t>
      </w:r>
    </w:p>
    <w:p>
      <w:pPr>
        <w:spacing w:after="0" w:line="35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In addition to patents, we rely on trade secret rights, copyrights, trademarks, and other rights to protect our proprietary intellectual property and technology. Despite our eﬀorts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eﬀectively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Oﬃce of the United States Trade Representative, such countries included Ukraine (designated a priority foreign country) and Chile, China, India, Indonesia, Russia and Thailand (designated as priority watch list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193" w:lineRule="exact"/>
        <w:rPr>
          <w:sz w:val="20"/>
          <w:szCs w:val="20"/>
          <w:color w:val="auto"/>
        </w:rPr>
      </w:pPr>
    </w:p>
    <w:p>
      <w:pPr>
        <w:ind w:left="120" w:right="139" w:firstLine="216"/>
        <w:spacing w:after="0" w:line="294"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w:t>
      </w:r>
    </w:p>
    <w:p>
      <w:pPr>
        <w:sectPr>
          <w:pgSz w:w="11900" w:h="16838" w:orient="portrait"/>
          <w:cols w:equalWidth="0" w:num="1">
            <w:col w:w="9019"/>
          </w:cols>
          <w:pgMar w:left="1440" w:top="91" w:right="1440" w:bottom="231"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231" w:gutter="0" w:footer="0" w:header="0"/>
          <w:type w:val="continuous"/>
        </w:sectPr>
      </w:pPr>
    </w:p>
    <w:bookmarkStart w:id="21" w:name="page22"/>
    <w:bookmarkEnd w:id="21"/>
    <w:p>
      <w:pPr>
        <w:ind w:left="120" w:right="339"/>
        <w:spacing w:after="0" w:line="295" w:lineRule="auto"/>
        <w:rPr>
          <w:sz w:val="20"/>
          <w:szCs w:val="20"/>
          <w:color w:val="auto"/>
        </w:rPr>
      </w:pPr>
      <w:r>
        <w:rPr>
          <w:rFonts w:ascii="Arial" w:cs="Arial" w:eastAsia="Arial" w:hAnsi="Arial"/>
          <w:sz w:val="18"/>
          <w:szCs w:val="18"/>
          <w:color w:val="auto"/>
        </w:rPr>
        <w:t>our trademark rights. Any unauthorized use of our trademarks could harm our reputation or commercial interests. In addition, efforts to enforce our trademarks may be expensive and time-consuming, and may not effectively prevent infringement.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substantial costs responding to third-party claims of intellectual property infringement.</w:t>
      </w:r>
    </w:p>
    <w:p>
      <w:pPr>
        <w:spacing w:after="0" w:line="193" w:lineRule="exact"/>
        <w:rPr>
          <w:sz w:val="20"/>
          <w:szCs w:val="20"/>
          <w:color w:val="auto"/>
        </w:rPr>
      </w:pPr>
    </w:p>
    <w:p>
      <w:pPr>
        <w:ind w:left="120" w:right="199" w:firstLine="216"/>
        <w:spacing w:after="0" w:line="268" w:lineRule="auto"/>
        <w:rPr>
          <w:sz w:val="20"/>
          <w:szCs w:val="20"/>
          <w:color w:val="auto"/>
        </w:rPr>
      </w:pPr>
      <w:r>
        <w:rPr>
          <w:rFonts w:ascii="Arial" w:cs="Arial" w:eastAsia="Arial" w:hAnsi="Arial"/>
          <w:sz w:val="18"/>
          <w:szCs w:val="18"/>
          <w:color w:val="auto"/>
        </w:rPr>
        <w:t>We may in the future be subject to claims that we have infringed third-party intellectual property rights. Intellectual property disputes can be costly and disruptive to our business operations by diverting the attention and energies of management and key technical personnel, and by increasing our costs of doing business. We may not prevail in any such dispute or litigation, and an adverse decision in any legal action involving intellectual property rights could harm our intellectual property rights and the value of any related technology.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39" w:lineRule="exact"/>
        <w:rPr>
          <w:sz w:val="20"/>
          <w:szCs w:val="20"/>
          <w:color w:val="auto"/>
        </w:rPr>
      </w:pPr>
    </w:p>
    <w:p>
      <w:pPr>
        <w:ind w:left="560" w:right="259" w:hanging="219"/>
        <w:spacing w:after="0" w:line="285" w:lineRule="auto"/>
        <w:tabs>
          <w:tab w:leader="none" w:pos="626"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require us to redesign our technology or force us to enter into costly settlement or license agreements on terms that are unfavorable to us;</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prevent us from manufacturing, importing, using, or selling some or all of our solutions;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disrupt our operations or the markets in which we compete;</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impose costly damage awards; and</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require us to indemnify our distributors and customers.</w:t>
      </w:r>
    </w:p>
    <w:p>
      <w:pPr>
        <w:spacing w:after="0" w:line="212" w:lineRule="exact"/>
        <w:rPr>
          <w:sz w:val="20"/>
          <w:szCs w:val="20"/>
          <w:color w:val="auto"/>
        </w:rPr>
      </w:pPr>
    </w:p>
    <w:p>
      <w:pPr>
        <w:ind w:left="120" w:right="119"/>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38" w:lineRule="exact"/>
        <w:rPr>
          <w:sz w:val="20"/>
          <w:szCs w:val="20"/>
          <w:color w:val="auto"/>
        </w:rPr>
      </w:pPr>
    </w:p>
    <w:p>
      <w:pPr>
        <w:ind w:left="120" w:right="159" w:firstLine="216"/>
        <w:spacing w:after="0" w:line="254" w:lineRule="auto"/>
        <w:rPr>
          <w:sz w:val="20"/>
          <w:szCs w:val="20"/>
          <w:color w:val="auto"/>
        </w:rPr>
      </w:pPr>
      <w:r>
        <w:rPr>
          <w:rFonts w:ascii="Arial" w:cs="Arial" w:eastAsia="Arial" w:hAnsi="Arial"/>
          <w:sz w:val="18"/>
          <w:szCs w:val="18"/>
          <w:color w:val="auto"/>
        </w:rPr>
        <w:t>A significant portion of our intellectual property has been developed by our employees in the course of their employment for us. Under the Israeli Patent Law, 5727 -1967,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decisions by the Committee (which have been upheld by the Israeli Supreme Court on appeal) have created uncertainty in this area, as it held that employees may be entitled to remuneration for their service inventions despite having specifically waived any such rights. However, a recent decision by the Committee held that such right can be waived by the employee. The Committee further held that an explicit reference to the waived right is not necessary in every circumstance in order for the employee’s waiver of such right to be valid. Such waiver can be formalized in writing or orally or be implied by the actions of the parties in accordance with the rules of interpretation of Israeli contract law.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Undetected defects in the design or manufacturing of our products may harm our business and results of operations.</w:t>
      </w:r>
    </w:p>
    <w:p>
      <w:pPr>
        <w:spacing w:after="0" w:line="227" w:lineRule="exact"/>
        <w:rPr>
          <w:sz w:val="20"/>
          <w:szCs w:val="20"/>
          <w:color w:val="auto"/>
        </w:rPr>
      </w:pPr>
    </w:p>
    <w:p>
      <w:pPr>
        <w:ind w:left="120" w:right="159" w:firstLine="216"/>
        <w:spacing w:after="0" w:line="258" w:lineRule="auto"/>
        <w:rPr>
          <w:sz w:val="20"/>
          <w:szCs w:val="20"/>
          <w:color w:val="auto"/>
        </w:rPr>
      </w:pPr>
      <w:r>
        <w:rPr>
          <w:rFonts w:ascii="Arial" w:cs="Arial" w:eastAsia="Arial" w:hAnsi="Arial"/>
          <w:sz w:val="18"/>
          <w:szCs w:val="18"/>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w:t>
      </w:r>
    </w:p>
    <w:p>
      <w:pPr>
        <w:sectPr>
          <w:pgSz w:w="11900" w:h="16838" w:orient="portrait"/>
          <w:cols w:equalWidth="0" w:num="1">
            <w:col w:w="9019"/>
          </w:cols>
          <w:pgMar w:left="1440" w:top="91"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22" w:name="page23"/>
    <w:bookmarkEnd w:id="22"/>
    <w:p>
      <w:pPr>
        <w:ind w:left="120" w:right="199"/>
        <w:spacing w:after="0" w:line="268" w:lineRule="auto"/>
        <w:rPr>
          <w:sz w:val="20"/>
          <w:szCs w:val="20"/>
          <w:color w:val="auto"/>
        </w:rPr>
      </w:pPr>
      <w:r>
        <w:rPr>
          <w:rFonts w:ascii="Arial" w:cs="Arial" w:eastAsia="Arial" w:hAnsi="Arial"/>
          <w:sz w:val="18"/>
          <w:szCs w:val="18"/>
          <w:color w:val="auto"/>
        </w:rPr>
        <w:t>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59"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138"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As part of our business strategy and in order to remain competitive, we may acquire or make investments in complementary companies, products or technologies. However, we have not made any acquisitions to date, and as a result, our ability as an organization to acquire and integrate other companies, products or technologies in a successful manner is unproven. We may not be able to find suitable acquisition candidates, and we may not be able to complete such acquisitions on favorable terms, if at all. If we do complete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aﬀected.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aﬀect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Ordinary Shares and the Oﬀering</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has been no prior public market for our ordinary shares, and an active trading market may not develop.</w:t>
      </w:r>
    </w:p>
    <w:p>
      <w:pPr>
        <w:spacing w:after="0" w:line="216" w:lineRule="exact"/>
        <w:rPr>
          <w:sz w:val="20"/>
          <w:szCs w:val="20"/>
          <w:color w:val="auto"/>
        </w:rPr>
      </w:pPr>
    </w:p>
    <w:p>
      <w:pPr>
        <w:ind w:left="120" w:right="139" w:firstLine="216"/>
        <w:spacing w:after="0" w:line="265" w:lineRule="auto"/>
        <w:rPr>
          <w:sz w:val="20"/>
          <w:szCs w:val="20"/>
          <w:color w:val="auto"/>
        </w:rPr>
      </w:pPr>
      <w:r>
        <w:rPr>
          <w:rFonts w:ascii="Arial" w:cs="Arial" w:eastAsia="Arial" w:hAnsi="Arial"/>
          <w:sz w:val="18"/>
          <w:szCs w:val="18"/>
          <w:color w:val="auto"/>
        </w:rPr>
        <w:t>Prior to this oﬀering, there has been no public market for our ordinary shares. An active trading market may not develop following completion of this oﬀering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193" w:lineRule="exact"/>
        <w:rPr>
          <w:sz w:val="20"/>
          <w:szCs w:val="20"/>
          <w:color w:val="auto"/>
        </w:rPr>
      </w:pPr>
    </w:p>
    <w:p>
      <w:pPr>
        <w:ind w:left="120" w:right="279" w:firstLine="216"/>
        <w:spacing w:after="0" w:line="272" w:lineRule="auto"/>
        <w:rPr>
          <w:sz w:val="20"/>
          <w:szCs w:val="20"/>
          <w:color w:val="auto"/>
        </w:rPr>
      </w:pPr>
      <w:r>
        <w:rPr>
          <w:rFonts w:ascii="Arial" w:cs="Arial" w:eastAsia="Arial" w:hAnsi="Arial"/>
          <w:sz w:val="18"/>
          <w:szCs w:val="18"/>
          <w:color w:val="auto"/>
        </w:rPr>
        <w:t>The initial public oﬀering price for the ordinary shares sold in this oﬀering will be determined by negotiation between us and representatives of the underwriters. This price may not reflect the market price of our ordinary shares following this oﬀering and the price of our ordinary shares may decline. In addition, the market price of our ordinary shares could be highly volatile and may fluctuate substantially as a result of many factors, including:</w:t>
      </w:r>
    </w:p>
    <w:p>
      <w:pPr>
        <w:spacing w:after="0" w:line="137" w:lineRule="exact"/>
        <w:rPr>
          <w:sz w:val="20"/>
          <w:szCs w:val="20"/>
          <w:color w:val="auto"/>
        </w:rPr>
      </w:pPr>
    </w:p>
    <w:p>
      <w:pPr>
        <w:ind w:left="560" w:right="519" w:hanging="219"/>
        <w:spacing w:after="0" w:line="285" w:lineRule="auto"/>
        <w:tabs>
          <w:tab w:leader="none" w:pos="626" w:val="left"/>
        </w:tabs>
        <w:numPr>
          <w:ilvl w:val="0"/>
          <w:numId w:val="17"/>
        </w:numPr>
        <w:rPr>
          <w:rFonts w:ascii="Arial" w:cs="Arial" w:eastAsia="Arial" w:hAnsi="Arial"/>
          <w:sz w:val="22"/>
          <w:szCs w:val="22"/>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variance in our financial performance from the expectations of market analysts;</w:t>
      </w:r>
    </w:p>
    <w:p>
      <w:pPr>
        <w:spacing w:after="0" w:line="192" w:lineRule="exact"/>
        <w:rPr>
          <w:rFonts w:ascii="Arial" w:cs="Arial" w:eastAsia="Arial" w:hAnsi="Arial"/>
          <w:sz w:val="22"/>
          <w:szCs w:val="22"/>
          <w:color w:val="auto"/>
        </w:rPr>
      </w:pPr>
    </w:p>
    <w:p>
      <w:pPr>
        <w:ind w:left="560" w:right="179" w:hanging="219"/>
        <w:spacing w:after="0" w:line="285" w:lineRule="auto"/>
        <w:tabs>
          <w:tab w:leader="none" w:pos="626" w:val="left"/>
        </w:tabs>
        <w:numPr>
          <w:ilvl w:val="0"/>
          <w:numId w:val="17"/>
        </w:numPr>
        <w:rPr>
          <w:rFonts w:ascii="Arial" w:cs="Arial" w:eastAsia="Arial" w:hAnsi="Arial"/>
          <w:sz w:val="22"/>
          <w:szCs w:val="22"/>
          <w:color w:val="auto"/>
        </w:rPr>
      </w:pPr>
      <w:r>
        <w:rPr>
          <w:rFonts w:ascii="Arial" w:cs="Arial" w:eastAsia="Arial" w:hAnsi="Arial"/>
          <w:sz w:val="18"/>
          <w:szCs w:val="18"/>
          <w:color w:val="auto"/>
        </w:rPr>
        <w:t>announcements by us or our competitors of significant business developments, changes in service provider relationships, acquisitions or expansion plans;</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prices of our solutions;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involvement in litigation;</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sale of ordinary shares or other securities in the future;</w:t>
      </w:r>
    </w:p>
    <w:p>
      <w:pPr>
        <w:sectPr>
          <w:pgSz w:w="11900" w:h="16838" w:orient="portrait"/>
          <w:cols w:equalWidth="0" w:num="1">
            <w:col w:w="9019"/>
          </w:cols>
          <w:pgMar w:left="1440" w:top="91" w:right="1440"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23" w:name="page24"/>
    <w:bookmarkEnd w:id="23"/>
    <w:p>
      <w:pPr>
        <w:ind w:left="620" w:hanging="279"/>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market conditions in our industry;</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changes in key personnel;</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trading volume of our ordinary shares;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changes in the estimation of the future size and growth rate of our markets; and</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general economic and market conditions.</w:t>
      </w:r>
    </w:p>
    <w:p>
      <w:pPr>
        <w:spacing w:after="0" w:line="139"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66"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If our existing shareholders, particularly our directors, their aﬃliates, or our executive oﬃcers,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oﬀering of equity securities. Substantially all of our shares outstanding prior to this oﬀering and our shares issuable upon the exercise of options are subject to lock-up agreements with the underwriters that restrict the ability of their holders to transfer such shares without the prior written consent of Barclays Capital Inc. and Citigroup Global Markets Inc. for 180 days after the date of this prospectus. Consequently, upon expiration of the lock-up agreements, an additional</w:t>
      </w:r>
    </w:p>
    <w:p>
      <w:pPr>
        <w:spacing w:after="0" w:line="208" w:lineRule="exact"/>
        <w:rPr>
          <w:sz w:val="20"/>
          <w:szCs w:val="20"/>
          <w:color w:val="auto"/>
        </w:rPr>
      </w:pPr>
    </w:p>
    <w:p>
      <w:pPr>
        <w:ind w:left="120" w:right="159"/>
        <w:spacing w:after="0" w:line="253" w:lineRule="auto"/>
        <w:rPr>
          <w:sz w:val="20"/>
          <w:szCs w:val="20"/>
          <w:color w:val="auto"/>
        </w:rPr>
      </w:pPr>
      <w:r>
        <w:rPr>
          <w:rFonts w:ascii="Arial" w:cs="Arial" w:eastAsia="Arial" w:hAnsi="Arial"/>
          <w:sz w:val="18"/>
          <w:szCs w:val="18"/>
          <w:color w:val="auto"/>
        </w:rPr>
        <w:t>approximately outstanding ordinary shares and shares underlying vested options will be eligible for sale in the public market of which approximately will be subject to restrictions on volume and manner of sale pursuant to Rule 144 under the Securities Act of 1933, as amended. However, we intend to file one or more registration statements on Form S-8 with the U.S. Securities and Exchange Commission, or the Commission, covering all of the ordinary shares issuable under our share incentive plans and such shares will be available for resale following the expiration of the restrictions on transfer. The market price of our ordinary shares may drop significantly when the restrictions on resale by our existing shareholders lapse and these shareholders are able to sell our ordinary shares into the market. 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in this offering will experience immediate substantial dilution in net tangible book value.</w:t>
      </w:r>
    </w:p>
    <w:p>
      <w:pPr>
        <w:spacing w:after="0" w:line="152" w:lineRule="exact"/>
        <w:rPr>
          <w:sz w:val="20"/>
          <w:szCs w:val="20"/>
          <w:color w:val="auto"/>
        </w:rPr>
      </w:pPr>
    </w:p>
    <w:p>
      <w:pPr>
        <w:jc w:val="center"/>
        <w:ind w:left="120" w:right="279"/>
        <w:spacing w:after="0" w:line="274" w:lineRule="auto"/>
        <w:rPr>
          <w:sz w:val="20"/>
          <w:szCs w:val="20"/>
          <w:color w:val="auto"/>
        </w:rPr>
      </w:pPr>
      <w:r>
        <w:rPr>
          <w:rFonts w:ascii="Arial" w:cs="Arial" w:eastAsia="Arial" w:hAnsi="Arial"/>
          <w:sz w:val="18"/>
          <w:szCs w:val="18"/>
          <w:color w:val="auto"/>
        </w:rPr>
        <w:t>The initial public offering price of our ordinary shares in this offering is considerably greater than the net tangible book value per share of our outstanding ordinary shares immediately after</w:t>
      </w:r>
    </w:p>
    <w:p>
      <w:pPr>
        <w:spacing w:after="0" w:line="2" w:lineRule="exact"/>
        <w:rPr>
          <w:sz w:val="20"/>
          <w:szCs w:val="20"/>
          <w:color w:val="auto"/>
        </w:rPr>
      </w:pPr>
    </w:p>
    <w:p>
      <w:pPr>
        <w:ind w:left="120"/>
        <w:spacing w:after="0"/>
        <w:tabs>
          <w:tab w:leader="none" w:pos="8160" w:val="left"/>
        </w:tabs>
        <w:rPr>
          <w:sz w:val="20"/>
          <w:szCs w:val="20"/>
          <w:color w:val="auto"/>
        </w:rPr>
      </w:pPr>
      <w:r>
        <w:rPr>
          <w:rFonts w:ascii="Arial" w:cs="Arial" w:eastAsia="Arial" w:hAnsi="Arial"/>
          <w:sz w:val="18"/>
          <w:szCs w:val="18"/>
          <w:color w:val="auto"/>
        </w:rPr>
        <w:t>this offering. Accordingly, investors in this offering will incur immediate dilution of $</w:t>
      </w:r>
      <w:r>
        <w:rPr>
          <w:sz w:val="20"/>
          <w:szCs w:val="20"/>
          <w:color w:val="auto"/>
        </w:rPr>
        <w:tab/>
      </w:r>
      <w:r>
        <w:rPr>
          <w:rFonts w:ascii="Arial" w:cs="Arial" w:eastAsia="Arial" w:hAnsi="Arial"/>
          <w:sz w:val="18"/>
          <w:szCs w:val="18"/>
          <w:color w:val="auto"/>
        </w:rPr>
        <w:t>per</w:t>
      </w:r>
    </w:p>
    <w:p>
      <w:pPr>
        <w:spacing w:after="0" w:line="9" w:lineRule="exact"/>
        <w:rPr>
          <w:sz w:val="20"/>
          <w:szCs w:val="20"/>
          <w:color w:val="auto"/>
        </w:rPr>
      </w:pPr>
    </w:p>
    <w:p>
      <w:pPr>
        <w:ind w:left="120"/>
        <w:spacing w:after="0"/>
        <w:tabs>
          <w:tab w:leader="none" w:pos="6080" w:val="left"/>
        </w:tabs>
        <w:rPr>
          <w:sz w:val="20"/>
          <w:szCs w:val="20"/>
          <w:color w:val="auto"/>
        </w:rPr>
      </w:pPr>
      <w:r>
        <w:rPr>
          <w:rFonts w:ascii="Arial" w:cs="Arial" w:eastAsia="Arial" w:hAnsi="Arial"/>
          <w:sz w:val="18"/>
          <w:szCs w:val="18"/>
          <w:color w:val="auto"/>
        </w:rPr>
        <w:t>share, based on an assumed initial public offering price of $</w:t>
      </w:r>
      <w:r>
        <w:rPr>
          <w:sz w:val="20"/>
          <w:szCs w:val="20"/>
          <w:color w:val="auto"/>
        </w:rPr>
        <w:tab/>
      </w:r>
      <w:r>
        <w:rPr>
          <w:rFonts w:ascii="Arial" w:cs="Arial" w:eastAsia="Arial" w:hAnsi="Arial"/>
          <w:sz w:val="18"/>
          <w:szCs w:val="18"/>
          <w:color w:val="auto"/>
        </w:rPr>
        <w:t>per share, the midpoint of the</w:t>
      </w:r>
    </w:p>
    <w:p>
      <w:pPr>
        <w:spacing w:after="0" w:line="9" w:lineRule="exact"/>
        <w:rPr>
          <w:sz w:val="20"/>
          <w:szCs w:val="20"/>
          <w:color w:val="auto"/>
        </w:rPr>
      </w:pPr>
    </w:p>
    <w:p>
      <w:pPr>
        <w:ind w:left="120" w:right="279"/>
        <w:spacing w:after="0" w:line="270" w:lineRule="auto"/>
        <w:rPr>
          <w:sz w:val="20"/>
          <w:szCs w:val="20"/>
          <w:color w:val="auto"/>
        </w:rPr>
      </w:pPr>
      <w:r>
        <w:rPr>
          <w:rFonts w:ascii="Arial" w:cs="Arial" w:eastAsia="Arial" w:hAnsi="Arial"/>
          <w:sz w:val="18"/>
          <w:szCs w:val="18"/>
          <w:color w:val="auto"/>
        </w:rPr>
        <w:t>estimated initial public offering price range set forth on the cover of this prospectus. In addition, if outstanding options to purchase our ordinary shares are exercised in the future, you will experience additional dilution. See “Dilution.”</w:t>
      </w:r>
    </w:p>
    <w:p>
      <w:pPr>
        <w:spacing w:after="0" w:line="156" w:lineRule="exact"/>
        <w:rPr>
          <w:sz w:val="20"/>
          <w:szCs w:val="20"/>
          <w:color w:val="auto"/>
        </w:rPr>
      </w:pPr>
    </w:p>
    <w:p>
      <w:pPr>
        <w:ind w:left="120" w:right="199"/>
        <w:spacing w:after="0" w:line="264" w:lineRule="auto"/>
        <w:rPr>
          <w:sz w:val="20"/>
          <w:szCs w:val="20"/>
          <w:color w:val="auto"/>
        </w:rPr>
      </w:pPr>
      <w:r>
        <w:rPr>
          <w:rFonts w:ascii="Arial" w:cs="Arial" w:eastAsia="Arial" w:hAnsi="Arial"/>
          <w:sz w:val="18"/>
          <w:szCs w:val="18"/>
          <w:b w:val="1"/>
          <w:bCs w:val="1"/>
          <w:i w:val="1"/>
          <w:iCs w:val="1"/>
          <w:color w:val="auto"/>
        </w:rPr>
        <w:t>Following the closing of this offering, entities and individuals affiliated with Fortissimo Capital Fund II (Israel) L.P., or Fortissimo Capital, will have a controlling influence over matters requiring shareholder approval, which could delay or prevent a change of control.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closing of this oﬀering, entities and individuals aﬃliated with Fortissimo Capital</w:t>
      </w:r>
    </w:p>
    <w:p>
      <w:pPr>
        <w:spacing w:after="0" w:line="51" w:lineRule="exact"/>
        <w:rPr>
          <w:sz w:val="20"/>
          <w:szCs w:val="20"/>
          <w:color w:val="auto"/>
        </w:rPr>
      </w:pPr>
    </w:p>
    <w:p>
      <w:pPr>
        <w:ind w:left="120" w:right="199"/>
        <w:spacing w:after="0" w:line="261" w:lineRule="auto"/>
        <w:rPr>
          <w:sz w:val="20"/>
          <w:szCs w:val="20"/>
          <w:color w:val="auto"/>
        </w:rPr>
      </w:pPr>
      <w:r>
        <w:rPr>
          <w:rFonts w:ascii="Arial" w:cs="Arial" w:eastAsia="Arial" w:hAnsi="Arial"/>
          <w:sz w:val="18"/>
          <w:szCs w:val="18"/>
          <w:color w:val="auto"/>
        </w:rPr>
        <w:t>will beneficially own % of our ordinary shares or % if the underwriters exercise their option to purchase additional ordinary shares. As a result, this shareholder could exert significant influence over our operations and business strategy and will have suﬃcient voting power to control the outcome of matters requiring shareholder approval. These matters may include:</w:t>
      </w:r>
    </w:p>
    <w:p>
      <w:pPr>
        <w:spacing w:after="0" w:line="368" w:lineRule="exact"/>
        <w:rPr>
          <w:sz w:val="20"/>
          <w:szCs w:val="20"/>
          <w:color w:val="auto"/>
        </w:rPr>
      </w:pPr>
    </w:p>
    <w:p>
      <w:pPr>
        <w:ind w:left="560" w:right="459" w:hanging="219"/>
        <w:spacing w:after="0" w:line="285" w:lineRule="auto"/>
        <w:tabs>
          <w:tab w:leader="none" w:pos="626"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composition of our board of directors, which has the authority to direct our business and to appoint and remove our oﬃcers;</w:t>
      </w:r>
    </w:p>
    <w:p>
      <w:pPr>
        <w:sectPr>
          <w:pgSz w:w="11900" w:h="16838" w:orient="portrait"/>
          <w:cols w:equalWidth="0" w:num="1">
            <w:col w:w="9019"/>
          </w:cols>
          <w:pgMar w:left="1440" w:top="322" w:right="1440"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type w:val="continuous"/>
        </w:sectPr>
      </w:pPr>
    </w:p>
    <w:bookmarkStart w:id="24" w:name="page25"/>
    <w:bookmarkEnd w:id="24"/>
    <w:p>
      <w:pPr>
        <w:ind w:left="620" w:hanging="279"/>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approving or rejecting a merger, consolidation or other business combination;</w:t>
      </w:r>
    </w:p>
    <w:p>
      <w:pPr>
        <w:spacing w:after="0" w:line="165" w:lineRule="exact"/>
        <w:rPr>
          <w:rFonts w:ascii="Arial" w:cs="Arial" w:eastAsia="Arial" w:hAnsi="Arial"/>
          <w:sz w:val="22"/>
          <w:szCs w:val="22"/>
          <w:color w:val="auto"/>
        </w:rPr>
      </w:pPr>
    </w:p>
    <w:p>
      <w:pPr>
        <w:ind w:left="620" w:hanging="279"/>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raising future capital; and</w:t>
      </w:r>
    </w:p>
    <w:p>
      <w:pPr>
        <w:spacing w:after="0" w:line="152" w:lineRule="exact"/>
        <w:rPr>
          <w:rFonts w:ascii="Arial" w:cs="Arial" w:eastAsia="Arial" w:hAnsi="Arial"/>
          <w:sz w:val="22"/>
          <w:szCs w:val="22"/>
          <w:color w:val="auto"/>
        </w:rPr>
      </w:pPr>
    </w:p>
    <w:p>
      <w:pPr>
        <w:ind w:left="560" w:right="619" w:hanging="219"/>
        <w:spacing w:after="0"/>
        <w:tabs>
          <w:tab w:leader="none" w:pos="626" w:val="left"/>
        </w:tabs>
        <w:numPr>
          <w:ilvl w:val="0"/>
          <w:numId w:val="20"/>
        </w:numPr>
        <w:rPr>
          <w:rFonts w:ascii="Arial" w:cs="Arial" w:eastAsia="Arial" w:hAnsi="Arial"/>
          <w:sz w:val="22"/>
          <w:szCs w:val="22"/>
          <w:color w:val="auto"/>
        </w:rPr>
      </w:pPr>
      <w:r>
        <w:rPr>
          <w:rFonts w:ascii="Arial" w:cs="Arial" w:eastAsia="Arial" w:hAnsi="Arial"/>
          <w:sz w:val="18"/>
          <w:szCs w:val="18"/>
          <w:color w:val="auto"/>
        </w:rPr>
        <w:t>amending our articles of association, which govern the rights attached to our ordinary shares.</w:t>
      </w:r>
    </w:p>
    <w:p>
      <w:pPr>
        <w:spacing w:after="0" w:line="395" w:lineRule="exact"/>
        <w:rPr>
          <w:sz w:val="20"/>
          <w:szCs w:val="20"/>
          <w:color w:val="auto"/>
        </w:rPr>
      </w:pPr>
    </w:p>
    <w:p>
      <w:pPr>
        <w:ind w:left="120" w:right="219" w:firstLine="216"/>
        <w:spacing w:after="0" w:line="274"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oﬀers, open-market purchase programs or other purchases of our ordinary shares that might otherwise give you the opportunity to realize a premium over the then-prevailing market price of our ordinary shares. This concentration of ownership may also adversely aﬀect our share price.</w:t>
      </w:r>
    </w:p>
    <w:p>
      <w:pPr>
        <w:spacing w:after="0" w:line="384" w:lineRule="exact"/>
        <w:rPr>
          <w:sz w:val="20"/>
          <w:szCs w:val="20"/>
          <w:color w:val="auto"/>
        </w:rPr>
      </w:pPr>
    </w:p>
    <w:p>
      <w:pPr>
        <w:ind w:left="120" w:right="299"/>
        <w:spacing w:after="0" w:line="308" w:lineRule="auto"/>
        <w:rPr>
          <w:sz w:val="20"/>
          <w:szCs w:val="20"/>
          <w:color w:val="auto"/>
        </w:rPr>
      </w:pPr>
      <w:r>
        <w:rPr>
          <w:rFonts w:ascii="Arial" w:cs="Arial" w:eastAsia="Arial" w:hAnsi="Arial"/>
          <w:sz w:val="17"/>
          <w:szCs w:val="17"/>
          <w:b w:val="1"/>
          <w:bCs w:val="1"/>
          <w:i w:val="1"/>
          <w:iCs w:val="1"/>
          <w:color w:val="auto"/>
        </w:rPr>
        <w:t>We will be a “controlled company” within the meaning of NASDAQ Stock Market rules and, as a result, will qualify for, and intend to rely on, certain exemptions from certain corporate governance requirements.</w:t>
      </w:r>
    </w:p>
    <w:p>
      <w:pPr>
        <w:spacing w:after="0" w:line="114" w:lineRule="exact"/>
        <w:rPr>
          <w:sz w:val="20"/>
          <w:szCs w:val="20"/>
          <w:color w:val="auto"/>
        </w:rPr>
      </w:pPr>
    </w:p>
    <w:p>
      <w:pPr>
        <w:ind w:left="120" w:right="239" w:firstLine="216"/>
        <w:spacing w:after="0" w:line="260" w:lineRule="auto"/>
        <w:rPr>
          <w:sz w:val="20"/>
          <w:szCs w:val="20"/>
          <w:color w:val="auto"/>
        </w:rPr>
      </w:pPr>
      <w:r>
        <w:rPr>
          <w:rFonts w:ascii="Arial" w:cs="Arial" w:eastAsia="Arial" w:hAnsi="Arial"/>
          <w:sz w:val="18"/>
          <w:szCs w:val="18"/>
          <w:color w:val="auto"/>
        </w:rPr>
        <w:t>As a result of the number of shares beneficially owned by Fortissimo Capital, after the completion of this oﬀering, we will be a “controlled company” under the NASDAQ Stock Market rules. A controlled company is a company of which more than 50% of the voting power is held by an individual, group or another company. Pursuant to the controlled company exemption, we are not required to, and do not currently intend to comply with the requirements that (1) a majority of our board of directors consist of independent directors, and (2) we have a nominating committee composed entirely of independent directors. See “Management— Corporate Governance Practices.” Accordingly, you will not have the same protections aﬀorded to shareholders of companies that are not controlled companies and are therefore subject to all of the corporate governance requirements of the NASDAQ Stock Market.</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broad discretion as to the use of the net proceeds from this offering and may not use them effectively.</w:t>
      </w:r>
    </w:p>
    <w:p>
      <w:pPr>
        <w:spacing w:after="0" w:line="216" w:lineRule="exact"/>
        <w:rPr>
          <w:sz w:val="20"/>
          <w:szCs w:val="20"/>
          <w:color w:val="auto"/>
        </w:rPr>
      </w:pPr>
    </w:p>
    <w:p>
      <w:pPr>
        <w:ind w:left="120" w:right="259" w:firstLine="216"/>
        <w:spacing w:after="0" w:line="263" w:lineRule="auto"/>
        <w:rPr>
          <w:sz w:val="20"/>
          <w:szCs w:val="20"/>
          <w:color w:val="auto"/>
        </w:rPr>
      </w:pPr>
      <w:r>
        <w:rPr>
          <w:rFonts w:ascii="Arial" w:cs="Arial" w:eastAsia="Arial" w:hAnsi="Arial"/>
          <w:sz w:val="18"/>
          <w:szCs w:val="18"/>
          <w:color w:val="auto"/>
        </w:rPr>
        <w:t>We do not currently have specific plans for the net proceeds resulting from this oﬀering and expect to use the net proceeds for general corporate purposes. As such, our management will have broad discretion in the application of the net proceeds. Our shareholders may not agree with the manner in which our management chooses to allocate the net proceeds from this oﬀering. The failure by our management to apply these funds eﬀectively could have a material adverse eﬀect on our business, financial condition and results of operations. Pending our use of the net proceeds from this oﬀering, we may invest the proceeds in a manner that does not produce income. See “Use of Proceeds” on page 27 for additional information.</w:t>
      </w:r>
    </w:p>
    <w:p>
      <w:pPr>
        <w:spacing w:after="0" w:line="390"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38" w:lineRule="exact"/>
        <w:rPr>
          <w:sz w:val="20"/>
          <w:szCs w:val="20"/>
          <w:color w:val="auto"/>
        </w:rPr>
      </w:pPr>
    </w:p>
    <w:p>
      <w:pPr>
        <w:ind w:left="120" w:right="159" w:firstLine="216"/>
        <w:spacing w:after="0" w:line="258" w:lineRule="auto"/>
        <w:rPr>
          <w:sz w:val="20"/>
          <w:szCs w:val="20"/>
          <w:color w:val="auto"/>
        </w:rPr>
      </w:pPr>
      <w:r>
        <w:rPr>
          <w:rFonts w:ascii="Arial" w:cs="Arial" w:eastAsia="Arial" w:hAnsi="Arial"/>
          <w:sz w:val="18"/>
          <w:szCs w:val="18"/>
          <w:color w:val="auto"/>
        </w:rPr>
        <w:t>As a public company whose ordinary shares are listed in the United States, we will incur accounting, legal and other expenses that we did not incur as a private company, including costs associated with our reporting requirements under the U.S. Securities Exchange Act of 1934, as amended, or the Exchange Act. We also anticipate that we will incur costs associated with corporate governance requirements, including requirements under Section 404 and other provisions of the Sarbanes-Oxley Act of 2002, or the Sarbanes-Oxley Act, as well as rules implemented by the Commission and the NASDAQ Stock Market, and provisions of Israeli corporate and securities laws applicable to public companies. We expect that these rules and regulations will increase our legal and financial compliance costs, introduce new costs such as investor relations and stock exchange listing fees, and will make some activities more time-consuming and costly. We are currently evaluating and monitoring developments with respect to these rules, and we cannot predict or estimate the amount of additional costs we may incur or the timing of such costs.</w:t>
      </w:r>
    </w:p>
    <w:p>
      <w:pPr>
        <w:spacing w:after="0" w:line="200" w:lineRule="exact"/>
        <w:rPr>
          <w:sz w:val="20"/>
          <w:szCs w:val="20"/>
          <w:color w:val="auto"/>
        </w:rPr>
      </w:pPr>
    </w:p>
    <w:p>
      <w:pPr>
        <w:spacing w:after="0" w:line="378" w:lineRule="exact"/>
        <w:rPr>
          <w:sz w:val="20"/>
          <w:szCs w:val="20"/>
          <w:color w:val="auto"/>
        </w:rPr>
      </w:pPr>
    </w:p>
    <w:p>
      <w:pPr>
        <w:ind w:left="120" w:right="319" w:firstLine="216"/>
        <w:spacing w:after="0" w:line="261" w:lineRule="auto"/>
        <w:rPr>
          <w:sz w:val="20"/>
          <w:szCs w:val="20"/>
          <w:color w:val="auto"/>
        </w:rPr>
      </w:pPr>
      <w:r>
        <w:rPr>
          <w:rFonts w:ascii="Arial" w:cs="Arial" w:eastAsia="Arial" w:hAnsi="Arial"/>
          <w:sz w:val="18"/>
          <w:szCs w:val="18"/>
          <w:color w:val="auto"/>
        </w:rPr>
        <w:t>Changes in the laws and regulations aﬀecting public companies will result in increased costs to us as we respond to their requirements. These laws and regulations could make it more diﬃcult or more costly for us to obtain certain types of insurance, including director and oﬃcer liability insurance, and we may be forced to accept reduced policy limits and coverage or incur substantially higher costs to obtain the same or similar coverage. The impact of these requirements could also make it more diﬃcult for us to attract and retain qualified persons to serve on our board of directors, our board committees or as executive oﬃcers. We cannot predict or estimate the amount or timing of additional costs we may incur in order to comply with such requirements.</w:t>
      </w:r>
    </w:p>
    <w:p>
      <w:pPr>
        <w:sectPr>
          <w:pgSz w:w="11900" w:h="16838" w:orient="portrait"/>
          <w:cols w:equalWidth="0" w:num="1">
            <w:col w:w="9019"/>
          </w:cols>
          <w:pgMar w:left="1440" w:top="282"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type w:val="continuous"/>
        </w:sectPr>
      </w:pPr>
    </w:p>
    <w:bookmarkStart w:id="25" w:name="page26"/>
    <w:bookmarkEnd w:id="25"/>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38" w:lineRule="exact"/>
        <w:rPr>
          <w:sz w:val="20"/>
          <w:szCs w:val="20"/>
          <w:color w:val="auto"/>
        </w:rPr>
      </w:pPr>
    </w:p>
    <w:p>
      <w:pPr>
        <w:ind w:left="120" w:right="239" w:firstLine="216"/>
        <w:spacing w:after="0" w:line="263"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390" w:lineRule="exact"/>
        <w:rPr>
          <w:sz w:val="20"/>
          <w:szCs w:val="20"/>
          <w:color w:val="auto"/>
        </w:rPr>
      </w:pPr>
    </w:p>
    <w:p>
      <w:pPr>
        <w:ind w:left="120" w:right="379"/>
        <w:spacing w:after="0" w:line="312" w:lineRule="auto"/>
        <w:rPr>
          <w:sz w:val="20"/>
          <w:szCs w:val="20"/>
          <w:color w:val="auto"/>
        </w:rPr>
      </w:pPr>
      <w:r>
        <w:rPr>
          <w:rFonts w:ascii="Arial" w:cs="Arial" w:eastAsia="Arial" w:hAnsi="Arial"/>
          <w:sz w:val="16"/>
          <w:szCs w:val="16"/>
          <w:b w:val="1"/>
          <w:bCs w:val="1"/>
          <w:i w:val="1"/>
          <w:iCs w:val="1"/>
          <w:color w:val="auto"/>
        </w:rPr>
        <w:t>As a foreign private issuer, we are permitted, and intend, to follow certain home country corporate governance practices instead of otherwise applicable SEC and NASDAQ Stock Market, or NASDAQ, requirements, which may result in less protection than is accorded to investors under rules applicable to domestic U.S. issuers.</w:t>
      </w:r>
    </w:p>
    <w:p>
      <w:pPr>
        <w:spacing w:after="0" w:line="114" w:lineRule="exact"/>
        <w:rPr>
          <w:sz w:val="20"/>
          <w:szCs w:val="20"/>
          <w:color w:val="auto"/>
        </w:rPr>
      </w:pPr>
    </w:p>
    <w:p>
      <w:pPr>
        <w:ind w:left="120" w:right="159" w:firstLine="216"/>
        <w:spacing w:after="0" w:line="260" w:lineRule="auto"/>
        <w:rPr>
          <w:sz w:val="20"/>
          <w:szCs w:val="20"/>
          <w:color w:val="auto"/>
        </w:rPr>
      </w:pPr>
      <w:r>
        <w:rPr>
          <w:rFonts w:ascii="Arial" w:cs="Arial" w:eastAsia="Arial" w:hAnsi="Arial"/>
          <w:sz w:val="18"/>
          <w:szCs w:val="18"/>
          <w:color w:val="auto"/>
        </w:rPr>
        <w:t>As a foreign private issuer, in reliance on Rule 5615(a)(3) of the NASDAQ Listing Rules, which permits a foreign private issuer to follow the corporate governance practices of its home country, we will be permitted to follow certain Israeli corporate governance practices instead of those otherwise required under the corporate governance standards for U.S. domestic issuers. Following the listing of our ordinary shares on the NASDAQ Global Market, we intend to follow Israeli home country practices with regard to the quorum requirement for shareholder meetings. As permitted under the Israeli Companies Law, our articles of association to be eﬀective upon the closing of this oﬀering will provide that the quorum for any meeting of shareholders shall be the presence of at least two shareholders present in person, by proxy or by a voting instrument,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who hold at least 25% of the voting power of our shares instead of 33 </w:t>
      </w:r>
      <w:r>
        <w:rPr>
          <w:rFonts w:ascii="Arial" w:cs="Arial" w:eastAsia="Arial" w:hAnsi="Arial"/>
          <w:sz w:val="30"/>
          <w:szCs w:val="30"/>
          <w:color w:val="auto"/>
          <w:vertAlign w:val="superscript"/>
        </w:rPr>
        <w:t>1</w:t>
      </w:r>
      <w:r>
        <w:rPr>
          <w:rFonts w:ascii="Arial" w:cs="Arial" w:eastAsia="Arial" w:hAnsi="Arial"/>
          <w:sz w:val="14"/>
          <w:szCs w:val="14"/>
          <w:color w:val="auto"/>
        </w:rPr>
        <w:t>/</w:t>
      </w:r>
      <w:r>
        <w:rPr>
          <w:rFonts w:ascii="Arial" w:cs="Arial" w:eastAsia="Arial" w:hAnsi="Arial"/>
          <w:sz w:val="15"/>
          <w:szCs w:val="15"/>
          <w:color w:val="auto"/>
        </w:rPr>
        <w:t>3</w:t>
      </w:r>
      <w:r>
        <w:rPr>
          <w:rFonts w:ascii="Arial" w:cs="Arial" w:eastAsia="Arial" w:hAnsi="Arial"/>
          <w:sz w:val="18"/>
          <w:szCs w:val="18"/>
          <w:color w:val="auto"/>
        </w:rPr>
        <w:t>% of our issued share</w:t>
      </w:r>
    </w:p>
    <w:p>
      <w:pPr>
        <w:ind w:left="120" w:right="199"/>
        <w:spacing w:after="0" w:line="254" w:lineRule="auto"/>
        <w:rPr>
          <w:sz w:val="20"/>
          <w:szCs w:val="20"/>
          <w:color w:val="auto"/>
        </w:rPr>
      </w:pPr>
      <w:r>
        <w:rPr>
          <w:rFonts w:ascii="Arial" w:cs="Arial" w:eastAsia="Arial" w:hAnsi="Arial"/>
          <w:sz w:val="18"/>
          <w:szCs w:val="18"/>
          <w:color w:val="auto"/>
        </w:rPr>
        <w:t>capital. We may in the future elect to follow Israeli home country practices with regard to other matters such as the requirement to have a nominating committee or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oﬀering involving issuances of a 20% or more interest in the company and certain acquisitions of the stock or assets of another company). Accordingly, our shareholders may not be aﬀorded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“Management—Corporate Governance Practices.”</w:t>
      </w:r>
    </w:p>
    <w:p>
      <w:pPr>
        <w:spacing w:after="0" w:line="390"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As a foreign private issuer, we will not be subject to the provisions of Regulation FD or U.S. proxy rules and will be exempt from filing certain Exchange Act reports.</w:t>
      </w:r>
    </w:p>
    <w:p>
      <w:pPr>
        <w:spacing w:after="0" w:line="138" w:lineRule="exact"/>
        <w:rPr>
          <w:sz w:val="20"/>
          <w:szCs w:val="20"/>
          <w:color w:val="auto"/>
        </w:rPr>
      </w:pPr>
    </w:p>
    <w:p>
      <w:pPr>
        <w:ind w:left="120" w:right="139" w:firstLine="216"/>
        <w:spacing w:after="0" w:line="256" w:lineRule="auto"/>
        <w:rPr>
          <w:sz w:val="20"/>
          <w:szCs w:val="20"/>
          <w:color w:val="auto"/>
        </w:rPr>
      </w:pPr>
      <w:r>
        <w:rPr>
          <w:rFonts w:ascii="Arial" w:cs="Arial" w:eastAsia="Arial" w:hAnsi="Arial"/>
          <w:sz w:val="18"/>
          <w:szCs w:val="18"/>
          <w:color w:val="auto"/>
        </w:rPr>
        <w:t>As a foreign private issuer, we will be exempt from a number of requirements under U.S. securities laws that apply to public companies that are not foreign private issuers. In particular, we will be exempt from the rules and regulations under the Exchange Act related to the furnishing and content of proxy statements, and our oﬃcers,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frequency and scope of information and protections to which you are entitled as an investor.</w:t>
      </w:r>
    </w:p>
    <w:p>
      <w:pPr>
        <w:spacing w:after="0" w:line="366"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We are not required to comply with the proxy rules applicable to U.S. domestic companies, including the requirement applicable to emerging growth companies to disclose the compensation of our Chief Executive Oﬃcer and other two most highly compensated executive oﬃcers on an individual, rather than on an aggregate, basis. Nevertheless, a recent amendment to the regulations promulgated under the Israeli Companies Law will require us, after we become a public company, to disclose in the notice of convening an annual general meeting the annual compensation of our five most highly compensated oﬃce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w:t>
      </w:r>
    </w:p>
    <w:p>
      <w:pPr>
        <w:sectPr>
          <w:pgSz w:w="11900" w:h="16838" w:orient="portrait"/>
          <w:cols w:equalWidth="0" w:num="1">
            <w:col w:w="9019"/>
          </w:cols>
          <w:pgMar w:left="1440" w:top="125" w:right="1440" w:bottom="772"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772" w:gutter="0" w:footer="0" w:header="0"/>
          <w:type w:val="continuous"/>
        </w:sectPr>
      </w:pPr>
    </w:p>
    <w:bookmarkStart w:id="26" w:name="page27"/>
    <w:bookmarkEnd w:id="26"/>
    <w:p>
      <w:pPr>
        <w:ind w:left="120" w:right="459"/>
        <w:spacing w:after="0" w:line="339" w:lineRule="auto"/>
        <w:rPr>
          <w:sz w:val="20"/>
          <w:szCs w:val="20"/>
          <w:color w:val="auto"/>
        </w:rPr>
      </w:pPr>
      <w:r>
        <w:rPr>
          <w:rFonts w:ascii="Arial" w:cs="Arial" w:eastAsia="Arial" w:hAnsi="Arial"/>
          <w:sz w:val="18"/>
          <w:szCs w:val="18"/>
          <w:color w:val="auto"/>
        </w:rPr>
        <w:t>shareholders, which will be furnished under cover of a Form 6-K, and we may elect to provide such information at an earlier date.</w:t>
      </w:r>
    </w:p>
    <w:p>
      <w:pPr>
        <w:spacing w:after="0" w:line="65" w:lineRule="exact"/>
        <w:rPr>
          <w:sz w:val="20"/>
          <w:szCs w:val="20"/>
          <w:color w:val="auto"/>
        </w:rPr>
      </w:pPr>
    </w:p>
    <w:p>
      <w:pPr>
        <w:ind w:left="120" w:right="219" w:firstLine="216"/>
        <w:spacing w:after="0" w:line="257" w:lineRule="auto"/>
        <w:rPr>
          <w:sz w:val="20"/>
          <w:szCs w:val="20"/>
          <w:color w:val="auto"/>
        </w:rPr>
      </w:pPr>
      <w:r>
        <w:rPr>
          <w:rFonts w:ascii="Arial" w:cs="Arial" w:eastAsia="Arial" w:hAnsi="Arial"/>
          <w:sz w:val="18"/>
          <w:szCs w:val="18"/>
          <w:color w:val="auto"/>
        </w:rPr>
        <w:t>We would lose our foreign private issuer status if a majority of our directors or executive oﬃcers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oﬃcers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57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38"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eﬀective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for up to five fiscal years after the date of this oﬀering. We will remain an emerging growth company until the earliest of: (a) the last day of our fiscal year during which we have total annual gross revenues of at least $1.0 billion; (b) the last day of our fiscal year following the fifth anniversary of the completion of this oﬀering;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149" w:lineRule="exact"/>
        <w:rPr>
          <w:sz w:val="20"/>
          <w:szCs w:val="20"/>
          <w:color w:val="auto"/>
        </w:rPr>
      </w:pPr>
    </w:p>
    <w:p>
      <w:pPr>
        <w:ind w:left="120" w:right="139" w:firstLine="216"/>
        <w:spacing w:after="0" w:line="254" w:lineRule="auto"/>
        <w:rPr>
          <w:sz w:val="20"/>
          <w:szCs w:val="20"/>
          <w:color w:val="auto"/>
        </w:rPr>
      </w:pPr>
      <w:r>
        <w:rPr>
          <w:rFonts w:ascii="Arial" w:cs="Arial" w:eastAsia="Arial" w:hAnsi="Arial"/>
          <w:sz w:val="18"/>
          <w:szCs w:val="18"/>
          <w:color w:val="auto"/>
        </w:rPr>
        <w:t>Pursuant to Section 404 of the Sarbanes-Oxley Act and the related rules adopted by the SEC and the Public Company Accounting Oversight Board, starting with the second annual report that we file with the SEC after the consummation of this oﬀering, our management will be required to report on the eﬀectiveness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eﬀectiveness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Oﬃcer and other members of our senior management. In addition, we cannot predict the outcome of this determination and whether we will need to implement remedial actions in order to implement eﬀective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eﬀect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eﬀectively or eﬃciently or are required to do so earlier than anticipated, it could adversely aﬀect our operations, financial reporting and/or results of operations and could result in an adverse opinion on internal controls from our independent auditors.</w:t>
      </w:r>
    </w:p>
    <w:p>
      <w:pPr>
        <w:sectPr>
          <w:pgSz w:w="11900" w:h="16838" w:orient="portrait"/>
          <w:cols w:equalWidth="0" w:num="1">
            <w:col w:w="9019"/>
          </w:cols>
          <w:pgMar w:left="1440" w:top="91" w:right="1440" w:bottom="8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880" w:gutter="0" w:footer="0" w:header="0"/>
          <w:type w:val="continuous"/>
        </w:sectPr>
      </w:pPr>
    </w:p>
    <w:bookmarkStart w:id="27" w:name="page28"/>
    <w:bookmarkEnd w:id="27"/>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138"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Our status as a PFIC may also depend on how quickly we use the cash proceeds from this oﬀering in our business. Based on certain estimates of our gross income and gross assets, our receipt of the net proceeds of this oﬀering, and the nature of our business, we do not expect that we will be classified as a PFIC for the taxable year ending December 31, 2015. There can be no assurance that we will not be considered a PFIC for any taxable year. If we are characterized as a PFIC, our U.S. shareholders may suﬀer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Shareholders—United States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ind w:left="120" w:right="419"/>
        <w:spacing w:after="0" w:line="308" w:lineRule="auto"/>
        <w:rPr>
          <w:sz w:val="20"/>
          <w:szCs w:val="20"/>
          <w:color w:val="auto"/>
        </w:rPr>
      </w:pPr>
      <w:r>
        <w:rPr>
          <w:rFonts w:ascii="Arial" w:cs="Arial" w:eastAsia="Arial" w:hAnsi="Arial"/>
          <w:sz w:val="17"/>
          <w:szCs w:val="17"/>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14" w:lineRule="exact"/>
        <w:rPr>
          <w:sz w:val="20"/>
          <w:szCs w:val="20"/>
          <w:color w:val="auto"/>
        </w:rPr>
      </w:pPr>
    </w:p>
    <w:p>
      <w:pPr>
        <w:ind w:left="120" w:right="199" w:firstLine="216"/>
        <w:spacing w:after="0" w:line="256" w:lineRule="auto"/>
        <w:rPr>
          <w:sz w:val="20"/>
          <w:szCs w:val="20"/>
          <w:color w:val="auto"/>
        </w:rPr>
      </w:pPr>
      <w:r>
        <w:rPr>
          <w:rFonts w:ascii="Arial" w:cs="Arial" w:eastAsia="Arial" w:hAnsi="Arial"/>
          <w:sz w:val="18"/>
          <w:szCs w:val="18"/>
          <w:color w:val="auto"/>
        </w:rPr>
        <w:t>Our headquarters, research and development and manufacturing facility, and the manufacturing facilities of our third-party manufacturers, are located in Israel. In addition, the majority of our key employees, oﬃcers and directors are residents of Israel. Accordingly, political, economic and military conditions in Israel may directly aﬀect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suﬃcient to compensate us fully for damages incurred. Any losses or damages incurred by us could have a material adverse eﬀect on our business. Any armed conflict involving Israel could adversely aﬀect our operations and results of operations.</w:t>
      </w:r>
    </w:p>
    <w:p>
      <w:pPr>
        <w:spacing w:after="0" w:line="200" w:lineRule="exact"/>
        <w:rPr>
          <w:sz w:val="20"/>
          <w:szCs w:val="20"/>
          <w:color w:val="auto"/>
        </w:rPr>
      </w:pPr>
    </w:p>
    <w:p>
      <w:pPr>
        <w:spacing w:after="0" w:line="382" w:lineRule="exact"/>
        <w:rPr>
          <w:sz w:val="20"/>
          <w:szCs w:val="20"/>
          <w:color w:val="auto"/>
        </w:rPr>
      </w:pPr>
    </w:p>
    <w:p>
      <w:pPr>
        <w:ind w:left="120" w:right="159" w:firstLine="216"/>
        <w:spacing w:after="0" w:line="261"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2014, we had 166 employees based in Israel, certain of whom may be called upon to perform up to 54 days in each three year period (and in the case of non-oﬃcer commanders or oﬃcers,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aﬀect our business and results of operations.</w:t>
      </w:r>
    </w:p>
    <w:p>
      <w:pPr>
        <w:spacing w:after="0" w:line="360" w:lineRule="exact"/>
        <w:rPr>
          <w:sz w:val="20"/>
          <w:szCs w:val="20"/>
          <w:color w:val="auto"/>
        </w:rPr>
      </w:pPr>
    </w:p>
    <w:p>
      <w:pPr>
        <w:ind w:left="120" w:right="259" w:firstLine="216"/>
        <w:spacing w:after="0" w:line="268"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eﬀorts by activists to cause companies and consumers to boycott Israeli goods based on Israeli government policies. Such actions, particularly if they become more widespread, may adversely impact our ability to sell our solutions.</w:t>
      </w:r>
    </w:p>
    <w:p>
      <w:pPr>
        <w:spacing w:after="0" w:line="126" w:lineRule="exact"/>
        <w:rPr>
          <w:sz w:val="20"/>
          <w:szCs w:val="20"/>
          <w:color w:val="auto"/>
        </w:rPr>
      </w:pPr>
    </w:p>
    <w:p>
      <w:pPr>
        <w:ind w:left="120" w:right="199" w:firstLine="216"/>
        <w:spacing w:after="0" w:line="265" w:lineRule="auto"/>
        <w:rPr>
          <w:sz w:val="20"/>
          <w:szCs w:val="20"/>
          <w:color w:val="auto"/>
        </w:rPr>
      </w:pPr>
      <w:r>
        <w:rPr>
          <w:rFonts w:ascii="Arial" w:cs="Arial" w:eastAsia="Arial" w:hAnsi="Arial"/>
          <w:sz w:val="18"/>
          <w:szCs w:val="18"/>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ectPr>
          <w:pgSz w:w="11900" w:h="16838" w:orient="portrait"/>
          <w:cols w:equalWidth="0" w:num="1">
            <w:col w:w="9019"/>
          </w:cols>
          <w:pgMar w:left="1440" w:top="125" w:right="1440" w:bottom="664"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664" w:gutter="0" w:footer="0" w:header="0"/>
          <w:type w:val="continuous"/>
        </w:sectPr>
      </w:pPr>
    </w:p>
    <w:bookmarkStart w:id="28" w:name="page29"/>
    <w:bookmarkEnd w:id="28"/>
    <w:p>
      <w:pPr>
        <w:ind w:left="120" w:right="199"/>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38" w:lineRule="exact"/>
        <w:rPr>
          <w:sz w:val="20"/>
          <w:szCs w:val="20"/>
          <w:color w:val="auto"/>
        </w:rPr>
      </w:pPr>
    </w:p>
    <w:p>
      <w:pPr>
        <w:ind w:left="120" w:right="159" w:firstLine="216"/>
        <w:spacing w:after="0" w:line="256" w:lineRule="auto"/>
        <w:rPr>
          <w:sz w:val="20"/>
          <w:szCs w:val="20"/>
          <w:color w:val="auto"/>
        </w:rPr>
      </w:pPr>
      <w:r>
        <w:rPr>
          <w:rFonts w:ascii="Arial" w:cs="Arial" w:eastAsia="Arial" w:hAnsi="Arial"/>
          <w:sz w:val="18"/>
          <w:szCs w:val="18"/>
          <w:color w:val="auto"/>
        </w:rPr>
        <w:t>We and our wholly-owned Israeli subsidiary, Kornit Digital Technologies Ltd., or Kornit Technologies, are entitled to various tax benefits under the Israeli Law for the Encouragement of Capital Investments, 1959, or the Investment Law. As a result of this status, the eﬀective tax rate for our taxable income generated in Israel is expected to be between zero and 5% starting in 2014. However, if we do not meet the requirements for maintaining these benefits, they may be reduced or cancelled and the relevant operations would be subject to Israeli corporate tax at the standard rate, which is currently set at 26.5% for 2014 and onwards. In addition to being subject to the standard corporate tax rate, we could be required to refund any tax benefits that we have already received,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aﬀect our results of operations. Additionally, if we increase our activities outside of Israel, for example, via acquisitions, our increased activities may not be eligible for inclusion in Israeli tax benefit programs. See “Taxation and Israeli Government Programs Applicable to our Company—Law for the Encouragement of Capital Investments, 5719-1959.”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0" w:right="559"/>
        <w:spacing w:after="0" w:line="264" w:lineRule="auto"/>
        <w:rPr>
          <w:sz w:val="20"/>
          <w:szCs w:val="20"/>
          <w:color w:val="auto"/>
        </w:rPr>
      </w:pPr>
      <w:r>
        <w:rPr>
          <w:rFonts w:ascii="Arial" w:cs="Arial" w:eastAsia="Arial" w:hAnsi="Arial"/>
          <w:sz w:val="18"/>
          <w:szCs w:val="18"/>
          <w:b w:val="1"/>
          <w:bCs w:val="1"/>
          <w:i w:val="1"/>
          <w:iCs w:val="1"/>
          <w:color w:val="auto"/>
        </w:rPr>
        <w:t>We received Israeli government grants for certain research and development activities. The terms of those grants require us to satisfy specified conditions and to pay penalties in addition to repayment of the grants upon certain events.</w:t>
      </w:r>
    </w:p>
    <w:p>
      <w:pPr>
        <w:spacing w:after="0" w:line="149" w:lineRule="exact"/>
        <w:rPr>
          <w:sz w:val="20"/>
          <w:szCs w:val="20"/>
          <w:color w:val="auto"/>
        </w:rPr>
      </w:pPr>
    </w:p>
    <w:p>
      <w:pPr>
        <w:ind w:left="120" w:right="179" w:firstLine="216"/>
        <w:spacing w:after="0" w:line="256" w:lineRule="auto"/>
        <w:rPr>
          <w:sz w:val="20"/>
          <w:szCs w:val="20"/>
          <w:color w:val="auto"/>
        </w:rPr>
      </w:pPr>
      <w:r>
        <w:rPr>
          <w:rFonts w:ascii="Arial" w:cs="Arial" w:eastAsia="Arial" w:hAnsi="Arial"/>
          <w:sz w:val="18"/>
          <w:szCs w:val="18"/>
          <w:color w:val="auto"/>
        </w:rPr>
        <w:t>Our research and development eﬀorts were financed in part through grants from the Israeli Oﬃce of the Chief Scientist, or OCS, totaling approximately $0.2 million. As of December 31, 2014, the balance of the principal and interest in respect of our commitments for future payments to the OCS totals approximately $ 0.2 million. Even following full repayment of any OCS grants, we must nevertheless continue to comply with the requirements of the Israeli Law for the Encouragement of Industrial Research and Development, 5744-1984, and related regulations, or collectively, the R&amp;D Law.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We may not receive those approvals. Furthermore, the OCS may impose certain conditions on any arrangement under which it permits us to transfer technology out of Israel.</w:t>
      </w:r>
    </w:p>
    <w:p>
      <w:pPr>
        <w:spacing w:after="0" w:line="366" w:lineRule="exact"/>
        <w:rPr>
          <w:sz w:val="20"/>
          <w:szCs w:val="20"/>
          <w:color w:val="auto"/>
        </w:rPr>
      </w:pPr>
    </w:p>
    <w:p>
      <w:pPr>
        <w:ind w:left="120" w:right="239" w:firstLine="216"/>
        <w:spacing w:after="0" w:line="260"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penalties and other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20" w:right="159"/>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even when the terms of such a transaction are favorable to us and our shareholders.</w:t>
      </w:r>
    </w:p>
    <w:p>
      <w:pPr>
        <w:spacing w:after="0" w:line="149"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Israeli corporate law regulates mergers, requires tender oﬀers for acquisitions of shares above specified thresholds, requires special approvals for transactions involving directors, oﬃcers or significant shareholders and regulates other matters that may be relevant to such types of transactions. For example, a tender oﬀer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oﬀer also requires approval of a majority in number of the oﬀerees that do not have a personal interest in the tender oﬀer, unless at least 98% of the company’s outstanding shares are tendered. Furthermore, the shareholders, including those who indicated their acceptance of the tender oﬀer (unless the acquirer stipulated in its tender oﬀer that a shareholder that accepts the oﬀer may not seek appraisal rights), may, at any time within six months following the completion of the tender oﬀer, petition an Israeli court to alter the consideration for the acquisition. See “Description of Share Capital—Acquisitions under Israeli Law” for additional information.</w:t>
      </w:r>
    </w:p>
    <w:p>
      <w:pPr>
        <w:sectPr>
          <w:pgSz w:w="11900" w:h="16838" w:orient="portrait"/>
          <w:cols w:equalWidth="0" w:num="1">
            <w:col w:w="9019"/>
          </w:cols>
          <w:pgMar w:left="1440" w:top="125" w:right="1440" w:bottom="664"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664" w:gutter="0" w:footer="0" w:header="0"/>
          <w:type w:val="continuous"/>
        </w:sectPr>
      </w:pPr>
    </w:p>
    <w:bookmarkStart w:id="29" w:name="page30"/>
    <w:bookmarkEnd w:id="29"/>
    <w:p>
      <w:pPr>
        <w:ind w:left="120" w:right="339" w:firstLine="216"/>
        <w:spacing w:after="0" w:line="295"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102"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394" w:lineRule="exact"/>
        <w:rPr>
          <w:sz w:val="20"/>
          <w:szCs w:val="20"/>
          <w:color w:val="auto"/>
        </w:rPr>
      </w:pPr>
    </w:p>
    <w:p>
      <w:pPr>
        <w:ind w:left="120" w:right="419"/>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149"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We are incorporated in Israel. The majority of our directors and executive oﬃcers,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diﬃcult for you to eﬀect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diﬃculty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oﬃcers or directors named in this prospectus.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right="679"/>
        <w:spacing w:after="0" w:line="308"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14" w:lineRule="exact"/>
        <w:rPr>
          <w:sz w:val="20"/>
          <w:szCs w:val="20"/>
          <w:color w:val="auto"/>
        </w:rPr>
      </w:pPr>
    </w:p>
    <w:p>
      <w:pPr>
        <w:ind w:left="120" w:right="239" w:firstLine="216"/>
        <w:spacing w:after="0" w:line="256"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 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6" w:lineRule="exact"/>
        <w:rPr>
          <w:sz w:val="20"/>
          <w:szCs w:val="20"/>
          <w:color w:val="auto"/>
        </w:rPr>
      </w:pPr>
    </w:p>
    <w:p>
      <w:pPr>
        <w:ind w:left="120" w:right="219" w:firstLine="216"/>
        <w:spacing w:after="0" w:line="26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371" w:lineRule="exact"/>
        <w:rPr>
          <w:sz w:val="20"/>
          <w:szCs w:val="20"/>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future gross margins and operating expenses;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growth and overall profitability;</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impacts of variability on our future revenues;</w:t>
      </w:r>
    </w:p>
    <w:p>
      <w:pPr>
        <w:spacing w:after="0" w:line="192" w:lineRule="exact"/>
        <w:rPr>
          <w:rFonts w:ascii="Arial" w:cs="Arial" w:eastAsia="Arial" w:hAnsi="Arial"/>
          <w:sz w:val="22"/>
          <w:szCs w:val="22"/>
          <w:color w:val="auto"/>
        </w:rPr>
      </w:pPr>
    </w:p>
    <w:p>
      <w:pPr>
        <w:ind w:left="560" w:right="139" w:hanging="219"/>
        <w:spacing w:after="0" w:line="285" w:lineRule="auto"/>
        <w:tabs>
          <w:tab w:leader="none" w:pos="626"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expand into new product markets;</w:t>
      </w:r>
    </w:p>
    <w:p>
      <w:pPr>
        <w:spacing w:after="0" w:line="192" w:lineRule="exact"/>
        <w:rPr>
          <w:rFonts w:ascii="Arial" w:cs="Arial" w:eastAsia="Arial" w:hAnsi="Arial"/>
          <w:sz w:val="22"/>
          <w:szCs w:val="22"/>
          <w:color w:val="auto"/>
        </w:rPr>
      </w:pPr>
    </w:p>
    <w:p>
      <w:pPr>
        <w:ind w:left="560" w:right="159" w:hanging="219"/>
        <w:spacing w:after="0" w:line="285" w:lineRule="auto"/>
        <w:tabs>
          <w:tab w:leader="none" w:pos="626"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success of our new products and systems;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impact of government laws and regulations;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tax classifications and reserves;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anticipated cash requirements for the next 12 months;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expand our international operations;</w:t>
      </w:r>
    </w:p>
    <w:p>
      <w:pPr>
        <w:spacing w:after="0" w:line="192" w:lineRule="exact"/>
        <w:rPr>
          <w:rFonts w:ascii="Arial" w:cs="Arial" w:eastAsia="Arial" w:hAnsi="Arial"/>
          <w:sz w:val="22"/>
          <w:szCs w:val="22"/>
          <w:color w:val="auto"/>
        </w:rPr>
      </w:pPr>
    </w:p>
    <w:p>
      <w:pPr>
        <w:ind w:left="560" w:right="359" w:hanging="219"/>
        <w:spacing w:after="0" w:line="285" w:lineRule="auto"/>
        <w:tabs>
          <w:tab w:leader="none" w:pos="626"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file and procure additional patents relating to our intellectual property rights and the adequate protection of these rights;</w:t>
      </w:r>
    </w:p>
    <w:p>
      <w:pPr>
        <w:spacing w:after="0" w:line="115" w:lineRule="exact"/>
        <w:rPr>
          <w:rFonts w:ascii="Arial" w:cs="Arial" w:eastAsia="Arial" w:hAnsi="Arial"/>
          <w:sz w:val="22"/>
          <w:szCs w:val="22"/>
          <w:color w:val="auto"/>
        </w:rPr>
      </w:pPr>
    </w:p>
    <w:p>
      <w:pPr>
        <w:ind w:left="560" w:right="179" w:hanging="219"/>
        <w:spacing w:after="0" w:line="285" w:lineRule="auto"/>
        <w:tabs>
          <w:tab w:leader="none" w:pos="626"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pursue strategic acquisitions or invest in complementary companies, products or technologies;</w:t>
      </w:r>
    </w:p>
    <w:p>
      <w:pPr>
        <w:spacing w:after="0" w:line="115" w:lineRule="exact"/>
        <w:rPr>
          <w:rFonts w:ascii="Arial" w:cs="Arial" w:eastAsia="Arial" w:hAnsi="Arial"/>
          <w:sz w:val="22"/>
          <w:szCs w:val="22"/>
          <w:color w:val="auto"/>
        </w:rPr>
      </w:pPr>
    </w:p>
    <w:p>
      <w:pPr>
        <w:ind w:left="560" w:right="199" w:hanging="219"/>
        <w:spacing w:after="0" w:line="285" w:lineRule="auto"/>
        <w:tabs>
          <w:tab w:leader="none" w:pos="626"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use of proceeds from this oﬀering.</w:t>
      </w:r>
    </w:p>
    <w:p>
      <w:pPr>
        <w:spacing w:after="0" w:line="179" w:lineRule="exact"/>
        <w:rPr>
          <w:sz w:val="20"/>
          <w:szCs w:val="20"/>
          <w:color w:val="auto"/>
        </w:rPr>
      </w:pPr>
    </w:p>
    <w:p>
      <w:pPr>
        <w:ind w:left="120" w:right="279" w:firstLine="216"/>
        <w:spacing w:after="0" w:line="263"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diﬀer materially from the results, levels of activity, performance or achievements expressed or implied by the forward-looking statements. In particular, you should consider the risks provided under “Risk Factors” in this prospectus.</w:t>
      </w:r>
    </w:p>
    <w:p>
      <w:pPr>
        <w:spacing w:after="0" w:line="357" w:lineRule="exact"/>
        <w:rPr>
          <w:sz w:val="20"/>
          <w:szCs w:val="20"/>
          <w:color w:val="auto"/>
        </w:rPr>
      </w:pPr>
    </w:p>
    <w:p>
      <w:pPr>
        <w:ind w:left="120" w:right="179" w:firstLine="216"/>
        <w:spacing w:after="0" w:line="26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ectPr>
          <w:pgSz w:w="11900" w:h="16838" w:orient="portrait"/>
          <w:cols w:equalWidth="0" w:num="1">
            <w:col w:w="9019"/>
          </w:cols>
          <w:pgMar w:left="1440" w:top="91"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6" w:lineRule="exact"/>
        <w:rPr>
          <w:sz w:val="20"/>
          <w:szCs w:val="20"/>
          <w:color w:val="auto"/>
        </w:rPr>
      </w:pPr>
    </w:p>
    <w:p>
      <w:pPr>
        <w:ind w:left="120" w:right="199" w:firstLine="216"/>
        <w:spacing w:after="0" w:line="274" w:lineRule="auto"/>
        <w:rPr>
          <w:sz w:val="20"/>
          <w:szCs w:val="20"/>
          <w:color w:val="auto"/>
        </w:rPr>
      </w:pPr>
      <w:r>
        <w:rPr>
          <w:rFonts w:ascii="Arial" w:cs="Arial" w:eastAsia="Arial" w:hAnsi="Arial"/>
          <w:sz w:val="18"/>
          <w:szCs w:val="18"/>
          <w:color w:val="auto"/>
        </w:rPr>
        <w:t>We estimate that we will receive net proceeds from this oﬀering, after deducting underwriting discounts and commissions and estimated oﬀering expenses payable by us, of approximately</w:t>
      </w:r>
    </w:p>
    <w:p>
      <w:pPr>
        <w:spacing w:after="0" w:line="2" w:lineRule="exact"/>
        <w:rPr>
          <w:sz w:val="20"/>
          <w:szCs w:val="20"/>
          <w:color w:val="auto"/>
        </w:rPr>
      </w:pPr>
    </w:p>
    <w:p>
      <w:pPr>
        <w:ind w:left="120" w:right="199" w:firstLine="5"/>
        <w:spacing w:after="0" w:line="250" w:lineRule="auto"/>
        <w:tabs>
          <w:tab w:leader="none" w:pos="8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million, or approximately $ million if the underwriters exercise in full their option to purchase additional ordinary shares, based on an assumed initial public oﬀering price of $</w:t>
      </w:r>
    </w:p>
    <w:p>
      <w:pPr>
        <w:ind w:left="120"/>
        <w:spacing w:after="0"/>
        <w:rPr>
          <w:rFonts w:ascii="Arial" w:cs="Arial" w:eastAsia="Arial" w:hAnsi="Arial"/>
          <w:sz w:val="18"/>
          <w:szCs w:val="18"/>
          <w:color w:val="auto"/>
        </w:rPr>
      </w:pPr>
      <w:r>
        <w:rPr>
          <w:rFonts w:ascii="Arial" w:cs="Arial" w:eastAsia="Arial" w:hAnsi="Arial"/>
          <w:sz w:val="18"/>
          <w:szCs w:val="18"/>
          <w:color w:val="auto"/>
        </w:rPr>
        <w:t>per ordinary share.</w:t>
      </w:r>
    </w:p>
    <w:p>
      <w:pPr>
        <w:spacing w:after="0" w:line="183" w:lineRule="exact"/>
        <w:rPr>
          <w:sz w:val="20"/>
          <w:szCs w:val="20"/>
          <w:color w:val="auto"/>
        </w:rPr>
      </w:pPr>
    </w:p>
    <w:p>
      <w:pPr>
        <w:ind w:left="120" w:right="219" w:firstLine="216"/>
        <w:spacing w:after="0" w:line="266" w:lineRule="auto"/>
        <w:rPr>
          <w:sz w:val="20"/>
          <w:szCs w:val="20"/>
          <w:color w:val="auto"/>
        </w:rPr>
      </w:pPr>
      <w:r>
        <w:rPr>
          <w:rFonts w:ascii="Arial" w:cs="Arial" w:eastAsia="Arial" w:hAnsi="Arial"/>
          <w:sz w:val="18"/>
          <w:szCs w:val="18"/>
          <w:color w:val="auto"/>
        </w:rPr>
        <w:t>A $ 1.00 increase (decrease) in the assumed initial public oﬀering price of $ per ordinary share would increase (decrease) the net proceeds that we receive from this oﬀering by approximately $ million, assuming that the number of ordinary shares oﬀered, as set forth</w:t>
      </w:r>
    </w:p>
    <w:p>
      <w:pPr>
        <w:spacing w:after="0" w:line="2" w:lineRule="exact"/>
        <w:rPr>
          <w:sz w:val="20"/>
          <w:szCs w:val="20"/>
          <w:color w:val="auto"/>
        </w:rPr>
      </w:pPr>
    </w:p>
    <w:p>
      <w:pPr>
        <w:ind w:left="120" w:right="579"/>
        <w:spacing w:after="0" w:line="250" w:lineRule="auto"/>
        <w:rPr>
          <w:sz w:val="20"/>
          <w:szCs w:val="20"/>
          <w:color w:val="auto"/>
        </w:rPr>
      </w:pPr>
      <w:r>
        <w:rPr>
          <w:rFonts w:ascii="Arial" w:cs="Arial" w:eastAsia="Arial" w:hAnsi="Arial"/>
          <w:sz w:val="18"/>
          <w:szCs w:val="18"/>
          <w:color w:val="auto"/>
        </w:rPr>
        <w:t>on the cover page of this prospectus, remains the same and after deducting underwriting discounts and commissions and estimated oﬀering expenses payable by us. Similarly, each increase (decrease) of 100,000 shares in the number of ordinary shares oﬀered by us would</w:t>
      </w:r>
    </w:p>
    <w:p>
      <w:pPr>
        <w:spacing w:after="0" w:line="1" w:lineRule="exact"/>
        <w:rPr>
          <w:sz w:val="20"/>
          <w:szCs w:val="20"/>
          <w:color w:val="auto"/>
        </w:rPr>
      </w:pPr>
    </w:p>
    <w:p>
      <w:pPr>
        <w:jc w:val="both"/>
        <w:ind w:left="120" w:right="379"/>
        <w:spacing w:after="0" w:line="270" w:lineRule="auto"/>
        <w:rPr>
          <w:sz w:val="20"/>
          <w:szCs w:val="20"/>
          <w:color w:val="auto"/>
        </w:rPr>
      </w:pPr>
      <w:r>
        <w:rPr>
          <w:rFonts w:ascii="Arial" w:cs="Arial" w:eastAsia="Arial" w:hAnsi="Arial"/>
          <w:sz w:val="18"/>
          <w:szCs w:val="18"/>
          <w:color w:val="auto"/>
        </w:rPr>
        <w:t>increase (decrease) the net proceeds to us from this oﬀering by approximately $ million, assuming that the assumed initial public oﬀering price remains the same, and after deducting the underwriting discounts and commissions and estimated oﬀering expenses payable by us.</w:t>
      </w:r>
    </w:p>
    <w:p>
      <w:pPr>
        <w:spacing w:after="0" w:line="124"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The principal purposes of this oﬀering are to obtain additional capital, to increase our financial flexibility and visibility in the marketplace, to create a public market for our ordinary shares and to facilitate our future access to the public equity markets. While we do not currently have specific plans for the net proceeds resulting from this oﬀering, we expect to use the net proceeds for general corporate purposes. We do not currently have any acquisitions or investments planned however we may use a portion of the net proceeds to acquire or invest in complementary companies, products or technologies in the future. We will have broad discretion over the uses of the net proceeds in this oﬀering, and, as of the date of this prospectus, we have not allocated the net proceeds to particular uses. We believe this will aﬀord us significant flexibility to pursue our business strategies. Until we use the net proceeds we receive from this oﬀering, we intend to invest those proceeds in short-term, investment-grade interest-bearing securities.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26" w:lineRule="exact"/>
        <w:rPr>
          <w:sz w:val="20"/>
          <w:szCs w:val="20"/>
          <w:color w:val="auto"/>
        </w:rPr>
      </w:pPr>
    </w:p>
    <w:p>
      <w:pPr>
        <w:ind w:left="120" w:right="159" w:firstLine="216"/>
        <w:spacing w:after="0" w:line="265" w:lineRule="auto"/>
        <w:rPr>
          <w:sz w:val="20"/>
          <w:szCs w:val="20"/>
          <w:color w:val="auto"/>
        </w:rPr>
      </w:pPr>
      <w:r>
        <w:rPr>
          <w:rFonts w:ascii="Arial" w:cs="Arial" w:eastAsia="Arial" w:hAnsi="Arial"/>
          <w:sz w:val="18"/>
          <w:szCs w:val="18"/>
          <w:color w:val="auto"/>
        </w:rPr>
        <w:t>We have never declared or paid cash dividends to our shareholders and we do not intend to pay cash dividends in the foreseeable future. We currently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357" w:lineRule="exact"/>
        <w:rPr>
          <w:sz w:val="20"/>
          <w:szCs w:val="20"/>
          <w:color w:val="auto"/>
        </w:rPr>
      </w:pPr>
    </w:p>
    <w:p>
      <w:pPr>
        <w:ind w:left="120" w:right="139" w:firstLine="216"/>
        <w:spacing w:after="0" w:line="274" w:lineRule="auto"/>
        <w:rPr>
          <w:sz w:val="20"/>
          <w:szCs w:val="20"/>
          <w:color w:val="auto"/>
        </w:rPr>
      </w:pPr>
      <w:r>
        <w:rPr>
          <w:rFonts w:ascii="Arial" w:cs="Arial" w:eastAsia="Arial" w:hAnsi="Arial"/>
          <w:sz w:val="18"/>
          <w:szCs w:val="18"/>
          <w:color w:val="auto"/>
        </w:rPr>
        <w:t>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capitalization as of December 31, 2014:</w:t>
      </w:r>
    </w:p>
    <w:p>
      <w:pPr>
        <w:spacing w:after="0" w:line="239" w:lineRule="exact"/>
        <w:rPr>
          <w:sz w:val="20"/>
          <w:szCs w:val="20"/>
          <w:color w:val="auto"/>
        </w:rPr>
      </w:pPr>
    </w:p>
    <w:p>
      <w:pPr>
        <w:ind w:left="620" w:hanging="279"/>
        <w:spacing w:after="0"/>
        <w:tabs>
          <w:tab w:leader="none" w:pos="620" w:val="left"/>
        </w:tabs>
        <w:numPr>
          <w:ilvl w:val="0"/>
          <w:numId w:val="23"/>
        </w:numPr>
        <w:rPr>
          <w:rFonts w:ascii="Arial" w:cs="Arial" w:eastAsia="Arial" w:hAnsi="Arial"/>
          <w:sz w:val="22"/>
          <w:szCs w:val="22"/>
          <w:color w:val="auto"/>
        </w:rPr>
      </w:pPr>
      <w:r>
        <w:rPr>
          <w:rFonts w:ascii="Arial" w:cs="Arial" w:eastAsia="Arial" w:hAnsi="Arial"/>
          <w:sz w:val="18"/>
          <w:szCs w:val="18"/>
          <w:color w:val="auto"/>
        </w:rPr>
        <w:t>on an actual basis;</w:t>
      </w:r>
    </w:p>
    <w:p>
      <w:pPr>
        <w:spacing w:after="0" w:line="192" w:lineRule="exact"/>
        <w:rPr>
          <w:rFonts w:ascii="Arial" w:cs="Arial" w:eastAsia="Arial" w:hAnsi="Arial"/>
          <w:sz w:val="22"/>
          <w:szCs w:val="22"/>
          <w:color w:val="auto"/>
        </w:rPr>
      </w:pPr>
    </w:p>
    <w:p>
      <w:pPr>
        <w:ind w:left="560" w:right="119" w:hanging="219"/>
        <w:spacing w:after="0" w:line="259" w:lineRule="auto"/>
        <w:tabs>
          <w:tab w:leader="none" w:pos="626" w:val="left"/>
        </w:tabs>
        <w:numPr>
          <w:ilvl w:val="0"/>
          <w:numId w:val="23"/>
        </w:numPr>
        <w:rPr>
          <w:rFonts w:ascii="Arial" w:cs="Arial" w:eastAsia="Arial" w:hAnsi="Arial"/>
          <w:sz w:val="22"/>
          <w:szCs w:val="22"/>
          <w:color w:val="auto"/>
        </w:rPr>
      </w:pPr>
      <w:r>
        <w:rPr>
          <w:rFonts w:ascii="Arial" w:cs="Arial" w:eastAsia="Arial" w:hAnsi="Arial"/>
          <w:sz w:val="18"/>
          <w:szCs w:val="18"/>
          <w:color w:val="auto"/>
        </w:rPr>
        <w:t>on a pro forma basis, to give eﬀect to the conversion of all outstanding Series A-1 preferred shares into an equal number of ordinary shares immediately prior to the closing of this oﬀering; and</w:t>
      </w:r>
    </w:p>
    <w:p>
      <w:pPr>
        <w:spacing w:after="0" w:line="381" w:lineRule="exact"/>
        <w:rPr>
          <w:rFonts w:ascii="Arial" w:cs="Arial" w:eastAsia="Arial" w:hAnsi="Arial"/>
          <w:sz w:val="22"/>
          <w:szCs w:val="22"/>
          <w:color w:val="auto"/>
        </w:rPr>
      </w:pPr>
    </w:p>
    <w:p>
      <w:pPr>
        <w:ind w:left="620" w:hanging="279"/>
        <w:spacing w:after="0"/>
        <w:tabs>
          <w:tab w:leader="none" w:pos="620" w:val="left"/>
        </w:tabs>
        <w:numPr>
          <w:ilvl w:val="0"/>
          <w:numId w:val="23"/>
        </w:numPr>
        <w:rPr>
          <w:rFonts w:ascii="Arial" w:cs="Arial" w:eastAsia="Arial" w:hAnsi="Arial"/>
          <w:sz w:val="22"/>
          <w:szCs w:val="22"/>
          <w:color w:val="auto"/>
        </w:rPr>
      </w:pPr>
      <w:r>
        <w:rPr>
          <w:rFonts w:ascii="Arial" w:cs="Arial" w:eastAsia="Arial" w:hAnsi="Arial"/>
          <w:sz w:val="18"/>
          <w:szCs w:val="18"/>
          <w:color w:val="auto"/>
        </w:rPr>
        <w:t>on a pro forma as adjusted basis, to give further eﬀect to the issuance of ordinary shares in</w:t>
      </w:r>
    </w:p>
    <w:p>
      <w:pPr>
        <w:spacing w:after="0" w:line="5" w:lineRule="exact"/>
        <w:rPr>
          <w:sz w:val="20"/>
          <w:szCs w:val="20"/>
          <w:color w:val="auto"/>
        </w:rPr>
      </w:pPr>
    </w:p>
    <w:p>
      <w:pPr>
        <w:ind w:left="560" w:right="199"/>
        <w:spacing w:after="0" w:line="290" w:lineRule="auto"/>
        <w:rPr>
          <w:sz w:val="20"/>
          <w:szCs w:val="20"/>
          <w:color w:val="auto"/>
        </w:rPr>
      </w:pPr>
      <w:r>
        <w:rPr>
          <w:rFonts w:ascii="Arial" w:cs="Arial" w:eastAsia="Arial" w:hAnsi="Arial"/>
          <w:sz w:val="18"/>
          <w:szCs w:val="18"/>
          <w:color w:val="auto"/>
        </w:rPr>
        <w:t>this oﬀering, at an assumed initial public oﬀering price of $ per share, after deducting underwriting discounts and commissions and estimated oﬀering expenses payable by us.</w:t>
      </w:r>
    </w:p>
    <w:p>
      <w:pPr>
        <w:spacing w:after="0" w:line="106" w:lineRule="exact"/>
        <w:rPr>
          <w:sz w:val="20"/>
          <w:szCs w:val="20"/>
          <w:color w:val="auto"/>
        </w:rPr>
      </w:pPr>
    </w:p>
    <w:p>
      <w:pPr>
        <w:ind w:left="120" w:right="459" w:firstLine="216"/>
        <w:spacing w:after="0" w:line="294"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consolidated financial statements and related notes included elsewhere in this prospectus.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80" w:type="dxa"/>
            <w:vAlign w:val="bottom"/>
            <w:gridSpan w:val="9"/>
          </w:tcPr>
          <w:p>
            <w:pPr>
              <w:jc w:val="center"/>
              <w:ind w:right="360"/>
              <w:spacing w:after="0"/>
              <w:rPr>
                <w:sz w:val="20"/>
                <w:szCs w:val="20"/>
                <w:color w:val="auto"/>
              </w:rPr>
            </w:pPr>
            <w:r>
              <w:rPr>
                <w:rFonts w:ascii="Arial" w:cs="Arial" w:eastAsia="Arial" w:hAnsi="Arial"/>
                <w:sz w:val="16"/>
                <w:szCs w:val="16"/>
                <w:b w:val="1"/>
                <w:bCs w:val="1"/>
                <w:color w:val="auto"/>
              </w:rPr>
              <w:t>As of December 31, 2014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Actual</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6"/>
                <w:szCs w:val="16"/>
                <w:b w:val="1"/>
                <w:bCs w:val="1"/>
                <w:color w:val="auto"/>
              </w:rPr>
              <w:t>Pro forma</w:t>
            </w:r>
          </w:p>
        </w:tc>
        <w:tc>
          <w:tcPr>
            <w:tcW w:w="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b w:val="1"/>
                <w:bCs w:val="1"/>
                <w:color w:val="auto"/>
              </w:rPr>
              <w:t>Pro forma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gridSpan w:val="8"/>
          </w:tcPr>
          <w:p>
            <w:pPr>
              <w:jc w:val="center"/>
              <w:ind w:right="94"/>
              <w:spacing w:after="0" w:line="143" w:lineRule="exact"/>
              <w:rPr>
                <w:sz w:val="20"/>
                <w:szCs w:val="20"/>
                <w:color w:val="auto"/>
              </w:rPr>
            </w:pPr>
            <w:r>
              <w:rPr>
                <w:rFonts w:ascii="Arial" w:cs="Arial" w:eastAsia="Arial" w:hAnsi="Arial"/>
                <w:sz w:val="16"/>
                <w:szCs w:val="16"/>
                <w:b w:val="1"/>
                <w:bCs w:val="1"/>
                <w:color w:val="auto"/>
              </w:rPr>
              <w:t>(in thousands, except share and per share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data)</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62" w:lineRule="exact"/>
              <w:rPr>
                <w:sz w:val="20"/>
                <w:szCs w:val="20"/>
                <w:color w:val="auto"/>
              </w:rPr>
            </w:pPr>
            <w:r>
              <w:rPr>
                <w:rFonts w:ascii="Arial" w:cs="Arial" w:eastAsia="Arial" w:hAnsi="Arial"/>
                <w:sz w:val="18"/>
                <w:szCs w:val="18"/>
                <w:color w:val="auto"/>
              </w:rPr>
              <w:t>Ordinary shares, NIS 0.01 par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4,020,280 shares authorized (actual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Pr>
          <w:p>
            <w:pPr>
              <w:ind w:left="200"/>
              <w:spacing w:after="0" w:line="202" w:lineRule="exact"/>
              <w:rPr>
                <w:sz w:val="20"/>
                <w:szCs w:val="20"/>
                <w:color w:val="auto"/>
              </w:rPr>
            </w:pPr>
            <w:r>
              <w:rPr>
                <w:rFonts w:ascii="Arial" w:cs="Arial" w:eastAsia="Arial" w:hAnsi="Arial"/>
                <w:sz w:val="18"/>
                <w:szCs w:val="18"/>
                <w:color w:val="auto"/>
              </w:rPr>
              <w:t>pro forma) and</w:t>
            </w:r>
          </w:p>
        </w:tc>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shares authorized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 forma as adjusted); 1,369,310 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issued and outstanding (actual),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3,296,450 shares issued and outstanding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Pr>
          <w:p>
            <w:pPr>
              <w:ind w:left="200"/>
              <w:spacing w:after="0" w:line="202" w:lineRule="exact"/>
              <w:rPr>
                <w:sz w:val="20"/>
                <w:szCs w:val="20"/>
                <w:color w:val="auto"/>
              </w:rPr>
            </w:pPr>
            <w:r>
              <w:rPr>
                <w:rFonts w:ascii="Arial" w:cs="Arial" w:eastAsia="Arial" w:hAnsi="Arial"/>
                <w:sz w:val="18"/>
                <w:szCs w:val="18"/>
                <w:color w:val="auto"/>
              </w:rPr>
              <w:t>(pro forma), and</w:t>
            </w:r>
          </w:p>
        </w:tc>
        <w:tc>
          <w:tcPr>
            <w:tcW w:w="2000" w:type="dxa"/>
            <w:vAlign w:val="bottom"/>
          </w:tcPr>
          <w:p>
            <w:pPr>
              <w:ind w:left="260"/>
              <w:spacing w:after="0" w:line="202" w:lineRule="exact"/>
              <w:rPr>
                <w:sz w:val="20"/>
                <w:szCs w:val="20"/>
                <w:color w:val="auto"/>
              </w:rPr>
            </w:pPr>
            <w:r>
              <w:rPr>
                <w:rFonts w:ascii="Arial" w:cs="Arial" w:eastAsia="Arial" w:hAnsi="Arial"/>
                <w:sz w:val="18"/>
                <w:szCs w:val="18"/>
                <w:color w:val="auto"/>
              </w:rPr>
              <w:t>shares issued and</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7"/>
                <w:szCs w:val="17"/>
                <w:color w:val="auto"/>
              </w:rPr>
            </w:pPr>
          </w:p>
        </w:tc>
        <w:tc>
          <w:tcPr>
            <w:tcW w:w="1240" w:type="dxa"/>
            <w:vAlign w:val="bottom"/>
            <w:gridSpan w:val="2"/>
            <w:vMerge w:val="restart"/>
          </w:tcPr>
          <w:p>
            <w:pPr>
              <w:jc w:val="right"/>
              <w:ind w:right="1034"/>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outstanding (pro forma as adjusted)</w:t>
            </w:r>
          </w:p>
        </w:tc>
        <w:tc>
          <w:tcPr>
            <w:tcW w:w="28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Series A-1 preferred shares, NIS 0.01 par</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value: 1,927,220 shares authorized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(actual) and no shares authorized (pro</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forma and pro forma as adjusted);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1,927,140 shares issued and outstanding</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(actual) and no shares issued and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outstanding (pro forma and pro forma as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w:t>
            </w:r>
          </w:p>
        </w:tc>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6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(146</w:t>
            </w: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2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ind w:left="420"/>
              <w:spacing w:after="0" w:line="196" w:lineRule="exact"/>
              <w:rPr>
                <w:sz w:val="20"/>
                <w:szCs w:val="20"/>
                <w:color w:val="auto"/>
              </w:rPr>
            </w:pPr>
            <w:r>
              <w:rPr>
                <w:rFonts w:ascii="Arial" w:cs="Arial" w:eastAsia="Arial" w:hAnsi="Arial"/>
                <w:sz w:val="18"/>
                <w:szCs w:val="18"/>
                <w:color w:val="auto"/>
              </w:rPr>
              <w:t>Total capitalization</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19,351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19,351</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34"/>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20" w:right="199" w:firstLine="216"/>
        <w:spacing w:after="0" w:line="294" w:lineRule="auto"/>
        <w:rPr>
          <w:sz w:val="20"/>
          <w:szCs w:val="20"/>
          <w:color w:val="auto"/>
        </w:rPr>
      </w:pPr>
      <w:r>
        <w:rPr>
          <w:rFonts w:ascii="Arial" w:cs="Arial" w:eastAsia="Arial" w:hAnsi="Arial"/>
          <w:sz w:val="18"/>
          <w:szCs w:val="18"/>
          <w:color w:val="auto"/>
        </w:rPr>
        <w:t>The preceding table excludes 402,949 ordinary shares reserved for issuance under our equity incentive plans as of December 31, 2014 in respect of which we had outstanding options to purchase 393,452 ordinary shares at a weighted average exercise price of $9.65 per share.</w:t>
      </w:r>
    </w:p>
    <w:p>
      <w:pPr>
        <w:spacing w:after="0" w:line="104" w:lineRule="exact"/>
        <w:rPr>
          <w:sz w:val="20"/>
          <w:szCs w:val="20"/>
          <w:color w:val="auto"/>
        </w:rPr>
      </w:pPr>
    </w:p>
    <w:p>
      <w:pPr>
        <w:ind w:left="120" w:right="219" w:firstLine="216"/>
        <w:spacing w:after="0" w:line="274" w:lineRule="auto"/>
        <w:rPr>
          <w:sz w:val="20"/>
          <w:szCs w:val="20"/>
          <w:color w:val="auto"/>
        </w:rPr>
      </w:pPr>
      <w:r>
        <w:rPr>
          <w:rFonts w:ascii="Arial" w:cs="Arial" w:eastAsia="Arial" w:hAnsi="Arial"/>
          <w:sz w:val="18"/>
          <w:szCs w:val="18"/>
          <w:color w:val="auto"/>
        </w:rPr>
        <w:t>A $1.00 increase (decrease) in the assumed initial public oﬀering price of $ would increase (decrease) the pro forma as adjusted amount of each of additional paid-in capital, total</w:t>
      </w:r>
    </w:p>
    <w:p>
      <w:pPr>
        <w:spacing w:after="0" w:line="2" w:lineRule="exact"/>
        <w:rPr>
          <w:sz w:val="20"/>
          <w:szCs w:val="20"/>
          <w:color w:val="auto"/>
        </w:rPr>
      </w:pPr>
    </w:p>
    <w:p>
      <w:pPr>
        <w:ind w:left="120" w:right="199"/>
        <w:spacing w:after="0" w:line="266" w:lineRule="auto"/>
        <w:rPr>
          <w:sz w:val="20"/>
          <w:szCs w:val="20"/>
          <w:color w:val="auto"/>
        </w:rPr>
      </w:pPr>
      <w:r>
        <w:rPr>
          <w:rFonts w:ascii="Arial" w:cs="Arial" w:eastAsia="Arial" w:hAnsi="Arial"/>
          <w:sz w:val="18"/>
          <w:szCs w:val="18"/>
          <w:color w:val="auto"/>
        </w:rPr>
        <w:t>shareholders’ equity and total capitalization by approximately $ million, assuming that the number of ordinary shares oﬀered, as set forth on the cover page of this prospectus, remains the same and after deducting underwriting discounts and commissions and estimated oﬀering expenses payable by us.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DILUTION</w:t>
      </w:r>
    </w:p>
    <w:p>
      <w:pPr>
        <w:spacing w:after="0" w:line="227" w:lineRule="exact"/>
        <w:rPr>
          <w:sz w:val="20"/>
          <w:szCs w:val="20"/>
          <w:color w:val="auto"/>
        </w:rPr>
      </w:pPr>
    </w:p>
    <w:p>
      <w:pPr>
        <w:ind w:left="120" w:right="359" w:firstLine="216"/>
        <w:spacing w:after="0" w:line="266" w:lineRule="auto"/>
        <w:rPr>
          <w:sz w:val="20"/>
          <w:szCs w:val="20"/>
          <w:color w:val="auto"/>
        </w:rPr>
      </w:pPr>
      <w:r>
        <w:rPr>
          <w:rFonts w:ascii="Arial" w:cs="Arial" w:eastAsia="Arial" w:hAnsi="Arial"/>
          <w:sz w:val="18"/>
          <w:szCs w:val="18"/>
          <w:color w:val="auto"/>
        </w:rPr>
        <w:t>If you invest in our ordinary shares in this oﬀering, your ownership interest will be immediately diluted to the extent of the diﬀerence between the initial public oﬀering price per share and the net tangible book value per ordinary share after this oﬀering. On a pro forma</w:t>
      </w:r>
    </w:p>
    <w:p>
      <w:pPr>
        <w:spacing w:after="0" w:line="2" w:lineRule="exact"/>
        <w:rPr>
          <w:sz w:val="20"/>
          <w:szCs w:val="20"/>
          <w:color w:val="auto"/>
        </w:rPr>
      </w:pPr>
    </w:p>
    <w:p>
      <w:pPr>
        <w:ind w:left="120"/>
        <w:spacing w:after="0"/>
        <w:tabs>
          <w:tab w:leader="none" w:pos="7860" w:val="left"/>
        </w:tabs>
        <w:rPr>
          <w:sz w:val="20"/>
          <w:szCs w:val="20"/>
          <w:color w:val="auto"/>
        </w:rPr>
      </w:pPr>
      <w:r>
        <w:rPr>
          <w:rFonts w:ascii="Arial" w:cs="Arial" w:eastAsia="Arial" w:hAnsi="Arial"/>
          <w:sz w:val="18"/>
          <w:szCs w:val="18"/>
          <w:color w:val="auto"/>
        </w:rPr>
        <w:t>basis, our consolidated net tangible book value as of December 31, 2014 was $</w:t>
      </w:r>
      <w:r>
        <w:rPr>
          <w:sz w:val="20"/>
          <w:szCs w:val="20"/>
          <w:color w:val="auto"/>
        </w:rPr>
        <w:tab/>
      </w:r>
      <w:r>
        <w:rPr>
          <w:rFonts w:ascii="Arial" w:cs="Arial" w:eastAsia="Arial" w:hAnsi="Arial"/>
          <w:sz w:val="18"/>
          <w:szCs w:val="18"/>
          <w:color w:val="auto"/>
        </w:rPr>
        <w:t>million, or</w:t>
      </w:r>
    </w:p>
    <w:p>
      <w:pPr>
        <w:spacing w:after="0" w:line="9" w:lineRule="exact"/>
        <w:rPr>
          <w:sz w:val="20"/>
          <w:szCs w:val="20"/>
          <w:color w:val="auto"/>
        </w:rPr>
      </w:pPr>
    </w:p>
    <w:p>
      <w:pPr>
        <w:ind w:left="120" w:right="439" w:firstLine="5"/>
        <w:spacing w:after="0" w:line="290"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 ordinary share. Pro forma consolidated net tangible book value per ordinary share was calculated by:</w:t>
      </w:r>
    </w:p>
    <w:p>
      <w:pPr>
        <w:spacing w:after="0" w:line="79" w:lineRule="exact"/>
        <w:rPr>
          <w:rFonts w:ascii="Arial" w:cs="Arial" w:eastAsia="Arial" w:hAnsi="Arial"/>
          <w:sz w:val="18"/>
          <w:szCs w:val="18"/>
          <w:color w:val="auto"/>
        </w:rPr>
      </w:pPr>
    </w:p>
    <w:p>
      <w:pPr>
        <w:ind w:left="620" w:hanging="279"/>
        <w:spacing w:after="0"/>
        <w:tabs>
          <w:tab w:leader="none" w:pos="620" w:val="left"/>
        </w:tabs>
        <w:numPr>
          <w:ilvl w:val="1"/>
          <w:numId w:val="24"/>
        </w:numPr>
        <w:rPr>
          <w:rFonts w:ascii="Arial" w:cs="Arial" w:eastAsia="Arial" w:hAnsi="Arial"/>
          <w:sz w:val="22"/>
          <w:szCs w:val="22"/>
          <w:color w:val="auto"/>
        </w:rPr>
      </w:pPr>
      <w:r>
        <w:rPr>
          <w:rFonts w:ascii="Arial" w:cs="Arial" w:eastAsia="Arial" w:hAnsi="Arial"/>
          <w:sz w:val="18"/>
          <w:szCs w:val="18"/>
          <w:color w:val="auto"/>
        </w:rPr>
        <w:t>subtracting our consolidated liabilities from our consolidated tangible assets; and</w:t>
      </w:r>
    </w:p>
    <w:p>
      <w:pPr>
        <w:spacing w:after="0" w:line="165" w:lineRule="exact"/>
        <w:rPr>
          <w:rFonts w:ascii="Arial" w:cs="Arial" w:eastAsia="Arial" w:hAnsi="Arial"/>
          <w:sz w:val="22"/>
          <w:szCs w:val="22"/>
          <w:color w:val="auto"/>
        </w:rPr>
      </w:pPr>
    </w:p>
    <w:p>
      <w:pPr>
        <w:ind w:left="620" w:hanging="279"/>
        <w:spacing w:after="0"/>
        <w:tabs>
          <w:tab w:leader="none" w:pos="620" w:val="left"/>
        </w:tabs>
        <w:numPr>
          <w:ilvl w:val="1"/>
          <w:numId w:val="24"/>
        </w:numPr>
        <w:rPr>
          <w:rFonts w:ascii="Arial" w:cs="Arial" w:eastAsia="Arial" w:hAnsi="Arial"/>
          <w:sz w:val="22"/>
          <w:szCs w:val="22"/>
          <w:color w:val="auto"/>
        </w:rPr>
      </w:pPr>
      <w:r>
        <w:rPr>
          <w:rFonts w:ascii="Arial" w:cs="Arial" w:eastAsia="Arial" w:hAnsi="Arial"/>
          <w:sz w:val="18"/>
          <w:szCs w:val="18"/>
          <w:color w:val="auto"/>
        </w:rPr>
        <w:t>dividing the diﬀerence by the number of ordinary shares outstanding on a pro forma basis.</w:t>
      </w:r>
    </w:p>
    <w:p>
      <w:pPr>
        <w:spacing w:after="0" w:line="139" w:lineRule="exact"/>
        <w:rPr>
          <w:sz w:val="20"/>
          <w:szCs w:val="20"/>
          <w:color w:val="auto"/>
        </w:rPr>
      </w:pPr>
    </w:p>
    <w:p>
      <w:pPr>
        <w:ind w:left="120" w:right="479" w:firstLine="216"/>
        <w:spacing w:after="0" w:line="274" w:lineRule="auto"/>
        <w:rPr>
          <w:sz w:val="20"/>
          <w:szCs w:val="20"/>
          <w:color w:val="auto"/>
        </w:rPr>
      </w:pPr>
      <w:r>
        <w:rPr>
          <w:rFonts w:ascii="Arial" w:cs="Arial" w:eastAsia="Arial" w:hAnsi="Arial"/>
          <w:sz w:val="18"/>
          <w:szCs w:val="18"/>
          <w:color w:val="auto"/>
        </w:rPr>
        <w:t>After giving eﬀect to adjustments relating to this oﬀering, our pro forma as adjusted consolidated net tangible book value on December 31, 2014 would have been approximately</w:t>
      </w:r>
    </w:p>
    <w:p>
      <w:pPr>
        <w:spacing w:after="0" w:line="2" w:lineRule="exact"/>
        <w:rPr>
          <w:sz w:val="20"/>
          <w:szCs w:val="20"/>
          <w:color w:val="auto"/>
        </w:rPr>
      </w:pPr>
    </w:p>
    <w:p>
      <w:pPr>
        <w:ind w:left="120" w:right="119" w:firstLine="5"/>
        <w:spacing w:after="0" w:line="250"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million, equivalent to $ per ordinary share. The adjustments made to determine our pro forma as adjusted consolidated net tangible book value are: (1) the conversion of all outstanding Series A-1 preferred shares into an equal number of ordinary shares; (2) an increase in consolidated tangible assets to reflect the net proceeds of this oﬀering received by us as</w:t>
      </w:r>
    </w:p>
    <w:tbl>
      <w:tblPr>
        <w:tblLayout w:type="fixed"/>
        <w:tblInd w:w="120" w:type="dxa"/>
        <w:tblCellMar>
          <w:top w:w="0" w:type="dxa"/>
          <w:left w:w="0" w:type="dxa"/>
          <w:bottom w:w="0" w:type="dxa"/>
          <w:right w:w="0" w:type="dxa"/>
        </w:tblCellMar>
      </w:tblPr>
      <w:tr>
        <w:trPr>
          <w:trHeight w:val="176"/>
        </w:trPr>
        <w:tc>
          <w:tcPr>
            <w:tcW w:w="5260" w:type="dxa"/>
            <w:vAlign w:val="bottom"/>
            <w:gridSpan w:val="2"/>
          </w:tcPr>
          <w:p>
            <w:pPr>
              <w:spacing w:after="0" w:line="176" w:lineRule="exact"/>
              <w:rPr>
                <w:sz w:val="20"/>
                <w:szCs w:val="20"/>
                <w:color w:val="auto"/>
              </w:rPr>
            </w:pPr>
            <w:r>
              <w:rPr>
                <w:rFonts w:ascii="Arial" w:cs="Arial" w:eastAsia="Arial" w:hAnsi="Arial"/>
                <w:sz w:val="18"/>
                <w:szCs w:val="18"/>
                <w:color w:val="auto"/>
              </w:rPr>
              <w:t>described under “Use of Proceeds”; (3) the addition of the</w:t>
            </w:r>
          </w:p>
        </w:tc>
        <w:tc>
          <w:tcPr>
            <w:tcW w:w="3260" w:type="dxa"/>
            <w:vAlign w:val="bottom"/>
          </w:tcPr>
          <w:p>
            <w:pPr>
              <w:ind w:left="560"/>
              <w:spacing w:after="0" w:line="176" w:lineRule="exact"/>
              <w:rPr>
                <w:sz w:val="20"/>
                <w:szCs w:val="20"/>
                <w:color w:val="auto"/>
              </w:rPr>
            </w:pPr>
            <w:r>
              <w:rPr>
                <w:rFonts w:ascii="Arial" w:cs="Arial" w:eastAsia="Arial" w:hAnsi="Arial"/>
                <w:sz w:val="18"/>
                <w:szCs w:val="18"/>
                <w:color w:val="auto"/>
              </w:rPr>
              <w:t>ordinary shares oﬀered in this</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prospectus to the number of ordinary shares outstanding;</w:t>
            </w:r>
          </w:p>
        </w:tc>
        <w:tc>
          <w:tcPr>
            <w:tcW w:w="3260" w:type="dxa"/>
            <w:vAlign w:val="bottom"/>
          </w:tcPr>
          <w:p>
            <w:pPr>
              <w:ind w:left="20"/>
              <w:spacing w:after="0"/>
              <w:rPr>
                <w:sz w:val="20"/>
                <w:szCs w:val="20"/>
                <w:color w:val="auto"/>
              </w:rPr>
            </w:pPr>
            <w:r>
              <w:rPr>
                <w:rFonts w:ascii="Arial" w:cs="Arial" w:eastAsia="Arial" w:hAnsi="Arial"/>
                <w:sz w:val="18"/>
                <w:szCs w:val="18"/>
                <w:color w:val="auto"/>
              </w:rPr>
              <w:t>(4) a one-time payment in the</w:t>
            </w:r>
          </w:p>
        </w:tc>
      </w:tr>
      <w:tr>
        <w:trPr>
          <w:trHeight w:val="258"/>
        </w:trPr>
        <w:tc>
          <w:tcPr>
            <w:tcW w:w="2480" w:type="dxa"/>
            <w:vAlign w:val="bottom"/>
          </w:tcPr>
          <w:p>
            <w:pPr>
              <w:spacing w:after="0"/>
              <w:rPr>
                <w:sz w:val="20"/>
                <w:szCs w:val="20"/>
                <w:color w:val="auto"/>
              </w:rPr>
            </w:pPr>
            <w:r>
              <w:rPr>
                <w:rFonts w:ascii="Arial" w:cs="Arial" w:eastAsia="Arial" w:hAnsi="Arial"/>
                <w:sz w:val="18"/>
                <w:szCs w:val="18"/>
                <w:color w:val="auto"/>
              </w:rPr>
              <w:t>aggregate amount of $</w:t>
            </w:r>
          </w:p>
        </w:tc>
        <w:tc>
          <w:tcPr>
            <w:tcW w:w="2780" w:type="dxa"/>
            <w:vAlign w:val="bottom"/>
          </w:tcPr>
          <w:p>
            <w:pPr>
              <w:ind w:left="400"/>
              <w:spacing w:after="0"/>
              <w:rPr>
                <w:sz w:val="20"/>
                <w:szCs w:val="20"/>
                <w:color w:val="auto"/>
              </w:rPr>
            </w:pPr>
            <w:r>
              <w:rPr>
                <w:rFonts w:ascii="Arial" w:cs="Arial" w:eastAsia="Arial" w:hAnsi="Arial"/>
                <w:sz w:val="18"/>
                <w:szCs w:val="18"/>
                <w:color w:val="auto"/>
              </w:rPr>
              <w:t>to our sponsor, Fortissimo</w:t>
            </w:r>
          </w:p>
        </w:tc>
        <w:tc>
          <w:tcPr>
            <w:tcW w:w="3260" w:type="dxa"/>
            <w:vAlign w:val="bottom"/>
          </w:tcPr>
          <w:p>
            <w:pPr>
              <w:ind w:left="20"/>
              <w:spacing w:after="0"/>
              <w:rPr>
                <w:sz w:val="20"/>
                <w:szCs w:val="20"/>
                <w:color w:val="auto"/>
              </w:rPr>
            </w:pPr>
            <w:r>
              <w:rPr>
                <w:rFonts w:ascii="Arial" w:cs="Arial" w:eastAsia="Arial" w:hAnsi="Arial"/>
                <w:sz w:val="18"/>
                <w:szCs w:val="18"/>
                <w:color w:val="auto"/>
              </w:rPr>
              <w:t>Capital, in connection with the</w:t>
            </w:r>
          </w:p>
        </w:tc>
      </w:tr>
    </w:tbl>
    <w:p>
      <w:pPr>
        <w:ind w:left="120"/>
        <w:spacing w:after="0"/>
        <w:rPr>
          <w:sz w:val="20"/>
          <w:szCs w:val="20"/>
          <w:color w:val="auto"/>
        </w:rPr>
      </w:pPr>
      <w:r>
        <w:rPr>
          <w:rFonts w:ascii="Arial" w:cs="Arial" w:eastAsia="Arial" w:hAnsi="Arial"/>
          <w:sz w:val="18"/>
          <w:szCs w:val="18"/>
          <w:color w:val="auto"/>
        </w:rPr>
        <w:t>termination of our existing management services agreement with them; and (5) a payment of</w:t>
      </w:r>
    </w:p>
    <w:p>
      <w:pPr>
        <w:spacing w:after="0" w:line="9" w:lineRule="exact"/>
        <w:rPr>
          <w:sz w:val="20"/>
          <w:szCs w:val="20"/>
          <w:color w:val="auto"/>
        </w:rPr>
      </w:pPr>
    </w:p>
    <w:p>
      <w:pPr>
        <w:ind w:left="120" w:right="159"/>
        <w:spacing w:after="0" w:line="290" w:lineRule="auto"/>
        <w:rPr>
          <w:sz w:val="20"/>
          <w:szCs w:val="20"/>
          <w:color w:val="auto"/>
        </w:rPr>
      </w:pPr>
      <w:r>
        <w:rPr>
          <w:rFonts w:ascii="Arial" w:cs="Arial" w:eastAsia="Arial" w:hAnsi="Arial"/>
          <w:sz w:val="18"/>
          <w:szCs w:val="18"/>
          <w:color w:val="auto"/>
        </w:rPr>
        <w:t>$250,000 in the aggregate to certain of our employees, including some of our executive oﬃcers, for their contribution to completing this oﬀering.</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immediate increase in our pro forma as adjusted</w:t>
      </w:r>
    </w:p>
    <w:p>
      <w:pPr>
        <w:spacing w:after="0" w:line="51" w:lineRule="exact"/>
        <w:rPr>
          <w:sz w:val="20"/>
          <w:szCs w:val="20"/>
          <w:color w:val="auto"/>
        </w:rPr>
      </w:pPr>
    </w:p>
    <w:p>
      <w:pPr>
        <w:ind w:left="120" w:right="199"/>
        <w:spacing w:after="0" w:line="290" w:lineRule="auto"/>
        <w:rPr>
          <w:sz w:val="20"/>
          <w:szCs w:val="20"/>
          <w:color w:val="auto"/>
        </w:rPr>
      </w:pPr>
      <w:r>
        <w:rPr>
          <w:rFonts w:ascii="Arial" w:cs="Arial" w:eastAsia="Arial" w:hAnsi="Arial"/>
          <w:sz w:val="18"/>
          <w:szCs w:val="18"/>
          <w:color w:val="auto"/>
        </w:rPr>
        <w:t>consolidated net tangible book value of $ per ordinary share and the immediate pro forma as adjusted dilution to new investors:</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oﬀering price per ordinary share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200"/>
              <w:spacing w:after="0" w:line="162" w:lineRule="exact"/>
              <w:rPr>
                <w:sz w:val="20"/>
                <w:szCs w:val="20"/>
                <w:color w:val="auto"/>
              </w:rPr>
            </w:pPr>
            <w:r>
              <w:rPr>
                <w:rFonts w:ascii="Arial" w:cs="Arial" w:eastAsia="Arial" w:hAnsi="Arial"/>
                <w:sz w:val="18"/>
                <w:szCs w:val="18"/>
                <w:color w:val="auto"/>
              </w:rPr>
              <w:t>Pro forma consolidated net tangible book value per</w:t>
            </w:r>
          </w:p>
        </w:tc>
        <w:tc>
          <w:tcPr>
            <w:tcW w:w="1480" w:type="dxa"/>
            <w:vAlign w:val="bottom"/>
            <w:gridSpan w:val="2"/>
            <w:vMerge w:val="restart"/>
          </w:tcPr>
          <w:p>
            <w:pPr>
              <w:jc w:val="right"/>
              <w:ind w:right="1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ordinary share as of December 31, 2014</w:t>
            </w:r>
          </w:p>
        </w:tc>
        <w:tc>
          <w:tcPr>
            <w:tcW w:w="14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200"/>
              <w:spacing w:after="0" w:line="162" w:lineRule="exact"/>
              <w:rPr>
                <w:sz w:val="20"/>
                <w:szCs w:val="20"/>
                <w:color w:val="auto"/>
              </w:rPr>
            </w:pPr>
            <w:r>
              <w:rPr>
                <w:rFonts w:ascii="Arial" w:cs="Arial" w:eastAsia="Arial" w:hAnsi="Arial"/>
                <w:sz w:val="18"/>
                <w:szCs w:val="18"/>
                <w:color w:val="auto"/>
              </w:rPr>
              <w:t>Increase in net tangible book value per ordinary share</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attributable to the oﬀering</w:t>
            </w:r>
          </w:p>
        </w:tc>
        <w:tc>
          <w:tcPr>
            <w:tcW w:w="24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line="142" w:lineRule="exact"/>
              <w:rPr>
                <w:sz w:val="20"/>
                <w:szCs w:val="20"/>
                <w:color w:val="auto"/>
              </w:rPr>
            </w:pPr>
            <w:r>
              <w:rPr>
                <w:rFonts w:ascii="Arial" w:cs="Arial" w:eastAsia="Arial" w:hAnsi="Arial"/>
                <w:sz w:val="16"/>
                <w:szCs w:val="16"/>
                <w:color w:val="auto"/>
              </w:rPr>
              <w:t>Pro forma as adjusted net tangible book value per ordinary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share after giving eﬀect to the oﬀering</w:t>
            </w: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ordinary share to new investors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020" w:type="dxa"/>
            <w:vAlign w:val="bottom"/>
            <w:gridSpan w:val="3"/>
          </w:tcPr>
          <w:p>
            <w:pPr>
              <w:ind w:left="200"/>
              <w:spacing w:after="0"/>
              <w:rPr>
                <w:sz w:val="20"/>
                <w:szCs w:val="20"/>
                <w:color w:val="auto"/>
              </w:rPr>
            </w:pPr>
            <w:r>
              <w:rPr>
                <w:rFonts w:ascii="Arial" w:cs="Arial" w:eastAsia="Arial" w:hAnsi="Arial"/>
                <w:sz w:val="18"/>
                <w:szCs w:val="18"/>
                <w:color w:val="auto"/>
              </w:rPr>
              <w:t>A $1.00 increase (decrease) in the assumed initial public oﬀering price of $</w:t>
            </w:r>
          </w:p>
        </w:tc>
        <w:tc>
          <w:tcPr>
            <w:tcW w:w="340" w:type="dxa"/>
            <w:vAlign w:val="bottom"/>
          </w:tcPr>
          <w:p>
            <w:pPr>
              <w:spacing w:after="0"/>
              <w:rPr>
                <w:sz w:val="24"/>
                <w:szCs w:val="24"/>
                <w:color w:val="auto"/>
              </w:rPr>
            </w:pP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ordinary share would increase (decrease) the consolidated net tangible book value attributable</w:t>
      </w:r>
    </w:p>
    <w:p>
      <w:pPr>
        <w:spacing w:after="0" w:line="9" w:lineRule="exact"/>
        <w:rPr>
          <w:sz w:val="20"/>
          <w:szCs w:val="20"/>
          <w:color w:val="auto"/>
        </w:rPr>
      </w:pPr>
    </w:p>
    <w:p>
      <w:pPr>
        <w:ind w:left="120"/>
        <w:spacing w:after="0"/>
        <w:tabs>
          <w:tab w:leader="none" w:pos="2560" w:val="left"/>
        </w:tabs>
        <w:rPr>
          <w:sz w:val="20"/>
          <w:szCs w:val="20"/>
          <w:color w:val="auto"/>
        </w:rPr>
      </w:pPr>
      <w:r>
        <w:rPr>
          <w:rFonts w:ascii="Arial" w:cs="Arial" w:eastAsia="Arial" w:hAnsi="Arial"/>
          <w:sz w:val="18"/>
          <w:szCs w:val="18"/>
          <w:color w:val="auto"/>
        </w:rPr>
        <w:t>to this oﬀering by $</w:t>
      </w:r>
      <w:r>
        <w:rPr>
          <w:sz w:val="20"/>
          <w:szCs w:val="20"/>
          <w:color w:val="auto"/>
        </w:rPr>
        <w:tab/>
      </w:r>
      <w:r>
        <w:rPr>
          <w:rFonts w:ascii="Arial" w:cs="Arial" w:eastAsia="Arial" w:hAnsi="Arial"/>
          <w:sz w:val="18"/>
          <w:szCs w:val="18"/>
          <w:color w:val="auto"/>
        </w:rPr>
        <w:t>per ordinary share, the pro forma as adjusted consolidated net</w:t>
      </w:r>
    </w:p>
    <w:p>
      <w:pPr>
        <w:spacing w:after="0" w:line="9" w:lineRule="exact"/>
        <w:rPr>
          <w:sz w:val="20"/>
          <w:szCs w:val="20"/>
          <w:color w:val="auto"/>
        </w:rPr>
      </w:pPr>
    </w:p>
    <w:p>
      <w:pPr>
        <w:ind w:left="120"/>
        <w:spacing w:after="0"/>
        <w:tabs>
          <w:tab w:leader="none" w:pos="6060" w:val="left"/>
        </w:tabs>
        <w:rPr>
          <w:sz w:val="20"/>
          <w:szCs w:val="20"/>
          <w:color w:val="auto"/>
        </w:rPr>
      </w:pPr>
      <w:r>
        <w:rPr>
          <w:rFonts w:ascii="Arial" w:cs="Arial" w:eastAsia="Arial" w:hAnsi="Arial"/>
          <w:sz w:val="18"/>
          <w:szCs w:val="18"/>
          <w:color w:val="auto"/>
        </w:rPr>
        <w:t>tangible book value after giving eﬀect to this oﬀering by $</w:t>
      </w:r>
      <w:r>
        <w:rPr>
          <w:sz w:val="20"/>
          <w:szCs w:val="20"/>
          <w:color w:val="auto"/>
        </w:rPr>
        <w:tab/>
      </w:r>
      <w:r>
        <w:rPr>
          <w:rFonts w:ascii="Arial" w:cs="Arial" w:eastAsia="Arial" w:hAnsi="Arial"/>
          <w:sz w:val="18"/>
          <w:szCs w:val="18"/>
          <w:color w:val="auto"/>
        </w:rPr>
        <w:t>per ordinary share and the</w:t>
      </w:r>
    </w:p>
    <w:p>
      <w:pPr>
        <w:spacing w:after="0" w:line="9" w:lineRule="exact"/>
        <w:rPr>
          <w:sz w:val="20"/>
          <w:szCs w:val="20"/>
          <w:color w:val="auto"/>
        </w:rPr>
      </w:pPr>
    </w:p>
    <w:p>
      <w:pPr>
        <w:ind w:left="120"/>
        <w:spacing w:after="0"/>
        <w:tabs>
          <w:tab w:leader="none" w:pos="6600" w:val="left"/>
        </w:tabs>
        <w:rPr>
          <w:sz w:val="20"/>
          <w:szCs w:val="20"/>
          <w:color w:val="auto"/>
        </w:rPr>
      </w:pPr>
      <w:r>
        <w:rPr>
          <w:rFonts w:ascii="Arial" w:cs="Arial" w:eastAsia="Arial" w:hAnsi="Arial"/>
          <w:sz w:val="18"/>
          <w:szCs w:val="18"/>
          <w:color w:val="auto"/>
        </w:rPr>
        <w:t>dilution per ordinary share to new investors in this oﬀering by $</w:t>
      </w:r>
      <w:r>
        <w:rPr>
          <w:sz w:val="20"/>
          <w:szCs w:val="20"/>
          <w:color w:val="auto"/>
        </w:rPr>
        <w:tab/>
      </w:r>
      <w:r>
        <w:rPr>
          <w:rFonts w:ascii="Arial" w:cs="Arial" w:eastAsia="Arial" w:hAnsi="Arial"/>
          <w:sz w:val="18"/>
          <w:szCs w:val="18"/>
          <w:color w:val="auto"/>
        </w:rPr>
        <w:t>, assuming that the</w:t>
      </w:r>
    </w:p>
    <w:p>
      <w:pPr>
        <w:spacing w:after="0" w:line="9" w:lineRule="exact"/>
        <w:rPr>
          <w:sz w:val="20"/>
          <w:szCs w:val="20"/>
          <w:color w:val="auto"/>
        </w:rPr>
      </w:pPr>
    </w:p>
    <w:p>
      <w:pPr>
        <w:jc w:val="both"/>
        <w:ind w:left="120" w:right="359"/>
        <w:spacing w:after="0" w:line="280" w:lineRule="auto"/>
        <w:rPr>
          <w:sz w:val="20"/>
          <w:szCs w:val="20"/>
          <w:color w:val="auto"/>
        </w:rPr>
      </w:pPr>
      <w:r>
        <w:rPr>
          <w:rFonts w:ascii="Arial" w:cs="Arial" w:eastAsia="Arial" w:hAnsi="Arial"/>
          <w:sz w:val="18"/>
          <w:szCs w:val="18"/>
          <w:color w:val="auto"/>
        </w:rPr>
        <w:t>number of ordinary shares oﬀered, as set forth on the cover page of this prospectus, remains the same and after deducting underwriting discounts and commissions and estimated oﬀering expenses payable by us.</w:t>
      </w:r>
    </w:p>
    <w:p>
      <w:pPr>
        <w:spacing w:after="0" w:line="299" w:lineRule="exact"/>
        <w:rPr>
          <w:sz w:val="20"/>
          <w:szCs w:val="20"/>
          <w:color w:val="auto"/>
        </w:rPr>
      </w:pPr>
    </w:p>
    <w:p>
      <w:pPr>
        <w:ind w:left="120" w:right="159" w:firstLine="216"/>
        <w:spacing w:after="0" w:line="262" w:lineRule="auto"/>
        <w:rPr>
          <w:sz w:val="20"/>
          <w:szCs w:val="20"/>
          <w:color w:val="auto"/>
        </w:rPr>
      </w:pPr>
      <w:r>
        <w:rPr>
          <w:rFonts w:ascii="Arial" w:cs="Arial" w:eastAsia="Arial" w:hAnsi="Arial"/>
          <w:sz w:val="18"/>
          <w:szCs w:val="18"/>
          <w:color w:val="auto"/>
        </w:rPr>
        <w:t>The table below summarizes, as of December 31, 2014, on the pro forma as adjusted basis described above, the diﬀerences between the number of ordinary shares purchased from us, the total consideration paid and the weighted average price per ordinary share paid by existing shareholders, on the one hand, and by new investors purchasing our ordinary shares in this</w:t>
      </w:r>
    </w:p>
    <w:p>
      <w:pPr>
        <w:spacing w:after="0" w:line="3" w:lineRule="exact"/>
        <w:rPr>
          <w:sz w:val="20"/>
          <w:szCs w:val="20"/>
          <w:color w:val="auto"/>
        </w:rPr>
      </w:pPr>
    </w:p>
    <w:p>
      <w:pPr>
        <w:ind w:left="120" w:right="639"/>
        <w:spacing w:after="0" w:line="280" w:lineRule="auto"/>
        <w:rPr>
          <w:sz w:val="20"/>
          <w:szCs w:val="20"/>
          <w:color w:val="auto"/>
        </w:rPr>
      </w:pPr>
      <w:r>
        <w:rPr>
          <w:rFonts w:ascii="Arial" w:cs="Arial" w:eastAsia="Arial" w:hAnsi="Arial"/>
          <w:sz w:val="18"/>
          <w:szCs w:val="18"/>
          <w:color w:val="auto"/>
        </w:rPr>
        <w:t>oﬀering, on the other hand, at an assumed initial public oﬀering price of $ per ordinary share before deducting underwriting discounts and commissions and estimated oﬀering expenses payable by us.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80" w:type="dxa"/>
            <w:vAlign w:val="bottom"/>
            <w:gridSpan w:val="4"/>
            <w:vMerge w:val="restart"/>
          </w:tcPr>
          <w:p>
            <w:pPr>
              <w:jc w:val="right"/>
              <w:ind w:right="420"/>
              <w:spacing w:after="0"/>
              <w:rPr>
                <w:sz w:val="20"/>
                <w:szCs w:val="20"/>
                <w:color w:val="auto"/>
              </w:rPr>
            </w:pPr>
            <w:r>
              <w:rPr>
                <w:rFonts w:ascii="Arial" w:cs="Arial" w:eastAsia="Arial" w:hAnsi="Arial"/>
                <w:sz w:val="16"/>
                <w:szCs w:val="16"/>
                <w:b w:val="1"/>
                <w:bCs w:val="1"/>
                <w:color w:val="auto"/>
              </w:rPr>
              <w:t>Shares Purchased</w:t>
            </w:r>
          </w:p>
        </w:tc>
        <w:tc>
          <w:tcPr>
            <w:tcW w:w="180" w:type="dxa"/>
            <w:vAlign w:val="bottom"/>
          </w:tcPr>
          <w:p>
            <w:pPr>
              <w:spacing w:after="0"/>
              <w:rPr>
                <w:sz w:val="16"/>
                <w:szCs w:val="16"/>
                <w:color w:val="auto"/>
              </w:rPr>
            </w:pPr>
          </w:p>
        </w:tc>
        <w:tc>
          <w:tcPr>
            <w:tcW w:w="2400" w:type="dxa"/>
            <w:vAlign w:val="bottom"/>
            <w:gridSpan w:val="4"/>
            <w:vMerge w:val="restart"/>
          </w:tcPr>
          <w:p>
            <w:pPr>
              <w:jc w:val="right"/>
              <w:ind w:right="370"/>
              <w:spacing w:after="0"/>
              <w:rPr>
                <w:sz w:val="20"/>
                <w:szCs w:val="20"/>
                <w:color w:val="auto"/>
              </w:rPr>
            </w:pPr>
            <w:r>
              <w:rPr>
                <w:rFonts w:ascii="Arial" w:cs="Arial" w:eastAsia="Arial" w:hAnsi="Arial"/>
                <w:sz w:val="16"/>
                <w:szCs w:val="16"/>
                <w:b w:val="1"/>
                <w:bCs w:val="1"/>
                <w:color w:val="auto"/>
              </w:rPr>
              <w:t>Total Consideration</w:t>
            </w:r>
          </w:p>
        </w:tc>
        <w:tc>
          <w:tcPr>
            <w:tcW w:w="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per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Number</w:t>
            </w:r>
          </w:p>
        </w:tc>
        <w:tc>
          <w:tcPr>
            <w:tcW w:w="82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82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New investors</w:t>
            </w: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940" w:type="dxa"/>
            <w:vAlign w:val="bottom"/>
            <w:gridSpan w:val="5"/>
          </w:tcPr>
          <w:p>
            <w:pPr>
              <w:ind w:left="200"/>
              <w:spacing w:after="0"/>
              <w:rPr>
                <w:sz w:val="20"/>
                <w:szCs w:val="20"/>
                <w:color w:val="auto"/>
              </w:rPr>
            </w:pPr>
            <w:r>
              <w:rPr>
                <w:rFonts w:ascii="Arial" w:cs="Arial" w:eastAsia="Arial" w:hAnsi="Arial"/>
                <w:sz w:val="18"/>
                <w:szCs w:val="18"/>
                <w:color w:val="auto"/>
              </w:rPr>
              <w:t>The above discussion and tables are based on</w:t>
            </w:r>
          </w:p>
        </w:tc>
        <w:tc>
          <w:tcPr>
            <w:tcW w:w="3820" w:type="dxa"/>
            <w:vAlign w:val="bottom"/>
            <w:gridSpan w:val="8"/>
          </w:tcPr>
          <w:p>
            <w:pPr>
              <w:spacing w:after="0"/>
              <w:rPr>
                <w:sz w:val="20"/>
                <w:szCs w:val="20"/>
                <w:color w:val="auto"/>
              </w:rPr>
            </w:pPr>
            <w:r>
              <w:rPr>
                <w:rFonts w:ascii="Arial" w:cs="Arial" w:eastAsia="Arial" w:hAnsi="Arial"/>
                <w:sz w:val="18"/>
                <w:szCs w:val="18"/>
                <w:color w:val="auto"/>
              </w:rPr>
              <w:t>ordinary shares issued and outstanding</w:t>
            </w:r>
          </w:p>
        </w:tc>
        <w:tc>
          <w:tcPr>
            <w:tcW w:w="0" w:type="dxa"/>
            <w:vAlign w:val="bottom"/>
          </w:tcPr>
          <w:p>
            <w:pPr>
              <w:spacing w:after="0"/>
              <w:rPr>
                <w:sz w:val="1"/>
                <w:szCs w:val="1"/>
                <w:color w:val="auto"/>
              </w:rPr>
            </w:pPr>
          </w:p>
        </w:tc>
      </w:tr>
      <w:tr>
        <w:trPr>
          <w:trHeight w:val="283"/>
        </w:trPr>
        <w:tc>
          <w:tcPr>
            <w:tcW w:w="7540" w:type="dxa"/>
            <w:vAlign w:val="bottom"/>
            <w:gridSpan w:val="11"/>
          </w:tcPr>
          <w:p>
            <w:pPr>
              <w:spacing w:after="0"/>
              <w:rPr>
                <w:sz w:val="20"/>
                <w:szCs w:val="20"/>
                <w:color w:val="auto"/>
              </w:rPr>
            </w:pPr>
            <w:r>
              <w:rPr>
                <w:rFonts w:ascii="Arial" w:cs="Arial" w:eastAsia="Arial" w:hAnsi="Arial"/>
                <w:sz w:val="18"/>
                <w:szCs w:val="18"/>
                <w:color w:val="auto"/>
              </w:rPr>
              <w:t>as of December 31, 2014, on a pro forma as adjusted basis as described above.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1">
            <w:col w:w="9019"/>
          </w:cols>
          <w:pgMar w:left="1440" w:top="307" w:right="1440" w:bottom="1440" w:gutter="0" w:footer="0" w:header="0"/>
        </w:sect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type w:val="continuous"/>
        </w:sectPr>
      </w:pPr>
    </w:p>
    <w:bookmarkStart w:id="35" w:name="page36"/>
    <w:bookmarkEnd w:id="35"/>
    <w:p>
      <w:pPr>
        <w:ind w:left="120" w:right="399" w:firstLine="216"/>
        <w:spacing w:after="0" w:line="267" w:lineRule="auto"/>
        <w:rPr>
          <w:sz w:val="20"/>
          <w:szCs w:val="20"/>
          <w:color w:val="auto"/>
        </w:rPr>
      </w:pPr>
      <w:r>
        <w:rPr>
          <w:rFonts w:ascii="Arial" w:cs="Arial" w:eastAsia="Arial" w:hAnsi="Arial"/>
          <w:sz w:val="18"/>
          <w:szCs w:val="18"/>
          <w:color w:val="auto"/>
        </w:rPr>
        <w:t>The discussion and table above assume no exercise of the underwriters’ option to purchase additional ordinary shares. If the underwriters exercise their option to purchase additional ordinary shares in full, the pro forma number of our ordinary shares held by new investors will</w:t>
      </w:r>
    </w:p>
    <w:p>
      <w:pPr>
        <w:ind w:left="120" w:right="679"/>
        <w:spacing w:after="0" w:line="290" w:lineRule="auto"/>
        <w:rPr>
          <w:sz w:val="20"/>
          <w:szCs w:val="20"/>
          <w:color w:val="auto"/>
        </w:rPr>
      </w:pPr>
      <w:r>
        <w:rPr>
          <w:rFonts w:ascii="Arial" w:cs="Arial" w:eastAsia="Arial" w:hAnsi="Arial"/>
          <w:sz w:val="18"/>
          <w:szCs w:val="18"/>
          <w:color w:val="auto"/>
        </w:rPr>
        <w:t>increase to , or approximately %, of the total pro forma number of our ordinary shares outstanding after this oﬀering.</w:t>
      </w:r>
    </w:p>
    <w:p>
      <w:pPr>
        <w:spacing w:after="0" w:line="106" w:lineRule="exact"/>
        <w:rPr>
          <w:sz w:val="20"/>
          <w:szCs w:val="20"/>
          <w:color w:val="auto"/>
        </w:rPr>
      </w:pPr>
    </w:p>
    <w:p>
      <w:pPr>
        <w:ind w:left="120" w:right="199" w:firstLine="216"/>
        <w:spacing w:after="0" w:line="294" w:lineRule="auto"/>
        <w:rPr>
          <w:sz w:val="20"/>
          <w:szCs w:val="20"/>
          <w:color w:val="auto"/>
        </w:rPr>
      </w:pPr>
      <w:r>
        <w:rPr>
          <w:rFonts w:ascii="Arial" w:cs="Arial" w:eastAsia="Arial" w:hAnsi="Arial"/>
          <w:sz w:val="18"/>
          <w:szCs w:val="18"/>
          <w:color w:val="auto"/>
        </w:rPr>
        <w:t>The preceding table excludes 402,949 ordinary shares reserved for issuance under our equity incentive plans as of December 31, 2014 in respect of which we had outstanding options to purchase 393,452 ordinary shares at a weighted average exercise price of $9.65 per share.</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6"/>
          </w:tcPr>
          <w:p>
            <w:pPr>
              <w:ind w:left="20"/>
              <w:spacing w:after="0"/>
              <w:rPr>
                <w:sz w:val="20"/>
                <w:szCs w:val="20"/>
                <w:color w:val="auto"/>
              </w:rPr>
            </w:pPr>
            <w:r>
              <w:rPr>
                <w:rFonts w:ascii="Arial" w:cs="Arial" w:eastAsia="Arial" w:hAnsi="Arial"/>
                <w:sz w:val="18"/>
                <w:szCs w:val="18"/>
                <w:color w:val="auto"/>
              </w:rPr>
              <w:t>If all of such outstanding options were exercised, pro forma as adjusted consolidated net</w:t>
            </w:r>
          </w:p>
        </w:tc>
      </w:tr>
      <w:tr>
        <w:trPr>
          <w:trHeight w:val="216"/>
        </w:trPr>
        <w:tc>
          <w:tcPr>
            <w:tcW w:w="4020" w:type="dxa"/>
            <w:vAlign w:val="bottom"/>
            <w:gridSpan w:val="6"/>
          </w:tcPr>
          <w:p>
            <w:pPr>
              <w:spacing w:after="0"/>
              <w:rPr>
                <w:sz w:val="20"/>
                <w:szCs w:val="20"/>
                <w:color w:val="auto"/>
              </w:rPr>
            </w:pPr>
            <w:r>
              <w:rPr>
                <w:rFonts w:ascii="Arial" w:cs="Arial" w:eastAsia="Arial" w:hAnsi="Arial"/>
                <w:sz w:val="18"/>
                <w:szCs w:val="18"/>
                <w:color w:val="auto"/>
              </w:rPr>
              <w:t>tangible book value per share would be $</w:t>
            </w:r>
          </w:p>
        </w:tc>
        <w:tc>
          <w:tcPr>
            <w:tcW w:w="4760" w:type="dxa"/>
            <w:vAlign w:val="bottom"/>
            <w:gridSpan w:val="2"/>
          </w:tcPr>
          <w:p>
            <w:pPr>
              <w:ind w:left="360"/>
              <w:spacing w:after="0"/>
              <w:rPr>
                <w:sz w:val="20"/>
                <w:szCs w:val="20"/>
                <w:color w:val="auto"/>
              </w:rPr>
            </w:pPr>
            <w:r>
              <w:rPr>
                <w:rFonts w:ascii="Arial" w:cs="Arial" w:eastAsia="Arial" w:hAnsi="Arial"/>
                <w:sz w:val="18"/>
                <w:szCs w:val="18"/>
                <w:color w:val="auto"/>
              </w:rPr>
              <w:t>, dilution per ordinary share to new investors</w:t>
            </w: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would be $</w:t>
            </w:r>
          </w:p>
        </w:tc>
        <w:tc>
          <w:tcPr>
            <w:tcW w:w="7480" w:type="dxa"/>
            <w:vAlign w:val="bottom"/>
            <w:gridSpan w:val="5"/>
          </w:tcPr>
          <w:p>
            <w:pPr>
              <w:ind w:left="320"/>
              <w:spacing w:after="0"/>
              <w:rPr>
                <w:sz w:val="20"/>
                <w:szCs w:val="20"/>
                <w:color w:val="auto"/>
              </w:rPr>
            </w:pPr>
            <w:r>
              <w:rPr>
                <w:rFonts w:ascii="Arial" w:cs="Arial" w:eastAsia="Arial" w:hAnsi="Arial"/>
                <w:sz w:val="18"/>
                <w:szCs w:val="18"/>
                <w:color w:val="auto"/>
              </w:rPr>
              <w:t>, the number of shares held by our existing shareholders would increase</w:t>
            </w:r>
          </w:p>
        </w:tc>
      </w:tr>
      <w:tr>
        <w:trPr>
          <w:trHeight w:val="216"/>
        </w:trPr>
        <w:tc>
          <w:tcPr>
            <w:tcW w:w="200" w:type="dxa"/>
            <w:vAlign w:val="bottom"/>
            <w:gridSpan w:val="2"/>
          </w:tcPr>
          <w:p>
            <w:pPr>
              <w:spacing w:after="0"/>
              <w:rPr>
                <w:sz w:val="20"/>
                <w:szCs w:val="20"/>
                <w:color w:val="auto"/>
              </w:rPr>
            </w:pPr>
            <w:r>
              <w:rPr>
                <w:rFonts w:ascii="Arial" w:cs="Arial" w:eastAsia="Arial" w:hAnsi="Arial"/>
                <w:sz w:val="18"/>
                <w:szCs w:val="18"/>
                <w:color w:val="auto"/>
              </w:rPr>
              <w:t>to</w:t>
            </w:r>
          </w:p>
        </w:tc>
        <w:tc>
          <w:tcPr>
            <w:tcW w:w="2400" w:type="dxa"/>
            <w:vAlign w:val="bottom"/>
            <w:gridSpan w:val="2"/>
          </w:tcPr>
          <w:p>
            <w:pPr>
              <w:ind w:left="680"/>
              <w:spacing w:after="0"/>
              <w:rPr>
                <w:sz w:val="20"/>
                <w:szCs w:val="20"/>
                <w:color w:val="auto"/>
              </w:rPr>
            </w:pPr>
            <w:r>
              <w:rPr>
                <w:rFonts w:ascii="Arial" w:cs="Arial" w:eastAsia="Arial" w:hAnsi="Arial"/>
                <w:sz w:val="18"/>
                <w:szCs w:val="18"/>
                <w:color w:val="auto"/>
              </w:rPr>
              <w:t>, constituting</w:t>
            </w:r>
          </w:p>
        </w:tc>
        <w:tc>
          <w:tcPr>
            <w:tcW w:w="6180" w:type="dxa"/>
            <w:vAlign w:val="bottom"/>
            <w:gridSpan w:val="4"/>
          </w:tcPr>
          <w:p>
            <w:pPr>
              <w:ind w:left="200"/>
              <w:spacing w:after="0"/>
              <w:rPr>
                <w:sz w:val="20"/>
                <w:szCs w:val="20"/>
                <w:color w:val="auto"/>
              </w:rPr>
            </w:pPr>
            <w:r>
              <w:rPr>
                <w:rFonts w:ascii="Arial" w:cs="Arial" w:eastAsia="Arial" w:hAnsi="Arial"/>
                <w:sz w:val="18"/>
                <w:szCs w:val="18"/>
                <w:color w:val="auto"/>
              </w:rPr>
              <w:t>% of our total issued shares (while new shareholders in this</w:t>
            </w:r>
          </w:p>
        </w:tc>
      </w:tr>
      <w:tr>
        <w:trPr>
          <w:trHeight w:val="216"/>
        </w:trPr>
        <w:tc>
          <w:tcPr>
            <w:tcW w:w="2600" w:type="dxa"/>
            <w:vAlign w:val="bottom"/>
            <w:gridSpan w:val="4"/>
          </w:tcPr>
          <w:p>
            <w:pPr>
              <w:spacing w:after="0"/>
              <w:rPr>
                <w:sz w:val="20"/>
                <w:szCs w:val="20"/>
                <w:color w:val="auto"/>
              </w:rPr>
            </w:pPr>
            <w:r>
              <w:rPr>
                <w:rFonts w:ascii="Arial" w:cs="Arial" w:eastAsia="Arial" w:hAnsi="Arial"/>
                <w:sz w:val="18"/>
                <w:szCs w:val="18"/>
                <w:color w:val="auto"/>
              </w:rPr>
              <w:t>oﬀering would only hold</w:t>
            </w:r>
          </w:p>
        </w:tc>
        <w:tc>
          <w:tcPr>
            <w:tcW w:w="6180" w:type="dxa"/>
            <w:vAlign w:val="bottom"/>
            <w:gridSpan w:val="4"/>
          </w:tcPr>
          <w:p>
            <w:pPr>
              <w:ind w:left="260"/>
              <w:spacing w:after="0"/>
              <w:rPr>
                <w:sz w:val="20"/>
                <w:szCs w:val="20"/>
                <w:color w:val="auto"/>
              </w:rPr>
            </w:pPr>
            <w:r>
              <w:rPr>
                <w:rFonts w:ascii="Arial" w:cs="Arial" w:eastAsia="Arial" w:hAnsi="Arial"/>
                <w:sz w:val="18"/>
                <w:szCs w:val="18"/>
                <w:color w:val="auto"/>
              </w:rPr>
              <w:t>% of our issued shares), the total consideration amount paid by</w:t>
            </w:r>
          </w:p>
        </w:tc>
      </w:tr>
      <w:tr>
        <w:trPr>
          <w:trHeight w:val="216"/>
        </w:trPr>
        <w:tc>
          <w:tcPr>
            <w:tcW w:w="4020" w:type="dxa"/>
            <w:vAlign w:val="bottom"/>
            <w:gridSpan w:val="6"/>
          </w:tcPr>
          <w:p>
            <w:pPr>
              <w:spacing w:after="0"/>
              <w:rPr>
                <w:sz w:val="20"/>
                <w:szCs w:val="20"/>
                <w:color w:val="auto"/>
              </w:rPr>
            </w:pPr>
            <w:r>
              <w:rPr>
                <w:rFonts w:ascii="Arial" w:cs="Arial" w:eastAsia="Arial" w:hAnsi="Arial"/>
                <w:sz w:val="18"/>
                <w:szCs w:val="18"/>
                <w:color w:val="auto"/>
              </w:rPr>
              <w:t>existing shareholders would increase to $</w:t>
            </w:r>
          </w:p>
        </w:tc>
        <w:tc>
          <w:tcPr>
            <w:tcW w:w="1000" w:type="dxa"/>
            <w:vAlign w:val="bottom"/>
          </w:tcPr>
          <w:p>
            <w:pPr>
              <w:ind w:left="360"/>
              <w:spacing w:after="0"/>
              <w:rPr>
                <w:sz w:val="20"/>
                <w:szCs w:val="20"/>
                <w:color w:val="auto"/>
              </w:rPr>
            </w:pPr>
            <w:r>
              <w:rPr>
                <w:rFonts w:ascii="Arial" w:cs="Arial" w:eastAsia="Arial" w:hAnsi="Arial"/>
                <w:sz w:val="18"/>
                <w:szCs w:val="18"/>
                <w:color w:val="auto"/>
              </w:rPr>
              <w:t>, or</w:t>
            </w:r>
          </w:p>
        </w:tc>
        <w:tc>
          <w:tcPr>
            <w:tcW w:w="3760" w:type="dxa"/>
            <w:vAlign w:val="bottom"/>
          </w:tcPr>
          <w:p>
            <w:pPr>
              <w:ind w:left="340"/>
              <w:spacing w:after="0"/>
              <w:rPr>
                <w:sz w:val="20"/>
                <w:szCs w:val="20"/>
                <w:color w:val="auto"/>
              </w:rPr>
            </w:pPr>
            <w:r>
              <w:rPr>
                <w:rFonts w:ascii="Arial" w:cs="Arial" w:eastAsia="Arial" w:hAnsi="Arial"/>
                <w:sz w:val="18"/>
                <w:szCs w:val="18"/>
                <w:color w:val="auto"/>
              </w:rPr>
              <w:t>% of total consideration received by</w:t>
            </w:r>
          </w:p>
        </w:tc>
      </w:tr>
      <w:tr>
        <w:trPr>
          <w:trHeight w:val="216"/>
        </w:trPr>
        <w:tc>
          <w:tcPr>
            <w:tcW w:w="8780" w:type="dxa"/>
            <w:vAlign w:val="bottom"/>
            <w:gridSpan w:val="8"/>
          </w:tcPr>
          <w:p>
            <w:pPr>
              <w:spacing w:after="0"/>
              <w:rPr>
                <w:sz w:val="20"/>
                <w:szCs w:val="20"/>
                <w:color w:val="auto"/>
              </w:rPr>
            </w:pPr>
            <w:r>
              <w:rPr>
                <w:rFonts w:ascii="Arial" w:cs="Arial" w:eastAsia="Arial" w:hAnsi="Arial"/>
                <w:sz w:val="18"/>
                <w:szCs w:val="18"/>
                <w:color w:val="auto"/>
              </w:rPr>
              <w:t>us for our shares (while the percentage of consideration paid by new shareholders in this</w:t>
            </w:r>
          </w:p>
        </w:tc>
      </w:tr>
      <w:tr>
        <w:trPr>
          <w:trHeight w:val="216"/>
        </w:trPr>
        <w:tc>
          <w:tcPr>
            <w:tcW w:w="2600" w:type="dxa"/>
            <w:vAlign w:val="bottom"/>
            <w:gridSpan w:val="4"/>
          </w:tcPr>
          <w:p>
            <w:pPr>
              <w:spacing w:after="0"/>
              <w:rPr>
                <w:sz w:val="20"/>
                <w:szCs w:val="20"/>
                <w:color w:val="auto"/>
              </w:rPr>
            </w:pPr>
            <w:r>
              <w:rPr>
                <w:rFonts w:ascii="Arial" w:cs="Arial" w:eastAsia="Arial" w:hAnsi="Arial"/>
                <w:sz w:val="18"/>
                <w:szCs w:val="18"/>
                <w:color w:val="auto"/>
              </w:rPr>
              <w:t>oﬀering would decrease to</w:t>
            </w:r>
          </w:p>
        </w:tc>
        <w:tc>
          <w:tcPr>
            <w:tcW w:w="420" w:type="dxa"/>
            <w:vAlign w:val="bottom"/>
          </w:tcPr>
          <w:p>
            <w:pPr>
              <w:spacing w:after="0"/>
              <w:rPr>
                <w:sz w:val="18"/>
                <w:szCs w:val="18"/>
                <w:color w:val="auto"/>
              </w:rPr>
            </w:pPr>
          </w:p>
        </w:tc>
        <w:tc>
          <w:tcPr>
            <w:tcW w:w="5760" w:type="dxa"/>
            <w:vAlign w:val="bottom"/>
            <w:gridSpan w:val="3"/>
          </w:tcPr>
          <w:p>
            <w:pPr>
              <w:ind w:left="80"/>
              <w:spacing w:after="0"/>
              <w:rPr>
                <w:sz w:val="20"/>
                <w:szCs w:val="20"/>
                <w:color w:val="auto"/>
              </w:rPr>
            </w:pPr>
            <w:r>
              <w:rPr>
                <w:rFonts w:ascii="Arial" w:cs="Arial" w:eastAsia="Arial" w:hAnsi="Arial"/>
                <w:sz w:val="18"/>
                <w:szCs w:val="18"/>
                <w:color w:val="auto"/>
              </w:rPr>
              <w:t>%) and the average price per share paid by our existing</w:t>
            </w:r>
          </w:p>
        </w:tc>
      </w:tr>
      <w:tr>
        <w:trPr>
          <w:trHeight w:val="283"/>
        </w:trPr>
        <w:tc>
          <w:tcPr>
            <w:tcW w:w="3020" w:type="dxa"/>
            <w:vAlign w:val="bottom"/>
            <w:gridSpan w:val="5"/>
          </w:tcPr>
          <w:p>
            <w:pPr>
              <w:spacing w:after="0"/>
              <w:rPr>
                <w:sz w:val="20"/>
                <w:szCs w:val="20"/>
                <w:color w:val="auto"/>
              </w:rPr>
            </w:pPr>
            <w:r>
              <w:rPr>
                <w:rFonts w:ascii="Arial" w:cs="Arial" w:eastAsia="Arial" w:hAnsi="Arial"/>
                <w:sz w:val="18"/>
                <w:szCs w:val="18"/>
                <w:color w:val="auto"/>
              </w:rPr>
              <w:t>shareholders would instead be $</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31</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7" w:lineRule="exact"/>
        <w:rPr>
          <w:sz w:val="20"/>
          <w:szCs w:val="20"/>
          <w:color w:val="auto"/>
        </w:rPr>
      </w:pPr>
    </w:p>
    <w:p>
      <w:pPr>
        <w:ind w:left="120" w:right="459" w:firstLine="216"/>
        <w:spacing w:after="0" w:line="269"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prospectus, including “Management’s Discussion and Analysis of Financial Condition and Results of Operations” and our consolidated financial statements and the related notes appearing elsewhere in this prospectus.</w:t>
      </w:r>
    </w:p>
    <w:p>
      <w:pPr>
        <w:spacing w:after="0" w:line="353" w:lineRule="exact"/>
        <w:rPr>
          <w:sz w:val="20"/>
          <w:szCs w:val="20"/>
          <w:color w:val="auto"/>
        </w:rPr>
      </w:pPr>
    </w:p>
    <w:p>
      <w:pPr>
        <w:ind w:left="120" w:right="259" w:firstLine="216"/>
        <w:spacing w:after="0" w:line="263" w:lineRule="auto"/>
        <w:rPr>
          <w:sz w:val="20"/>
          <w:szCs w:val="20"/>
          <w:color w:val="auto"/>
        </w:rPr>
      </w:pPr>
      <w:r>
        <w:rPr>
          <w:rFonts w:ascii="Arial" w:cs="Arial" w:eastAsia="Arial" w:hAnsi="Arial"/>
          <w:sz w:val="18"/>
          <w:szCs w:val="18"/>
          <w:color w:val="auto"/>
        </w:rPr>
        <w:t>The selected consolidated statements of income data for the years ended December 31, 2012, 2013 and 2014 and selected consolidated balance sheet data as of December 31, 2013 and 2014 are derived from our audited consolidated financial statements appearing elsewhere in this prospectus. The selected consolidated balance sheet data as of December 31, 2012 has been derived from our audited consolidated financial statements not appearing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1"/>
              <w:spacing w:after="0" w:line="183" w:lineRule="exact"/>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0"/>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80" w:type="dxa"/>
            <w:vAlign w:val="bottom"/>
            <w:gridSpan w:val="8"/>
          </w:tcPr>
          <w:p>
            <w:pPr>
              <w:jc w:val="center"/>
              <w:ind w:right="30"/>
              <w:spacing w:after="0" w:line="143" w:lineRule="exact"/>
              <w:rPr>
                <w:sz w:val="20"/>
                <w:szCs w:val="20"/>
                <w:color w:val="auto"/>
              </w:rPr>
            </w:pPr>
            <w:r>
              <w:rPr>
                <w:rFonts w:ascii="Arial" w:cs="Arial" w:eastAsia="Arial" w:hAnsi="Arial"/>
                <w:sz w:val="16"/>
                <w:szCs w:val="16"/>
                <w:b w:val="1"/>
                <w:bCs w:val="1"/>
                <w:color w:val="auto"/>
              </w:rPr>
              <w:t>(in thousands, except share amounts and per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share data)</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39,167</w:t>
            </w:r>
          </w:p>
        </w:tc>
        <w:tc>
          <w:tcPr>
            <w:tcW w:w="5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49,395</w:t>
            </w:r>
          </w:p>
        </w:tc>
        <w:tc>
          <w:tcPr>
            <w:tcW w:w="180" w:type="dxa"/>
            <w:vAlign w:val="bottom"/>
          </w:tcPr>
          <w:p>
            <w:pPr>
              <w:spacing w:after="0"/>
              <w:rPr>
                <w:sz w:val="17"/>
                <w:szCs w:val="17"/>
                <w:color w:val="auto"/>
              </w:rPr>
            </w:pP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66,364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Cost of revenues</w:t>
            </w:r>
            <w:r>
              <w:rPr>
                <w:rFonts w:ascii="Arial" w:cs="Arial" w:eastAsia="Arial" w:hAnsi="Arial"/>
                <w:sz w:val="28"/>
                <w:szCs w:val="28"/>
                <w:b w:val="1"/>
                <w:bCs w:val="1"/>
                <w:color w:val="auto"/>
                <w:vertAlign w:val="superscript"/>
              </w:rPr>
              <w:t>(1)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3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16,426</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21,442</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29,177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00"/>
              <w:spacing w:after="0" w:line="243"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b w:val="1"/>
                <w:bCs w:val="1"/>
                <w:color w:val="auto"/>
                <w:vertAlign w:val="superscript"/>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CEEFF"/>
          </w:tcPr>
          <w:p>
            <w:pPr>
              <w:ind w:left="200"/>
              <w:spacing w:after="0" w:line="243"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8"/>
                <w:szCs w:val="28"/>
                <w:b w:val="1"/>
                <w:bCs w:val="1"/>
                <w:color w:val="auto"/>
                <w:vertAlign w:val="superscript"/>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Borders>
              <w:bottom w:val="single" w:sz="8" w:color="CCEEFF"/>
            </w:tcBorders>
          </w:tcPr>
          <w:p>
            <w:pPr>
              <w:ind w:left="200"/>
              <w:spacing w:after="0" w:line="243"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12,599</w:t>
            </w:r>
          </w:p>
        </w:tc>
        <w:tc>
          <w:tcPr>
            <w:tcW w:w="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18,455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3,827</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2,987</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Finance expenses, net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line="196" w:lineRule="exact"/>
              <w:rPr>
                <w:sz w:val="20"/>
                <w:szCs w:val="20"/>
                <w:color w:val="auto"/>
              </w:rPr>
            </w:pPr>
            <w:r>
              <w:rPr>
                <w:rFonts w:ascii="Arial" w:cs="Arial" w:eastAsia="Arial" w:hAnsi="Arial"/>
                <w:sz w:val="18"/>
                <w:szCs w:val="18"/>
                <w:color w:val="auto"/>
              </w:rPr>
              <w:t>Income before taxes on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3,542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2,527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3,805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on income</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2,314</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Net earnings per ordinary share</w:t>
            </w:r>
            <w:r>
              <w:rPr>
                <w:rFonts w:ascii="Arial" w:cs="Arial" w:eastAsia="Arial" w:hAnsi="Arial"/>
                <w:sz w:val="22"/>
                <w:szCs w:val="22"/>
                <w:b w:val="1"/>
                <w:bCs w:val="1"/>
                <w:color w:val="auto"/>
                <w:vertAlign w:val="superscript"/>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5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0.83</w:t>
            </w:r>
          </w:p>
        </w:tc>
        <w:tc>
          <w:tcPr>
            <w:tcW w:w="180" w:type="dxa"/>
            <w:vAlign w:val="bottom"/>
          </w:tcPr>
          <w:p>
            <w:pPr>
              <w:spacing w:after="0"/>
              <w:rPr>
                <w:sz w:val="21"/>
                <w:szCs w:val="21"/>
                <w:color w:val="auto"/>
              </w:rPr>
            </w:pP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Borders>
              <w:top w:val="single" w:sz="8" w:color="CCEEFF"/>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1.57</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0.75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1.90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spacing w:after="0" w:line="156" w:lineRule="exact"/>
              <w:rPr>
                <w:sz w:val="20"/>
                <w:szCs w:val="20"/>
                <w:color w:val="auto"/>
              </w:rPr>
            </w:pPr>
            <w:r>
              <w:rPr>
                <w:rFonts w:ascii="Arial" w:cs="Arial" w:eastAsia="Arial" w:hAnsi="Arial"/>
                <w:sz w:val="18"/>
                <w:szCs w:val="18"/>
                <w:color w:val="auto"/>
              </w:rPr>
              <w:t>Weighted average number of ordinary</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3" w:lineRule="exact"/>
              <w:rPr>
                <w:sz w:val="20"/>
                <w:szCs w:val="20"/>
                <w:color w:val="auto"/>
              </w:rPr>
            </w:pPr>
            <w:r>
              <w:rPr>
                <w:rFonts w:ascii="Arial" w:cs="Arial" w:eastAsia="Arial" w:hAnsi="Arial"/>
                <w:sz w:val="18"/>
                <w:szCs w:val="18"/>
                <w:color w:val="auto"/>
              </w:rPr>
              <w:t>shares used in computing income per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20" w:type="dxa"/>
            <w:vAlign w:val="bottom"/>
            <w:gridSpan w:val="2"/>
          </w:tcPr>
          <w:p>
            <w:pPr>
              <w:spacing w:after="0" w:line="284" w:lineRule="exact"/>
              <w:rPr>
                <w:sz w:val="20"/>
                <w:szCs w:val="20"/>
                <w:color w:val="auto"/>
              </w:rPr>
            </w:pPr>
            <w:r>
              <w:rPr>
                <w:rFonts w:ascii="Arial" w:cs="Arial" w:eastAsia="Arial" w:hAnsi="Arial"/>
                <w:sz w:val="18"/>
                <w:szCs w:val="18"/>
                <w:color w:val="auto"/>
              </w:rPr>
              <w:t>ordinary share</w:t>
            </w:r>
            <w:r>
              <w:rPr>
                <w:rFonts w:ascii="Arial" w:cs="Arial" w:eastAsia="Arial" w:hAnsi="Arial"/>
                <w:sz w:val="30"/>
                <w:szCs w:val="30"/>
                <w:b w:val="1"/>
                <w:bCs w:val="1"/>
                <w:color w:val="auto"/>
                <w:vertAlign w:val="superscript"/>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1,366,310</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1,366,310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1,368,734</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1,472,521</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1,507,690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1,594,084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Pro forma net earnings per ordinary share</w:t>
            </w:r>
            <w:r>
              <w:rPr>
                <w:rFonts w:ascii="Arial" w:cs="Arial" w:eastAsia="Arial" w:hAnsi="Arial"/>
                <w:sz w:val="22"/>
                <w:szCs w:val="22"/>
                <w:b w:val="1"/>
                <w:bCs w:val="1"/>
                <w:color w:val="auto"/>
                <w:vertAlign w:val="superscript"/>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0.92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Borders>
              <w:top w:val="single" w:sz="8" w:color="CCEEFF"/>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0.86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spacing w:after="0" w:line="156" w:lineRule="exact"/>
              <w:rPr>
                <w:sz w:val="20"/>
                <w:szCs w:val="20"/>
                <w:color w:val="auto"/>
              </w:rPr>
            </w:pPr>
            <w:r>
              <w:rPr>
                <w:rFonts w:ascii="Arial" w:cs="Arial" w:eastAsia="Arial" w:hAnsi="Arial"/>
                <w:sz w:val="18"/>
                <w:szCs w:val="18"/>
                <w:color w:val="auto"/>
              </w:rPr>
              <w:t>Weighted average number of ordinary</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3" w:lineRule="exact"/>
              <w:rPr>
                <w:sz w:val="20"/>
                <w:szCs w:val="20"/>
                <w:color w:val="auto"/>
              </w:rPr>
            </w:pPr>
            <w:r>
              <w:rPr>
                <w:rFonts w:ascii="Arial" w:cs="Arial" w:eastAsia="Arial" w:hAnsi="Arial"/>
                <w:sz w:val="18"/>
                <w:szCs w:val="18"/>
                <w:color w:val="auto"/>
              </w:rPr>
              <w:t>shares used in computing pro forma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20" w:type="dxa"/>
            <w:vAlign w:val="bottom"/>
            <w:gridSpan w:val="2"/>
          </w:tcPr>
          <w:p>
            <w:pPr>
              <w:spacing w:after="0" w:line="284" w:lineRule="exact"/>
              <w:rPr>
                <w:sz w:val="20"/>
                <w:szCs w:val="20"/>
                <w:color w:val="auto"/>
              </w:rPr>
            </w:pPr>
            <w:r>
              <w:rPr>
                <w:rFonts w:ascii="Arial" w:cs="Arial" w:eastAsia="Arial" w:hAnsi="Arial"/>
                <w:sz w:val="18"/>
                <w:szCs w:val="18"/>
                <w:color w:val="auto"/>
              </w:rPr>
              <w:t>per ordinary share</w:t>
            </w:r>
            <w:r>
              <w:rPr>
                <w:rFonts w:ascii="Arial" w:cs="Arial" w:eastAsia="Arial" w:hAnsi="Arial"/>
                <w:sz w:val="30"/>
                <w:szCs w:val="30"/>
                <w:b w:val="1"/>
                <w:bCs w:val="1"/>
                <w:color w:val="auto"/>
                <w:vertAlign w:val="superscript"/>
              </w:rPr>
              <w:t>(3)</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3,295,874</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3,521,224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40" w:type="dxa"/>
            <w:vAlign w:val="bottom"/>
            <w:gridSpan w:val="3"/>
            <w:vMerge w:val="restart"/>
          </w:tcPr>
          <w:p>
            <w:pPr>
              <w:jc w:val="right"/>
              <w:ind w:right="891"/>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07" w:right="1440" w:bottom="1440" w:gutter="0" w:footer="0" w:header="0"/>
        </w:sectPr>
      </w:pPr>
    </w:p>
    <w:bookmarkStart w:id="37" w:name="page38"/>
    <w:bookmarkEnd w:id="37"/>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As of December 31,</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2"/>
              <w:spacing w:after="0" w:line="183" w:lineRule="exact"/>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tcPr>
          <w:p>
            <w:pPr>
              <w:jc w:val="center"/>
              <w:ind w:right="20"/>
              <w:spacing w:after="0" w:line="183" w:lineRule="exact"/>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4,663</w:t>
            </w:r>
          </w:p>
        </w:tc>
        <w:tc>
          <w:tcPr>
            <w:tcW w:w="40" w:type="dxa"/>
            <w:vAlign w:val="bottom"/>
          </w:tcPr>
          <w:p>
            <w:pPr>
              <w:spacing w:after="0"/>
              <w:rPr>
                <w:sz w:val="17"/>
                <w:szCs w:val="17"/>
                <w:color w:val="auto"/>
              </w:rPr>
            </w:pPr>
          </w:p>
        </w:tc>
        <w:tc>
          <w:tcPr>
            <w:tcW w:w="56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5,329</w:t>
            </w:r>
          </w:p>
        </w:tc>
        <w:tc>
          <w:tcPr>
            <w:tcW w:w="30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4,993</w:t>
            </w:r>
          </w:p>
        </w:tc>
        <w:tc>
          <w:tcPr>
            <w:tcW w:w="16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Working capital</w:t>
            </w:r>
            <w:r>
              <w:rPr>
                <w:rFonts w:ascii="Arial" w:cs="Arial" w:eastAsia="Arial" w:hAnsi="Arial"/>
                <w:sz w:val="28"/>
                <w:szCs w:val="28"/>
                <w:color w:val="auto"/>
                <w:vertAlign w:val="superscript"/>
              </w:rPr>
              <w:t>(4)</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160" w:type="dxa"/>
            <w:vAlign w:val="bottom"/>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24,407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31,627</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34,714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long-term liabilities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14,311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15,608</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19,351</w:t>
            </w:r>
          </w:p>
        </w:tc>
        <w:tc>
          <w:tcPr>
            <w:tcW w:w="16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Year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2"/>
              <w:spacing w:after="0" w:line="183" w:lineRule="exact"/>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tcPr>
          <w:p>
            <w:pPr>
              <w:jc w:val="center"/>
              <w:ind w:right="20"/>
              <w:spacing w:after="0" w:line="183" w:lineRule="exact"/>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Financial Data: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line="228"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4,690</w:t>
            </w:r>
          </w:p>
        </w:tc>
        <w:tc>
          <w:tcPr>
            <w:tcW w:w="40" w:type="dxa"/>
            <w:vAlign w:val="bottom"/>
          </w:tcPr>
          <w:p>
            <w:pPr>
              <w:spacing w:after="0"/>
              <w:rPr>
                <w:sz w:val="19"/>
                <w:szCs w:val="19"/>
                <w:color w:val="auto"/>
              </w:rPr>
            </w:pPr>
          </w:p>
        </w:tc>
        <w:tc>
          <w:tcPr>
            <w:tcW w:w="5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4,281</w:t>
            </w:r>
          </w:p>
        </w:tc>
        <w:tc>
          <w:tcPr>
            <w:tcW w:w="30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6,069</w:t>
            </w:r>
          </w:p>
        </w:tc>
        <w:tc>
          <w:tcPr>
            <w:tcW w:w="160" w:type="dxa"/>
            <w:vAlign w:val="bottom"/>
          </w:tcPr>
          <w:p>
            <w:pPr>
              <w:spacing w:after="0"/>
              <w:rPr>
                <w:sz w:val="19"/>
                <w:szCs w:val="19"/>
                <w:color w:val="auto"/>
              </w:rPr>
            </w:pPr>
          </w:p>
        </w:tc>
      </w:tr>
      <w:tr>
        <w:trPr>
          <w:trHeight w:val="183"/>
        </w:trPr>
        <w:tc>
          <w:tcPr>
            <w:tcW w:w="4000" w:type="dxa"/>
            <w:vAlign w:val="bottom"/>
            <w:gridSpan w:val="2"/>
          </w:tcPr>
          <w:p>
            <w:pPr>
              <w:spacing w:after="0" w:line="183" w:lineRule="exact"/>
              <w:rPr>
                <w:sz w:val="20"/>
                <w:szCs w:val="20"/>
                <w:color w:val="auto"/>
              </w:rPr>
            </w:pPr>
            <w:r>
              <w:rPr>
                <w:rFonts w:ascii="Arial" w:cs="Arial" w:eastAsia="Arial" w:hAnsi="Arial"/>
                <w:sz w:val="18"/>
                <w:szCs w:val="18"/>
                <w:color w:val="auto"/>
              </w:rPr>
              <w:t>______________</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83"/>
        </w:trPr>
        <w:tc>
          <w:tcPr>
            <w:tcW w:w="5500" w:type="dxa"/>
            <w:vAlign w:val="bottom"/>
            <w:gridSpan w:val="6"/>
          </w:tcPr>
          <w:p>
            <w:pPr>
              <w:spacing w:after="0"/>
              <w:rPr>
                <w:sz w:val="20"/>
                <w:szCs w:val="20"/>
                <w:color w:val="auto"/>
              </w:rPr>
            </w:pPr>
            <w:r>
              <w:rPr>
                <w:rFonts w:ascii="Arial" w:cs="Arial" w:eastAsia="Arial" w:hAnsi="Arial"/>
                <w:sz w:val="18"/>
                <w:szCs w:val="18"/>
                <w:color w:val="auto"/>
              </w:rPr>
              <w:t>(1)  Includes share-based compensation expense as follows: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Year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2"/>
              <w:spacing w:after="0" w:line="183" w:lineRule="exact"/>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tcPr>
          <w:p>
            <w:pPr>
              <w:jc w:val="center"/>
              <w:ind w:right="20"/>
              <w:spacing w:after="0" w:line="183" w:lineRule="exact"/>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40" w:type="dxa"/>
            <w:vAlign w:val="bottom"/>
          </w:tcPr>
          <w:p>
            <w:pPr>
              <w:spacing w:after="0"/>
              <w:rPr>
                <w:sz w:val="17"/>
                <w:szCs w:val="17"/>
                <w:color w:val="auto"/>
              </w:rPr>
            </w:pPr>
          </w:p>
        </w:tc>
        <w:tc>
          <w:tcPr>
            <w:tcW w:w="56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-22225</wp:posOffset>
            </wp:positionV>
            <wp:extent cx="27870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7015" cy="2603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______________</w:t>
      </w:r>
    </w:p>
    <w:p>
      <w:pPr>
        <w:spacing w:after="0" w:line="1" w:lineRule="exact"/>
        <w:rPr>
          <w:sz w:val="20"/>
          <w:szCs w:val="20"/>
          <w:color w:val="auto"/>
        </w:rPr>
      </w:pPr>
    </w:p>
    <w:p>
      <w:pPr>
        <w:ind w:left="440" w:right="219" w:hanging="315"/>
        <w:spacing w:after="0" w:line="249" w:lineRule="auto"/>
        <w:tabs>
          <w:tab w:leader="none" w:pos="5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Basic and diluted net earnings per ordinary share is computed based on the basic and diluted weighted average number of ordinary shares outstanding during each period. For additional information, see note 2v and 10 to our consolidated financial statements included elsewhere in this prospectus.</w:t>
      </w:r>
    </w:p>
    <w:p>
      <w:pPr>
        <w:spacing w:after="0" w:line="340" w:lineRule="exact"/>
        <w:rPr>
          <w:rFonts w:ascii="Arial" w:cs="Arial" w:eastAsia="Arial" w:hAnsi="Arial"/>
          <w:sz w:val="18"/>
          <w:szCs w:val="18"/>
          <w:color w:val="auto"/>
        </w:rPr>
      </w:pPr>
    </w:p>
    <w:p>
      <w:pPr>
        <w:ind w:left="440" w:right="179" w:hanging="315"/>
        <w:spacing w:after="0" w:line="269" w:lineRule="auto"/>
        <w:tabs>
          <w:tab w:leader="none" w:pos="5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preferred shares into ordinary shares, which will occur upon the closing of this offering, but does not give effect to the issuance of shares in connection with this offering. For additional information on the conversion of the preferred shares see note 2c to our consolidated financial statements included elsewhere in this prospectus.</w:t>
      </w:r>
    </w:p>
    <w:p>
      <w:pPr>
        <w:spacing w:after="0" w:line="352" w:lineRule="exact"/>
        <w:rPr>
          <w:rFonts w:ascii="Arial" w:cs="Arial" w:eastAsia="Arial" w:hAnsi="Arial"/>
          <w:sz w:val="18"/>
          <w:szCs w:val="18"/>
          <w:color w:val="auto"/>
        </w:rPr>
      </w:pPr>
    </w:p>
    <w:p>
      <w:pPr>
        <w:ind w:left="540" w:hanging="415"/>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25" w:lineRule="exact"/>
        <w:rPr>
          <w:rFonts w:ascii="Arial" w:cs="Arial" w:eastAsia="Arial" w:hAnsi="Arial"/>
          <w:sz w:val="18"/>
          <w:szCs w:val="18"/>
          <w:color w:val="auto"/>
        </w:rPr>
      </w:pPr>
    </w:p>
    <w:p>
      <w:pPr>
        <w:ind w:left="540" w:hanging="415"/>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7"/>
          </w:tcPr>
          <w:p>
            <w:pPr>
              <w:jc w:val="center"/>
              <w:ind w:left="512"/>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1"/>
              <w:spacing w:after="0" w:line="183" w:lineRule="exact"/>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4"/>
          </w:tcPr>
          <w:p>
            <w:pPr>
              <w:jc w:val="center"/>
              <w:ind w:left="54"/>
              <w:spacing w:after="0" w:line="183" w:lineRule="exact"/>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Reconciliation of Net Income to</w:t>
            </w: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6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180" w:type="dxa"/>
            <w:vAlign w:val="bottom"/>
          </w:tcPr>
          <w:p>
            <w:pPr>
              <w:spacing w:after="0"/>
              <w:rPr>
                <w:sz w:val="17"/>
                <w:szCs w:val="17"/>
                <w:color w:val="auto"/>
              </w:rPr>
            </w:pP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3,023</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Finance expenses, net</w:t>
            </w:r>
          </w:p>
        </w:tc>
        <w:tc>
          <w:tcPr>
            <w:tcW w:w="4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Taxes on income</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1,228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1,393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782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1,352</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897</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4,690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4,281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6,069</w:t>
            </w:r>
          </w:p>
        </w:tc>
        <w:tc>
          <w:tcPr>
            <w:tcW w:w="160" w:type="dxa"/>
            <w:vAlign w:val="bottom"/>
            <w:shd w:val="clear" w:color="auto" w:fill="CCEEFF"/>
          </w:tcPr>
          <w:p>
            <w:pPr>
              <w:spacing w:after="0"/>
              <w:rPr>
                <w:sz w:val="17"/>
                <w:szCs w:val="17"/>
                <w:color w:val="auto"/>
              </w:rPr>
            </w:pPr>
          </w:p>
        </w:tc>
      </w:tr>
      <w:tr>
        <w:trPr>
          <w:trHeight w:val="311"/>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w:t>
            </w: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9" w:right="1440" w:bottom="1440" w:gutter="0" w:footer="0" w:header="0"/>
        </w:sectPr>
      </w:pPr>
    </w:p>
    <w:bookmarkStart w:id="38" w:name="page39"/>
    <w:bookmarkEnd w:id="38"/>
    <w:p>
      <w:pPr>
        <w:ind w:left="120" w:right="159" w:firstLine="216"/>
        <w:spacing w:after="0" w:line="258" w:lineRule="auto"/>
        <w:rPr>
          <w:sz w:val="20"/>
          <w:szCs w:val="20"/>
          <w:color w:val="auto"/>
        </w:rPr>
      </w:pPr>
      <w:r>
        <w:rPr>
          <w:rFonts w:ascii="Arial" w:cs="Arial" w:eastAsia="Arial" w:hAnsi="Arial"/>
          <w:sz w:val="18"/>
          <w:szCs w:val="18"/>
          <w:color w:val="auto"/>
        </w:rPr>
        <w:t>Adjusted EBITDA is a non- 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diﬀerently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200" w:lineRule="exact"/>
        <w:rPr>
          <w:sz w:val="20"/>
          <w:szCs w:val="20"/>
          <w:color w:val="auto"/>
        </w:rPr>
      </w:pPr>
    </w:p>
    <w:p>
      <w:pPr>
        <w:spacing w:after="0" w:line="392" w:lineRule="exact"/>
        <w:rPr>
          <w:sz w:val="20"/>
          <w:szCs w:val="20"/>
          <w:color w:val="auto"/>
        </w:rPr>
      </w:pPr>
    </w:p>
    <w:p>
      <w:pPr>
        <w:ind w:left="560" w:right="299" w:hanging="219"/>
        <w:spacing w:after="0" w:line="285" w:lineRule="auto"/>
        <w:tabs>
          <w:tab w:leader="none" w:pos="626" w:val="left"/>
        </w:tabs>
        <w:numPr>
          <w:ilvl w:val="0"/>
          <w:numId w:val="27"/>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15" w:lineRule="exact"/>
        <w:rPr>
          <w:rFonts w:ascii="Arial" w:cs="Arial" w:eastAsia="Arial" w:hAnsi="Arial"/>
          <w:sz w:val="22"/>
          <w:szCs w:val="22"/>
          <w:color w:val="auto"/>
        </w:rPr>
      </w:pPr>
    </w:p>
    <w:p>
      <w:pPr>
        <w:ind w:left="560" w:right="199" w:hanging="219"/>
        <w:spacing w:after="0"/>
        <w:tabs>
          <w:tab w:leader="none" w:pos="626" w:val="left"/>
        </w:tabs>
        <w:numPr>
          <w:ilvl w:val="0"/>
          <w:numId w:val="27"/>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560" w:right="139" w:hanging="219"/>
        <w:spacing w:after="0" w:line="259" w:lineRule="auto"/>
        <w:tabs>
          <w:tab w:leader="none" w:pos="626" w:val="left"/>
        </w:tabs>
        <w:numPr>
          <w:ilvl w:val="0"/>
          <w:numId w:val="27"/>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368" w:lineRule="exact"/>
        <w:rPr>
          <w:sz w:val="20"/>
          <w:szCs w:val="20"/>
          <w:color w:val="auto"/>
        </w:rPr>
      </w:pPr>
    </w:p>
    <w:p>
      <w:pPr>
        <w:ind w:left="120" w:right="239" w:firstLine="216"/>
        <w:spacing w:after="0" w:line="263" w:lineRule="auto"/>
        <w:rPr>
          <w:sz w:val="20"/>
          <w:szCs w:val="20"/>
          <w:color w:val="auto"/>
        </w:rPr>
      </w:pPr>
      <w:r>
        <w:rPr>
          <w:rFonts w:ascii="Arial" w:cs="Arial" w:eastAsia="Arial" w:hAnsi="Arial"/>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diﬀerences caused by changes in foreign exchange rates that impact financial assets and liabilities denominated in currencies other than the euro (aﬀecting finance expenses, net), tax positions (such as the impact on periods or companies of changes in eﬀective tax rates), the age and book depreciation of fixed assets (aﬀecting relative depreciation expense) and share-based compensation expense (because it is a non-cash expense).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RESULTS OF OPERATIONS</w:t>
      </w:r>
    </w:p>
    <w:p>
      <w:pPr>
        <w:spacing w:after="0" w:line="229" w:lineRule="exact"/>
        <w:rPr>
          <w:sz w:val="20"/>
          <w:szCs w:val="20"/>
          <w:color w:val="auto"/>
        </w:rPr>
      </w:pPr>
    </w:p>
    <w:p>
      <w:pPr>
        <w:ind w:left="120" w:right="139" w:firstLine="216"/>
        <w:spacing w:after="0" w:line="254" w:lineRule="auto"/>
        <w:rPr>
          <w:sz w:val="20"/>
          <w:szCs w:val="20"/>
          <w:color w:val="auto"/>
        </w:rPr>
      </w:pPr>
      <w:r>
        <w:rPr>
          <w:rFonts w:ascii="Courier New" w:cs="Courier New" w:eastAsia="Courier New" w:hAnsi="Courier New"/>
          <w:sz w:val="18"/>
          <w:szCs w:val="18"/>
          <w:i w:val="1"/>
          <w:iCs w:val="1"/>
          <w:color w:val="auto"/>
        </w:rPr>
        <w:t>The following discussion should be read in conjunction with our consolidated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left="120" w:right="119" w:firstLine="216"/>
        <w:spacing w:after="0" w:line="256"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diﬀerentiated from other digital methods of production because they eliminate the need to pre-treat fabrics prior to printing, thereby oﬀering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eﬃciently and cost-eﬀectively produce smaller quantities of individually printed designs, thereby mitigating the risk of excess inventory, which is a significant challenge for the printed textile industry.</w:t>
      </w:r>
    </w:p>
    <w:p>
      <w:pPr>
        <w:spacing w:after="0" w:line="200" w:lineRule="exact"/>
        <w:rPr>
          <w:sz w:val="20"/>
          <w:szCs w:val="20"/>
          <w:color w:val="auto"/>
        </w:rPr>
      </w:pPr>
    </w:p>
    <w:p>
      <w:pPr>
        <w:spacing w:after="0" w:line="382"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Our business is driven by the changing dynamics in the global printed textile industry, which is undergoing a transition from analog to digital printing methods. Recent technological advancements in digital printing technology have enabled printing of high resolution images and designs on textiles in large volumes and at high throughput levels. For example, these capabilities have enabled online businesses, whose business models are tailored to the growing demand for customized and personalized goods, to cater to customers who order single units or small runs of a particular design. We have identified the high throughput segment of the DTG market as a high growth area and have therefore focused our solutions to primarily address that area. We believe our early innovation in digital printing solutions has enabled us to evolve into a company that provides a comprehensive digital printing solution for the growing global printed textile industry and seek to further our presence by penetrating the roll-to-roll, or R2R, market in the next 18 months.</w:t>
      </w:r>
    </w:p>
    <w:p>
      <w:pPr>
        <w:spacing w:after="0" w:line="200" w:lineRule="exact"/>
        <w:rPr>
          <w:sz w:val="20"/>
          <w:szCs w:val="20"/>
          <w:color w:val="auto"/>
        </w:rPr>
      </w:pPr>
    </w:p>
    <w:p>
      <w:pPr>
        <w:spacing w:after="0" w:line="384" w:lineRule="exact"/>
        <w:rPr>
          <w:sz w:val="20"/>
          <w:szCs w:val="20"/>
          <w:color w:val="auto"/>
        </w:rPr>
      </w:pPr>
    </w:p>
    <w:p>
      <w:pPr>
        <w:ind w:left="120" w:right="159" w:firstLine="216"/>
        <w:spacing w:after="0" w:line="258" w:lineRule="auto"/>
        <w:rPr>
          <w:sz w:val="20"/>
          <w:szCs w:val="20"/>
          <w:color w:val="auto"/>
        </w:rPr>
      </w:pPr>
      <w:r>
        <w:rPr>
          <w:rFonts w:ascii="Arial" w:cs="Arial" w:eastAsia="Arial" w:hAnsi="Arial"/>
          <w:sz w:val="18"/>
          <w:szCs w:val="18"/>
          <w:color w:val="auto"/>
        </w:rPr>
        <w:t>We oﬀer a broad portfolio of digital printing systems for the DTG market. We target customers that manufacture textiles in large quantities with a variety of high throughput digital printing systems. We market our systems to diﬀerent customers based on their desired throughput level, overall cost of ownership, the allowable space in their manufacturing facilities, the degree of preexisting knowledge they have of printing among other considerations. Most of our sales in recent years have been to high throughput manufacturers, which we believe will continue to grow in the next several years. At the same time, we are seeking to expand our presence into the mass production market with the commercial launch of our Vulcan system, targeted to occur within the next 24 months. Furthermore, we believe that our advanced technology and years of experience in digital textile printing will enable us to penetrate the R2R market after the commercial launch of our Allegro system, which is targeted within the next 18 months. Our solutions also include our proprietary NeoPigment ink and other consumables, associated software and value added services.</w:t>
      </w:r>
    </w:p>
    <w:p>
      <w:pPr>
        <w:spacing w:after="0" w:line="200" w:lineRule="exact"/>
        <w:rPr>
          <w:sz w:val="20"/>
          <w:szCs w:val="20"/>
          <w:color w:val="auto"/>
        </w:rPr>
      </w:pPr>
    </w:p>
    <w:p>
      <w:pPr>
        <w:spacing w:after="0" w:line="378" w:lineRule="exact"/>
        <w:rPr>
          <w:sz w:val="20"/>
          <w:szCs w:val="20"/>
          <w:color w:val="auto"/>
        </w:rPr>
      </w:pPr>
    </w:p>
    <w:p>
      <w:pPr>
        <w:ind w:left="120" w:right="139" w:firstLine="216"/>
        <w:spacing w:after="0" w:line="260" w:lineRule="auto"/>
        <w:rPr>
          <w:sz w:val="20"/>
          <w:szCs w:val="20"/>
          <w:color w:val="auto"/>
        </w:rPr>
      </w:pPr>
      <w:r>
        <w:rPr>
          <w:rFonts w:ascii="Arial" w:cs="Arial" w:eastAsia="Arial" w:hAnsi="Arial"/>
          <w:sz w:val="18"/>
          <w:szCs w:val="18"/>
          <w:color w:val="auto"/>
        </w:rPr>
        <w:t>We sell the majority of our solutions through a global network of approximately 50 independent distributors and value added resellers that we refer to as our channel partners. Our channel partners, in turn, sell the solutions they purchase from us to customers directly or, in some cases, act as facilitators of our direct sales process. Our independent distributors are generally responsible for identifying potential leads, working with our sales force to convert leads into buying customers and maintaining relationships with our customers. 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w:t>
      </w:r>
    </w:p>
    <w:p>
      <w:pPr>
        <w:sectPr>
          <w:pgSz w:w="11900" w:h="16838" w:orient="portrait"/>
          <w:cols w:equalWidth="0" w:num="1">
            <w:col w:w="9019"/>
          </w:cols>
          <w:pgMar w:left="1440" w:top="307" w:right="1440" w:bottom="663"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663" w:gutter="0" w:footer="0" w:header="0"/>
          <w:type w:val="continuous"/>
        </w:sectPr>
      </w:pPr>
    </w:p>
    <w:bookmarkStart w:id="40" w:name="page41"/>
    <w:bookmarkEnd w:id="40"/>
    <w:p>
      <w:pPr>
        <w:ind w:left="120" w:right="259" w:firstLine="216"/>
        <w:spacing w:after="0" w:line="284" w:lineRule="auto"/>
        <w:rPr>
          <w:sz w:val="20"/>
          <w:szCs w:val="20"/>
          <w:color w:val="auto"/>
        </w:rPr>
      </w:pPr>
      <w:r>
        <w:rPr>
          <w:rFonts w:ascii="Arial" w:cs="Arial" w:eastAsia="Arial" w:hAnsi="Arial"/>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345"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We plan to accomplish these goals by investing in our direct sales force, developing new applications for existing systems, introducing new solutions and growing our relationships with channel partners. Since sales of our ink and other consumables are directly linked to the number and mix of our systems that are sold, installed and active worldwide, engaging with our customers before and after sales is a key contributor to growth. We intend to drive growth by focusing our eﬀorts on sales of our higher throughput industrial systems, which generally utilize larger amounts of ink and other consumables due to their greater capacity and higher throughput levels.</w:t>
      </w:r>
    </w:p>
    <w:p>
      <w:pPr>
        <w:spacing w:after="0" w:line="359"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8"/>
          <w:szCs w:val="18"/>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36" w:lineRule="exact"/>
        <w:rPr>
          <w:sz w:val="20"/>
          <w:szCs w:val="20"/>
          <w:color w:val="auto"/>
        </w:rPr>
      </w:pPr>
    </w:p>
    <w:p>
      <w:pPr>
        <w:ind w:left="340"/>
        <w:spacing w:after="0"/>
        <w:rPr>
          <w:sz w:val="20"/>
          <w:szCs w:val="20"/>
          <w:color w:val="auto"/>
        </w:rPr>
      </w:pPr>
      <w:r>
        <w:rPr>
          <w:rFonts w:ascii="Courier New" w:cs="Courier New" w:eastAsia="Courier New" w:hAnsi="Courier New"/>
          <w:sz w:val="18"/>
          <w:szCs w:val="18"/>
          <w:i w:val="1"/>
          <w:iCs w:val="1"/>
          <w:color w:val="auto"/>
        </w:rPr>
        <w:t>Systems, Ink and Other Consumables, Value Added Services</w:t>
      </w:r>
    </w:p>
    <w:p>
      <w:pPr>
        <w:spacing w:after="0" w:line="185" w:lineRule="exact"/>
        <w:rPr>
          <w:sz w:val="20"/>
          <w:szCs w:val="20"/>
          <w:color w:val="auto"/>
        </w:rPr>
      </w:pPr>
    </w:p>
    <w:p>
      <w:pPr>
        <w:ind w:left="120" w:right="139" w:firstLine="216"/>
        <w:spacing w:after="0" w:line="260" w:lineRule="auto"/>
        <w:rPr>
          <w:sz w:val="20"/>
          <w:szCs w:val="20"/>
          <w:color w:val="auto"/>
        </w:rPr>
      </w:pPr>
      <w:r>
        <w:rPr>
          <w:rFonts w:ascii="Arial" w:cs="Arial" w:eastAsia="Arial" w:hAnsi="Arial"/>
          <w:sz w:val="18"/>
          <w:szCs w:val="18"/>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do not consider the period to period change in our total installed base to be a helpful metric in assessing our performance because we currently sell a number of diﬀerent systems that have significantly diﬀerent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359" w:lineRule="exact"/>
        <w:rPr>
          <w:sz w:val="20"/>
          <w:szCs w:val="20"/>
          <w:color w:val="auto"/>
        </w:rPr>
      </w:pPr>
    </w:p>
    <w:p>
      <w:pPr>
        <w:ind w:left="120" w:right="179" w:firstLine="216"/>
        <w:spacing w:after="0" w:line="279" w:lineRule="auto"/>
        <w:rPr>
          <w:sz w:val="20"/>
          <w:szCs w:val="20"/>
          <w:color w:val="auto"/>
        </w:rPr>
      </w:pPr>
      <w:r>
        <w:rPr>
          <w:rFonts w:ascii="Arial" w:cs="Arial" w:eastAsia="Arial" w:hAnsi="Arial"/>
          <w:sz w:val="18"/>
          <w:szCs w:val="18"/>
          <w:color w:val="auto"/>
        </w:rPr>
        <w:t>We also generate a small portion of our revenues from the provision of spare parts to our distributors and customers, value added services consisting of time and material based support, post-warranty service contracts. In the future, we expect to generate revenues from other professional application development services.</w:t>
      </w:r>
    </w:p>
    <w:p>
      <w:pPr>
        <w:spacing w:after="0" w:line="118" w:lineRule="exact"/>
        <w:rPr>
          <w:sz w:val="20"/>
          <w:szCs w:val="20"/>
          <w:color w:val="auto"/>
        </w:rPr>
      </w:pPr>
    </w:p>
    <w:p>
      <w:pPr>
        <w:ind w:left="120" w:right="319" w:firstLine="216"/>
        <w:spacing w:after="0" w:line="284" w:lineRule="auto"/>
        <w:rPr>
          <w:sz w:val="20"/>
          <w:szCs w:val="20"/>
          <w:color w:val="auto"/>
        </w:rPr>
      </w:pPr>
      <w:r>
        <w:rPr>
          <w:rFonts w:ascii="Arial" w:cs="Arial" w:eastAsia="Arial" w:hAnsi="Arial"/>
          <w:sz w:val="18"/>
          <w:szCs w:val="18"/>
          <w:color w:val="auto"/>
        </w:rPr>
        <w:t>We principally sell our products through independent distributors who resell them to customers. Sales by our distributors accounted for approximately 63% of our revenues in 2013 and approximately 72% in 2014. The balance of our revenues are generated through direct sales.</w:t>
      </w:r>
    </w:p>
    <w:p>
      <w:pPr>
        <w:spacing w:after="0" w:line="346"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We recognize revenues from sales of our systems upon installation of the system in the customer’s premises when installation is undertaken by us, provided that the collection of the resulting receivable is probable, there is persuasive evidence of an arrangement, no significant obligations in respect of installation remain and the price is fixed or determinable. This is also the case for sales made through independent distributors unless the independent distributor installs the system in which case we recognize revenues upon shipment to the independent distributor provided all other revenue recognition criteria are met. We recognize revenues net of discounts and returns. Revenues from ink and other consumables are generally recognized upon shipment. Revenues from provision of value added services are generally recognized at the time such support services are provided. See “—Critical Accounting Estimates—Revenue Recognition”.</w:t>
      </w:r>
    </w:p>
    <w:p>
      <w:pPr>
        <w:sectPr>
          <w:pgSz w:w="11900" w:h="16838" w:orient="portrait"/>
          <w:cols w:equalWidth="0" w:num="1">
            <w:col w:w="9019"/>
          </w:cols>
          <w:pgMar w:left="1440" w:top="9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type w:val="continuous"/>
        </w:sectPr>
      </w:pPr>
    </w:p>
    <w:bookmarkStart w:id="41" w:name="page42"/>
    <w:bookmarkEnd w:id="41"/>
    <w:p>
      <w:pPr>
        <w:ind w:left="120"/>
        <w:spacing w:after="0"/>
        <w:rPr>
          <w:sz w:val="20"/>
          <w:szCs w:val="20"/>
          <w:color w:val="auto"/>
        </w:rPr>
      </w:pPr>
      <w:r>
        <w:rPr>
          <w:rFonts w:ascii="Courier New" w:cs="Courier New" w:eastAsia="Courier New" w:hAnsi="Courier New"/>
          <w:sz w:val="18"/>
          <w:szCs w:val="18"/>
          <w:i w:val="1"/>
          <w:iCs w:val="1"/>
          <w:color w:val="auto"/>
        </w:rPr>
        <w:t>Geographic Breakdown of Revenues</w:t>
      </w:r>
    </w:p>
    <w:p>
      <w:pPr>
        <w:spacing w:after="0" w:line="185" w:lineRule="exact"/>
        <w:rPr>
          <w:sz w:val="20"/>
          <w:szCs w:val="20"/>
          <w:color w:val="auto"/>
        </w:rPr>
      </w:pPr>
    </w:p>
    <w:p>
      <w:pPr>
        <w:ind w:left="120" w:right="219" w:firstLine="216"/>
        <w:spacing w:after="0" w:line="338"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2012</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373"/>
              <w:spacing w:after="0" w:line="183" w:lineRule="exact"/>
              <w:rPr>
                <w:sz w:val="20"/>
                <w:szCs w:val="20"/>
                <w:color w:val="auto"/>
              </w:rPr>
            </w:pPr>
            <w:r>
              <w:rPr>
                <w:rFonts w:ascii="Arial" w:cs="Arial" w:eastAsia="Arial" w:hAnsi="Arial"/>
                <w:sz w:val="16"/>
                <w:szCs w:val="16"/>
                <w:b w:val="1"/>
                <w:bCs w:val="1"/>
                <w:color w:val="auto"/>
              </w:rPr>
              <w:t>2013</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40"/>
              <w:spacing w:after="0" w:line="183" w:lineRule="exact"/>
              <w:rPr>
                <w:sz w:val="20"/>
                <w:szCs w:val="20"/>
                <w:color w:val="auto"/>
              </w:rPr>
            </w:pPr>
            <w:r>
              <w:rPr>
                <w:rFonts w:ascii="Arial" w:cs="Arial" w:eastAsia="Arial" w:hAnsi="Arial"/>
                <w:sz w:val="16"/>
                <w:szCs w:val="16"/>
                <w:b w:val="1"/>
                <w:bCs w:val="1"/>
                <w:color w:val="auto"/>
              </w:rPr>
              <w:t>2014</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line="183" w:lineRule="exact"/>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3"/>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51"/>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3"/>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1"/>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20" w:type="dxa"/>
            <w:vAlign w:val="bottom"/>
            <w:gridSpan w:val="11"/>
          </w:tcPr>
          <w:p>
            <w:pPr>
              <w:jc w:val="center"/>
              <w:ind w:left="453"/>
              <w:spacing w:after="0" w:line="183" w:lineRule="exact"/>
              <w:rPr>
                <w:sz w:val="20"/>
                <w:szCs w:val="20"/>
                <w:color w:val="auto"/>
              </w:rPr>
            </w:pPr>
            <w:r>
              <w:rPr>
                <w:rFonts w:ascii="Arial" w:cs="Arial" w:eastAsia="Arial" w:hAnsi="Arial"/>
                <w:sz w:val="16"/>
                <w:szCs w:val="16"/>
                <w:b w:val="1"/>
                <w:bCs w:val="1"/>
                <w:color w:val="auto"/>
              </w:rPr>
              <w:t>(in thousands except percentages)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16,886</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22,022</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44.6%</w:t>
            </w:r>
          </w:p>
        </w:tc>
        <w:tc>
          <w:tcPr>
            <w:tcW w:w="3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33,188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line="162" w:lineRule="exact"/>
              <w:rPr>
                <w:sz w:val="20"/>
                <w:szCs w:val="20"/>
                <w:color w:val="auto"/>
              </w:rPr>
            </w:pPr>
            <w:r>
              <w:rPr>
                <w:rFonts w:ascii="Arial" w:cs="Arial" w:eastAsia="Arial" w:hAnsi="Arial"/>
                <w:sz w:val="18"/>
                <w:szCs w:val="18"/>
                <w:color w:val="auto"/>
              </w:rPr>
              <w:t>Americas (non-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5,230</w:t>
            </w:r>
          </w:p>
        </w:tc>
        <w:tc>
          <w:tcPr>
            <w:tcW w:w="3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5,732</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3,564</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00" w:type="dxa"/>
            <w:vAlign w:val="bottom"/>
            <w:gridSpan w:val="2"/>
          </w:tcPr>
          <w:p>
            <w:pPr>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11,921</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14,311</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18,004</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5,130</w:t>
            </w:r>
          </w:p>
        </w:tc>
        <w:tc>
          <w:tcPr>
            <w:tcW w:w="3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7,330</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8</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11,608</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39,167</w:t>
            </w:r>
          </w:p>
        </w:tc>
        <w:tc>
          <w:tcPr>
            <w:tcW w:w="3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49,395</w:t>
            </w: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66,364</w:t>
            </w: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79" w:lineRule="exact"/>
        <w:rPr>
          <w:sz w:val="20"/>
          <w:szCs w:val="20"/>
          <w:color w:val="auto"/>
        </w:rPr>
      </w:pPr>
    </w:p>
    <w:p>
      <w:pPr>
        <w:ind w:left="120" w:right="199" w:firstLine="216"/>
        <w:spacing w:after="0" w:line="258" w:lineRule="auto"/>
        <w:rPr>
          <w:sz w:val="20"/>
          <w:szCs w:val="20"/>
          <w:color w:val="auto"/>
        </w:rPr>
      </w:pPr>
      <w:r>
        <w:rPr>
          <w:rFonts w:ascii="Arial" w:cs="Arial" w:eastAsia="Arial" w:hAnsi="Arial"/>
          <w:sz w:val="18"/>
          <w:szCs w:val="18"/>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200" w:lineRule="exact"/>
        <w:rPr>
          <w:sz w:val="20"/>
          <w:szCs w:val="20"/>
          <w:color w:val="auto"/>
        </w:rPr>
      </w:pPr>
    </w:p>
    <w:p>
      <w:pPr>
        <w:spacing w:after="0" w:line="371" w:lineRule="exact"/>
        <w:rPr>
          <w:sz w:val="20"/>
          <w:szCs w:val="20"/>
          <w:color w:val="auto"/>
        </w:rPr>
      </w:pPr>
    </w:p>
    <w:p>
      <w:pPr>
        <w:ind w:left="120" w:right="139" w:firstLine="216"/>
        <w:spacing w:after="0" w:line="265" w:lineRule="auto"/>
        <w:rPr>
          <w:sz w:val="20"/>
          <w:szCs w:val="20"/>
          <w:color w:val="auto"/>
        </w:rPr>
      </w:pPr>
      <w:r>
        <w:rPr>
          <w:rFonts w:ascii="Arial" w:cs="Arial" w:eastAsia="Arial" w:hAnsi="Arial"/>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w:t>
      </w:r>
    </w:p>
    <w:p>
      <w:pPr>
        <w:spacing w:after="0" w:line="330" w:lineRule="exact"/>
        <w:rPr>
          <w:sz w:val="20"/>
          <w:szCs w:val="20"/>
          <w:color w:val="auto"/>
        </w:rPr>
      </w:pPr>
    </w:p>
    <w:p>
      <w:pPr>
        <w:ind w:left="120" w:right="179" w:firstLine="216"/>
        <w:spacing w:after="0" w:line="258" w:lineRule="auto"/>
        <w:rPr>
          <w:sz w:val="20"/>
          <w:szCs w:val="20"/>
          <w:color w:val="auto"/>
        </w:rPr>
      </w:pPr>
      <w:r>
        <w:rPr>
          <w:rFonts w:ascii="Arial" w:cs="Arial" w:eastAsia="Arial" w:hAnsi="Arial"/>
          <w:sz w:val="18"/>
          <w:szCs w:val="18"/>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since they have historically been focused on serving the one-year warranty that is included in the price of our systems. In the future, we will seek to generate greater revenues from our service oﬀering, and thereby leverage the fixed cost component associated with it, by increasing sales of post-warranty service contracts and providing other professional services.</w:t>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9" w:lineRule="exact"/>
        <w:rPr>
          <w:sz w:val="20"/>
          <w:szCs w:val="20"/>
          <w:color w:val="auto"/>
        </w:rPr>
      </w:pPr>
    </w:p>
    <w:p>
      <w:pPr>
        <w:ind w:left="120" w:right="239" w:firstLine="216"/>
        <w:spacing w:after="0" w:line="263" w:lineRule="auto"/>
        <w:rPr>
          <w:sz w:val="20"/>
          <w:szCs w:val="20"/>
          <w:color w:val="auto"/>
        </w:rPr>
      </w:pPr>
      <w:r>
        <w:rPr>
          <w:rFonts w:ascii="Arial" w:cs="Arial" w:eastAsia="Arial" w:hAnsi="Arial"/>
          <w:sz w:val="18"/>
          <w:szCs w:val="18"/>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as we hire new employees to support the continued growth of our business. In the medium term, we expect operating expenses to decrease as a percentage of revenues.</w:t>
      </w:r>
    </w:p>
    <w:p>
      <w:pPr>
        <w:sectPr>
          <w:pgSz w:w="11900" w:h="16838" w:orient="portrait"/>
          <w:cols w:equalWidth="0" w:num="1">
            <w:col w:w="9019"/>
          </w:cols>
          <w:pgMar w:left="1440" w:top="136"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type w:val="continuous"/>
        </w:sectPr>
      </w:pPr>
    </w:p>
    <w:bookmarkStart w:id="42" w:name="page43"/>
    <w:bookmarkEnd w:id="42"/>
    <w:p>
      <w:pPr>
        <w:ind w:left="120" w:right="179" w:firstLine="216"/>
        <w:spacing w:after="0" w:line="256" w:lineRule="auto"/>
        <w:rPr>
          <w:sz w:val="20"/>
          <w:szCs w:val="20"/>
          <w:color w:val="auto"/>
        </w:rPr>
      </w:pPr>
      <w:r>
        <w:rPr>
          <w:rFonts w:ascii="Courier New" w:cs="Courier New" w:eastAsia="Courier New" w:hAnsi="Courier New"/>
          <w:sz w:val="18"/>
          <w:szCs w:val="18"/>
          <w:i w:val="1"/>
          <w:iCs w:val="1"/>
          <w:color w:val="auto"/>
        </w:rPr>
        <w:t xml:space="preserve">Research and Development Expenses. </w:t>
      </w:r>
      <w:r>
        <w:rPr>
          <w:rFonts w:ascii="Arial" w:cs="Arial" w:eastAsia="Arial" w:hAnsi="Arial"/>
          <w:sz w:val="18"/>
          <w:szCs w:val="18"/>
          <w:color w:val="auto"/>
        </w:rPr>
        <w:t>The largest component of our research and</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development expenses is salaries and related personnel expenses for our research and development employees. Research and development expenses also include purchases of laboratory supplies;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and establish new beta sites for additional systems that we develop. Our current research and development eﬀorts are primarily focused on beta testing of our Allegro R2R system, completing the development of our Vulcan DTG printing system, and enhancing our current DTG systems with new features and functionality, improving system reliability and uptime and making our systems even more user-friendly. We are also investing in the development of new ink formulas for our new systems and in order to expand the range of fabrics on which we can print and further improve the quality of our high resolution images and designs.</w:t>
      </w:r>
    </w:p>
    <w:p>
      <w:pPr>
        <w:spacing w:after="0" w:line="200" w:lineRule="exact"/>
        <w:rPr>
          <w:sz w:val="20"/>
          <w:szCs w:val="20"/>
          <w:color w:val="auto"/>
        </w:rPr>
      </w:pPr>
    </w:p>
    <w:p>
      <w:pPr>
        <w:spacing w:after="0" w:line="347" w:lineRule="exact"/>
        <w:rPr>
          <w:sz w:val="20"/>
          <w:szCs w:val="20"/>
          <w:color w:val="auto"/>
        </w:rPr>
      </w:pPr>
    </w:p>
    <w:p>
      <w:pPr>
        <w:ind w:left="120" w:right="139" w:firstLine="216"/>
        <w:spacing w:after="0" w:line="259" w:lineRule="auto"/>
        <w:rPr>
          <w:sz w:val="20"/>
          <w:szCs w:val="20"/>
          <w:color w:val="auto"/>
        </w:rPr>
      </w:pPr>
      <w:r>
        <w:rPr>
          <w:rFonts w:ascii="Courier New" w:cs="Courier New" w:eastAsia="Courier New" w:hAnsi="Courier New"/>
          <w:sz w:val="18"/>
          <w:szCs w:val="18"/>
          <w:i w:val="1"/>
          <w:iCs w:val="1"/>
          <w:color w:val="auto"/>
        </w:rPr>
        <w:t xml:space="preserve">Sales and Marketing Expenses. </w:t>
      </w:r>
      <w:r>
        <w:rPr>
          <w:rFonts w:ascii="Arial" w:cs="Arial" w:eastAsia="Arial" w:hAnsi="Arial"/>
          <w:sz w:val="18"/>
          <w:szCs w:val="18"/>
          <w:color w:val="auto"/>
        </w:rPr>
        <w:t>The largest component of our sales and marketing</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expenses is salaries and related personnel expenses for our marketing, sales and other sales-support employees. Sales and marketing expenses also include advertising and promotions, including trade shows,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add new distributors as we expand to new territories, and strengthen relationships with existing distributors.</w:t>
      </w:r>
    </w:p>
    <w:p>
      <w:pPr>
        <w:spacing w:after="0" w:line="200" w:lineRule="exact"/>
        <w:rPr>
          <w:sz w:val="20"/>
          <w:szCs w:val="20"/>
          <w:color w:val="auto"/>
        </w:rPr>
      </w:pPr>
    </w:p>
    <w:p>
      <w:pPr>
        <w:spacing w:after="0" w:line="359" w:lineRule="exact"/>
        <w:rPr>
          <w:sz w:val="20"/>
          <w:szCs w:val="20"/>
          <w:color w:val="auto"/>
        </w:rPr>
      </w:pPr>
    </w:p>
    <w:p>
      <w:pPr>
        <w:ind w:left="120" w:right="239" w:firstLine="216"/>
        <w:spacing w:after="0" w:line="260" w:lineRule="auto"/>
        <w:rPr>
          <w:sz w:val="20"/>
          <w:szCs w:val="20"/>
          <w:color w:val="auto"/>
        </w:rPr>
      </w:pPr>
      <w:r>
        <w:rPr>
          <w:rFonts w:ascii="Courier New" w:cs="Courier New" w:eastAsia="Courier New" w:hAnsi="Courier New"/>
          <w:sz w:val="18"/>
          <w:szCs w:val="18"/>
          <w:i w:val="1"/>
          <w:iCs w:val="1"/>
          <w:color w:val="auto"/>
        </w:rPr>
        <w:t xml:space="preserve">General and Administrative Expenses. </w:t>
      </w:r>
      <w:r>
        <w:rPr>
          <w:rFonts w:ascii="Arial" w:cs="Arial" w:eastAsia="Arial" w:hAnsi="Arial"/>
          <w:sz w:val="18"/>
          <w:szCs w:val="18"/>
          <w:color w:val="auto"/>
        </w:rPr>
        <w:t>The largest component of our general and</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administrative expenses is salaries and related personnel expenses for our executive oﬃcers, financial staﬀ, information technology staﬀ, and human resources staﬀ. General and administrative costs also include fees for accounting and legal services and allocated overhead costs for facilities, including rent payments under our facilities leases. We expect our general and administrative expenses to increase in absolute terms as our sales continue to grow and as we begin operating as a public company.</w:t>
      </w:r>
    </w:p>
    <w:p>
      <w:pPr>
        <w:spacing w:after="0" w:line="3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152" w:lineRule="exact"/>
        <w:rPr>
          <w:sz w:val="20"/>
          <w:szCs w:val="20"/>
          <w:color w:val="auto"/>
        </w:rPr>
      </w:pPr>
    </w:p>
    <w:p>
      <w:pPr>
        <w:ind w:left="120" w:right="139" w:firstLine="216"/>
        <w:spacing w:after="0" w:line="263" w:lineRule="auto"/>
        <w:rPr>
          <w:sz w:val="20"/>
          <w:szCs w:val="20"/>
          <w:color w:val="auto"/>
        </w:rPr>
      </w:pPr>
      <w:r>
        <w:rPr>
          <w:rFonts w:ascii="Arial" w:cs="Arial" w:eastAsia="Arial" w:hAnsi="Arial"/>
          <w:sz w:val="18"/>
          <w:szCs w:val="18"/>
          <w:color w:val="auto"/>
        </w:rPr>
        <w:t>Finance expenses, net consists of foreign currency exchange gains or losses and, to a lesser extent, interest income. Foreign currency exchange changes reflect gains or losses related to changes in the value of our non-U.S. dollar denominated financial assets, primarily cash and cash equivalents, and trade payables and receivables. As of December 31, 2014, we did not have any indebtedness for borrowed amounts. Interest income consists of interest earned on our cash, cash equivalents and short-term bank deposits. We expect interest income to vary depending on our average investment balances and market interest rates during each reporting period.</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52"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The standard corporate tax rate in Israel for 2014 and thereafter is 26.5% and was 25.0% in 2012 and 2013. At the parent company level, a small amount of the taxable income of Kornit Digital was taxed prior to 2014 at the 25.0% rate. However, as discussed in greater detail below under “Taxation — Israeli Tax Considerations and Government Programs,” we and our wholly-owned Israeli subsidiary, Kornit Digital Technologies Ltd., or Kornit Technologies, are entitled to various tax benefits under the Israeli Law for the Encouragement of Capital Investments, 1959, or the Investment Law. As a result of these benefits, referred to as “beneficiary enterprise” and “preferred enterprise” status, prior to 2014, substantially all of the income that we generated was exempt from income tax resulting in an overall eﬀective tax rate, on a blended basis, of approximately 5%. Although Kornit Technologies had (and continues to have) net operating loss carryforwards, prior to 2014 we were unable to apply them to oﬀset the amount of Israeli taxable income that we generated. As a result, we were subject to taxes on our taxable income at the parent company level.</w:t>
      </w:r>
    </w:p>
    <w:p>
      <w:pPr>
        <w:spacing w:after="0" w:line="200" w:lineRule="exact"/>
        <w:rPr>
          <w:sz w:val="20"/>
          <w:szCs w:val="20"/>
          <w:color w:val="auto"/>
        </w:rPr>
      </w:pPr>
    </w:p>
    <w:p>
      <w:pPr>
        <w:spacing w:after="0" w:line="337" w:lineRule="exact"/>
        <w:rPr>
          <w:sz w:val="20"/>
          <w:szCs w:val="20"/>
          <w:color w:val="auto"/>
        </w:rPr>
      </w:pPr>
    </w:p>
    <w:p>
      <w:pPr>
        <w:ind w:left="120" w:right="259" w:firstLine="216"/>
        <w:spacing w:after="0" w:line="265" w:lineRule="auto"/>
        <w:rPr>
          <w:sz w:val="20"/>
          <w:szCs w:val="20"/>
          <w:color w:val="auto"/>
        </w:rPr>
      </w:pPr>
      <w:r>
        <w:rPr>
          <w:rFonts w:ascii="Arial" w:cs="Arial" w:eastAsia="Arial" w:hAnsi="Arial"/>
          <w:sz w:val="18"/>
          <w:szCs w:val="18"/>
          <w:color w:val="auto"/>
        </w:rPr>
        <w:t>Starting from January 1, 2014, we have consolidated the results of our Israeli operations for tax purposes such that future net operating loss carryforwards of Kornit Technologies can be used to oﬀset Israeli taxable income from us. Kornit Technologies currently generates suﬃcient net operating loss carryforwards to oﬀset the taxable income of the parent. Accordingly, we were not subject to income tax in Israel in 2014 and our eﬀective tax rate was the blended rate of our Israeli tax obligations and those of our non-Israeli subsidiaries in their respective jurisdictions of organization.</w:t>
      </w:r>
    </w:p>
    <w:p>
      <w:pPr>
        <w:sectPr>
          <w:pgSz w:w="11900" w:h="16838" w:orient="portrait"/>
          <w:cols w:equalWidth="0" w:num="1">
            <w:col w:w="9019"/>
          </w:cols>
          <w:pgMar w:left="1440" w:top="94"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type w:val="continuous"/>
        </w:sectPr>
      </w:pPr>
    </w:p>
    <w:bookmarkStart w:id="43" w:name="page44"/>
    <w:bookmarkEnd w:id="43"/>
    <w:p>
      <w:pPr>
        <w:ind w:left="120" w:right="439" w:firstLine="216"/>
        <w:spacing w:after="0" w:line="280" w:lineRule="auto"/>
        <w:rPr>
          <w:sz w:val="20"/>
          <w:szCs w:val="20"/>
          <w:color w:val="auto"/>
        </w:rPr>
      </w:pPr>
      <w:r>
        <w:rPr>
          <w:rFonts w:ascii="Arial" w:cs="Arial" w:eastAsia="Arial" w:hAnsi="Arial"/>
          <w:sz w:val="18"/>
          <w:szCs w:val="18"/>
          <w:color w:val="auto"/>
        </w:rPr>
        <w:t>Under the Investment Law and other Israeli legislation, we are entitled to certain additional tax benefits, including accelerated depreciation and amortization rates for tax purposes on certain assets, deduction of public oﬀering expenses in three equal annual installments and amortization of other intangible property rights for tax purposes.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7" w:lineRule="exact"/>
        <w:rPr>
          <w:sz w:val="20"/>
          <w:szCs w:val="20"/>
          <w:color w:val="auto"/>
        </w:rPr>
      </w:pPr>
    </w:p>
    <w:p>
      <w:pPr>
        <w:ind w:left="120" w:right="759" w:firstLine="216"/>
        <w:spacing w:after="0" w:line="338" w:lineRule="auto"/>
        <w:rPr>
          <w:sz w:val="20"/>
          <w:szCs w:val="20"/>
          <w:color w:val="auto"/>
        </w:rPr>
      </w:pPr>
      <w:r>
        <w:rPr>
          <w:rFonts w:ascii="Arial" w:cs="Arial" w:eastAsia="Arial" w:hAnsi="Arial"/>
          <w:sz w:val="18"/>
          <w:szCs w:val="18"/>
          <w:color w:val="auto"/>
        </w:rPr>
        <w:t>The following tables set forth our results of operations in dollars and as a percentage of revenues for the periods indicated:</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571"/>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1"/>
              <w:spacing w:after="0" w:line="183" w:lineRule="exact"/>
              <w:rPr>
                <w:sz w:val="20"/>
                <w:szCs w:val="20"/>
                <w:color w:val="auto"/>
              </w:rPr>
            </w:pPr>
            <w:r>
              <w:rPr>
                <w:rFonts w:ascii="Arial" w:cs="Arial" w:eastAsia="Arial" w:hAnsi="Arial"/>
                <w:sz w:val="16"/>
                <w:szCs w:val="16"/>
                <w:b w:val="1"/>
                <w:bCs w:val="1"/>
                <w:color w:val="auto"/>
              </w:rPr>
              <w:t>2013</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39,167</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49,395</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66,364</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revenues</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22,741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27,953</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37,187</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21,442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29,177</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7,734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10,616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5,266</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12,599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18,455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25,357</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3,820</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Finance expenses, net</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taxes on income</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Taxes on income</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1,393</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782</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1,134</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left="571"/>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1"/>
              <w:spacing w:after="0" w:line="183" w:lineRule="exact"/>
              <w:rPr>
                <w:sz w:val="20"/>
                <w:szCs w:val="20"/>
                <w:color w:val="auto"/>
              </w:rPr>
            </w:pPr>
            <w:r>
              <w:rPr>
                <w:rFonts w:ascii="Arial" w:cs="Arial" w:eastAsia="Arial" w:hAnsi="Arial"/>
                <w:sz w:val="16"/>
                <w:szCs w:val="16"/>
                <w:b w:val="1"/>
                <w:bCs w:val="1"/>
                <w:color w:val="auto"/>
              </w:rPr>
              <w:t>2013</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(as a % of revenues)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revenues</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56.6</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56.0</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Finance expenses, net</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taxes on income</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Taxes on income</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2013 and 2014</w:t>
      </w:r>
    </w:p>
    <w:p>
      <w:pPr>
        <w:spacing w:after="0" w:line="23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Revenues</w:t>
      </w:r>
    </w:p>
    <w:p>
      <w:pPr>
        <w:spacing w:after="0" w:line="185" w:lineRule="exact"/>
        <w:rPr>
          <w:sz w:val="20"/>
          <w:szCs w:val="20"/>
          <w:color w:val="auto"/>
        </w:rPr>
      </w:pPr>
    </w:p>
    <w:p>
      <w:pPr>
        <w:ind w:left="120" w:right="219" w:firstLine="216"/>
        <w:spacing w:after="0" w:line="258" w:lineRule="auto"/>
        <w:rPr>
          <w:sz w:val="20"/>
          <w:szCs w:val="20"/>
          <w:color w:val="auto"/>
        </w:rPr>
      </w:pPr>
      <w:r>
        <w:rPr>
          <w:rFonts w:ascii="Arial" w:cs="Arial" w:eastAsia="Arial" w:hAnsi="Arial"/>
          <w:sz w:val="18"/>
          <w:szCs w:val="18"/>
          <w:color w:val="auto"/>
        </w:rPr>
        <w:t>Revenues increased by $17.0 million, or 34.4%, to $66.4 million in 2014 from $49.4 million in 2013. Most of the growth in revenues resulted from a 45.5% increase in system and services revenues to $ 40.6 million in 2014 from $27.9 million in 2013. The growth in revenues also resulted from a 20.0% increase in sales of ink and other consumables to $25.8 million in 2014 from $21.5 million in 2013. The substantial majority of the $12.7 million growth in system and services revenues was attributable to a change in the mix of systems sold, specifically sales of more high throughput systems in this period, which sell for higher average selling prices than our entry level systems. We believe that the increase in sales of high throughput systems was a result of our coordinated marketing eﬀorts following the introduction of a more advanced high throughput system in mid-2013, positive reception of these products and the growing maturity of the web-to-print business model facilitated by high throughput systems. The $4.3 million increase in ink and other consumables revenues was due to higher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44" w:name="page45"/>
    <w:bookmarkEnd w:id="44"/>
    <w:p>
      <w:pPr>
        <w:ind w:left="120" w:right="479"/>
        <w:spacing w:after="0" w:line="312" w:lineRule="auto"/>
        <w:rPr>
          <w:sz w:val="20"/>
          <w:szCs w:val="20"/>
          <w:color w:val="auto"/>
        </w:rPr>
      </w:pPr>
      <w:r>
        <w:rPr>
          <w:rFonts w:ascii="Arial" w:cs="Arial" w:eastAsia="Arial" w:hAnsi="Arial"/>
          <w:sz w:val="16"/>
          <w:szCs w:val="16"/>
          <w:color w:val="auto"/>
        </w:rPr>
        <w:t>sales volumes of ink and other consumables. The absolute and percentage increase in ink and other consumables revenues in 2014 compared to 2013 was smaller than in 2013 compared to 2012 because systems sales were lower in 2013 and accordingly drove a smaller increase in sales of ink and other consumables in 2014.</w:t>
      </w:r>
    </w:p>
    <w:p>
      <w:pPr>
        <w:spacing w:after="0" w:line="15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Cost of Revenues and Gross Profit</w:t>
      </w:r>
    </w:p>
    <w:p>
      <w:pPr>
        <w:spacing w:after="0" w:line="185"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Cost of revenues increased by $9.2 million, or 32.9%, to $37.2 million in 2014 from $28.0 million in 2013. Gross profit increased by $7.8 million, or 36.4%, to $ 29.2 million in 2014, as compared to $21.4 million in 2013. Gross margin was 44.0% in 2014 compared to 43.4% in 2013. The increase in gross margin is related to a 8.1% increase in systems gross margin partially oﬀset by a 3.0% decrease in gross margin from ink and other consumables in each case compared to the prior year. The increase in system gross margin resulted from an increase in sales of higher margin high throughput systems while the decrease in ink and other consumables gross margin resulted mainly from higher costs of revenues related to increased rent expense due to the expansion of the facility where we manufacture our ink and other consumables and increased headcount expense relating to increased production of ink and other consumables.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Operating Expenses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799"/>
              <w:spacing w:after="0" w:line="183" w:lineRule="exact"/>
              <w:rPr>
                <w:sz w:val="20"/>
                <w:szCs w:val="20"/>
                <w:color w:val="auto"/>
              </w:rPr>
            </w:pPr>
            <w:r>
              <w:rPr>
                <w:rFonts w:ascii="Arial" w:cs="Arial" w:eastAsia="Arial" w:hAnsi="Arial"/>
                <w:sz w:val="16"/>
                <w:szCs w:val="16"/>
                <w:b w:val="1"/>
                <w:bCs w:val="1"/>
                <w:color w:val="auto"/>
              </w:rPr>
              <w:t>2013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793"/>
              <w:spacing w:after="0" w:line="183" w:lineRule="exact"/>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12"/>
                <w:szCs w:val="12"/>
                <w:color w:val="auto"/>
              </w:rPr>
            </w:pPr>
          </w:p>
        </w:tc>
        <w:tc>
          <w:tcPr>
            <w:tcW w:w="980" w:type="dxa"/>
            <w:vAlign w:val="bottom"/>
          </w:tcPr>
          <w:p>
            <w:pPr>
              <w:jc w:val="right"/>
              <w:ind w:right="219"/>
              <w:spacing w:after="0" w:line="143" w:lineRule="exact"/>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213"/>
              <w:spacing w:after="0" w:line="143" w:lineRule="exact"/>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5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vMerge w:val="continue"/>
          </w:tcPr>
          <w:p>
            <w:pPr>
              <w:spacing w:after="0"/>
              <w:rPr>
                <w:sz w:val="19"/>
                <w:szCs w:val="19"/>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right"/>
              <w:ind w:right="820"/>
              <w:spacing w:after="0" w:line="183" w:lineRule="exact"/>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Operating</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line="162" w:lineRule="exact"/>
              <w:rPr>
                <w:sz w:val="20"/>
                <w:szCs w:val="20"/>
                <w:color w:val="auto"/>
              </w:rPr>
            </w:pPr>
            <w:r>
              <w:rPr>
                <w:rFonts w:ascii="Arial" w:cs="Arial" w:eastAsia="Arial" w:hAnsi="Arial"/>
                <w:sz w:val="18"/>
                <w:szCs w:val="18"/>
                <w:color w:val="auto"/>
              </w:rPr>
              <w:t>Research and</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7,443</w:t>
            </w:r>
          </w:p>
        </w:tc>
        <w:tc>
          <w:tcPr>
            <w:tcW w:w="16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15.1%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9,475</w:t>
            </w:r>
          </w:p>
        </w:tc>
        <w:tc>
          <w:tcPr>
            <w:tcW w:w="360" w:type="dxa"/>
            <w:vAlign w:val="bottom"/>
          </w:tcPr>
          <w:p>
            <w:pPr>
              <w:spacing w:after="0"/>
              <w:rPr>
                <w:sz w:val="14"/>
                <w:szCs w:val="14"/>
                <w:color w:val="auto"/>
              </w:rPr>
            </w:pP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14.3%</w:t>
            </w:r>
          </w:p>
        </w:tc>
        <w:tc>
          <w:tcPr>
            <w:tcW w:w="34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2,032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30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Sales and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3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line="162" w:lineRule="exact"/>
              <w:rPr>
                <w:sz w:val="20"/>
                <w:szCs w:val="20"/>
                <w:color w:val="auto"/>
              </w:rPr>
            </w:pPr>
            <w:r>
              <w:rPr>
                <w:rFonts w:ascii="Arial" w:cs="Arial" w:eastAsia="Arial" w:hAnsi="Arial"/>
                <w:sz w:val="18"/>
                <w:szCs w:val="18"/>
                <w:color w:val="auto"/>
              </w:rPr>
              <w:t>General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3,278</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5,266</w:t>
            </w: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1,988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ind w:left="100"/>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vMerge w:val="restart"/>
            <w:shd w:val="clear" w:color="auto" w:fill="CCEEFF"/>
          </w:tcPr>
          <w:p>
            <w:pPr>
              <w:spacing w:after="0" w:line="162" w:lineRule="exact"/>
              <w:rPr>
                <w:sz w:val="20"/>
                <w:szCs w:val="20"/>
                <w:color w:val="auto"/>
              </w:rPr>
            </w:pPr>
            <w:r>
              <w:rPr>
                <w:rFonts w:ascii="Arial" w:cs="Arial" w:eastAsia="Arial" w:hAnsi="Arial"/>
                <w:sz w:val="18"/>
                <w:szCs w:val="18"/>
                <w:color w:val="auto"/>
              </w:rPr>
              <w:t>Total operating</w:t>
            </w: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vMerge w:val="continue"/>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16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36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34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gridSpan w:val="2"/>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600" w:type="dxa"/>
            <w:vAlign w:val="bottom"/>
            <w:gridSpan w:val="3"/>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20" w:right="179" w:firstLine="216"/>
        <w:spacing w:after="0" w:line="267" w:lineRule="auto"/>
        <w:rPr>
          <w:sz w:val="20"/>
          <w:szCs w:val="20"/>
          <w:color w:val="auto"/>
        </w:rPr>
      </w:pPr>
      <w:r>
        <w:rPr>
          <w:rFonts w:ascii="Courier New" w:cs="Courier New" w:eastAsia="Courier New" w:hAnsi="Courier New"/>
          <w:sz w:val="18"/>
          <w:szCs w:val="18"/>
          <w:i w:val="1"/>
          <w:iCs w:val="1"/>
          <w:color w:val="auto"/>
        </w:rPr>
        <w:t xml:space="preserve">Research and Development. </w:t>
      </w:r>
      <w:r>
        <w:rPr>
          <w:rFonts w:ascii="Arial" w:cs="Arial" w:eastAsia="Arial" w:hAnsi="Arial"/>
          <w:sz w:val="18"/>
          <w:szCs w:val="18"/>
          <w:color w:val="auto"/>
        </w:rPr>
        <w:t>Research and development expenses increased by 27.3% in</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2014 compared to 2013. This resulted primarily from an increase of $ 1.3 million in salaries and related personnel expenses due to the hiring of additional personnel. This increase related primarily to an increase in expenses relating to development of our new Vulcan system for the DTG market. As a percentage of total revenues, our research and development expenses slighty decreased in 2014 compared to 2013.</w:t>
      </w:r>
    </w:p>
    <w:p>
      <w:pPr>
        <w:spacing w:after="0" w:line="357" w:lineRule="exact"/>
        <w:rPr>
          <w:sz w:val="20"/>
          <w:szCs w:val="20"/>
          <w:color w:val="auto"/>
        </w:rPr>
      </w:pPr>
    </w:p>
    <w:p>
      <w:pPr>
        <w:ind w:left="120" w:right="119" w:firstLine="216"/>
        <w:spacing w:after="0" w:line="262" w:lineRule="auto"/>
        <w:rPr>
          <w:sz w:val="20"/>
          <w:szCs w:val="20"/>
          <w:color w:val="auto"/>
        </w:rPr>
      </w:pPr>
      <w:r>
        <w:rPr>
          <w:rFonts w:ascii="Courier New" w:cs="Courier New" w:eastAsia="Courier New" w:hAnsi="Courier New"/>
          <w:sz w:val="18"/>
          <w:szCs w:val="18"/>
          <w:i w:val="1"/>
          <w:iCs w:val="1"/>
          <w:color w:val="auto"/>
        </w:rPr>
        <w:t xml:space="preserve">Sales and Marketing. </w:t>
      </w:r>
      <w:r>
        <w:rPr>
          <w:rFonts w:ascii="Arial" w:cs="Arial" w:eastAsia="Arial" w:hAnsi="Arial"/>
          <w:sz w:val="18"/>
          <w:szCs w:val="18"/>
          <w:color w:val="auto"/>
        </w:rPr>
        <w:t>Sales and marketing expenses increased by 37.3% in 2014 compared</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to 2013. This increase was primarily due to an increase of $1.8 million in salaries and related personnel expenses due to the hiring of sales and marketing personnel in 2014, an increase of $0.3 million in marketing activities, including trade shows and online marketing activities. As a percentage of total revenues, our sales and marketing expenses rose slightly during this period, from 15.7% in 2013 to 16.0% in 2014. This increase reflects our strategy of continuing to increase our presence in new markets in which we operate and creating increased market awareness of our company from intensified marketing eﬀorts.</w:t>
      </w:r>
    </w:p>
    <w:p>
      <w:pPr>
        <w:spacing w:after="0" w:line="359" w:lineRule="exact"/>
        <w:rPr>
          <w:sz w:val="20"/>
          <w:szCs w:val="20"/>
          <w:color w:val="auto"/>
        </w:rPr>
      </w:pPr>
    </w:p>
    <w:p>
      <w:pPr>
        <w:ind w:left="120" w:right="219" w:firstLine="216"/>
        <w:spacing w:after="0" w:line="267" w:lineRule="auto"/>
        <w:rPr>
          <w:sz w:val="20"/>
          <w:szCs w:val="20"/>
          <w:color w:val="auto"/>
        </w:rPr>
      </w:pPr>
      <w:r>
        <w:rPr>
          <w:rFonts w:ascii="Courier New" w:cs="Courier New" w:eastAsia="Courier New" w:hAnsi="Courier New"/>
          <w:sz w:val="18"/>
          <w:szCs w:val="18"/>
          <w:i w:val="1"/>
          <w:iCs w:val="1"/>
          <w:color w:val="auto"/>
        </w:rPr>
        <w:t xml:space="preserve">General and Administrative. </w:t>
      </w:r>
      <w:r>
        <w:rPr>
          <w:rFonts w:ascii="Arial" w:cs="Arial" w:eastAsia="Arial" w:hAnsi="Arial"/>
          <w:sz w:val="18"/>
          <w:szCs w:val="18"/>
          <w:color w:val="auto"/>
        </w:rPr>
        <w:t>General and administrative expenses increased by 60.6% in</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2014 compared to 2013. This resulted primarily from an increase of $1.3 million in salaries and related personnel expenses due to the hiring of additional personnel reflecting an increase in headcount compared to the previous year and management changes. As a percentage of our total revenues in those years, such expenses increased, from 6.6% in 2013 to 7.9% in 2014 reflecting the expansion of our management team.</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Finance Expenses, Net</w:t>
      </w:r>
    </w:p>
    <w:p>
      <w:pPr>
        <w:spacing w:after="0" w:line="185" w:lineRule="exact"/>
        <w:rPr>
          <w:sz w:val="20"/>
          <w:szCs w:val="20"/>
          <w:color w:val="auto"/>
        </w:rPr>
      </w:pPr>
    </w:p>
    <w:p>
      <w:pPr>
        <w:jc w:val="both"/>
        <w:ind w:left="120" w:right="419" w:firstLine="216"/>
        <w:spacing w:after="0" w:line="294" w:lineRule="auto"/>
        <w:rPr>
          <w:sz w:val="20"/>
          <w:szCs w:val="20"/>
          <w:color w:val="auto"/>
        </w:rPr>
      </w:pPr>
      <w:r>
        <w:rPr>
          <w:rFonts w:ascii="Arial" w:cs="Arial" w:eastAsia="Arial" w:hAnsi="Arial"/>
          <w:sz w:val="18"/>
          <w:szCs w:val="18"/>
          <w:color w:val="auto"/>
        </w:rPr>
        <w:t>Finance expenses, net decreased from $460,000 in 2013 to $15,000 in 2014. This decrease resulted primarily from the eﬀects of exchange rates on our non-dollar denominated financial assets, specifically the exchange rate of the U.S. dollar to the NIS.</w:t>
      </w:r>
    </w:p>
    <w:p>
      <w:pPr>
        <w:spacing w:after="0" w:line="14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Taxes on Income</w:t>
      </w:r>
    </w:p>
    <w:p>
      <w:pPr>
        <w:spacing w:after="0" w:line="185"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8"/>
          <w:szCs w:val="18"/>
          <w:color w:val="auto"/>
        </w:rPr>
        <w:t>Taxes on income decreased from $1.4 million in 2013 to $0.8 million in 2014. Our eﬀective tax rate was 20.6% for 2014 compared to 55.1% for 2013. Our tax rate in 2013 reflected a full valuation allowance applied against the current loss for tax purposes incurred by our Israeli subsidiary, Kornit Technologies, which was not consolidated for tax purposes with our parent</w:t>
      </w:r>
    </w:p>
    <w:p>
      <w:pPr>
        <w:sectPr>
          <w:pgSz w:w="11900" w:h="16838" w:orient="portrait"/>
          <w:cols w:equalWidth="0" w:num="1">
            <w:col w:w="9019"/>
          </w:cols>
          <w:pgMar w:left="1440" w:top="125" w:right="1440" w:bottom="664"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664" w:gutter="0" w:footer="0" w:header="0"/>
          <w:type w:val="continuous"/>
        </w:sectPr>
      </w:pPr>
    </w:p>
    <w:bookmarkStart w:id="45" w:name="page46"/>
    <w:bookmarkEnd w:id="45"/>
    <w:p>
      <w:pPr>
        <w:ind w:left="120" w:right="399"/>
        <w:spacing w:after="0" w:line="295" w:lineRule="auto"/>
        <w:rPr>
          <w:sz w:val="20"/>
          <w:szCs w:val="20"/>
          <w:color w:val="auto"/>
        </w:rPr>
      </w:pPr>
      <w:r>
        <w:rPr>
          <w:rFonts w:ascii="Arial" w:cs="Arial" w:eastAsia="Arial" w:hAnsi="Arial"/>
          <w:sz w:val="18"/>
          <w:szCs w:val="18"/>
          <w:color w:val="auto"/>
        </w:rPr>
        <w:t>entity, Kornit Digital, which generates taxable income. Starting in 2014, we have consolidated Kornit Technologies for tax purposes resulting in significantly lower taxable income and a correspondingly lower eﬀective tax rate.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2012 and 2013</w:t>
      </w:r>
    </w:p>
    <w:p>
      <w:pPr>
        <w:spacing w:after="0" w:line="23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Revenues</w:t>
      </w:r>
    </w:p>
    <w:p>
      <w:pPr>
        <w:spacing w:after="0" w:line="185" w:lineRule="exact"/>
        <w:rPr>
          <w:sz w:val="20"/>
          <w:szCs w:val="20"/>
          <w:color w:val="auto"/>
        </w:rPr>
      </w:pPr>
    </w:p>
    <w:p>
      <w:pPr>
        <w:ind w:left="120" w:right="119" w:firstLine="216"/>
        <w:spacing w:after="0" w:line="261" w:lineRule="auto"/>
        <w:rPr>
          <w:sz w:val="20"/>
          <w:szCs w:val="20"/>
          <w:color w:val="auto"/>
        </w:rPr>
      </w:pPr>
      <w:r>
        <w:rPr>
          <w:rFonts w:ascii="Arial" w:cs="Arial" w:eastAsia="Arial" w:hAnsi="Arial"/>
          <w:sz w:val="18"/>
          <w:szCs w:val="18"/>
          <w:color w:val="auto"/>
        </w:rPr>
        <w:t>Revenues increased by $10.2 million, or 26.0%, to $49.4 million in 2013 from $39.2 million in 2012. Most of the growth in revenues resulted from a 41.4% increase in sales of ink and other consumables to $21.5 million in 2013 from $15.2 million in 2012. The growth in revenues also resulted from a 16.3% increase in sales of systems and services to $27.9 million in 2013 from $24.0 million in 2012. The smaller relative increase in revenues from systems and services compared to inks and other consumables resulted from sales of a fewer number of systems particularly in the first half of the year while the larger relative increase in revenues from ink and other consumables was due to the impact of systems sold in the previous year generating demand for such consumables.</w:t>
      </w: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193"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8"/>
          <w:szCs w:val="18"/>
          <w:color w:val="auto"/>
        </w:rPr>
        <w:t>Cost of revenues increased by $ 5.3 million, or 23.3%, to $ 28.0 million in 2013, as compared to $22.7 million in 2012. Gross profit increased by $5.0 million, or 30.5%, to $21.4 million in 2013, as compared to $16.4 million in 2012. Gross margin was 43.4% in 2013 compared to 41.9% in 2012. This increase in gross margin was primarily attributable to a 2.3% increase in gross margin from ink and other consumables partially oﬀset by a 2.8% decrease in systems gross margin, which was primarily due to sales of lower margin systems.</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Operating Expenses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799"/>
              <w:spacing w:after="0" w:line="183" w:lineRule="exact"/>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793"/>
              <w:spacing w:after="0" w:line="183" w:lineRule="exact"/>
              <w:rPr>
                <w:sz w:val="20"/>
                <w:szCs w:val="20"/>
                <w:color w:val="auto"/>
              </w:rPr>
            </w:pPr>
            <w:r>
              <w:rPr>
                <w:rFonts w:ascii="Arial" w:cs="Arial" w:eastAsia="Arial" w:hAnsi="Arial"/>
                <w:sz w:val="16"/>
                <w:szCs w:val="16"/>
                <w:b w:val="1"/>
                <w:bCs w:val="1"/>
                <w:color w:val="auto"/>
              </w:rPr>
              <w:t>2013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12"/>
                <w:szCs w:val="12"/>
                <w:color w:val="auto"/>
              </w:rPr>
            </w:pPr>
          </w:p>
        </w:tc>
        <w:tc>
          <w:tcPr>
            <w:tcW w:w="980" w:type="dxa"/>
            <w:vAlign w:val="bottom"/>
          </w:tcPr>
          <w:p>
            <w:pPr>
              <w:jc w:val="right"/>
              <w:ind w:right="219"/>
              <w:spacing w:after="0" w:line="143" w:lineRule="exact"/>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213"/>
              <w:spacing w:after="0" w:line="143" w:lineRule="exact"/>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5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vMerge w:val="continue"/>
          </w:tcPr>
          <w:p>
            <w:pPr>
              <w:spacing w:after="0"/>
              <w:rPr>
                <w:sz w:val="19"/>
                <w:szCs w:val="19"/>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right"/>
              <w:ind w:right="820"/>
              <w:spacing w:after="0" w:line="183" w:lineRule="exact"/>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Operating</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line="162" w:lineRule="exact"/>
              <w:rPr>
                <w:sz w:val="20"/>
                <w:szCs w:val="20"/>
                <w:color w:val="auto"/>
              </w:rPr>
            </w:pPr>
            <w:r>
              <w:rPr>
                <w:rFonts w:ascii="Arial" w:cs="Arial" w:eastAsia="Arial" w:hAnsi="Arial"/>
                <w:sz w:val="18"/>
                <w:szCs w:val="18"/>
                <w:color w:val="auto"/>
              </w:rPr>
              <w:t>Research and</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4,839</w:t>
            </w:r>
          </w:p>
        </w:tc>
        <w:tc>
          <w:tcPr>
            <w:tcW w:w="16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12.4%</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7,443</w:t>
            </w:r>
          </w:p>
        </w:tc>
        <w:tc>
          <w:tcPr>
            <w:tcW w:w="360" w:type="dxa"/>
            <w:vAlign w:val="bottom"/>
          </w:tcPr>
          <w:p>
            <w:pPr>
              <w:spacing w:after="0"/>
              <w:rPr>
                <w:sz w:val="14"/>
                <w:szCs w:val="14"/>
                <w:color w:val="auto"/>
              </w:rPr>
            </w:pP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15.1%</w:t>
            </w:r>
          </w:p>
        </w:tc>
        <w:tc>
          <w:tcPr>
            <w:tcW w:w="34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2,604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30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Sales and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line="162" w:lineRule="exact"/>
              <w:rPr>
                <w:sz w:val="20"/>
                <w:szCs w:val="20"/>
                <w:color w:val="auto"/>
              </w:rPr>
            </w:pPr>
            <w:r>
              <w:rPr>
                <w:rFonts w:ascii="Arial" w:cs="Arial" w:eastAsia="Arial" w:hAnsi="Arial"/>
                <w:sz w:val="18"/>
                <w:szCs w:val="18"/>
                <w:color w:val="auto"/>
              </w:rPr>
              <w:t>General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3,092</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3,278</w:t>
            </w: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vMerge w:val="restart"/>
            <w:shd w:val="clear" w:color="auto" w:fill="CCEEFF"/>
          </w:tcPr>
          <w:p>
            <w:pPr>
              <w:spacing w:after="0" w:line="162" w:lineRule="exact"/>
              <w:rPr>
                <w:sz w:val="20"/>
                <w:szCs w:val="20"/>
                <w:color w:val="auto"/>
              </w:rPr>
            </w:pPr>
            <w:r>
              <w:rPr>
                <w:rFonts w:ascii="Arial" w:cs="Arial" w:eastAsia="Arial" w:hAnsi="Arial"/>
                <w:sz w:val="18"/>
                <w:szCs w:val="18"/>
                <w:color w:val="auto"/>
              </w:rPr>
              <w:t>Total operating</w:t>
            </w: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vMerge w:val="continue"/>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16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6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34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gridSpan w:val="2"/>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600" w:type="dxa"/>
            <w:vAlign w:val="bottom"/>
            <w:gridSpan w:val="3"/>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20" w:right="139" w:firstLine="216"/>
        <w:spacing w:after="0" w:line="264" w:lineRule="auto"/>
        <w:rPr>
          <w:sz w:val="20"/>
          <w:szCs w:val="20"/>
          <w:color w:val="auto"/>
        </w:rPr>
      </w:pPr>
      <w:r>
        <w:rPr>
          <w:rFonts w:ascii="Courier New" w:cs="Courier New" w:eastAsia="Courier New" w:hAnsi="Courier New"/>
          <w:sz w:val="18"/>
          <w:szCs w:val="18"/>
          <w:i w:val="1"/>
          <w:iCs w:val="1"/>
          <w:color w:val="auto"/>
        </w:rPr>
        <w:t xml:space="preserve">Research and Development. </w:t>
      </w:r>
      <w:r>
        <w:rPr>
          <w:rFonts w:ascii="Arial" w:cs="Arial" w:eastAsia="Arial" w:hAnsi="Arial"/>
          <w:sz w:val="18"/>
          <w:szCs w:val="18"/>
          <w:color w:val="auto"/>
        </w:rPr>
        <w:t>Research and development expenses increased by 53.8% in</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2013 compared to 2012. This resulted primarily from an increase of $1.1 million in salaries and related personnel expenses, of which $0.3 million was due to currency fluctuations, and an increase of $ 0.7 million primarily in materials and related costs for our two beta sites in 2013 compared to 2012, in each case, related to the Allegro and Vulcan systems. As a percentage of total revenues, our research and development expenses increased relatively from 12.4% in 2012 to 15.1% in 2013, reflecting our increased focus on development of these new systems.</w:t>
      </w:r>
    </w:p>
    <w:p>
      <w:pPr>
        <w:spacing w:after="0" w:line="131" w:lineRule="exact"/>
        <w:rPr>
          <w:sz w:val="20"/>
          <w:szCs w:val="20"/>
          <w:color w:val="auto"/>
        </w:rPr>
      </w:pPr>
    </w:p>
    <w:p>
      <w:pPr>
        <w:ind w:left="120" w:right="219" w:firstLine="216"/>
        <w:spacing w:after="0" w:line="258" w:lineRule="auto"/>
        <w:rPr>
          <w:sz w:val="20"/>
          <w:szCs w:val="20"/>
          <w:color w:val="auto"/>
        </w:rPr>
      </w:pPr>
      <w:r>
        <w:rPr>
          <w:rFonts w:ascii="Courier New" w:cs="Courier New" w:eastAsia="Courier New" w:hAnsi="Courier New"/>
          <w:sz w:val="18"/>
          <w:szCs w:val="18"/>
          <w:i w:val="1"/>
          <w:iCs w:val="1"/>
          <w:color w:val="auto"/>
        </w:rPr>
        <w:t>Sales and Marketing</w:t>
      </w:r>
      <w:r>
        <w:rPr>
          <w:rFonts w:ascii="Arial" w:cs="Arial" w:eastAsia="Arial" w:hAnsi="Arial"/>
          <w:sz w:val="18"/>
          <w:szCs w:val="18"/>
          <w:color w:val="auto"/>
        </w:rPr>
        <w:t>. Sales and marketing expenses increased by 65.7% in 2013 compared</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to 2012. This increase was primarily due to an increase of $1.6 million in salaries and related personnel costs due to increased recruiting of sales and marketing personnel in 2013 as part of our strategic sales and marketing initiatives, of which $0.1 million was due to currency fluctuations, and an increase of $ 0.7 million in marketing activities, including trade shows and corporate rebranding in 2013. As a percentage of total revenues, our sales and marketing expenses rose during this period, from 11.9% in 2012 to 15.7% in 2013. This increase reflects our strategic determination to improve our presence in our active territories and deepen relationships with our existing distributors and entering into new markets, while also increasing market awareness of our company by intensifying our marketing eﬀorts and adding distribution channels.</w:t>
      </w:r>
    </w:p>
    <w:p>
      <w:pPr>
        <w:sectPr>
          <w:pgSz w:w="11900" w:h="16838" w:orient="portrait"/>
          <w:cols w:equalWidth="0" w:num="1">
            <w:col w:w="9019"/>
          </w:cols>
          <w:pgMar w:left="1440" w:top="92"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46" w:name="page47"/>
    <w:bookmarkEnd w:id="46"/>
    <w:p>
      <w:pPr>
        <w:ind w:left="120" w:right="139" w:firstLine="216"/>
        <w:spacing w:after="0" w:line="264" w:lineRule="auto"/>
        <w:rPr>
          <w:sz w:val="20"/>
          <w:szCs w:val="20"/>
          <w:color w:val="auto"/>
        </w:rPr>
      </w:pPr>
      <w:r>
        <w:rPr>
          <w:rFonts w:ascii="Courier New" w:cs="Courier New" w:eastAsia="Courier New" w:hAnsi="Courier New"/>
          <w:sz w:val="18"/>
          <w:szCs w:val="18"/>
          <w:i w:val="1"/>
          <w:iCs w:val="1"/>
          <w:color w:val="auto"/>
        </w:rPr>
        <w:t xml:space="preserve">General and Administrative. </w:t>
      </w:r>
      <w:r>
        <w:rPr>
          <w:rFonts w:ascii="Arial" w:cs="Arial" w:eastAsia="Arial" w:hAnsi="Arial"/>
          <w:sz w:val="18"/>
          <w:szCs w:val="18"/>
          <w:color w:val="auto"/>
        </w:rPr>
        <w:t>General and administrative expenses increased by 6.0% in</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2013 compared to 2012, reflecting an increase in headcount generated by increased activity across all areas of our business in each of those years compared to the previous year. Despite the absolute increase in general and administrative expenses in 2013 compared to 2012, as a percentage of our total revenues in those years, such expenses decreased, from 7.9% in 2012 to 6.6% in 2013, reflecting our increased revenues as well as our eﬀorts to manage our expansion eﬃciently.</w:t>
      </w:r>
    </w:p>
    <w:p>
      <w:pPr>
        <w:spacing w:after="0" w:line="36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Finance Expenses, Net</w:t>
      </w:r>
    </w:p>
    <w:p>
      <w:pPr>
        <w:spacing w:after="0" w:line="158" w:lineRule="exact"/>
        <w:rPr>
          <w:sz w:val="20"/>
          <w:szCs w:val="20"/>
          <w:color w:val="auto"/>
        </w:rPr>
      </w:pPr>
    </w:p>
    <w:p>
      <w:pPr>
        <w:ind w:left="120" w:right="199" w:firstLine="216"/>
        <w:spacing w:after="0" w:line="284" w:lineRule="auto"/>
        <w:rPr>
          <w:sz w:val="20"/>
          <w:szCs w:val="20"/>
          <w:color w:val="auto"/>
        </w:rPr>
      </w:pPr>
      <w:r>
        <w:rPr>
          <w:rFonts w:ascii="Arial" w:cs="Arial" w:eastAsia="Arial" w:hAnsi="Arial"/>
          <w:sz w:val="18"/>
          <w:szCs w:val="18"/>
          <w:color w:val="auto"/>
        </w:rPr>
        <w:t>Finance expenses increased from $0.3 million in 2012 to $0.5 million in 2013. This increase was primarily attributable to expenses arising from foreign currency fluctuations in 2013, as changes in the U.S. dollar in relation to the NIS and other currencies resulted in foreign currency exchange losses.</w:t>
      </w:r>
    </w:p>
    <w:p>
      <w:pPr>
        <w:spacing w:after="0" w:line="34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Taxes on Income</w:t>
      </w:r>
    </w:p>
    <w:p>
      <w:pPr>
        <w:spacing w:after="0" w:line="144" w:lineRule="exact"/>
        <w:rPr>
          <w:sz w:val="20"/>
          <w:szCs w:val="20"/>
          <w:color w:val="auto"/>
        </w:rPr>
      </w:pPr>
    </w:p>
    <w:p>
      <w:pPr>
        <w:ind w:left="120" w:right="139" w:firstLine="216"/>
        <w:spacing w:after="0" w:line="274" w:lineRule="auto"/>
        <w:rPr>
          <w:sz w:val="20"/>
          <w:szCs w:val="20"/>
          <w:color w:val="auto"/>
        </w:rPr>
      </w:pPr>
      <w:r>
        <w:rPr>
          <w:rFonts w:ascii="Arial" w:cs="Arial" w:eastAsia="Arial" w:hAnsi="Arial"/>
          <w:sz w:val="18"/>
          <w:szCs w:val="18"/>
          <w:color w:val="auto"/>
        </w:rPr>
        <w:t>Taxes on income increased from $ 1.2 million in 2012 to $1.4 million in 2013. This increase was primarily attributable to the change in our subsidiaries operating on a cost-plus basis to a low-cost distributor basis. This was due to a decision to expand the functions performed by the subsidiaries to include sales and marketing activities, which resulted in the subsidiaries generating more taxable income.</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and Seasonality</w:t>
      </w:r>
    </w:p>
    <w:p>
      <w:pPr>
        <w:spacing w:after="0" w:line="187"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8"/>
          <w:szCs w:val="18"/>
          <w:color w:val="auto"/>
        </w:rPr>
        <w:t>The following tables present our unaudited condensed consolidated quarterly results of operations in dollars and as a percentage of revenues for the periods indicated. This information should be read in conjunction with our consolidated financial statements and related notes included elsewhere in this prospectus. The historical quarterly results presented are not necessarily indicative of the results that may be expected for any future quarters or periods.</w:t>
      </w:r>
    </w:p>
    <w:p>
      <w:pPr>
        <w:spacing w:after="0" w:line="83"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8"/>
          <w:szCs w:val="18"/>
          <w:color w:val="auto"/>
        </w:rPr>
        <w:t>The quarterly supplemental financial measures below include quarterly Adjusted EBITDA, which is a non-GAAP financial measure. See “Summary—Summary Consolidated Financial Data” for a description of how we calculate Adjusted EBITDA. A reconciliation of this non- GAAP financial measure to the most directly comparable GAAP measure and a discussion about the limitations of this non-GAAP financial measure is provided below.</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209"/>
              <w:spacing w:after="0" w:line="119" w:lineRule="exact"/>
              <w:rPr>
                <w:sz w:val="20"/>
                <w:szCs w:val="20"/>
                <w:color w:val="auto"/>
              </w:rPr>
            </w:pPr>
            <w:r>
              <w:rPr>
                <w:rFonts w:ascii="Arial" w:cs="Arial" w:eastAsia="Arial" w:hAnsi="Arial"/>
                <w:sz w:val="13"/>
                <w:szCs w:val="13"/>
                <w:b w:val="1"/>
                <w:bCs w:val="1"/>
                <w:color w:val="auto"/>
              </w:rPr>
              <w:t>Mar. 31,</w:t>
            </w:r>
          </w:p>
        </w:tc>
        <w:tc>
          <w:tcPr>
            <w:tcW w:w="160" w:type="dxa"/>
            <w:vAlign w:val="bottom"/>
          </w:tcPr>
          <w:p>
            <w:pPr>
              <w:spacing w:after="0"/>
              <w:rPr>
                <w:sz w:val="10"/>
                <w:szCs w:val="10"/>
                <w:color w:val="auto"/>
              </w:rPr>
            </w:pPr>
          </w:p>
        </w:tc>
        <w:tc>
          <w:tcPr>
            <w:tcW w:w="80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78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w w:val="97"/>
              </w:rPr>
              <w:t>Sep. 30,</w:t>
            </w:r>
          </w:p>
        </w:tc>
        <w:tc>
          <w:tcPr>
            <w:tcW w:w="200" w:type="dxa"/>
            <w:vAlign w:val="bottom"/>
          </w:tcPr>
          <w:p>
            <w:pPr>
              <w:spacing w:after="0"/>
              <w:rPr>
                <w:sz w:val="10"/>
                <w:szCs w:val="10"/>
                <w:color w:val="auto"/>
              </w:rPr>
            </w:pPr>
          </w:p>
        </w:tc>
        <w:tc>
          <w:tcPr>
            <w:tcW w:w="78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w w:val="97"/>
              </w:rPr>
              <w:t>Dec. 31,</w:t>
            </w:r>
          </w:p>
        </w:tc>
        <w:tc>
          <w:tcPr>
            <w:tcW w:w="180" w:type="dxa"/>
            <w:vAlign w:val="bottom"/>
          </w:tcPr>
          <w:p>
            <w:pPr>
              <w:spacing w:after="0"/>
              <w:rPr>
                <w:sz w:val="10"/>
                <w:szCs w:val="10"/>
                <w:color w:val="auto"/>
              </w:rPr>
            </w:pPr>
          </w:p>
        </w:tc>
        <w:tc>
          <w:tcPr>
            <w:tcW w:w="80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rPr>
              <w:t>Mar. 31,</w:t>
            </w:r>
          </w:p>
        </w:tc>
        <w:tc>
          <w:tcPr>
            <w:tcW w:w="200" w:type="dxa"/>
            <w:vAlign w:val="bottom"/>
          </w:tcPr>
          <w:p>
            <w:pPr>
              <w:spacing w:after="0"/>
              <w:rPr>
                <w:sz w:val="10"/>
                <w:szCs w:val="10"/>
                <w:color w:val="auto"/>
              </w:rPr>
            </w:pPr>
          </w:p>
        </w:tc>
        <w:tc>
          <w:tcPr>
            <w:tcW w:w="80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800" w:type="dxa"/>
            <w:vAlign w:val="bottom"/>
          </w:tcPr>
          <w:p>
            <w:pPr>
              <w:jc w:val="right"/>
              <w:ind w:right="228"/>
              <w:spacing w:after="0" w:line="119" w:lineRule="exact"/>
              <w:rPr>
                <w:sz w:val="20"/>
                <w:szCs w:val="20"/>
                <w:color w:val="auto"/>
              </w:rPr>
            </w:pPr>
            <w:r>
              <w:rPr>
                <w:rFonts w:ascii="Arial" w:cs="Arial" w:eastAsia="Arial" w:hAnsi="Arial"/>
                <w:sz w:val="13"/>
                <w:szCs w:val="13"/>
                <w:b w:val="1"/>
                <w:bCs w:val="1"/>
                <w:color w:val="auto"/>
                <w:w w:val="97"/>
              </w:rPr>
              <w:t>Sep. 30,</w:t>
            </w:r>
          </w:p>
        </w:tc>
        <w:tc>
          <w:tcPr>
            <w:tcW w:w="200" w:type="dxa"/>
            <w:vAlign w:val="bottom"/>
          </w:tcPr>
          <w:p>
            <w:pPr>
              <w:spacing w:after="0"/>
              <w:rPr>
                <w:sz w:val="10"/>
                <w:szCs w:val="10"/>
                <w:color w:val="auto"/>
              </w:rPr>
            </w:pPr>
          </w:p>
        </w:tc>
        <w:tc>
          <w:tcPr>
            <w:tcW w:w="60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7"/>
              </w:rPr>
              <w:t>Dec. 31,</w:t>
            </w:r>
          </w:p>
        </w:tc>
        <w:tc>
          <w:tcPr>
            <w:tcW w:w="1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3"/>
          </w:tcPr>
          <w:p>
            <w:pPr>
              <w:jc w:val="center"/>
              <w:ind w:right="16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6"/>
        </w:trPr>
        <w:tc>
          <w:tcPr>
            <w:tcW w:w="20" w:type="dxa"/>
            <w:vAlign w:val="bottom"/>
          </w:tcPr>
          <w:p>
            <w:pPr>
              <w:spacing w:after="0"/>
              <w:rPr>
                <w:sz w:val="10"/>
                <w:szCs w:val="10"/>
                <w:color w:val="auto"/>
              </w:rPr>
            </w:pPr>
          </w:p>
        </w:tc>
        <w:tc>
          <w:tcPr>
            <w:tcW w:w="9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Statements of</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Data:</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8,478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11,807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13,900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15,210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13,262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15,739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18,494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18,869</w:t>
            </w: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3,014</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5,574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5,945</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6,909</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4,499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6,843</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9,298</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8,537</w:t>
            </w:r>
          </w:p>
        </w:tc>
        <w:tc>
          <w:tcPr>
            <w:tcW w:w="140" w:type="dxa"/>
            <w:vAlign w:val="bottom"/>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4"/>
                <w:szCs w:val="14"/>
                <w:color w:val="auto"/>
              </w:rPr>
              <w:t>Operating</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960" w:type="dxa"/>
            <w:vAlign w:val="bottom"/>
            <w:gridSpan w:val="2"/>
          </w:tcPr>
          <w:p>
            <w:pPr>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(539)</w:t>
            </w:r>
          </w:p>
        </w:tc>
        <w:tc>
          <w:tcPr>
            <w:tcW w:w="1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1,031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1,440</w:t>
            </w:r>
          </w:p>
        </w:tc>
        <w:tc>
          <w:tcPr>
            <w:tcW w:w="2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1,055</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(1,586)</w:t>
            </w:r>
          </w:p>
        </w:tc>
        <w:tc>
          <w:tcPr>
            <w:tcW w:w="20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643</w:t>
            </w:r>
          </w:p>
        </w:tc>
        <w:tc>
          <w:tcPr>
            <w:tcW w:w="1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3,447</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1,316</w:t>
            </w:r>
          </w:p>
        </w:tc>
        <w:tc>
          <w:tcPr>
            <w:tcW w:w="14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(loss)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(1,091)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3,170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40" w:type="dxa"/>
            <w:vAlign w:val="bottom"/>
            <w:shd w:val="clear" w:color="auto" w:fill="CCEEFF"/>
          </w:tcPr>
          <w:p>
            <w:pPr>
              <w:spacing w:after="0"/>
              <w:rPr>
                <w:sz w:val="14"/>
                <w:szCs w:val="14"/>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209"/>
              <w:spacing w:after="0" w:line="119" w:lineRule="exact"/>
              <w:rPr>
                <w:sz w:val="20"/>
                <w:szCs w:val="20"/>
                <w:color w:val="auto"/>
              </w:rPr>
            </w:pPr>
            <w:r>
              <w:rPr>
                <w:rFonts w:ascii="Arial" w:cs="Arial" w:eastAsia="Arial" w:hAnsi="Arial"/>
                <w:sz w:val="13"/>
                <w:szCs w:val="13"/>
                <w:b w:val="1"/>
                <w:bCs w:val="1"/>
                <w:color w:val="auto"/>
              </w:rPr>
              <w:t>Mar. 31,</w:t>
            </w:r>
          </w:p>
        </w:tc>
        <w:tc>
          <w:tcPr>
            <w:tcW w:w="960" w:type="dxa"/>
            <w:vAlign w:val="bottom"/>
            <w:gridSpan w:val="2"/>
          </w:tcPr>
          <w:p>
            <w:pPr>
              <w:jc w:val="right"/>
              <w:ind w:right="228"/>
              <w:spacing w:after="0" w:line="119" w:lineRule="exact"/>
              <w:rPr>
                <w:sz w:val="20"/>
                <w:szCs w:val="20"/>
                <w:color w:val="auto"/>
              </w:rPr>
            </w:pPr>
            <w:r>
              <w:rPr>
                <w:rFonts w:ascii="Arial" w:cs="Arial" w:eastAsia="Arial" w:hAnsi="Arial"/>
                <w:sz w:val="13"/>
                <w:szCs w:val="13"/>
                <w:b w:val="1"/>
                <w:bCs w:val="1"/>
                <w:color w:val="auto"/>
              </w:rPr>
              <w:t>June 30,</w:t>
            </w:r>
          </w:p>
        </w:tc>
        <w:tc>
          <w:tcPr>
            <w:tcW w:w="96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Sep. 30,</w:t>
            </w:r>
          </w:p>
        </w:tc>
        <w:tc>
          <w:tcPr>
            <w:tcW w:w="98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Dec. 31,</w:t>
            </w:r>
          </w:p>
        </w:tc>
        <w:tc>
          <w:tcPr>
            <w:tcW w:w="98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Mar. 31,</w:t>
            </w:r>
          </w:p>
        </w:tc>
        <w:tc>
          <w:tcPr>
            <w:tcW w:w="100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Sep. 30,</w:t>
            </w:r>
          </w:p>
        </w:tc>
        <w:tc>
          <w:tcPr>
            <w:tcW w:w="760" w:type="dxa"/>
            <w:vAlign w:val="bottom"/>
            <w:gridSpan w:val="2"/>
          </w:tcPr>
          <w:p>
            <w:pPr>
              <w:jc w:val="right"/>
              <w:ind w:right="28"/>
              <w:spacing w:after="0" w:line="119" w:lineRule="exact"/>
              <w:rPr>
                <w:sz w:val="20"/>
                <w:szCs w:val="20"/>
                <w:color w:val="auto"/>
              </w:rPr>
            </w:pPr>
            <w:r>
              <w:rPr>
                <w:rFonts w:ascii="Arial" w:cs="Arial" w:eastAsia="Arial" w:hAnsi="Arial"/>
                <w:sz w:val="13"/>
                <w:szCs w:val="13"/>
                <w:b w:val="1"/>
                <w:bCs w:val="1"/>
                <w:color w:val="auto"/>
              </w:rPr>
              <w:t>Dec. 31,</w:t>
            </w:r>
          </w:p>
        </w:tc>
        <w:tc>
          <w:tcPr>
            <w:tcW w:w="180" w:type="dxa"/>
            <w:vAlign w:val="bottom"/>
            <w:gridSpan w:val="2"/>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3"/>
          </w:tcPr>
          <w:p>
            <w:pPr>
              <w:jc w:val="center"/>
              <w:ind w:right="168"/>
              <w:spacing w:after="0" w:line="142" w:lineRule="exact"/>
              <w:rPr>
                <w:sz w:val="20"/>
                <w:szCs w:val="20"/>
                <w:color w:val="auto"/>
              </w:rPr>
            </w:pPr>
            <w:r>
              <w:rPr>
                <w:rFonts w:ascii="Arial" w:cs="Arial" w:eastAsia="Arial" w:hAnsi="Arial"/>
                <w:sz w:val="14"/>
                <w:szCs w:val="14"/>
                <w:b w:val="1"/>
                <w:bCs w:val="1"/>
                <w:color w:val="auto"/>
                <w:w w:val="91"/>
              </w:rPr>
              <w:t>(as a % of 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6"/>
        </w:trPr>
        <w:tc>
          <w:tcPr>
            <w:tcW w:w="20" w:type="dxa"/>
            <w:vAlign w:val="bottom"/>
          </w:tcPr>
          <w:p>
            <w:pPr>
              <w:spacing w:after="0"/>
              <w:rPr>
                <w:sz w:val="10"/>
                <w:szCs w:val="10"/>
                <w:color w:val="auto"/>
              </w:rPr>
            </w:pPr>
          </w:p>
        </w:tc>
        <w:tc>
          <w:tcPr>
            <w:tcW w:w="9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Statements of</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Data:</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35.6</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47.2</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42.8</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45.4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33.9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43.5</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50.3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4"/>
                <w:szCs w:val="14"/>
                <w:color w:val="auto"/>
              </w:rPr>
              <w:t>Operating</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960" w:type="dxa"/>
            <w:vAlign w:val="bottom"/>
            <w:gridSpan w:val="2"/>
          </w:tcPr>
          <w:p>
            <w:pPr>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8.7</w:t>
            </w:r>
          </w:p>
        </w:tc>
        <w:tc>
          <w:tcPr>
            <w:tcW w:w="1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18.6</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(loss)</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17.1</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311"/>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42</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2" w:right="1440" w:bottom="1440" w:gutter="0" w:footer="0" w:header="0"/>
        </w:sectPr>
      </w:pPr>
    </w:p>
    <w:bookmarkStart w:id="47" w:name="page48"/>
    <w:bookmarkEnd w:id="47"/>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9"/>
              <w:spacing w:after="0" w:line="119" w:lineRule="exact"/>
              <w:rPr>
                <w:sz w:val="20"/>
                <w:szCs w:val="20"/>
                <w:color w:val="auto"/>
              </w:rPr>
            </w:pPr>
            <w:r>
              <w:rPr>
                <w:rFonts w:ascii="Arial" w:cs="Arial" w:eastAsia="Arial" w:hAnsi="Arial"/>
                <w:sz w:val="13"/>
                <w:szCs w:val="13"/>
                <w:b w:val="1"/>
                <w:bCs w:val="1"/>
                <w:color w:val="auto"/>
                <w:w w:val="92"/>
              </w:rPr>
              <w:t>June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w w:val="93"/>
              </w:rPr>
              <w:t>Sep.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w w:val="93"/>
              </w:rPr>
              <w:t>Dec. 31,</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w w:val="92"/>
              </w:rPr>
              <w:t>June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w w:val="93"/>
              </w:rPr>
              <w:t>Sep.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w w:val="97"/>
              </w:rPr>
              <w:t>Dec.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5"/>
          </w:tcPr>
          <w:p>
            <w:pPr>
              <w:jc w:val="right"/>
              <w:ind w:right="56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Supplemental</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Data:</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60" w:type="dxa"/>
            <w:vAlign w:val="bottom"/>
          </w:tcPr>
          <w:p>
            <w:pPr>
              <w:spacing w:after="0" w:line="130" w:lineRule="exact"/>
              <w:rPr>
                <w:sz w:val="20"/>
                <w:szCs w:val="20"/>
                <w:color w:val="auto"/>
              </w:rPr>
            </w:pPr>
            <w:r>
              <w:rPr>
                <w:rFonts w:ascii="Arial" w:cs="Arial" w:eastAsia="Arial" w:hAnsi="Arial"/>
                <w:sz w:val="14"/>
                <w:szCs w:val="14"/>
                <w:color w:val="auto"/>
              </w:rPr>
              <w:t>Adjusted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EBITDA</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(199)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1,378</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1,736</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1,366</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(1,201)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1,164</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4,058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060" w:type="dxa"/>
            <w:vAlign w:val="bottom"/>
          </w:tcPr>
          <w:p>
            <w:pPr>
              <w:spacing w:after="0" w:line="126" w:lineRule="exact"/>
              <w:rPr>
                <w:sz w:val="20"/>
                <w:szCs w:val="20"/>
                <w:color w:val="auto"/>
              </w:rPr>
            </w:pPr>
            <w:r>
              <w:rPr>
                <w:rFonts w:ascii="Arial" w:cs="Arial" w:eastAsia="Arial" w:hAnsi="Arial"/>
                <w:sz w:val="14"/>
                <w:szCs w:val="14"/>
                <w:b w:val="1"/>
                <w:bCs w:val="1"/>
                <w:color w:val="auto"/>
              </w:rPr>
              <w:t>Reconciliation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 net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(loss)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Adjusted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EBITDA:</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(loss)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Pr>
          <w:p>
            <w:pPr>
              <w:spacing w:after="0" w:line="110" w:lineRule="exact"/>
              <w:rPr>
                <w:sz w:val="20"/>
                <w:szCs w:val="20"/>
                <w:color w:val="auto"/>
              </w:rPr>
            </w:pPr>
            <w:r>
              <w:rPr>
                <w:rFonts w:ascii="Arial" w:cs="Arial" w:eastAsia="Arial" w:hAnsi="Arial"/>
                <w:sz w:val="12"/>
                <w:szCs w:val="12"/>
                <w:color w:val="auto"/>
              </w:rPr>
              <w:t>Finance</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(income), net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Taxes on income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60" w:type="dxa"/>
            <w:vAlign w:val="bottom"/>
          </w:tcPr>
          <w:p>
            <w:pPr>
              <w:spacing w:after="0" w:line="130" w:lineRule="exact"/>
              <w:rPr>
                <w:sz w:val="20"/>
                <w:szCs w:val="20"/>
                <w:color w:val="auto"/>
              </w:rPr>
            </w:pPr>
            <w:r>
              <w:rPr>
                <w:rFonts w:ascii="Arial" w:cs="Arial" w:eastAsia="Arial" w:hAnsi="Arial"/>
                <w:sz w:val="14"/>
                <w:szCs w:val="14"/>
                <w:color w:val="auto"/>
                <w:w w:val="98"/>
              </w:rPr>
              <w:t>Depreciation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Share-based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Pr>
          <w:p>
            <w:pPr>
              <w:spacing w:after="0" w:line="110" w:lineRule="exact"/>
              <w:rPr>
                <w:sz w:val="20"/>
                <w:szCs w:val="20"/>
                <w:color w:val="auto"/>
              </w:rPr>
            </w:pPr>
            <w:r>
              <w:rPr>
                <w:rFonts w:ascii="Arial" w:cs="Arial" w:eastAsia="Arial" w:hAnsi="Arial"/>
                <w:sz w:val="12"/>
                <w:szCs w:val="12"/>
                <w:color w:val="auto"/>
              </w:rPr>
              <w:t>Adjusted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080" w:type="dxa"/>
            <w:vAlign w:val="bottom"/>
            <w:gridSpan w:val="2"/>
          </w:tcPr>
          <w:p>
            <w:pPr>
              <w:spacing w:after="0"/>
              <w:rPr>
                <w:sz w:val="20"/>
                <w:szCs w:val="20"/>
                <w:color w:val="auto"/>
              </w:rPr>
            </w:pPr>
            <w:r>
              <w:rPr>
                <w:rFonts w:ascii="Arial" w:cs="Arial" w:eastAsia="Arial" w:hAnsi="Arial"/>
                <w:sz w:val="14"/>
                <w:szCs w:val="14"/>
                <w:color w:val="auto"/>
              </w:rPr>
              <w:t>EBITDA</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(199)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1,378</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1,736</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1,366</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(1,201)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1,164</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4,058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2,048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20" w:right="139" w:firstLine="216"/>
        <w:spacing w:after="0" w:line="255" w:lineRule="auto"/>
        <w:rPr>
          <w:sz w:val="20"/>
          <w:szCs w:val="20"/>
          <w:color w:val="auto"/>
        </w:rPr>
      </w:pPr>
      <w:r>
        <w:rPr>
          <w:rFonts w:ascii="Courier New" w:cs="Courier New" w:eastAsia="Courier New" w:hAnsi="Courier New"/>
          <w:sz w:val="18"/>
          <w:szCs w:val="18"/>
          <w:i w:val="1"/>
          <w:iCs w:val="1"/>
          <w:color w:val="auto"/>
        </w:rPr>
        <w:t xml:space="preserve">Quarterly Revenue Trends. </w:t>
      </w:r>
      <w:r>
        <w:rPr>
          <w:rFonts w:ascii="Arial" w:cs="Arial" w:eastAsia="Arial" w:hAnsi="Arial"/>
          <w:sz w:val="18"/>
          <w:szCs w:val="18"/>
          <w:color w:val="auto"/>
        </w:rPr>
        <w:t>Our quarterly revenues increased year-over-year for all periods</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presented due to increased sales of our systems, particularly increased sales of our industrial systems, and increased sales of ink and other consumables due to our growing installed base. Comparisons of our year-over-year total quarterly revenues are more meaningful than comparisons of our sequential results due to seasonality in sales of our solutions. Our fourth quarter has historically been our strongest quarter for sales due to increased sales of ink and other consumables to our customers in response to increased demand from consumers around the holiday season. As a result, the first quarter is generally our weakest quarter due to lower sales of ink and other consumables. While we believe that these seasonal trends have affected and will continue to affect our quarterly results, our growth has largely mitigated seasonal trends to date. We do not know whether our business will become more seasonal in the future. Historical patterns in our business may therefore not be a reliable indicator of our future sales activity or performance.</w:t>
      </w:r>
    </w:p>
    <w:p>
      <w:pPr>
        <w:spacing w:after="0" w:line="200" w:lineRule="exact"/>
        <w:rPr>
          <w:sz w:val="20"/>
          <w:szCs w:val="20"/>
          <w:color w:val="auto"/>
        </w:rPr>
      </w:pPr>
    </w:p>
    <w:p>
      <w:pPr>
        <w:spacing w:after="0" w:line="386" w:lineRule="exact"/>
        <w:rPr>
          <w:sz w:val="20"/>
          <w:szCs w:val="20"/>
          <w:color w:val="auto"/>
        </w:rPr>
      </w:pPr>
    </w:p>
    <w:p>
      <w:pPr>
        <w:ind w:left="120" w:right="199" w:firstLine="216"/>
        <w:spacing w:after="0" w:line="271" w:lineRule="auto"/>
        <w:rPr>
          <w:sz w:val="20"/>
          <w:szCs w:val="20"/>
          <w:color w:val="auto"/>
        </w:rPr>
      </w:pPr>
      <w:r>
        <w:rPr>
          <w:rFonts w:ascii="Courier New" w:cs="Courier New" w:eastAsia="Courier New" w:hAnsi="Courier New"/>
          <w:sz w:val="18"/>
          <w:szCs w:val="18"/>
          <w:i w:val="1"/>
          <w:iCs w:val="1"/>
          <w:color w:val="auto"/>
        </w:rPr>
        <w:t>Quarterly Gross Profit and Margin Trends</w:t>
      </w:r>
      <w:r>
        <w:rPr>
          <w:rFonts w:ascii="Arial" w:cs="Arial" w:eastAsia="Arial" w:hAnsi="Arial"/>
          <w:sz w:val="18"/>
          <w:szCs w:val="18"/>
          <w:color w:val="auto"/>
        </w:rPr>
        <w:t>. Our quarterly gross profit increased year-over-year for all periods presented. Our quarterly gross margin has fluctuated over the periods presented due to lower sales of higher margin ink and other consumables in the first quarter. In addition, in the first quarter of 2014, gross profit was also impacted by pricing strategies implemented during 2013 to increase sales of entry level systems.</w:t>
      </w:r>
    </w:p>
    <w:p>
      <w:pPr>
        <w:spacing w:after="0" w:line="123" w:lineRule="exact"/>
        <w:rPr>
          <w:sz w:val="20"/>
          <w:szCs w:val="20"/>
          <w:color w:val="auto"/>
        </w:rPr>
      </w:pPr>
    </w:p>
    <w:p>
      <w:pPr>
        <w:ind w:left="120" w:right="159" w:firstLine="216"/>
        <w:spacing w:after="0" w:line="258" w:lineRule="auto"/>
        <w:rPr>
          <w:sz w:val="20"/>
          <w:szCs w:val="20"/>
          <w:color w:val="auto"/>
        </w:rPr>
      </w:pPr>
      <w:r>
        <w:rPr>
          <w:rFonts w:ascii="Courier New" w:cs="Courier New" w:eastAsia="Courier New" w:hAnsi="Courier New"/>
          <w:sz w:val="18"/>
          <w:szCs w:val="18"/>
          <w:i w:val="1"/>
          <w:iCs w:val="1"/>
          <w:color w:val="auto"/>
        </w:rPr>
        <w:t xml:space="preserve">Quarterly Operating Expense Trends. </w:t>
      </w:r>
      <w:r>
        <w:rPr>
          <w:rFonts w:ascii="Arial" w:cs="Arial" w:eastAsia="Arial" w:hAnsi="Arial"/>
          <w:sz w:val="18"/>
          <w:szCs w:val="18"/>
          <w:color w:val="auto"/>
        </w:rPr>
        <w:t>Our quarterly operating expenses increased year-over-year for all periods presented primarily due to the addition of personnel in connection with the expansion of our business. Research and development expenses generally increased sequentially over the periods as we increased our headcount to support continued investment in our future solutions, increased expenditures relating to beta sites and increased overhead allocations. Sales and marketing expenses increased significantly over the periods as we incurred costs associated with commission expenses to sales people, personnel costs associated with increases in headcount and an increase in overhead allocations. In addition, sales and marketing expenses vary from quarter to quarter based on timing of trade shows, which generally occur in the second and fourth quarters. General and administrative expenses increased over the periods primarily due to an increase in personnel costs, legal expenses and professional services fees related to preparing to be a public company.</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left="120" w:right="159" w:firstLine="216"/>
        <w:spacing w:after="0" w:line="284" w:lineRule="auto"/>
        <w:rPr>
          <w:sz w:val="20"/>
          <w:szCs w:val="20"/>
          <w:color w:val="auto"/>
        </w:rPr>
      </w:pPr>
      <w:r>
        <w:rPr>
          <w:rFonts w:ascii="Arial" w:cs="Arial" w:eastAsia="Arial" w:hAnsi="Arial"/>
          <w:sz w:val="18"/>
          <w:szCs w:val="18"/>
          <w:color w:val="auto"/>
        </w:rPr>
        <w:t>We had $5.0 million of cash and cash equivalents as of December 31, 2014 and $5.3 million as of December 31, 2013. We fund our operations with cash generated from operating activities. In the past, we have also raised capital through the sale of equity securities to investors in private placements.</w:t>
      </w:r>
    </w:p>
    <w:p>
      <w:pPr>
        <w:spacing w:after="0" w:line="346" w:lineRule="exact"/>
        <w:rPr>
          <w:sz w:val="20"/>
          <w:szCs w:val="20"/>
          <w:color w:val="auto"/>
        </w:rPr>
      </w:pPr>
    </w:p>
    <w:p>
      <w:pPr>
        <w:ind w:left="120" w:right="159" w:firstLine="216"/>
        <w:spacing w:after="0" w:line="263" w:lineRule="auto"/>
        <w:rPr>
          <w:sz w:val="20"/>
          <w:szCs w:val="20"/>
          <w:color w:val="auto"/>
        </w:rPr>
      </w:pPr>
      <w:r>
        <w:rPr>
          <w:rFonts w:ascii="Arial" w:cs="Arial" w:eastAsia="Arial" w:hAnsi="Arial"/>
          <w:sz w:val="18"/>
          <w:szCs w:val="18"/>
          <w:color w:val="auto"/>
        </w:rPr>
        <w:t>Our cash requirements have principally been for working capital and, to a lesser extent, capital expenditures. Our working capital requirements reflect the growth in our business and its seasonality. Historically, we have funded our working capital (primarily inventory) and capital expenditures from cash flows provided by our operating activities, investments in our equity securities and cash and cash equivalents on hand. Our capital expenditures relate primarily to our manufacturing facility for the production and bottling of our ink and other consumables in Kiryat Gat, Israel, as well as investment in our research and development labs in Rosh Ha’ayin, Israel. In addition to investments in those facilities, our capital investments have</w:t>
      </w:r>
    </w:p>
    <w:p>
      <w:pPr>
        <w:sectPr>
          <w:pgSz w:w="11900" w:h="16838" w:orient="portrait"/>
          <w:cols w:equalWidth="0" w:num="1">
            <w:col w:w="9019"/>
          </w:cols>
          <w:pgMar w:left="1440" w:top="118" w:right="1440" w:bottom="1163"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18" w:right="1440" w:bottom="1163" w:gutter="0" w:footer="0" w:header="0"/>
          <w:type w:val="continuous"/>
        </w:sectPr>
      </w:pPr>
    </w:p>
    <w:bookmarkStart w:id="48" w:name="page49"/>
    <w:bookmarkEnd w:id="48"/>
    <w:p>
      <w:pPr>
        <w:ind w:left="120" w:right="259"/>
        <w:spacing w:after="0" w:line="339" w:lineRule="auto"/>
        <w:rPr>
          <w:sz w:val="20"/>
          <w:szCs w:val="20"/>
          <w:color w:val="auto"/>
        </w:rPr>
      </w:pPr>
      <w:r>
        <w:rPr>
          <w:rFonts w:ascii="Arial" w:cs="Arial" w:eastAsia="Arial" w:hAnsi="Arial"/>
          <w:sz w:val="18"/>
          <w:szCs w:val="18"/>
          <w:color w:val="auto"/>
        </w:rPr>
        <w:t>included improvements and expansion of our distribution and corporate facilities to support our growth and investment and improvements in our information technology.</w:t>
      </w:r>
    </w:p>
    <w:p>
      <w:pPr>
        <w:spacing w:after="0" w:line="65" w:lineRule="exact"/>
        <w:rPr>
          <w:sz w:val="20"/>
          <w:szCs w:val="20"/>
          <w:color w:val="auto"/>
        </w:rPr>
      </w:pPr>
    </w:p>
    <w:p>
      <w:pPr>
        <w:ind w:left="120" w:right="139" w:firstLine="216"/>
        <w:spacing w:after="0" w:line="261" w:lineRule="auto"/>
        <w:rPr>
          <w:sz w:val="20"/>
          <w:szCs w:val="20"/>
          <w:color w:val="auto"/>
        </w:rPr>
      </w:pPr>
      <w:r>
        <w:rPr>
          <w:rFonts w:ascii="Arial" w:cs="Arial" w:eastAsia="Arial" w:hAnsi="Arial"/>
          <w:sz w:val="18"/>
          <w:szCs w:val="18"/>
          <w:color w:val="auto"/>
        </w:rPr>
        <w:t>The most significant element of our working capital requirements is for inventory. We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We are in the process of implementing changes to our inventory and manufacturing practices in order to better control our components inventory. Based on these initiatives, we expect inventory to continue to increase in the short term, but at a lower rate than the rate of revenue growth.</w:t>
      </w:r>
    </w:p>
    <w:p>
      <w:pPr>
        <w:spacing w:after="0" w:line="374" w:lineRule="exact"/>
        <w:rPr>
          <w:sz w:val="20"/>
          <w:szCs w:val="20"/>
          <w:color w:val="auto"/>
        </w:rPr>
      </w:pPr>
    </w:p>
    <w:p>
      <w:pPr>
        <w:ind w:left="120" w:right="139" w:firstLine="216"/>
        <w:spacing w:after="0" w:line="256" w:lineRule="auto"/>
        <w:rPr>
          <w:sz w:val="20"/>
          <w:szCs w:val="20"/>
          <w:color w:val="auto"/>
        </w:rPr>
      </w:pPr>
      <w:r>
        <w:rPr>
          <w:rFonts w:ascii="Arial" w:cs="Arial" w:eastAsia="Arial" w:hAnsi="Arial"/>
          <w:sz w:val="18"/>
          <w:szCs w:val="18"/>
          <w:color w:val="auto"/>
        </w:rPr>
        <w:t>As of December 31, 2014, we had two lines of credit with Israeli banks for total borrowings of up to $3.0 million, all of which was undrawn. These lines of credit are unsecured and available subject to our maintenance of a 30% ratio of total shareholders' equity to total assets. One line of credit also requires our maintenance of a minimum of $1.0 million cash and cash equivalents at the end of each fiscal quarter. Interest rates across our credit lines varied from 2.2% to 5.3% as of December 31, 2014. Each line of credit prohibits us and our subsidiaries from encumbering our assets and requires that we obtain the consent of the bank, or repay any amounts borrowed, in the event that we undergo a change of control. Specifically, we would typically be considered to be in default under one of our lines of credit if our controlling shareholder, Fortissimo Capital, ceases to control us. However, we do not expect to be considered in default for such a cease of control that occurs as a result of this oﬀering because the agreement provides an exception for changes of control that occur as a result of a listing on a stock exchange, such as the NASDAQ. Following the completion of this oﬀering, any borrowings under our second line of credit would become repayable if Fortissimo Capital ceases to hold 25.0% or more of our issued and outstanding shares and no longer has the right to appoint 25% or more of our directors.</w:t>
      </w:r>
    </w:p>
    <w:p>
      <w:pPr>
        <w:spacing w:after="0" w:line="393" w:lineRule="exact"/>
        <w:rPr>
          <w:sz w:val="20"/>
          <w:szCs w:val="20"/>
          <w:color w:val="auto"/>
        </w:rPr>
      </w:pPr>
    </w:p>
    <w:p>
      <w:pPr>
        <w:ind w:left="120" w:right="159" w:firstLine="216"/>
        <w:spacing w:after="0" w:line="263" w:lineRule="auto"/>
        <w:rPr>
          <w:sz w:val="20"/>
          <w:szCs w:val="20"/>
          <w:color w:val="auto"/>
        </w:rPr>
      </w:pPr>
      <w:r>
        <w:rPr>
          <w:rFonts w:ascii="Arial" w:cs="Arial" w:eastAsia="Arial" w:hAnsi="Arial"/>
          <w:sz w:val="18"/>
          <w:szCs w:val="18"/>
          <w:color w:val="auto"/>
        </w:rPr>
        <w:t>Based on our current business plans, we believe that our cash flows from operating activities and our existing cash resources will be suﬃcient to fund our projected cash requirements for at least the next 12 months without drawing on our lines of credit or using the net proceeds from this oﬀering. Our future capital requirements will depend on many factors, including our rate of revenue growth, the expansion of our sales and marketing activities and expansion into new geographic locations, the timing and extent of spending to support product development eﬀorts, the timing of introductions of new solutions and the continuing market acceptance of our solutions as well as other business development eﬀorts.</w:t>
      </w:r>
    </w:p>
    <w:p>
      <w:pPr>
        <w:spacing w:after="0" w:line="371" w:lineRule="exact"/>
        <w:rPr>
          <w:sz w:val="20"/>
          <w:szCs w:val="20"/>
          <w:color w:val="auto"/>
        </w:rPr>
      </w:pPr>
    </w:p>
    <w:p>
      <w:pPr>
        <w:ind w:left="120" w:right="1059" w:firstLine="216"/>
        <w:spacing w:after="0" w:line="289" w:lineRule="auto"/>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center"/>
              <w:ind w:left="574"/>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4"/>
              <w:spacing w:after="0" w:line="183" w:lineRule="exact"/>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92"/>
              <w:spacing w:after="0" w:line="183" w:lineRule="exact"/>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0" w:type="dxa"/>
            <w:vAlign w:val="bottom"/>
            <w:gridSpan w:val="2"/>
          </w:tcPr>
          <w:p>
            <w:pPr>
              <w:jc w:val="center"/>
              <w:spacing w:after="0" w:line="183" w:lineRule="exact"/>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Net cash provided by (used in) operating</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(1,042)</w:t>
            </w:r>
          </w:p>
        </w:tc>
        <w:tc>
          <w:tcPr>
            <w:tcW w:w="4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2,738</w:t>
            </w:r>
          </w:p>
        </w:tc>
        <w:tc>
          <w:tcPr>
            <w:tcW w:w="4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540" w:type="dxa"/>
            <w:vAlign w:val="bottom"/>
            <w:gridSpan w:val="2"/>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line="162" w:lineRule="exact"/>
              <w:rPr>
                <w:sz w:val="20"/>
                <w:szCs w:val="20"/>
                <w:color w:val="auto"/>
              </w:rPr>
            </w:pPr>
            <w:r>
              <w:rPr>
                <w:rFonts w:ascii="Arial" w:cs="Arial" w:eastAsia="Arial" w:hAnsi="Arial"/>
                <w:sz w:val="18"/>
                <w:szCs w:val="18"/>
                <w:color w:val="auto"/>
              </w:rPr>
              <w:t>Net cash provided by (used in) investing</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(3,121)</w:t>
            </w:r>
          </w:p>
        </w:tc>
        <w:tc>
          <w:tcPr>
            <w:tcW w:w="420" w:type="dxa"/>
            <w:vAlign w:val="bottom"/>
          </w:tcPr>
          <w:p>
            <w:pPr>
              <w:spacing w:after="0"/>
              <w:rPr>
                <w:sz w:val="14"/>
                <w:szCs w:val="14"/>
                <w:color w:val="auto"/>
              </w:rPr>
            </w:pPr>
          </w:p>
        </w:tc>
        <w:tc>
          <w:tcPr>
            <w:tcW w:w="1180" w:type="dxa"/>
            <w:vAlign w:val="bottom"/>
            <w:vMerge w:val="restart"/>
          </w:tcPr>
          <w:p>
            <w:pPr>
              <w:jc w:val="right"/>
              <w:ind w:right="52"/>
              <w:spacing w:after="0"/>
              <w:rPr>
                <w:sz w:val="20"/>
                <w:szCs w:val="20"/>
                <w:color w:val="auto"/>
              </w:rPr>
            </w:pPr>
            <w:r>
              <w:rPr>
                <w:rFonts w:ascii="Arial" w:cs="Arial" w:eastAsia="Arial" w:hAnsi="Arial"/>
                <w:sz w:val="18"/>
                <w:szCs w:val="18"/>
                <w:color w:val="auto"/>
              </w:rPr>
              <w:t>(2,103)</w:t>
            </w: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5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Year Ended December 31, 2014</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 in 2014 was $0.3 million.</w:t>
      </w:r>
    </w:p>
    <w:p>
      <w:pPr>
        <w:spacing w:after="0" w:line="252" w:lineRule="exact"/>
        <w:rPr>
          <w:sz w:val="20"/>
          <w:szCs w:val="20"/>
          <w:color w:val="auto"/>
        </w:rPr>
      </w:pPr>
    </w:p>
    <w:p>
      <w:pPr>
        <w:ind w:left="120" w:right="119" w:firstLine="216"/>
        <w:spacing w:after="0" w:line="272" w:lineRule="auto"/>
        <w:rPr>
          <w:sz w:val="20"/>
          <w:szCs w:val="20"/>
          <w:color w:val="auto"/>
        </w:rPr>
      </w:pPr>
      <w:r>
        <w:rPr>
          <w:rFonts w:ascii="Arial" w:cs="Arial" w:eastAsia="Arial" w:hAnsi="Arial"/>
          <w:sz w:val="18"/>
          <w:szCs w:val="18"/>
          <w:color w:val="auto"/>
        </w:rPr>
        <w:t>Net cash used in operating activities consisted of a net income of $3.0 million and a decrease of approximately $1.6 million in trade payables from the year ended December 31, 2013 to the year ended December 31, 2014. This was primarily due to the mix of products sold in 2014, which led to a shift of production to a third-party manufacturer with shorter payment terms as well as obtaining components from suppliers with shorter payment terms.</w:t>
      </w:r>
    </w:p>
    <w:p>
      <w:pPr>
        <w:sectPr>
          <w:pgSz w:w="11900" w:h="16838" w:orient="portrait"/>
          <w:cols w:equalWidth="0" w:num="1">
            <w:col w:w="9019"/>
          </w:cols>
          <w:pgMar w:left="1440" w:top="92"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49" w:name="page50"/>
    <w:bookmarkEnd w:id="49"/>
    <w:p>
      <w:pPr>
        <w:ind w:left="120" w:right="319" w:firstLine="216"/>
        <w:spacing w:after="0" w:line="289" w:lineRule="auto"/>
        <w:rPr>
          <w:sz w:val="20"/>
          <w:szCs w:val="20"/>
          <w:color w:val="auto"/>
        </w:rPr>
      </w:pPr>
      <w:r>
        <w:rPr>
          <w:rFonts w:ascii="Arial" w:cs="Arial" w:eastAsia="Arial" w:hAnsi="Arial"/>
          <w:sz w:val="18"/>
          <w:szCs w:val="18"/>
          <w:color w:val="auto"/>
        </w:rPr>
        <w:t>During the same period, we experienced an increase of $4.4 million in trade receivables due to the growth in our business. Our days sales’ outstanding, or DSO, for the year ended</w:t>
      </w:r>
    </w:p>
    <w:p>
      <w:pPr>
        <w:spacing w:after="0" w:line="2" w:lineRule="exact"/>
        <w:rPr>
          <w:sz w:val="20"/>
          <w:szCs w:val="20"/>
          <w:color w:val="auto"/>
        </w:rPr>
      </w:pPr>
    </w:p>
    <w:p>
      <w:pPr>
        <w:ind w:left="120" w:right="179"/>
        <w:spacing w:after="0" w:line="261" w:lineRule="auto"/>
        <w:rPr>
          <w:sz w:val="20"/>
          <w:szCs w:val="20"/>
          <w:color w:val="auto"/>
        </w:rPr>
      </w:pPr>
      <w:r>
        <w:rPr>
          <w:rFonts w:ascii="Arial" w:cs="Arial" w:eastAsia="Arial" w:hAnsi="Arial"/>
          <w:sz w:val="18"/>
          <w:szCs w:val="18"/>
          <w:color w:val="auto"/>
        </w:rPr>
        <w:t>December 31, 2014 was 54 compared to 42 for the year ended December 31, 2013.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the year ended December 31, 2014 reflected the increased activity in the fourth quarter of that year compared to the previous year.</w:t>
      </w:r>
    </w:p>
    <w:p>
      <w:pPr>
        <w:spacing w:after="0" w:line="200" w:lineRule="exact"/>
        <w:rPr>
          <w:sz w:val="20"/>
          <w:szCs w:val="20"/>
          <w:color w:val="auto"/>
        </w:rPr>
      </w:pPr>
    </w:p>
    <w:p>
      <w:pPr>
        <w:spacing w:after="0" w:line="202"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Our operating cash flows to fund the above activities were driven by our net income of $3.0 million (adjusted upward to reflect $2.2 million of non-cash expenses).</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Year ended December 31, 2013</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operating activities during 2013 was $2.7 million.</w:t>
      </w:r>
    </w:p>
    <w:p>
      <w:pPr>
        <w:spacing w:after="0" w:line="225"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8"/>
          <w:szCs w:val="18"/>
          <w:color w:val="auto"/>
        </w:rPr>
        <w:t>Our inventory balance on December 31, 2013 was $12 million, representing a $3.4 million increase in inventory compared to December 31, 2012, due to continued implementation of our strategy to grow inventory to support increased sales of parts and systems. In particular, during 2013, we accumulated inventory of our ink and other consumables outside of Israel and increased our inventory of parts and assembled systems to facilitate the flexibility to meet short lead time demands from our customers.</w:t>
      </w:r>
    </w:p>
    <w:p>
      <w:pPr>
        <w:spacing w:after="0" w:line="353" w:lineRule="exact"/>
        <w:rPr>
          <w:sz w:val="20"/>
          <w:szCs w:val="20"/>
          <w:color w:val="auto"/>
        </w:rPr>
      </w:pPr>
    </w:p>
    <w:p>
      <w:pPr>
        <w:ind w:left="120" w:right="179" w:firstLine="216"/>
        <w:spacing w:after="0" w:line="258" w:lineRule="auto"/>
        <w:rPr>
          <w:sz w:val="20"/>
          <w:szCs w:val="20"/>
          <w:color w:val="auto"/>
        </w:rPr>
      </w:pPr>
      <w:r>
        <w:rPr>
          <w:rFonts w:ascii="Arial" w:cs="Arial" w:eastAsia="Arial" w:hAnsi="Arial"/>
          <w:sz w:val="18"/>
          <w:szCs w:val="18"/>
          <w:color w:val="auto"/>
        </w:rPr>
        <w:t>Primarily as a result of the increase in inventory, trade payables increased by $2.8 million from December 31, 2012 to December 31, 2013 due to the timing of purchases for such inventory. During the same period, we experienced an increase of only $1.2 million in trade receivables despite the growth in our business. Our DSO for the year ended December 31, 2013 was 42 compared to 41 for the year ended December 31, 2012. As indicated above,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2013 reflected the increased activity in the fourth quarter of that year compared to with the previous year.</w:t>
      </w:r>
    </w:p>
    <w:p>
      <w:pPr>
        <w:spacing w:after="0" w:line="200" w:lineRule="exact"/>
        <w:rPr>
          <w:sz w:val="20"/>
          <w:szCs w:val="20"/>
          <w:color w:val="auto"/>
        </w:rPr>
      </w:pPr>
    </w:p>
    <w:p>
      <w:pPr>
        <w:spacing w:after="0" w:line="384" w:lineRule="exact"/>
        <w:rPr>
          <w:sz w:val="20"/>
          <w:szCs w:val="20"/>
          <w:color w:val="auto"/>
        </w:rPr>
      </w:pPr>
    </w:p>
    <w:p>
      <w:pPr>
        <w:ind w:left="120" w:right="199" w:firstLine="216"/>
        <w:spacing w:after="0" w:line="269" w:lineRule="auto"/>
        <w:rPr>
          <w:sz w:val="20"/>
          <w:szCs w:val="20"/>
          <w:color w:val="auto"/>
        </w:rPr>
      </w:pPr>
      <w:r>
        <w:rPr>
          <w:rFonts w:ascii="Arial" w:cs="Arial" w:eastAsia="Arial" w:hAnsi="Arial"/>
          <w:sz w:val="18"/>
          <w:szCs w:val="18"/>
          <w:color w:val="auto"/>
        </w:rPr>
        <w:t>Our operating cash flows to fund the above activities were driven by our net income of $1.1 million (adjusted upward to reflect $1.3 million of non-cash expenses) as well as a $1.2 million increase in deferred revenues. The increase in our deferred revenues in 2013 compared to 2012 primarily reflected strong product orders during the fourth quarter of 2013 resulting in a significant increase in the number of orders shipped in 2013 for which we received payment in 2014.</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93" w:lineRule="exact"/>
        <w:rPr>
          <w:sz w:val="20"/>
          <w:szCs w:val="20"/>
          <w:color w:val="auto"/>
        </w:rPr>
      </w:pPr>
    </w:p>
    <w:p>
      <w:pPr>
        <w:ind w:left="120" w:right="159" w:firstLine="216"/>
        <w:spacing w:after="0" w:line="265" w:lineRule="auto"/>
        <w:rPr>
          <w:sz w:val="20"/>
          <w:szCs w:val="20"/>
          <w:color w:val="auto"/>
        </w:rPr>
      </w:pPr>
      <w:r>
        <w:rPr>
          <w:rFonts w:ascii="Arial" w:cs="Arial" w:eastAsia="Arial" w:hAnsi="Arial"/>
          <w:sz w:val="18"/>
          <w:szCs w:val="18"/>
          <w:color w:val="auto"/>
        </w:rPr>
        <w:t>Net cash provided by investing activities was $0.7 million in 2014, which was primarily attributable to the redemption of short-term bank deposits of $2.6 million oﬀset by the purchase of property and equipment of $1.9 million. Net cash used in investing activities was $2.1 million in 2013, the majority of which consisted of purchase of property and equipment, and investments in short-term deposits as well as the purchase of a license to a digital R2R printer and all related technology, software and other intellectual property related to the printer from a third party.</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Net cash used in financing activities was $0.7 million in 2014, which was attributable to payment of deferred issuance cost.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50" w:name="page51"/>
    <w:bookmarkEnd w:id="50"/>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contractual obligations as of December 31, 2014 are summarized in the following table: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5"/>
              </w:rPr>
              <w:t>Payments Due by Period</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3"/>
              </w:rPr>
              <w:t>2019 and</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After</w:t>
            </w:r>
          </w:p>
        </w:tc>
        <w:tc>
          <w:tcPr>
            <w:tcW w:w="80" w:type="dxa"/>
            <w:vAlign w:val="bottom"/>
            <w:tcBorders>
              <w:bottom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3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7"/>
                <w:szCs w:val="27"/>
                <w:color w:val="auto"/>
                <w:vertAlign w:val="superscript"/>
              </w:rPr>
              <w:t>(1)</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2340" w:type="dxa"/>
            <w:vAlign w:val="bottom"/>
          </w:tcPr>
          <w:p>
            <w:pPr>
              <w:spacing w:after="0" w:line="256" w:lineRule="exact"/>
              <w:rPr>
                <w:sz w:val="20"/>
                <w:szCs w:val="20"/>
                <w:color w:val="auto"/>
              </w:rPr>
            </w:pPr>
            <w:r>
              <w:rPr>
                <w:rFonts w:ascii="Arial" w:cs="Arial" w:eastAsia="Arial" w:hAnsi="Arial"/>
                <w:sz w:val="18"/>
                <w:szCs w:val="18"/>
                <w:color w:val="auto"/>
              </w:rPr>
              <w:t>Uncertain tax positions</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23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2340" w:type="dxa"/>
            <w:vAlign w:val="bottom"/>
          </w:tcPr>
          <w:p>
            <w:pPr>
              <w:spacing w:after="0" w:line="256" w:lineRule="exact"/>
              <w:rPr>
                <w:sz w:val="20"/>
                <w:szCs w:val="20"/>
                <w:color w:val="auto"/>
              </w:rPr>
            </w:pPr>
            <w:r>
              <w:rPr>
                <w:rFonts w:ascii="Arial" w:cs="Arial" w:eastAsia="Arial" w:hAnsi="Arial"/>
                <w:sz w:val="18"/>
                <w:szCs w:val="18"/>
                <w:color w:val="auto"/>
              </w:rPr>
              <w:t>Severance payment</w:t>
            </w:r>
            <w:r>
              <w:rPr>
                <w:rFonts w:ascii="Arial" w:cs="Arial" w:eastAsia="Arial" w:hAnsi="Arial"/>
                <w:sz w:val="29"/>
                <w:szCs w:val="29"/>
                <w:color w:val="auto"/>
                <w:vertAlign w:val="superscript"/>
              </w:rPr>
              <w:t>(4)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23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w w:val="96"/>
              </w:rPr>
              <w:t>Management services fees</w:t>
            </w:r>
            <w:r>
              <w:rPr>
                <w:rFonts w:ascii="Arial" w:cs="Arial" w:eastAsia="Arial" w:hAnsi="Arial"/>
                <w:sz w:val="30"/>
                <w:szCs w:val="30"/>
                <w:color w:val="auto"/>
                <w:w w:val="96"/>
                <w:vertAlign w:val="superscript"/>
              </w:rPr>
              <w:t>(5)</w:t>
            </w:r>
          </w:p>
        </w:tc>
        <w:tc>
          <w:tcPr>
            <w:tcW w:w="2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3"/>
                <w:szCs w:val="23"/>
                <w:color w:val="auto"/>
              </w:rPr>
            </w:pPr>
          </w:p>
        </w:tc>
      </w:tr>
      <w:tr>
        <w:trPr>
          <w:trHeight w:val="195"/>
        </w:trPr>
        <w:tc>
          <w:tcPr>
            <w:tcW w:w="20" w:type="dxa"/>
            <w:vAlign w:val="bottom"/>
          </w:tcPr>
          <w:p>
            <w:pPr>
              <w:spacing w:after="0"/>
              <w:rPr>
                <w:sz w:val="16"/>
                <w:szCs w:val="16"/>
                <w:color w:val="auto"/>
              </w:rPr>
            </w:pPr>
          </w:p>
        </w:tc>
        <w:tc>
          <w:tcPr>
            <w:tcW w:w="2340" w:type="dxa"/>
            <w:vAlign w:val="bottom"/>
          </w:tcPr>
          <w:p>
            <w:pPr>
              <w:spacing w:after="0" w:line="195"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15,531</w:t>
            </w:r>
          </w:p>
        </w:tc>
        <w:tc>
          <w:tcPr>
            <w:tcW w:w="20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1,335</w:t>
            </w:r>
          </w:p>
        </w:tc>
        <w:tc>
          <w:tcPr>
            <w:tcW w:w="1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1,105</w:t>
            </w:r>
          </w:p>
        </w:tc>
        <w:tc>
          <w:tcPr>
            <w:tcW w:w="1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739</w:t>
            </w:r>
          </w:p>
        </w:tc>
        <w:tc>
          <w:tcPr>
            <w:tcW w:w="1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283</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120</w:t>
            </w:r>
          </w:p>
        </w:tc>
        <w:tc>
          <w:tcPr>
            <w:tcW w:w="80" w:type="dxa"/>
            <w:vAlign w:val="bottom"/>
          </w:tcPr>
          <w:p>
            <w:pPr>
              <w:spacing w:after="0"/>
              <w:rPr>
                <w:sz w:val="16"/>
                <w:szCs w:val="16"/>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______________</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42" w:lineRule="exact"/>
        <w:rPr>
          <w:sz w:val="20"/>
          <w:szCs w:val="20"/>
          <w:color w:val="auto"/>
        </w:rPr>
      </w:pPr>
    </w:p>
    <w:p>
      <w:pPr>
        <w:ind w:left="440" w:right="739" w:hanging="315"/>
        <w:spacing w:after="0" w:line="216" w:lineRule="auto"/>
        <w:tabs>
          <w:tab w:leader="none" w:pos="461"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obligations consist of our contractual rental expenses under operating leases of facilities and vehicles.</w:t>
      </w:r>
    </w:p>
    <w:p>
      <w:pPr>
        <w:spacing w:after="0" w:line="8" w:lineRule="exact"/>
        <w:rPr>
          <w:rFonts w:ascii="Arial" w:cs="Arial" w:eastAsia="Arial" w:hAnsi="Arial"/>
          <w:sz w:val="25"/>
          <w:szCs w:val="25"/>
          <w:color w:val="auto"/>
          <w:vertAlign w:val="superscript"/>
        </w:rPr>
      </w:pPr>
    </w:p>
    <w:p>
      <w:pPr>
        <w:ind w:left="440" w:right="299" w:hanging="315"/>
        <w:spacing w:after="0"/>
        <w:tabs>
          <w:tab w:leader="none" w:pos="58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Consists of accruals for certain income tax positions under ASC 740 that are paid upon settlement, and for which we are unable to reasonably estimate the ultimate amount and timing of settlement. See Note 11(h) to our consolidated financial statements included elsewhere in this prospectus for further information regarding our liability under ASC 740. Payment of these obligations would result from settlements with tax authorities. Due to the diﬃculty in determining the timing of resolution of audits, these obligations are only presented in their total amount.</w:t>
      </w:r>
    </w:p>
    <w:p>
      <w:pPr>
        <w:spacing w:after="0" w:line="199" w:lineRule="exact"/>
        <w:rPr>
          <w:rFonts w:ascii="Arial" w:cs="Arial" w:eastAsia="Arial" w:hAnsi="Arial"/>
          <w:sz w:val="30"/>
          <w:szCs w:val="30"/>
          <w:color w:val="auto"/>
          <w:vertAlign w:val="superscript"/>
        </w:rPr>
      </w:pPr>
    </w:p>
    <w:p>
      <w:pPr>
        <w:ind w:left="580" w:hanging="455"/>
        <w:spacing w:after="0" w:line="187" w:lineRule="auto"/>
        <w:tabs>
          <w:tab w:leader="none" w:pos="58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Consists of commitments to purchase inventory.</w:t>
      </w:r>
    </w:p>
    <w:p>
      <w:pPr>
        <w:spacing w:after="0" w:line="30" w:lineRule="exact"/>
        <w:rPr>
          <w:rFonts w:ascii="Arial" w:cs="Arial" w:eastAsia="Arial" w:hAnsi="Arial"/>
          <w:sz w:val="30"/>
          <w:szCs w:val="30"/>
          <w:color w:val="auto"/>
          <w:vertAlign w:val="superscript"/>
        </w:rPr>
      </w:pPr>
    </w:p>
    <w:p>
      <w:pPr>
        <w:ind w:left="440" w:right="139" w:hanging="315"/>
        <w:spacing w:after="0"/>
        <w:tabs>
          <w:tab w:leader="none" w:pos="571"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Severance payments of $1.9 million are payable only upon termination, retirement or death of our employees. Of this amount, $0.7 million is unfunded as of December 31, 2014. Since we are unable to reasonably estimate the timing of settlement, the timing of such payments is not specified in the table. See also Note 2(s) to our consolidated financial statements appearing elsewhere in this prospectus.</w:t>
      </w:r>
    </w:p>
    <w:p>
      <w:pPr>
        <w:spacing w:after="0" w:line="139" w:lineRule="exact"/>
        <w:rPr>
          <w:rFonts w:ascii="Arial" w:cs="Arial" w:eastAsia="Arial" w:hAnsi="Arial"/>
          <w:sz w:val="30"/>
          <w:szCs w:val="30"/>
          <w:color w:val="auto"/>
          <w:vertAlign w:val="superscript"/>
        </w:rPr>
      </w:pPr>
    </w:p>
    <w:p>
      <w:pPr>
        <w:ind w:left="440" w:right="239" w:hanging="315"/>
        <w:spacing w:after="0" w:line="236" w:lineRule="auto"/>
        <w:tabs>
          <w:tab w:leader="none" w:pos="58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Consists of management services fees payable to Fortissimo Capital pursuant to a management services agreement. The amount payable annually is $120,000 plus the amount by which 5% of our net income, as defined in the management services agreement, exceeds this management fee, up to a maximum of $250,000 per year in the aggregate. Since we cannot know the amount that would be payable in the future, we have assumed the minimum amount is payable through 2019. We and Fortissimo Capital have agreed to terminate the management services agreement upon the consummation of this oﬀering.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7" w:lineRule="exact"/>
        <w:rPr>
          <w:sz w:val="20"/>
          <w:szCs w:val="20"/>
          <w:color w:val="auto"/>
        </w:rPr>
      </w:pPr>
    </w:p>
    <w:p>
      <w:pPr>
        <w:ind w:left="120" w:right="159" w:firstLine="216"/>
        <w:spacing w:after="0" w:line="256"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prospectus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aﬀect the reported amounts of assets and liabilities as of the date of the financial statements, as well as the reported amounts of revenues and expenses during the periods presented. To the extent there are material diﬀerences between these estimates, judgments or assumptions and actual results, our financial statements will be aﬀected.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left="120" w:right="499" w:firstLine="216"/>
        <w:spacing w:after="0" w:line="294" w:lineRule="auto"/>
        <w:rPr>
          <w:sz w:val="20"/>
          <w:szCs w:val="20"/>
          <w:color w:val="auto"/>
        </w:rPr>
      </w:pPr>
      <w:r>
        <w:rPr>
          <w:rFonts w:ascii="Arial" w:cs="Arial" w:eastAsia="Arial" w:hAnsi="Arial"/>
          <w:sz w:val="18"/>
          <w:szCs w:val="18"/>
          <w:color w:val="auto"/>
        </w:rPr>
        <w:t>We generate revenues from the sale of our systems, ink and other consumables and value added services. We generate revenues from sale of our solutions directly to customers and indirectly through independent distributors.</w:t>
      </w:r>
    </w:p>
    <w:p>
      <w:pPr>
        <w:sectPr>
          <w:pgSz w:w="11900" w:h="16838" w:orient="portrait"/>
          <w:cols w:equalWidth="0" w:num="1">
            <w:col w:w="9019"/>
          </w:cols>
          <w:pgMar w:left="1440" w:top="92"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51" w:name="page52"/>
    <w:bookmarkEnd w:id="51"/>
    <w:p>
      <w:pPr>
        <w:ind w:left="120" w:right="299" w:firstLine="216"/>
        <w:spacing w:after="0" w:line="275" w:lineRule="auto"/>
        <w:rPr>
          <w:sz w:val="20"/>
          <w:szCs w:val="20"/>
          <w:color w:val="auto"/>
        </w:rPr>
      </w:pPr>
      <w:r>
        <w:rPr>
          <w:rFonts w:ascii="Arial" w:cs="Arial" w:eastAsia="Arial" w:hAnsi="Arial"/>
          <w:sz w:val="18"/>
          <w:szCs w:val="18"/>
          <w:color w:val="auto"/>
        </w:rPr>
        <w:t>We recognize revenue when (1) persuasive evidence of a final agreement exists, (2) delivery has occurred or services have been rendered, (3) the selling price is fixed or determinable, and</w:t>
      </w:r>
    </w:p>
    <w:p>
      <w:pPr>
        <w:spacing w:after="0" w:line="1" w:lineRule="exact"/>
        <w:rPr>
          <w:sz w:val="20"/>
          <w:szCs w:val="20"/>
          <w:color w:val="auto"/>
        </w:rPr>
      </w:pPr>
    </w:p>
    <w:p>
      <w:pPr>
        <w:ind w:left="120" w:right="199" w:firstLine="5"/>
        <w:spacing w:after="0" w:line="261" w:lineRule="auto"/>
        <w:tabs>
          <w:tab w:leader="none" w:pos="4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collectability is reasonably assured. In respect of sale of products, installation of our systems and training, we consider the element in the arrangement to be a single unit of accounting. In accordance with ASC 605, we have concluded that our arrangements are generally consistent with the indicators suggesting that installation and training are essential to the functionality of our systems.</w:t>
      </w:r>
    </w:p>
    <w:p>
      <w:pPr>
        <w:spacing w:after="0" w:line="354" w:lineRule="exact"/>
        <w:rPr>
          <w:sz w:val="20"/>
          <w:szCs w:val="20"/>
          <w:color w:val="auto"/>
        </w:rPr>
      </w:pPr>
    </w:p>
    <w:p>
      <w:pPr>
        <w:ind w:left="120" w:right="359" w:firstLine="216"/>
        <w:spacing w:after="0" w:line="263" w:lineRule="auto"/>
        <w:rPr>
          <w:sz w:val="20"/>
          <w:szCs w:val="20"/>
          <w:color w:val="auto"/>
        </w:rPr>
      </w:pPr>
      <w:r>
        <w:rPr>
          <w:rFonts w:ascii="Arial" w:cs="Arial" w:eastAsia="Arial" w:hAnsi="Arial"/>
          <w:sz w:val="18"/>
          <w:szCs w:val="18"/>
          <w:color w:val="auto"/>
        </w:rPr>
        <w:t>When an independent distributor is responsible for installation of our systems at customer sites, revenues from sales to the independent distributor are generally recognized upon shipment and when title and risk of loss have been transferred to the independent distributor. We account for such sales on a net basis since we are not the primary obligor in the arrangement. Products and services sold directly by us to customers are recognized based on the gross amount as we are the primary obligor in the arrangement, retain inventory risk for physical products, establish the price for our products, and assume the credit risk for amounts billed to its customers.</w:t>
      </w:r>
    </w:p>
    <w:p>
      <w:pPr>
        <w:spacing w:after="0" w:line="344" w:lineRule="exact"/>
        <w:rPr>
          <w:sz w:val="20"/>
          <w:szCs w:val="20"/>
          <w:color w:val="auto"/>
        </w:rPr>
      </w:pPr>
    </w:p>
    <w:p>
      <w:pPr>
        <w:ind w:left="120" w:right="379" w:firstLine="216"/>
        <w:spacing w:after="0" w:line="338"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38" w:lineRule="exact"/>
        <w:rPr>
          <w:sz w:val="20"/>
          <w:szCs w:val="20"/>
          <w:color w:val="auto"/>
        </w:rPr>
      </w:pPr>
    </w:p>
    <w:p>
      <w:pPr>
        <w:ind w:left="120" w:right="399" w:firstLine="216"/>
        <w:spacing w:after="0" w:line="338"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52" w:lineRule="exact"/>
        <w:rPr>
          <w:sz w:val="20"/>
          <w:szCs w:val="20"/>
          <w:color w:val="auto"/>
        </w:rPr>
      </w:pPr>
    </w:p>
    <w:p>
      <w:pPr>
        <w:ind w:left="120" w:right="179" w:firstLine="216"/>
        <w:spacing w:after="0" w:line="269" w:lineRule="auto"/>
        <w:rPr>
          <w:sz w:val="20"/>
          <w:szCs w:val="20"/>
          <w:color w:val="auto"/>
        </w:rPr>
      </w:pPr>
      <w:r>
        <w:rPr>
          <w:rFonts w:ascii="Arial" w:cs="Arial" w:eastAsia="Arial" w:hAnsi="Arial"/>
          <w:sz w:val="18"/>
          <w:szCs w:val="18"/>
          <w:color w:val="auto"/>
        </w:rPr>
        <w:t>Our systems include a one-year warranty. After the initial warranty period, we oﬀer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339" w:lineRule="exact"/>
        <w:rPr>
          <w:sz w:val="20"/>
          <w:szCs w:val="20"/>
          <w:color w:val="auto"/>
        </w:rPr>
      </w:pPr>
    </w:p>
    <w:p>
      <w:pPr>
        <w:ind w:left="120" w:right="139" w:firstLine="216"/>
        <w:spacing w:after="0" w:line="274" w:lineRule="auto"/>
        <w:rPr>
          <w:sz w:val="20"/>
          <w:szCs w:val="20"/>
          <w:color w:val="auto"/>
        </w:rPr>
      </w:pPr>
      <w:r>
        <w:rPr>
          <w:rFonts w:ascii="Arial" w:cs="Arial" w:eastAsia="Arial" w:hAnsi="Arial"/>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79" w:lineRule="exact"/>
        <w:rPr>
          <w:sz w:val="20"/>
          <w:szCs w:val="20"/>
          <w:color w:val="auto"/>
        </w:rPr>
      </w:pPr>
    </w:p>
    <w:p>
      <w:pPr>
        <w:ind w:left="120" w:right="359" w:firstLine="216"/>
        <w:spacing w:after="0" w:line="272" w:lineRule="auto"/>
        <w:rPr>
          <w:sz w:val="20"/>
          <w:szCs w:val="20"/>
          <w:color w:val="auto"/>
        </w:rPr>
      </w:pPr>
      <w:r>
        <w:rPr>
          <w:rFonts w:ascii="Arial" w:cs="Arial" w:eastAsia="Arial" w:hAnsi="Arial"/>
          <w:sz w:val="18"/>
          <w:szCs w:val="18"/>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diﬀerence between its cost and the estimated market value based on assumptions about future demand and historical sales patterns.</w:t>
      </w:r>
    </w:p>
    <w:p>
      <w:pPr>
        <w:spacing w:after="0" w:line="110" w:lineRule="exact"/>
        <w:rPr>
          <w:sz w:val="20"/>
          <w:szCs w:val="20"/>
          <w:color w:val="auto"/>
        </w:rPr>
      </w:pPr>
    </w:p>
    <w:p>
      <w:pPr>
        <w:ind w:left="120" w:right="119" w:firstLine="216"/>
        <w:spacing w:after="0" w:line="279" w:lineRule="auto"/>
        <w:rPr>
          <w:sz w:val="20"/>
          <w:szCs w:val="20"/>
          <w:color w:val="auto"/>
        </w:rPr>
      </w:pPr>
      <w:r>
        <w:rPr>
          <w:rFonts w:ascii="Arial" w:cs="Arial" w:eastAsia="Arial" w:hAnsi="Arial"/>
          <w:sz w:val="18"/>
          <w:szCs w:val="18"/>
          <w:color w:val="auto"/>
        </w:rPr>
        <w:t>As of December 31, 2014, we had $12.0 million of inventory of which $6.4 million consisted of raw materials and components and $ 5.6 million consisted of completed systems, ink and other consumables. We recorded inventory write- oﬀs in a total amount of $0.1 million, $0.4 million and $0.3 million for the years ended December 31, 2012, 2013 and 2014, respectively.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Option Valuations</w:t>
      </w:r>
    </w:p>
    <w:p>
      <w:pPr>
        <w:spacing w:after="0" w:line="171" w:lineRule="exact"/>
        <w:rPr>
          <w:sz w:val="20"/>
          <w:szCs w:val="20"/>
          <w:color w:val="auto"/>
        </w:rPr>
      </w:pPr>
    </w:p>
    <w:p>
      <w:pPr>
        <w:ind w:left="120" w:right="139" w:firstLine="216"/>
        <w:spacing w:after="0" w:line="28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319"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339" w:lineRule="exact"/>
        <w:rPr>
          <w:sz w:val="20"/>
          <w:szCs w:val="20"/>
          <w:color w:val="auto"/>
        </w:rPr>
      </w:pPr>
    </w:p>
    <w:p>
      <w:pPr>
        <w:ind w:left="120" w:right="239" w:firstLine="216"/>
        <w:spacing w:after="0" w:line="294" w:lineRule="auto"/>
        <w:rPr>
          <w:sz w:val="20"/>
          <w:szCs w:val="20"/>
          <w:color w:val="auto"/>
        </w:rPr>
      </w:pPr>
      <w:r>
        <w:rPr>
          <w:rFonts w:ascii="Arial" w:cs="Arial" w:eastAsia="Arial" w:hAnsi="Arial"/>
          <w:sz w:val="18"/>
          <w:szCs w:val="18"/>
          <w:color w:val="auto"/>
        </w:rPr>
        <w:t>The determination of the grant date fair value of options using the binomial option pricing model is aﬀected by estimates and assumptions regarding a number of complex and subjective variables. These variables are estimated as follows:</w:t>
      </w:r>
    </w:p>
    <w:p>
      <w:pPr>
        <w:sectPr>
          <w:pgSz w:w="11900" w:h="16838" w:orient="portrait"/>
          <w:cols w:equalWidth="0" w:num="1">
            <w:col w:w="9019"/>
          </w:cols>
          <w:pgMar w:left="1440" w:top="92" w:right="1440"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52" w:name="page53"/>
    <w:bookmarkEnd w:id="52"/>
    <w:p>
      <w:pPr>
        <w:ind w:left="560" w:right="379" w:hanging="219"/>
        <w:spacing w:after="0" w:line="275" w:lineRule="auto"/>
        <w:tabs>
          <w:tab w:leader="none" w:pos="714" w:val="left"/>
        </w:tabs>
        <w:numPr>
          <w:ilvl w:val="0"/>
          <w:numId w:val="30"/>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Fair Value of our Ordinary Shares</w:t>
      </w:r>
      <w:r>
        <w:rPr>
          <w:rFonts w:ascii="Arial" w:cs="Arial" w:eastAsia="Arial" w:hAnsi="Arial"/>
          <w:sz w:val="18"/>
          <w:szCs w:val="18"/>
          <w:color w:val="auto"/>
        </w:rPr>
        <w:t>. Because our shares are not publicly traded, we</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must estimate the fair value of ordinary shares, as discussed in “—Ordinary Share Valuations” below.</w:t>
      </w:r>
    </w:p>
    <w:p>
      <w:pPr>
        <w:spacing w:after="0" w:line="356" w:lineRule="exact"/>
        <w:rPr>
          <w:rFonts w:ascii="Courier New" w:cs="Courier New" w:eastAsia="Courier New" w:hAnsi="Courier New"/>
          <w:sz w:val="22"/>
          <w:szCs w:val="22"/>
          <w:i w:val="1"/>
          <w:iCs w:val="1"/>
          <w:color w:val="auto"/>
        </w:rPr>
      </w:pPr>
    </w:p>
    <w:p>
      <w:pPr>
        <w:ind w:left="560" w:right="439" w:hanging="219"/>
        <w:spacing w:after="0" w:line="261" w:lineRule="auto"/>
        <w:tabs>
          <w:tab w:leader="none" w:pos="714" w:val="left"/>
        </w:tabs>
        <w:numPr>
          <w:ilvl w:val="0"/>
          <w:numId w:val="30"/>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Sub-Optimal Exercise Multiple</w:t>
      </w:r>
      <w:r>
        <w:rPr>
          <w:rFonts w:ascii="Arial" w:cs="Arial" w:eastAsia="Arial" w:hAnsi="Arial"/>
          <w:sz w:val="18"/>
          <w:szCs w:val="18"/>
          <w:color w:val="auto"/>
        </w:rPr>
        <w:t>. The sub-optimal exercise multiple represents an</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estimate of the amount of the increase in the fair value of our shares over the exercise price of the options at the date of expected exercise. We base this estimate on empirical studies of comparable third parties due to the lack of relevant exercise history for our company.</w:t>
      </w:r>
    </w:p>
    <w:p>
      <w:pPr>
        <w:spacing w:after="0" w:line="363" w:lineRule="exact"/>
        <w:rPr>
          <w:rFonts w:ascii="Courier New" w:cs="Courier New" w:eastAsia="Courier New" w:hAnsi="Courier New"/>
          <w:sz w:val="22"/>
          <w:szCs w:val="22"/>
          <w:i w:val="1"/>
          <w:iCs w:val="1"/>
          <w:color w:val="auto"/>
        </w:rPr>
      </w:pPr>
    </w:p>
    <w:p>
      <w:pPr>
        <w:ind w:left="560" w:right="459" w:hanging="219"/>
        <w:spacing w:after="0" w:line="283" w:lineRule="auto"/>
        <w:tabs>
          <w:tab w:leader="none" w:pos="714" w:val="left"/>
        </w:tabs>
        <w:numPr>
          <w:ilvl w:val="0"/>
          <w:numId w:val="30"/>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Risk-free Interest Rate</w:t>
      </w:r>
      <w:r>
        <w:rPr>
          <w:rFonts w:ascii="Arial" w:cs="Arial" w:eastAsia="Arial" w:hAnsi="Arial"/>
          <w:sz w:val="18"/>
          <w:szCs w:val="18"/>
          <w:color w:val="auto"/>
        </w:rPr>
        <w:t>. The risk-free interest rate is based on the yield from U.S.</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Treasury zero-coupon bonds with a term equivalent to the contractual life of the options.</w:t>
      </w:r>
    </w:p>
    <w:p>
      <w:pPr>
        <w:spacing w:after="0" w:line="105" w:lineRule="exact"/>
        <w:rPr>
          <w:rFonts w:ascii="Courier New" w:cs="Courier New" w:eastAsia="Courier New" w:hAnsi="Courier New"/>
          <w:sz w:val="22"/>
          <w:szCs w:val="22"/>
          <w:i w:val="1"/>
          <w:iCs w:val="1"/>
          <w:color w:val="auto"/>
        </w:rPr>
      </w:pPr>
    </w:p>
    <w:p>
      <w:pPr>
        <w:ind w:left="560" w:right="639" w:hanging="219"/>
        <w:spacing w:after="0" w:line="274" w:lineRule="auto"/>
        <w:tabs>
          <w:tab w:leader="none" w:pos="714" w:val="left"/>
        </w:tabs>
        <w:numPr>
          <w:ilvl w:val="0"/>
          <w:numId w:val="30"/>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Volatility</w:t>
      </w:r>
      <w:r>
        <w:rPr>
          <w:rFonts w:ascii="Arial" w:cs="Arial" w:eastAsia="Arial" w:hAnsi="Arial"/>
          <w:sz w:val="18"/>
          <w:szCs w:val="18"/>
          <w:color w:val="auto"/>
        </w:rPr>
        <w:t>. The expected share price volatility was based on the historical equity</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volatility of the ordinary shares of comparable companies that are publicly traded with adjustments to reflect our capital structure.</w:t>
      </w:r>
    </w:p>
    <w:p>
      <w:pPr>
        <w:spacing w:after="0" w:line="120" w:lineRule="exact"/>
        <w:rPr>
          <w:rFonts w:ascii="Courier New" w:cs="Courier New" w:eastAsia="Courier New" w:hAnsi="Courier New"/>
          <w:sz w:val="22"/>
          <w:szCs w:val="22"/>
          <w:i w:val="1"/>
          <w:iCs w:val="1"/>
          <w:color w:val="auto"/>
        </w:rPr>
      </w:pPr>
    </w:p>
    <w:p>
      <w:pPr>
        <w:ind w:left="560" w:right="379" w:hanging="219"/>
        <w:spacing w:after="0" w:line="274" w:lineRule="auto"/>
        <w:tabs>
          <w:tab w:leader="none" w:pos="714" w:val="left"/>
        </w:tabs>
        <w:numPr>
          <w:ilvl w:val="0"/>
          <w:numId w:val="30"/>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Dividend Yield</w:t>
      </w:r>
      <w:r>
        <w:rPr>
          <w:rFonts w:ascii="Arial" w:cs="Arial" w:eastAsia="Arial" w:hAnsi="Arial"/>
          <w:sz w:val="18"/>
          <w:szCs w:val="18"/>
          <w:color w:val="auto"/>
        </w:rPr>
        <w:t>. We have never declared or paid any cash dividends and do not</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presently plan to pay cash dividends in the foreseeable future. Consequently, we used an expected dividend yield of zero.</w:t>
      </w:r>
    </w:p>
    <w:p>
      <w:pPr>
        <w:spacing w:after="0" w:line="120" w:lineRule="exact"/>
        <w:rPr>
          <w:rFonts w:ascii="Courier New" w:cs="Courier New" w:eastAsia="Courier New" w:hAnsi="Courier New"/>
          <w:sz w:val="22"/>
          <w:szCs w:val="22"/>
          <w:i w:val="1"/>
          <w:iCs w:val="1"/>
          <w:color w:val="auto"/>
        </w:rPr>
      </w:pPr>
    </w:p>
    <w:p>
      <w:pPr>
        <w:ind w:left="560" w:right="179" w:hanging="219"/>
        <w:spacing w:after="0" w:line="305" w:lineRule="auto"/>
        <w:tabs>
          <w:tab w:leader="none" w:pos="714" w:val="left"/>
        </w:tabs>
        <w:numPr>
          <w:ilvl w:val="0"/>
          <w:numId w:val="30"/>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Expected forfeiture rates</w:t>
      </w:r>
      <w:r>
        <w:rPr>
          <w:rFonts w:ascii="Arial" w:cs="Arial" w:eastAsia="Arial" w:hAnsi="Arial"/>
          <w:sz w:val="18"/>
          <w:szCs w:val="18"/>
          <w:color w:val="auto"/>
        </w:rPr>
        <w:t>. The expected forfeiture rates were based on an analysis of</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our historical forfeiture rates.</w:t>
      </w:r>
    </w:p>
    <w:p>
      <w:pPr>
        <w:spacing w:after="0" w:line="55" w:lineRule="exact"/>
        <w:rPr>
          <w:sz w:val="20"/>
          <w:szCs w:val="20"/>
          <w:color w:val="auto"/>
        </w:rPr>
      </w:pPr>
    </w:p>
    <w:p>
      <w:pPr>
        <w:ind w:left="120" w:right="439" w:firstLine="216"/>
        <w:spacing w:after="0" w:line="312" w:lineRule="auto"/>
        <w:rPr>
          <w:sz w:val="20"/>
          <w:szCs w:val="20"/>
          <w:color w:val="auto"/>
        </w:rPr>
      </w:pPr>
      <w:r>
        <w:rPr>
          <w:rFonts w:ascii="Arial" w:cs="Arial" w:eastAsia="Arial" w:hAnsi="Arial"/>
          <w:sz w:val="18"/>
          <w:szCs w:val="18"/>
          <w:color w:val="auto"/>
        </w:rPr>
        <w:t>If any of the assumptions used in the binomial option pricing model change significantly, share-based compensation for future awards may diﬀer materially compared with the awards granted previously.</w:t>
      </w:r>
    </w:p>
    <w:p>
      <w:pPr>
        <w:spacing w:after="0" w:line="286" w:lineRule="exact"/>
        <w:rPr>
          <w:sz w:val="20"/>
          <w:szCs w:val="20"/>
          <w:color w:val="auto"/>
        </w:rPr>
      </w:pPr>
    </w:p>
    <w:p>
      <w:pPr>
        <w:jc w:val="both"/>
        <w:ind w:left="120" w:right="559" w:firstLine="216"/>
        <w:spacing w:after="0" w:line="294" w:lineRule="auto"/>
        <w:rPr>
          <w:sz w:val="20"/>
          <w:szCs w:val="20"/>
          <w:color w:val="auto"/>
        </w:rPr>
      </w:pPr>
      <w:r>
        <w:rPr>
          <w:rFonts w:ascii="Arial" w:cs="Arial" w:eastAsia="Arial" w:hAnsi="Arial"/>
          <w:sz w:val="18"/>
          <w:szCs w:val="18"/>
          <w:color w:val="auto"/>
        </w:rPr>
        <w:t>The following table presents the weighted-average assumptions used to estimate the fair value of options granted to employees during the periods presented. The number of options granted to non-employees was immaterial.</w:t>
      </w:r>
    </w:p>
    <w:p>
      <w:pPr>
        <w:spacing w:after="0" w:line="8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Year Ended</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40" w:type="dxa"/>
            <w:vAlign w:val="bottom"/>
          </w:tcPr>
          <w:p>
            <w:pPr>
              <w:jc w:val="right"/>
              <w:ind w:right="312"/>
              <w:spacing w:after="0" w:line="183" w:lineRule="exact"/>
              <w:rPr>
                <w:sz w:val="20"/>
                <w:szCs w:val="20"/>
                <w:color w:val="auto"/>
              </w:rPr>
            </w:pPr>
            <w:r>
              <w:rPr>
                <w:rFonts w:ascii="Arial" w:cs="Arial" w:eastAsia="Arial" w:hAnsi="Arial"/>
                <w:sz w:val="16"/>
                <w:szCs w:val="16"/>
                <w:b w:val="1"/>
                <w:bCs w:val="1"/>
                <w:color w:val="auto"/>
              </w:rPr>
              <w:t>2012</w:t>
            </w:r>
          </w:p>
        </w:tc>
        <w:tc>
          <w:tcPr>
            <w:tcW w:w="1580" w:type="dxa"/>
            <w:vAlign w:val="bottom"/>
            <w:gridSpan w:val="2"/>
          </w:tcPr>
          <w:p>
            <w:pPr>
              <w:jc w:val="center"/>
              <w:ind w:left="233"/>
              <w:spacing w:after="0" w:line="183" w:lineRule="exact"/>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5"/>
                <w:szCs w:val="15"/>
                <w:color w:val="auto"/>
              </w:rPr>
            </w:pPr>
          </w:p>
        </w:tc>
        <w:tc>
          <w:tcPr>
            <w:tcW w:w="1240" w:type="dxa"/>
            <w:vAlign w:val="bottom"/>
          </w:tcPr>
          <w:p>
            <w:pPr>
              <w:jc w:val="right"/>
              <w:ind w:right="312"/>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Sub-optimal exercise multiple</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3.0-3.5</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3.0-10.0</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0.1%-1.8%</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0.1%-2.5 %</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0.1%-2.5%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55%-71%</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50-55%</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Ordinary Share Valuations</w:t>
      </w:r>
    </w:p>
    <w:p>
      <w:pPr>
        <w:spacing w:after="0" w:line="158" w:lineRule="exact"/>
        <w:rPr>
          <w:sz w:val="20"/>
          <w:szCs w:val="20"/>
          <w:color w:val="auto"/>
        </w:rPr>
      </w:pPr>
    </w:p>
    <w:p>
      <w:pPr>
        <w:ind w:left="120" w:right="239" w:firstLine="216"/>
        <w:spacing w:after="0" w:line="312" w:lineRule="auto"/>
        <w:rPr>
          <w:sz w:val="20"/>
          <w:szCs w:val="20"/>
          <w:color w:val="auto"/>
        </w:rPr>
      </w:pPr>
      <w:r>
        <w:rPr>
          <w:rFonts w:ascii="Arial" w:cs="Arial" w:eastAsia="Arial" w:hAnsi="Arial"/>
          <w:sz w:val="18"/>
          <w:szCs w:val="18"/>
          <w:color w:val="auto"/>
        </w:rPr>
        <w:t>The following table presents the share options grants made between January 1, 2014 and the date of this prospectus and the related exercise price and estimated fair value per ordinary share at the grant date:</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Exercise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Per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Subject to</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03"/>
        </w:trPr>
        <w:tc>
          <w:tcPr>
            <w:tcW w:w="4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Date of Grant</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Awards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Price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Share at</w:t>
            </w:r>
          </w:p>
        </w:tc>
        <w:tc>
          <w:tcPr>
            <w:tcW w:w="0" w:type="dxa"/>
            <w:vAlign w:val="bottom"/>
          </w:tcPr>
          <w:p>
            <w:pPr>
              <w:spacing w:after="0"/>
              <w:rPr>
                <w:sz w:val="1"/>
                <w:szCs w:val="1"/>
                <w:color w:val="auto"/>
              </w:rPr>
            </w:pPr>
          </w:p>
        </w:tc>
      </w:tr>
      <w:tr>
        <w:trPr>
          <w:trHeight w:val="243"/>
        </w:trPr>
        <w:tc>
          <w:tcPr>
            <w:tcW w:w="4220" w:type="dxa"/>
            <w:vAlign w:val="bottom"/>
            <w:gridSpan w:val="3"/>
            <w:vMerge w:val="continue"/>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Granted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rPr>
              <w:t>Per Share</w:t>
            </w:r>
          </w:p>
        </w:tc>
        <w:tc>
          <w:tcPr>
            <w:tcW w:w="340" w:type="dxa"/>
            <w:vAlign w:val="bottom"/>
          </w:tcPr>
          <w:p>
            <w:pPr>
              <w:spacing w:after="0"/>
              <w:rPr>
                <w:sz w:val="21"/>
                <w:szCs w:val="21"/>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January 2014</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31,000</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10.50</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26.75</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April 2014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99,341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14.23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2014</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20,991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October 2014</w:t>
            </w:r>
          </w:p>
        </w:tc>
        <w:tc>
          <w:tcPr>
            <w:tcW w:w="1240" w:type="dxa"/>
            <w:vAlign w:val="bottom"/>
          </w:tcPr>
          <w:p>
            <w:pPr>
              <w:jc w:val="right"/>
              <w:spacing w:after="0"/>
              <w:rPr>
                <w:sz w:val="20"/>
                <w:szCs w:val="20"/>
                <w:color w:val="auto"/>
              </w:rPr>
            </w:pPr>
            <w:r>
              <w:rPr>
                <w:rFonts w:ascii="Arial" w:cs="Arial" w:eastAsia="Arial" w:hAnsi="Arial"/>
                <w:sz w:val="18"/>
                <w:szCs w:val="18"/>
                <w:color w:val="auto"/>
              </w:rPr>
              <w:t>21,657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1240" w:type="dxa"/>
            <w:vAlign w:val="bottom"/>
          </w:tcPr>
          <w:p>
            <w:pPr>
              <w:jc w:val="right"/>
              <w:spacing w:after="0"/>
              <w:rPr>
                <w:sz w:val="20"/>
                <w:szCs w:val="20"/>
                <w:color w:val="auto"/>
              </w:rPr>
            </w:pPr>
            <w:r>
              <w:rPr>
                <w:rFonts w:ascii="Arial" w:cs="Arial" w:eastAsia="Arial" w:hAnsi="Arial"/>
                <w:sz w:val="18"/>
                <w:szCs w:val="18"/>
                <w:color w:val="auto"/>
              </w:rPr>
              <w:t>9,223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Based on the initial public oﬀering price of $</w:t>
            </w:r>
          </w:p>
        </w:tc>
        <w:tc>
          <w:tcPr>
            <w:tcW w:w="4560" w:type="dxa"/>
            <w:vAlign w:val="bottom"/>
            <w:gridSpan w:val="8"/>
          </w:tcPr>
          <w:p>
            <w:pPr>
              <w:ind w:left="400"/>
              <w:spacing w:after="0"/>
              <w:rPr>
                <w:sz w:val="20"/>
                <w:szCs w:val="20"/>
                <w:color w:val="auto"/>
              </w:rPr>
            </w:pPr>
            <w:r>
              <w:rPr>
                <w:rFonts w:ascii="Arial" w:cs="Arial" w:eastAsia="Arial" w:hAnsi="Arial"/>
                <w:sz w:val="18"/>
                <w:szCs w:val="18"/>
                <w:color w:val="auto"/>
              </w:rPr>
              <w:t>per share, the midpoint of the estimated</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initial public oﬀering price range, set forth on the cover page of this prospectus, the intrinsic</w:t>
      </w:r>
    </w:p>
    <w:p>
      <w:pPr>
        <w:spacing w:after="0" w:line="9" w:lineRule="exact"/>
        <w:rPr>
          <w:sz w:val="20"/>
          <w:szCs w:val="20"/>
          <w:color w:val="auto"/>
        </w:rPr>
      </w:pPr>
    </w:p>
    <w:p>
      <w:pPr>
        <w:ind w:left="120"/>
        <w:spacing w:after="0"/>
        <w:tabs>
          <w:tab w:leader="none" w:pos="6400" w:val="left"/>
          <w:tab w:leader="none" w:pos="8060" w:val="left"/>
        </w:tabs>
        <w:rPr>
          <w:sz w:val="20"/>
          <w:szCs w:val="20"/>
          <w:color w:val="auto"/>
        </w:rPr>
      </w:pPr>
      <w:r>
        <w:rPr>
          <w:rFonts w:ascii="Arial" w:cs="Arial" w:eastAsia="Arial" w:hAnsi="Arial"/>
          <w:sz w:val="18"/>
          <w:szCs w:val="18"/>
          <w:color w:val="auto"/>
        </w:rPr>
        <w:t>value of the awards outstanding as of December 31, 2014 was $</w:t>
      </w:r>
      <w:r>
        <w:rPr>
          <w:sz w:val="20"/>
          <w:szCs w:val="20"/>
          <w:color w:val="auto"/>
        </w:rPr>
        <w:tab/>
      </w:r>
      <w:r>
        <w:rPr>
          <w:rFonts w:ascii="Arial" w:cs="Arial" w:eastAsia="Arial" w:hAnsi="Arial"/>
          <w:sz w:val="18"/>
          <w:szCs w:val="18"/>
          <w:color w:val="auto"/>
        </w:rPr>
        <w:t>, of which $</w:t>
      </w:r>
      <w:r>
        <w:rPr>
          <w:sz w:val="20"/>
          <w:szCs w:val="20"/>
          <w:color w:val="auto"/>
        </w:rPr>
        <w:tab/>
      </w:r>
      <w:r>
        <w:rPr>
          <w:rFonts w:ascii="Arial" w:cs="Arial" w:eastAsia="Arial" w:hAnsi="Arial"/>
          <w:sz w:val="18"/>
          <w:szCs w:val="18"/>
          <w:color w:val="auto"/>
        </w:rPr>
        <w:t>related</w:t>
      </w:r>
    </w:p>
    <w:p>
      <w:pPr>
        <w:spacing w:after="0" w:line="9"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color w:val="auto"/>
        </w:rPr>
        <w:t>to vested options and $</w:t>
      </w:r>
      <w:r>
        <w:rPr>
          <w:sz w:val="20"/>
          <w:szCs w:val="20"/>
          <w:color w:val="auto"/>
        </w:rPr>
        <w:tab/>
      </w:r>
      <w:r>
        <w:rPr>
          <w:rFonts w:ascii="Arial" w:cs="Arial" w:eastAsia="Arial" w:hAnsi="Arial"/>
          <w:sz w:val="18"/>
          <w:szCs w:val="18"/>
          <w:color w:val="auto"/>
        </w:rPr>
        <w:t>related to unvested options.</w:t>
      </w:r>
    </w:p>
    <w:p>
      <w:pPr>
        <w:spacing w:after="0" w:line="156" w:lineRule="exact"/>
        <w:rPr>
          <w:sz w:val="20"/>
          <w:szCs w:val="20"/>
          <w:color w:val="auto"/>
        </w:rPr>
      </w:pPr>
    </w:p>
    <w:p>
      <w:pPr>
        <w:jc w:val="both"/>
        <w:ind w:left="120" w:right="339" w:firstLine="216"/>
        <w:spacing w:after="0" w:line="294" w:lineRule="auto"/>
        <w:rPr>
          <w:sz w:val="20"/>
          <w:szCs w:val="20"/>
          <w:color w:val="auto"/>
        </w:rPr>
      </w:pPr>
      <w:r>
        <w:rPr>
          <w:rFonts w:ascii="Arial" w:cs="Arial" w:eastAsia="Arial" w:hAnsi="Arial"/>
          <w:sz w:val="18"/>
          <w:szCs w:val="18"/>
          <w:color w:val="auto"/>
        </w:rPr>
        <w:t>In the absence of a public trading market for our ordinary shares, with respect to each grant date, we develop an estimate of the fair value of our ordinary shares in order to determine an exercise price for each share-based award. We have determined</w:t>
      </w:r>
    </w:p>
    <w:p>
      <w:pPr>
        <w:sectPr>
          <w:pgSz w:w="11900" w:h="16838" w:orient="portrait"/>
          <w:cols w:equalWidth="0" w:num="1">
            <w:col w:w="9019"/>
          </w:cols>
          <w:pgMar w:left="1440" w:top="92" w:right="1440" w:bottom="1440" w:gutter="0" w:footer="0" w:header="0"/>
        </w:sectPr>
      </w:pP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53" w:name="page54"/>
    <w:bookmarkEnd w:id="53"/>
    <w:p>
      <w:pPr>
        <w:ind w:left="120" w:right="199"/>
        <w:spacing w:after="0" w:line="272" w:lineRule="auto"/>
        <w:rPr>
          <w:sz w:val="20"/>
          <w:szCs w:val="20"/>
          <w:color w:val="auto"/>
        </w:rPr>
      </w:pPr>
      <w:r>
        <w:rPr>
          <w:rFonts w:ascii="Arial" w:cs="Arial" w:eastAsia="Arial" w:hAnsi="Arial"/>
          <w:sz w:val="18"/>
          <w:szCs w:val="18"/>
          <w:color w:val="auto"/>
        </w:rPr>
        <w:t xml:space="preserve">the fair value of our ordinary shares using methodologies, approaches and assumptions consistent with the </w:t>
      </w:r>
      <w:r>
        <w:rPr>
          <w:rFonts w:ascii="Courier New" w:cs="Courier New" w:eastAsia="Courier New" w:hAnsi="Courier New"/>
          <w:sz w:val="18"/>
          <w:szCs w:val="18"/>
          <w:i w:val="1"/>
          <w:iCs w:val="1"/>
          <w:color w:val="auto"/>
        </w:rPr>
        <w:t>American Institute of Certified Public Accountants Practice Aid,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 xml:space="preserve">Valuation of Privately-Held-Company Equity Securities Issued as Compensation. </w:t>
      </w:r>
      <w:r>
        <w:rPr>
          <w:rFonts w:ascii="Arial" w:cs="Arial" w:eastAsia="Arial" w:hAnsi="Arial"/>
          <w:sz w:val="18"/>
          <w:szCs w:val="18"/>
          <w:color w:val="auto"/>
        </w:rPr>
        <w:t>Our</w:t>
      </w:r>
    </w:p>
    <w:p>
      <w:pPr>
        <w:spacing w:after="0" w:line="7" w:lineRule="exact"/>
        <w:rPr>
          <w:sz w:val="20"/>
          <w:szCs w:val="20"/>
          <w:color w:val="auto"/>
        </w:rPr>
      </w:pPr>
    </w:p>
    <w:p>
      <w:pPr>
        <w:ind w:left="120" w:right="139"/>
        <w:spacing w:after="0" w:line="259" w:lineRule="auto"/>
        <w:rPr>
          <w:sz w:val="20"/>
          <w:szCs w:val="20"/>
          <w:color w:val="auto"/>
        </w:rPr>
      </w:pPr>
      <w:r>
        <w:rPr>
          <w:rFonts w:ascii="Arial" w:cs="Arial" w:eastAsia="Arial" w:hAnsi="Arial"/>
          <w:sz w:val="18"/>
          <w:szCs w:val="18"/>
          <w:color w:val="auto"/>
        </w:rPr>
        <w:t>board of directors exercised judgment and considered a number of objective and subjective factors to determine the best estimate of the fair value of our ordinary shares, including contemporaneous and retrospective valuations of our ordinary shares performed by an unrelated valuation specialist, valuations of comparable peer companies, operating and financial performance, the lack of liquidity of our share capital, and general and industry specific economic outlook.</w:t>
      </w:r>
    </w:p>
    <w:p>
      <w:pPr>
        <w:spacing w:after="0" w:line="313" w:lineRule="exact"/>
        <w:rPr>
          <w:sz w:val="20"/>
          <w:szCs w:val="20"/>
          <w:color w:val="auto"/>
        </w:rPr>
      </w:pPr>
    </w:p>
    <w:p>
      <w:pPr>
        <w:ind w:left="120" w:right="119" w:firstLine="216"/>
        <w:spacing w:after="0" w:line="258" w:lineRule="auto"/>
        <w:rPr>
          <w:sz w:val="20"/>
          <w:szCs w:val="20"/>
          <w:color w:val="auto"/>
        </w:rPr>
      </w:pPr>
      <w:r>
        <w:rPr>
          <w:rFonts w:ascii="Arial" w:cs="Arial" w:eastAsia="Arial" w:hAnsi="Arial"/>
          <w:sz w:val="18"/>
          <w:szCs w:val="18"/>
          <w:color w:val="auto"/>
        </w:rPr>
        <w:t>For our valuations performed with respect to grants made after January 1, 2014, the fair value of our ordinary shares was estimated using an income approach. The income approach estimates the aggregate enterprise value of our company based on the present value of future estimated cash flows. Cash flows are estimated for future periods based on projected revenue and costs. These future cash flows are discounted to their present values using an appropriate discount rate. The discounted projected cash flows and a terminal value are summed together to arrive at an indicated aggregate enterprise value under the income approach. In applying the income approach, we derived the discount rate from an analysis of the weighted-average cost of capital of a group of seven comparable public company industry peers as of each valuation date and adjusted it to reflect the risks inherent in our business cash flows. We derived the terminal multiple from an estimate of our normalized cash flow and estimated growth rate after five years.</w:t>
      </w:r>
    </w:p>
    <w:p>
      <w:pPr>
        <w:spacing w:after="0" w:line="200" w:lineRule="exact"/>
        <w:rPr>
          <w:sz w:val="20"/>
          <w:szCs w:val="20"/>
          <w:color w:val="auto"/>
        </w:rPr>
      </w:pPr>
    </w:p>
    <w:p>
      <w:pPr>
        <w:spacing w:after="0" w:line="384"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We allocated the estimated enterprise value among diﬀerent classes of our shares by applying an option pricing method, or OPM. 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oﬀering. The ordinary shares are modeled as call options with an exercise price equal to the liquidation preference of the preferred shares. The value of the call options is determined using the Black-Scholes-Merton option-pricing model. The OPM method requires significant assumptions; in particular, the time until investors in our company would experience an exit event and the volatility of our shares (which we determined based on the same public companies with business and financial risks comparable to our own).</w:t>
      </w:r>
    </w:p>
    <w:p>
      <w:pPr>
        <w:spacing w:after="0" w:line="359" w:lineRule="exact"/>
        <w:rPr>
          <w:sz w:val="20"/>
          <w:szCs w:val="20"/>
          <w:color w:val="auto"/>
        </w:rPr>
      </w:pPr>
    </w:p>
    <w:p>
      <w:pPr>
        <w:ind w:left="120" w:right="239" w:firstLine="216"/>
        <w:spacing w:after="0" w:line="294" w:lineRule="auto"/>
        <w:rPr>
          <w:sz w:val="20"/>
          <w:szCs w:val="20"/>
          <w:color w:val="auto"/>
        </w:rPr>
      </w:pPr>
      <w:r>
        <w:rPr>
          <w:rFonts w:ascii="Arial" w:cs="Arial" w:eastAsia="Arial" w:hAnsi="Arial"/>
          <w:sz w:val="18"/>
          <w:szCs w:val="18"/>
          <w:color w:val="auto"/>
        </w:rPr>
        <w:t>We applied a discount to the resulting valuation due to the lack of marketability of our ordinary shares. We calculated this using a put option model based on the Finnerty model. The significant assumptions involved were the same as described above.</w:t>
      </w:r>
    </w:p>
    <w:p>
      <w:pPr>
        <w:spacing w:after="0" w:line="104"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8"/>
          <w:szCs w:val="18"/>
          <w:color w:val="auto"/>
        </w:rPr>
        <w:t>The dates of our valuations did not always coincide with the dates of our share-based compensation grants. In such instances, management’s estimates were based on the most recent valuation of our ordinary shares. For grants occurring between valuation dates, for financial reporting purposes, we applied a straight-line calculation considering the preceding and subsequent valuations and our assessment of additional objective and subjective factors we believed were relevant as of the grant date.</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w:t>
      </w:r>
    </w:p>
    <w:p>
      <w:pPr>
        <w:spacing w:after="0" w:line="193" w:lineRule="exact"/>
        <w:rPr>
          <w:sz w:val="20"/>
          <w:szCs w:val="20"/>
          <w:color w:val="auto"/>
        </w:rPr>
      </w:pPr>
    </w:p>
    <w:p>
      <w:pPr>
        <w:ind w:left="120" w:right="159" w:firstLine="216"/>
        <w:spacing w:after="0" w:line="258" w:lineRule="auto"/>
        <w:rPr>
          <w:sz w:val="20"/>
          <w:szCs w:val="20"/>
          <w:color w:val="auto"/>
        </w:rPr>
      </w:pPr>
      <w:r>
        <w:rPr>
          <w:rFonts w:ascii="Arial" w:cs="Arial" w:eastAsia="Arial" w:hAnsi="Arial"/>
          <w:sz w:val="18"/>
          <w:szCs w:val="18"/>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200" w:lineRule="exact"/>
        <w:rPr>
          <w:sz w:val="20"/>
          <w:szCs w:val="20"/>
          <w:color w:val="auto"/>
        </w:rPr>
      </w:pPr>
    </w:p>
    <w:p>
      <w:pPr>
        <w:spacing w:after="0" w:line="378" w:lineRule="exact"/>
        <w:rPr>
          <w:sz w:val="20"/>
          <w:szCs w:val="20"/>
          <w:color w:val="auto"/>
        </w:rPr>
      </w:pPr>
    </w:p>
    <w:p>
      <w:pPr>
        <w:ind w:left="120" w:right="139" w:firstLine="216"/>
        <w:spacing w:after="0" w:line="263" w:lineRule="auto"/>
        <w:rPr>
          <w:sz w:val="20"/>
          <w:szCs w:val="20"/>
          <w:color w:val="auto"/>
        </w:rPr>
      </w:pPr>
      <w:r>
        <w:rPr>
          <w:rFonts w:ascii="Arial" w:cs="Arial" w:eastAsia="Arial" w:hAnsi="Arial"/>
          <w:sz w:val="18"/>
          <w:szCs w:val="18"/>
          <w:color w:val="auto"/>
        </w:rPr>
        <w:t>We recognize deferred tax assets and liabilities for future tax consequences arising from diﬀerences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ectPr>
          <w:pgSz w:w="11900" w:h="16838" w:orient="portrait"/>
          <w:cols w:equalWidth="0" w:num="1">
            <w:col w:w="9019"/>
          </w:cols>
          <w:pgMar w:left="1440" w:top="92" w:right="1440" w:bottom="677"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677" w:gutter="0" w:footer="0" w:header="0"/>
          <w:type w:val="continuous"/>
        </w:sectPr>
      </w:pPr>
    </w:p>
    <w:bookmarkStart w:id="54" w:name="page55"/>
    <w:bookmarkEnd w:id="54"/>
    <w:p>
      <w:pPr>
        <w:ind w:left="120" w:right="119" w:firstLine="216"/>
        <w:spacing w:after="0" w:line="262" w:lineRule="auto"/>
        <w:rPr>
          <w:sz w:val="20"/>
          <w:szCs w:val="20"/>
          <w:color w:val="auto"/>
        </w:rPr>
      </w:pPr>
      <w:r>
        <w:rPr>
          <w:rFonts w:ascii="Arial" w:cs="Arial" w:eastAsia="Arial" w:hAnsi="Arial"/>
          <w:sz w:val="18"/>
          <w:szCs w:val="18"/>
          <w:color w:val="auto"/>
        </w:rPr>
        <w:t>While we believe the resulting tax balances as of December 31, 2012, 2013 and 2014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7" w:lineRule="exact"/>
        <w:rPr>
          <w:sz w:val="20"/>
          <w:szCs w:val="20"/>
          <w:color w:val="auto"/>
        </w:rPr>
      </w:pPr>
    </w:p>
    <w:p>
      <w:pPr>
        <w:ind w:left="120" w:right="259" w:firstLine="216"/>
        <w:spacing w:after="0" w:line="294"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93" w:lineRule="exact"/>
        <w:rPr>
          <w:sz w:val="20"/>
          <w:szCs w:val="20"/>
          <w:color w:val="auto"/>
        </w:rPr>
      </w:pPr>
    </w:p>
    <w:p>
      <w:pPr>
        <w:ind w:left="120" w:right="139" w:firstLine="216"/>
        <w:spacing w:after="0" w:line="263" w:lineRule="auto"/>
        <w:rPr>
          <w:sz w:val="20"/>
          <w:szCs w:val="20"/>
          <w:color w:val="auto"/>
        </w:rPr>
      </w:pPr>
      <w:r>
        <w:rPr>
          <w:rFonts w:ascii="Arial" w:cs="Arial" w:eastAsia="Arial" w:hAnsi="Arial"/>
          <w:sz w:val="18"/>
          <w:szCs w:val="18"/>
          <w:color w:val="auto"/>
        </w:rPr>
        <w:t>Due to our international operations, currency exchange rates impact our financial performance. In 2014, approximately 85% of our revenues were denominated in U.S. dollars and 15% of our revenues were denominated in Euros. Conversely, in 2014, approximately 78%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aﬀected by fluctuations in the value of the U.S. dollar relative to the NIS and the Euro.</w:t>
      </w:r>
    </w:p>
    <w:p>
      <w:pPr>
        <w:spacing w:after="0" w:line="357" w:lineRule="exact"/>
        <w:rPr>
          <w:sz w:val="20"/>
          <w:szCs w:val="20"/>
          <w:color w:val="auto"/>
        </w:rPr>
      </w:pPr>
    </w:p>
    <w:p>
      <w:pPr>
        <w:ind w:left="120" w:right="319" w:firstLine="216"/>
        <w:spacing w:after="0" w:line="338" w:lineRule="auto"/>
        <w:rPr>
          <w:sz w:val="20"/>
          <w:szCs w:val="20"/>
          <w:color w:val="auto"/>
        </w:rPr>
      </w:pPr>
      <w:r>
        <w:rPr>
          <w:rFonts w:ascii="Arial" w:cs="Arial" w:eastAsia="Arial" w:hAnsi="Arial"/>
          <w:sz w:val="18"/>
          <w:szCs w:val="18"/>
          <w:color w:val="auto"/>
        </w:rPr>
        <w:t>The following table presents information about the changes in the exchange rates of the NIS and the Euro against the U.S. dollar:</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Change in Average Exchange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Rate</w:t>
            </w:r>
          </w:p>
        </w:tc>
        <w:tc>
          <w:tcPr>
            <w:tcW w:w="1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NIS against</w:t>
            </w:r>
          </w:p>
        </w:tc>
        <w:tc>
          <w:tcPr>
            <w:tcW w:w="1240" w:type="dxa"/>
            <w:vAlign w:val="bottom"/>
          </w:tcPr>
          <w:p>
            <w:pPr>
              <w:jc w:val="center"/>
              <w:spacing w:after="0" w:line="143" w:lineRule="exact"/>
              <w:rPr>
                <w:sz w:val="20"/>
                <w:szCs w:val="20"/>
                <w:color w:val="auto"/>
              </w:rPr>
            </w:pPr>
            <w:r>
              <w:rPr>
                <w:rFonts w:ascii="Arial" w:cs="Arial" w:eastAsia="Arial" w:hAnsi="Arial"/>
                <w:sz w:val="16"/>
                <w:szCs w:val="16"/>
                <w:b w:val="1"/>
                <w:bCs w:val="1"/>
                <w:color w:val="auto"/>
              </w:rPr>
              <w:t>Euro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against the</w:t>
            </w:r>
          </w:p>
        </w:tc>
        <w:tc>
          <w:tcPr>
            <w:tcW w:w="0" w:type="dxa"/>
            <w:vAlign w:val="bottom"/>
          </w:tcPr>
          <w:p>
            <w:pPr>
              <w:spacing w:after="0"/>
              <w:rPr>
                <w:sz w:val="1"/>
                <w:szCs w:val="1"/>
                <w:color w:val="auto"/>
              </w:rPr>
            </w:pPr>
          </w:p>
        </w:tc>
      </w:tr>
      <w:tr>
        <w:trPr>
          <w:trHeight w:val="189"/>
        </w:trPr>
        <w:tc>
          <w:tcPr>
            <w:tcW w:w="58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Period</w:t>
            </w: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the U.S.</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U.S. Dollar</w:t>
            </w:r>
          </w:p>
        </w:tc>
        <w:tc>
          <w:tcPr>
            <w:tcW w:w="0" w:type="dxa"/>
            <w:vAlign w:val="bottom"/>
          </w:tcPr>
          <w:p>
            <w:pPr>
              <w:spacing w:after="0"/>
              <w:rPr>
                <w:sz w:val="1"/>
                <w:szCs w:val="1"/>
                <w:color w:val="auto"/>
              </w:rPr>
            </w:pPr>
          </w:p>
        </w:tc>
      </w:tr>
      <w:tr>
        <w:trPr>
          <w:trHeight w:val="229"/>
        </w:trPr>
        <w:tc>
          <w:tcPr>
            <w:tcW w:w="5800" w:type="dxa"/>
            <w:vAlign w:val="bottom"/>
            <w:gridSpan w:val="3"/>
            <w:vMerge w:val="continue"/>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Dollar (%)</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18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340" w:type="dxa"/>
            <w:vAlign w:val="bottom"/>
            <w:vMerge w:val="continue"/>
            <w:shd w:val="clear" w:color="auto" w:fill="CCEEFF"/>
          </w:tcPr>
          <w:p>
            <w:pPr>
              <w:spacing w:after="0"/>
              <w:rPr>
                <w:sz w:val="17"/>
                <w:szCs w:val="17"/>
                <w:color w:val="auto"/>
              </w:rPr>
            </w:pPr>
          </w:p>
        </w:tc>
        <w:tc>
          <w:tcPr>
            <w:tcW w:w="1400" w:type="dxa"/>
            <w:vAlign w:val="bottom"/>
            <w:tcBorders>
              <w:left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80" w:type="dxa"/>
            <w:vAlign w:val="bottom"/>
          </w:tcPr>
          <w:p>
            <w:pPr>
              <w:spacing w:after="0"/>
              <w:rPr>
                <w:sz w:val="17"/>
                <w:szCs w:val="17"/>
                <w:color w:val="auto"/>
              </w:rPr>
            </w:pPr>
          </w:p>
        </w:tc>
        <w:tc>
          <w:tcPr>
            <w:tcW w:w="1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14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20" w:right="119" w:firstLine="216"/>
        <w:spacing w:after="0" w:line="265" w:lineRule="auto"/>
        <w:rPr>
          <w:sz w:val="20"/>
          <w:szCs w:val="20"/>
          <w:color w:val="auto"/>
        </w:rPr>
      </w:pPr>
      <w:r>
        <w:rPr>
          <w:rFonts w:ascii="Arial" w:cs="Arial" w:eastAsia="Arial" w:hAnsi="Arial"/>
          <w:sz w:val="18"/>
          <w:szCs w:val="18"/>
          <w:color w:val="auto"/>
        </w:rPr>
        <w:t>The figures above represent the change in the average exchange rate in the given period compared to the average exchange rate in the immediately preceding period. Negative figures represent depreciation of the U.S. dollar compared to the NIS. A 10% increase or decrease in the value of the NIS against the U.S. dollar would have decreased or increased our net income by approximately $2.8 million in 2013 and by approximately $3.6 million in 2014. A 10% increase or decrease in the value of the Euro against the U.S. dollar would have decreased or increased our net income by approximately $0.6 million in 2013 and by approximately $1.1 million in 2014.</w:t>
      </w:r>
    </w:p>
    <w:p>
      <w:pPr>
        <w:spacing w:after="0" w:line="129"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18" w:lineRule="exact"/>
        <w:rPr>
          <w:sz w:val="20"/>
          <w:szCs w:val="20"/>
          <w:color w:val="auto"/>
        </w:rPr>
      </w:pPr>
    </w:p>
    <w:p>
      <w:pPr>
        <w:ind w:left="120" w:right="139" w:firstLine="216"/>
        <w:spacing w:after="0" w:line="263" w:lineRule="auto"/>
        <w:rPr>
          <w:sz w:val="20"/>
          <w:szCs w:val="20"/>
          <w:color w:val="auto"/>
        </w:rPr>
      </w:pPr>
      <w:r>
        <w:rPr>
          <w:rFonts w:ascii="Arial" w:cs="Arial" w:eastAsia="Arial" w:hAnsi="Arial"/>
          <w:sz w:val="18"/>
          <w:szCs w:val="18"/>
          <w:color w:val="auto"/>
        </w:rPr>
        <w:t>Although we have not hedged against these risks formally in the past, in 2013 we converted U.S. dollars to NIS a few weeks in advance of anticipated large NIS expense payments (such as payroll expenses) to hedge against the potential devaluation of the U.S. dollar relative to the NIS prior to the dates for such payments. We will continue to monitor exposure to currency fluctuations.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357" w:lineRule="exact"/>
        <w:rPr>
          <w:sz w:val="20"/>
          <w:szCs w:val="20"/>
          <w:color w:val="auto"/>
        </w:rPr>
      </w:pPr>
    </w:p>
    <w:p>
      <w:pPr>
        <w:ind w:left="120" w:right="239" w:firstLine="216"/>
        <w:spacing w:after="0" w:line="269" w:lineRule="auto"/>
        <w:rPr>
          <w:sz w:val="20"/>
          <w:szCs w:val="20"/>
          <w:color w:val="auto"/>
        </w:rPr>
      </w:pPr>
      <w:r>
        <w:rPr>
          <w:rFonts w:ascii="Arial" w:cs="Arial" w:eastAsia="Arial" w:hAnsi="Arial"/>
          <w:sz w:val="18"/>
          <w:szCs w:val="18"/>
          <w:color w:val="auto"/>
        </w:rPr>
        <w:t>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w:t>
      </w:r>
    </w:p>
    <w:p>
      <w:pPr>
        <w:sectPr>
          <w:pgSz w:w="11900" w:h="16838" w:orient="portrait"/>
          <w:cols w:equalWidth="0" w:num="1">
            <w:col w:w="9019"/>
          </w:cols>
          <w:pgMar w:left="1440" w:top="92"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55" w:name="page56"/>
    <w:bookmarkEnd w:id="55"/>
    <w:p>
      <w:pPr>
        <w:ind w:left="120" w:right="179"/>
        <w:spacing w:after="0" w:line="272" w:lineRule="auto"/>
        <w:rPr>
          <w:sz w:val="20"/>
          <w:szCs w:val="20"/>
          <w:color w:val="auto"/>
        </w:rPr>
      </w:pPr>
      <w:r>
        <w:rPr>
          <w:rFonts w:ascii="Arial" w:cs="Arial" w:eastAsia="Arial" w:hAnsi="Arial"/>
          <w:sz w:val="18"/>
          <w:szCs w:val="18"/>
          <w:color w:val="auto"/>
        </w:rPr>
        <w:t>our expenses will continue to be denominated in NIS. We cannot provide any assurances that our hedging activities, once implemented, will be successful in protecting us in full from adverse impacts from currency exchange rate fluctuations. In addition, since we only plan to hedge a portion of our foreign currency exposure, our results of operations may be adversely aﬀected due to the impact of currency fluctuations on the unhedged aspects of our operations.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193" w:lineRule="exact"/>
        <w:rPr>
          <w:sz w:val="20"/>
          <w:szCs w:val="20"/>
          <w:color w:val="auto"/>
        </w:rPr>
      </w:pPr>
    </w:p>
    <w:p>
      <w:pPr>
        <w:ind w:left="120" w:right="219" w:firstLine="216"/>
        <w:spacing w:after="0" w:line="338" w:lineRule="auto"/>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Oﬀ-Balance Sheet Arrangements</w:t>
      </w:r>
    </w:p>
    <w:p>
      <w:pPr>
        <w:spacing w:after="0" w:line="227" w:lineRule="exact"/>
        <w:rPr>
          <w:sz w:val="20"/>
          <w:szCs w:val="20"/>
          <w:color w:val="auto"/>
        </w:rPr>
      </w:pPr>
    </w:p>
    <w:p>
      <w:pPr>
        <w:ind w:left="120" w:right="159" w:firstLine="216"/>
        <w:spacing w:after="0" w:line="294" w:lineRule="auto"/>
        <w:rPr>
          <w:sz w:val="20"/>
          <w:szCs w:val="20"/>
          <w:color w:val="auto"/>
        </w:rPr>
      </w:pPr>
      <w:r>
        <w:rPr>
          <w:rFonts w:ascii="Arial" w:cs="Arial" w:eastAsia="Arial" w:hAnsi="Arial"/>
          <w:sz w:val="18"/>
          <w:szCs w:val="18"/>
          <w:color w:val="auto"/>
        </w:rPr>
        <w:t>Since our inception, except for standard operating leases, we have not engaged in any oﬀ-balance sheet arrangements, such as the use of unconsolidated subsidiaries, structured finance, special purpose entities or variable interest entities.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227" w:lineRule="exact"/>
        <w:rPr>
          <w:sz w:val="20"/>
          <w:szCs w:val="20"/>
          <w:color w:val="auto"/>
        </w:rPr>
      </w:pPr>
    </w:p>
    <w:p>
      <w:pPr>
        <w:ind w:left="120" w:right="159" w:firstLine="216"/>
        <w:spacing w:after="0" w:line="274"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7" w:lineRule="exact"/>
        <w:rPr>
          <w:sz w:val="20"/>
          <w:szCs w:val="20"/>
          <w:color w:val="auto"/>
        </w:rPr>
      </w:pPr>
    </w:p>
    <w:p>
      <w:pPr>
        <w:ind w:left="120" w:right="119" w:firstLine="216"/>
        <w:spacing w:after="0" w:line="261" w:lineRule="auto"/>
        <w:rPr>
          <w:sz w:val="20"/>
          <w:szCs w:val="20"/>
          <w:color w:val="auto"/>
        </w:rPr>
      </w:pPr>
      <w:r>
        <w:rPr>
          <w:rFonts w:ascii="Arial" w:cs="Arial" w:eastAsia="Arial" w:hAnsi="Arial"/>
          <w:sz w:val="18"/>
          <w:szCs w:val="18"/>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We are currently in the process of evaluating the impact of the adoption of ASU 2014-09 on our consolidated financial statements.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left="120" w:right="159" w:firstLine="216"/>
        <w:spacing w:after="0" w:line="26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published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357" w:lineRule="exact"/>
        <w:rPr>
          <w:sz w:val="20"/>
          <w:szCs w:val="20"/>
          <w:color w:val="auto"/>
        </w:rPr>
      </w:pPr>
    </w:p>
    <w:p>
      <w:pPr>
        <w:ind w:left="120" w:right="119" w:firstLine="216"/>
        <w:spacing w:after="0" w:line="263" w:lineRule="auto"/>
        <w:rPr>
          <w:sz w:val="20"/>
          <w:szCs w:val="20"/>
          <w:color w:val="auto"/>
        </w:rPr>
      </w:pPr>
      <w:r>
        <w:rPr>
          <w:rFonts w:ascii="Arial" w:cs="Arial" w:eastAsia="Arial" w:hAnsi="Arial"/>
          <w:sz w:val="18"/>
          <w:szCs w:val="18"/>
          <w:color w:val="auto"/>
        </w:rPr>
        <w:t>There is a diverse ecosystem of businesses that utilize textile printing processes, such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357" w:lineRule="exact"/>
        <w:rPr>
          <w:sz w:val="20"/>
          <w:szCs w:val="20"/>
          <w:color w:val="auto"/>
        </w:rPr>
      </w:pPr>
    </w:p>
    <w:p>
      <w:pPr>
        <w:ind w:left="120" w:right="279" w:firstLine="216"/>
        <w:spacing w:after="0" w:line="256" w:lineRule="auto"/>
        <w:rPr>
          <w:sz w:val="20"/>
          <w:szCs w:val="20"/>
          <w:color w:val="auto"/>
        </w:rPr>
      </w:pPr>
      <w:r>
        <w:rPr>
          <w:rFonts w:ascii="Arial" w:cs="Arial" w:eastAsia="Arial" w:hAnsi="Arial"/>
          <w:sz w:val="18"/>
          <w:szCs w:val="18"/>
          <w:color w:val="auto"/>
        </w:rPr>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initial growth rates in the digital textile printing market were more than 45% between 2004 and 2009, declining to an average compound annual growth rate of</w:t>
      </w:r>
    </w:p>
    <w:p>
      <w:pPr>
        <w:spacing w:after="0" w:line="206" w:lineRule="exact"/>
        <w:rPr>
          <w:sz w:val="20"/>
          <w:szCs w:val="20"/>
          <w:color w:val="auto"/>
        </w:rPr>
      </w:pPr>
    </w:p>
    <w:p>
      <w:pPr>
        <w:ind w:left="120" w:right="179"/>
        <w:spacing w:after="0" w:line="256" w:lineRule="auto"/>
        <w:rPr>
          <w:sz w:val="20"/>
          <w:szCs w:val="20"/>
          <w:color w:val="auto"/>
        </w:rPr>
      </w:pPr>
      <w:r>
        <w:rPr>
          <w:rFonts w:ascii="Arial" w:cs="Arial" w:eastAsia="Arial" w:hAnsi="Arial"/>
          <w:sz w:val="18"/>
          <w:szCs w:val="18"/>
          <w:color w:val="auto"/>
        </w:rPr>
        <w:t>25.0% between 2009 and 2012 and an average compound annual growth rate of 19.4% between 2012 and 2014 as the market became more mature and, in part, due to the impact of the global economic slowdown. Digital textile printing output is forecasted to grow at approximately 20% per year globally for the foreseeable future driven by projected compound annual growth rates from 2014 to 2019 of approximately 15% in North America, 20% in Western Europe, 20% in Eastern Europe and 21% in Asia according to the Pira report. Within digital textile printing, clothing applications represent the greatest amount of digital printed textile output and are projected to grow at a faster rate than household, technical and display applications.</w:t>
      </w:r>
    </w:p>
    <w:p>
      <w:pPr>
        <w:spacing w:after="0" w:line="357" w:lineRule="exact"/>
        <w:rPr>
          <w:sz w:val="20"/>
          <w:szCs w:val="20"/>
          <w:color w:val="auto"/>
        </w:rPr>
      </w:pPr>
    </w:p>
    <w:p>
      <w:pPr>
        <w:ind w:left="120" w:right="159" w:firstLine="216"/>
        <w:spacing w:after="0" w:line="279" w:lineRule="auto"/>
        <w:rPr>
          <w:sz w:val="20"/>
          <w:szCs w:val="20"/>
          <w:color w:val="auto"/>
        </w:rPr>
      </w:pPr>
      <w:r>
        <w:rPr>
          <w:rFonts w:ascii="Arial" w:cs="Arial" w:eastAsia="Arial" w:hAnsi="Arial"/>
          <w:sz w:val="18"/>
          <w:szCs w:val="18"/>
          <w:color w:val="auto"/>
        </w:rPr>
        <w:t>We estimate that global revenue from digital textile printing equipment and ink will grow at a 17% compound annual growth rate between 2014 and 2019 based on the estimate of such revenue for 2014 and the projection for 2019, in each case, contained in the Pira report. There is currently a global installed base of approximately 35,000 digital textile printers.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in the Textile Printing Market</w:t>
      </w:r>
    </w:p>
    <w:p>
      <w:pPr>
        <w:spacing w:after="0" w:line="227"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8"/>
          <w:szCs w:val="18"/>
          <w:color w:val="auto"/>
        </w:rPr>
        <w:t>Textile printing is most commonly conducted using an analog printing method known as screen printing, which includes rotary screen printing and manual or automated carousel screen printing techniques. Rotary screen printing involves passing rolls of fabric through rotating cylinders that are engraved with the image or design to be printed, whereas carousel screen printing involves squeezing ink onto fabric through purpose-built mesh stencils.</w:t>
      </w:r>
    </w:p>
    <w:p>
      <w:pPr>
        <w:spacing w:after="0" w:line="124" w:lineRule="exact"/>
        <w:rPr>
          <w:sz w:val="20"/>
          <w:szCs w:val="20"/>
          <w:color w:val="auto"/>
        </w:rPr>
      </w:pPr>
    </w:p>
    <w:p>
      <w:pPr>
        <w:ind w:left="120" w:right="199" w:firstLine="216"/>
        <w:spacing w:after="0" w:line="263" w:lineRule="auto"/>
        <w:rPr>
          <w:sz w:val="20"/>
          <w:szCs w:val="20"/>
          <w:color w:val="auto"/>
        </w:rPr>
      </w:pPr>
      <w:r>
        <w:rPr>
          <w:rFonts w:ascii="Arial" w:cs="Arial" w:eastAsia="Arial" w:hAnsi="Arial"/>
          <w:sz w:val="18"/>
          <w:szCs w:val="18"/>
          <w:color w:val="auto"/>
        </w:rPr>
        <w:t>Digital printing, which uses specially engineered inkjet heads to print designs and patterns directly onto fabrics, currently represents a small, but rapidly growing, portion of the global printed textile industry. Digital textile printing allows a full image or design to be printed on a garment or cut fabric in one manufacturing step compared to multiple steps in an analog printing process. Digital textile printing gives manufacturers the ability to print small runs in a cost-eﬀective manner with a minimum order quantity of one unit. Demand for digital equipment and consumables is expanding due to the increasing acceptance of digital textile printing processes among industry participants and in order to respond to the following trends:</w:t>
      </w:r>
    </w:p>
    <w:p>
      <w:pPr>
        <w:spacing w:after="0" w:line="371" w:lineRule="exact"/>
        <w:rPr>
          <w:sz w:val="20"/>
          <w:szCs w:val="20"/>
          <w:color w:val="auto"/>
        </w:rPr>
      </w:pPr>
    </w:p>
    <w:p>
      <w:pPr>
        <w:ind w:left="560" w:right="339" w:hanging="219"/>
        <w:spacing w:after="0" w:line="259" w:lineRule="auto"/>
        <w:tabs>
          <w:tab w:leader="none" w:pos="553" w:val="left"/>
        </w:tabs>
        <w:numPr>
          <w:ilvl w:val="0"/>
          <w:numId w:val="31"/>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 xml:space="preserve">Increased demand for variety and complexity of images and designs. </w:t>
      </w:r>
      <w:r>
        <w:rPr>
          <w:rFonts w:ascii="Arial" w:cs="Arial" w:eastAsia="Arial" w:hAnsi="Arial"/>
          <w:sz w:val="18"/>
          <w:szCs w:val="18"/>
          <w:color w:val="auto"/>
        </w:rPr>
        <w:t>In order to</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distinguish themselves from the masses, consumers demand, and brand owners seek to supply, a wide range of styles that are innovative and diverse.</w:t>
      </w:r>
    </w:p>
    <w:p>
      <w:pPr>
        <w:spacing w:after="0" w:line="146" w:lineRule="exact"/>
        <w:rPr>
          <w:rFonts w:ascii="Arial" w:cs="Arial" w:eastAsia="Arial" w:hAnsi="Arial"/>
          <w:sz w:val="22"/>
          <w:szCs w:val="22"/>
          <w:b w:val="1"/>
          <w:bCs w:val="1"/>
          <w:i w:val="1"/>
          <w:iCs w:val="1"/>
          <w:color w:val="auto"/>
        </w:rPr>
      </w:pPr>
    </w:p>
    <w:p>
      <w:pPr>
        <w:ind w:left="560" w:right="459" w:hanging="219"/>
        <w:spacing w:after="0" w:line="259" w:lineRule="auto"/>
        <w:tabs>
          <w:tab w:leader="none" w:pos="553" w:val="left"/>
        </w:tabs>
        <w:numPr>
          <w:ilvl w:val="0"/>
          <w:numId w:val="31"/>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 xml:space="preserve">Mass customization and personalization. </w:t>
      </w:r>
      <w:r>
        <w:rPr>
          <w:rFonts w:ascii="Arial" w:cs="Arial" w:eastAsia="Arial" w:hAnsi="Arial"/>
          <w:sz w:val="18"/>
          <w:szCs w:val="18"/>
          <w:color w:val="auto"/>
        </w:rPr>
        <w:t>We believe consumers are increasingly</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seeking the ability to customize products by choosing preferred features from a menu of options, or the ability to personalize products by adding an individualized pattern.</w:t>
      </w:r>
    </w:p>
    <w:p>
      <w:pPr>
        <w:sectPr>
          <w:pgSz w:w="11900" w:h="16838" w:orient="portrait"/>
          <w:cols w:equalWidth="0" w:num="1">
            <w:col w:w="9019"/>
          </w:cols>
          <w:pgMar w:left="1440" w:top="307" w:right="1440" w:bottom="258"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258" w:gutter="0" w:footer="0" w:header="0"/>
          <w:type w:val="continuous"/>
        </w:sectPr>
      </w:pPr>
    </w:p>
    <w:bookmarkStart w:id="57" w:name="page58"/>
    <w:bookmarkEnd w:id="57"/>
    <w:p>
      <w:pPr>
        <w:ind w:left="560" w:right="399" w:hanging="219"/>
        <w:spacing w:after="0" w:line="257" w:lineRule="auto"/>
        <w:tabs>
          <w:tab w:leader="none" w:pos="553" w:val="left"/>
        </w:tabs>
        <w:numPr>
          <w:ilvl w:val="0"/>
          <w:numId w:val="32"/>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Reduced time between design and production</w:t>
      </w:r>
      <w:r>
        <w:rPr>
          <w:rFonts w:ascii="Courier New" w:cs="Courier New" w:eastAsia="Courier New" w:hAnsi="Courier New"/>
          <w:sz w:val="18"/>
          <w:szCs w:val="18"/>
          <w:i w:val="1"/>
          <w:iCs w:val="1"/>
          <w:color w:val="auto"/>
        </w:rPr>
        <w:t>.</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The digital textile printing process</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allows for samples to be quickly produced, evaluated, and modified, which permits brand owners to increase the frequency and variety of replenishment cycles in response to fashion trends.</w:t>
      </w:r>
    </w:p>
    <w:p>
      <w:pPr>
        <w:spacing w:after="0" w:line="385" w:lineRule="exact"/>
        <w:rPr>
          <w:rFonts w:ascii="Arial" w:cs="Arial" w:eastAsia="Arial" w:hAnsi="Arial"/>
          <w:sz w:val="22"/>
          <w:szCs w:val="22"/>
          <w:b w:val="1"/>
          <w:bCs w:val="1"/>
          <w:i w:val="1"/>
          <w:iCs w:val="1"/>
          <w:color w:val="auto"/>
        </w:rPr>
      </w:pPr>
    </w:p>
    <w:p>
      <w:pPr>
        <w:ind w:left="560" w:right="179" w:hanging="219"/>
        <w:spacing w:after="0" w:line="256" w:lineRule="auto"/>
        <w:tabs>
          <w:tab w:leader="none" w:pos="553" w:val="left"/>
        </w:tabs>
        <w:numPr>
          <w:ilvl w:val="0"/>
          <w:numId w:val="32"/>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 xml:space="preserve">Focus on reducing risk of excess inventory. </w:t>
      </w:r>
      <w:r>
        <w:rPr>
          <w:rFonts w:ascii="Arial" w:cs="Arial" w:eastAsia="Arial" w:hAnsi="Arial"/>
          <w:sz w:val="18"/>
          <w:szCs w:val="18"/>
          <w:color w:val="auto"/>
        </w:rPr>
        <w:t>The costly and time-consuming upfront</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setup required in analog production methods is avoided when using digital printing technologies. Therefore, digital printing enables the cost eﬃcient production of a smaller quantity of garments which mitigates excess inventory risk and improves profitability.</w:t>
      </w:r>
    </w:p>
    <w:p>
      <w:pPr>
        <w:spacing w:after="0" w:line="109" w:lineRule="exact"/>
        <w:rPr>
          <w:rFonts w:ascii="Arial" w:cs="Arial" w:eastAsia="Arial" w:hAnsi="Arial"/>
          <w:sz w:val="22"/>
          <w:szCs w:val="22"/>
          <w:b w:val="1"/>
          <w:bCs w:val="1"/>
          <w:i w:val="1"/>
          <w:iCs w:val="1"/>
          <w:color w:val="auto"/>
        </w:rPr>
      </w:pPr>
    </w:p>
    <w:p>
      <w:pPr>
        <w:ind w:left="560" w:right="299" w:hanging="219"/>
        <w:spacing w:after="0" w:line="254" w:lineRule="auto"/>
        <w:tabs>
          <w:tab w:leader="none" w:pos="553" w:val="left"/>
        </w:tabs>
        <w:numPr>
          <w:ilvl w:val="0"/>
          <w:numId w:val="32"/>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Environmentally friendly production</w:t>
      </w:r>
      <w:r>
        <w:rPr>
          <w:rFonts w:ascii="Courier New" w:cs="Courier New" w:eastAsia="Courier New" w:hAnsi="Courier New"/>
          <w:sz w:val="18"/>
          <w:szCs w:val="18"/>
          <w:i w:val="1"/>
          <w:iCs w:val="1"/>
          <w:color w:val="auto"/>
        </w:rPr>
        <w:t>.</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Regulatory bodies and consumers are</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increasingly focused on social 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351" w:lineRule="exact"/>
        <w:rPr>
          <w:rFonts w:ascii="Arial" w:cs="Arial" w:eastAsia="Arial" w:hAnsi="Arial"/>
          <w:sz w:val="22"/>
          <w:szCs w:val="22"/>
          <w:b w:val="1"/>
          <w:bCs w:val="1"/>
          <w:i w:val="1"/>
          <w:iCs w:val="1"/>
          <w:color w:val="auto"/>
        </w:rPr>
      </w:pPr>
    </w:p>
    <w:p>
      <w:pPr>
        <w:ind w:left="560" w:right="199" w:hanging="219"/>
        <w:spacing w:after="0" w:line="251" w:lineRule="auto"/>
        <w:tabs>
          <w:tab w:leader="none" w:pos="553" w:val="left"/>
        </w:tabs>
        <w:numPr>
          <w:ilvl w:val="0"/>
          <w:numId w:val="32"/>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 xml:space="preserve">Reduced labor and physical space requirements. </w:t>
      </w:r>
      <w:r>
        <w:rPr>
          <w:rFonts w:ascii="Arial" w:cs="Arial" w:eastAsia="Arial" w:hAnsi="Arial"/>
          <w:sz w:val="18"/>
          <w:szCs w:val="18"/>
          <w:color w:val="auto"/>
        </w:rPr>
        <w:t>Digital textile printing requires</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significantly less labor to print an 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cost-eﬀective manner.</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155575</wp:posOffset>
            </wp:positionV>
            <wp:extent cx="4425315" cy="1818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2531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193" w:lineRule="exact"/>
        <w:rPr>
          <w:sz w:val="20"/>
          <w:szCs w:val="20"/>
          <w:color w:val="auto"/>
        </w:rPr>
      </w:pPr>
    </w:p>
    <w:p>
      <w:pPr>
        <w:ind w:left="120" w:right="379" w:firstLine="216"/>
        <w:spacing w:after="0" w:line="338"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172720</wp:posOffset>
            </wp:positionV>
            <wp:extent cx="5746115" cy="780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4611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right="859" w:hanging="215"/>
        <w:spacing w:after="0" w:line="259" w:lineRule="auto"/>
        <w:tabs>
          <w:tab w:leader="none" w:pos="587" w:val="left"/>
        </w:tabs>
        <w:numPr>
          <w:ilvl w:val="0"/>
          <w:numId w:val="33"/>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 xml:space="preserve">Rotary screen printing. </w:t>
      </w:r>
      <w:r>
        <w:rPr>
          <w:rFonts w:ascii="Arial" w:cs="Arial" w:eastAsia="Arial" w:hAnsi="Arial"/>
          <w:sz w:val="18"/>
          <w:szCs w:val="18"/>
          <w:color w:val="auto"/>
        </w:rPr>
        <w:t>Rotary screen printing is commonly used to print on</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outerwear, underwear, sportswear, upholstery and linens. It involves multiple, time-consuming process steps. Rolls of fabric pass through rotating</w:t>
      </w:r>
    </w:p>
    <w:p>
      <w:pPr>
        <w:sectPr>
          <w:pgSz w:w="11900" w:h="16838" w:orient="portrait"/>
          <w:cols w:equalWidth="0" w:num="1">
            <w:col w:w="9019"/>
          </w:cols>
          <w:pgMar w:left="1440" w:top="322"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type w:val="continuous"/>
        </w:sectPr>
      </w:pPr>
    </w:p>
    <w:bookmarkStart w:id="58" w:name="page59"/>
    <w:bookmarkEnd w:id="58"/>
    <w:p>
      <w:pPr>
        <w:ind w:left="560" w:right="479"/>
        <w:spacing w:after="0" w:line="261" w:lineRule="auto"/>
        <w:rPr>
          <w:sz w:val="20"/>
          <w:szCs w:val="20"/>
          <w:color w:val="auto"/>
        </w:rPr>
      </w:pPr>
      <w:r>
        <w:rPr>
          <w:rFonts w:ascii="Arial" w:cs="Arial" w:eastAsia="Arial" w:hAnsi="Arial"/>
          <w:sz w:val="18"/>
          <w:szCs w:val="18"/>
          <w:color w:val="auto"/>
        </w:rPr>
        <w:t>cylinders that are engraved with the image or design to be printed. Each cylinder then applies ink of a diﬀerent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oﬀsite.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172720</wp:posOffset>
            </wp:positionV>
            <wp:extent cx="1844040" cy="1715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4404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right="119" w:hanging="215"/>
        <w:spacing w:after="0" w:line="252" w:lineRule="auto"/>
        <w:tabs>
          <w:tab w:leader="none" w:pos="590" w:val="left"/>
        </w:tabs>
        <w:numPr>
          <w:ilvl w:val="0"/>
          <w:numId w:val="34"/>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Automated carousel screen printing</w:t>
      </w:r>
      <w:r>
        <w:rPr>
          <w:rFonts w:ascii="Arial" w:cs="Arial" w:eastAsia="Arial" w:hAnsi="Arial"/>
          <w:sz w:val="18"/>
          <w:szCs w:val="18"/>
          <w:b w:val="1"/>
          <w:bCs w:val="1"/>
          <w:color w:val="auto"/>
        </w:rPr>
        <w:t>.</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Automated carousel screen printing is commonly</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used to print on t-shirts and jeans.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172720</wp:posOffset>
            </wp:positionV>
            <wp:extent cx="1758315" cy="20840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58315" cy="2084070"/>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type w:val="continuous"/>
        </w:sectPr>
      </w:pPr>
    </w:p>
    <w:bookmarkStart w:id="59" w:name="page60"/>
    <w:bookmarkEnd w:id="59"/>
    <w:p>
      <w:pPr>
        <w:ind w:left="120"/>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193" w:lineRule="exact"/>
        <w:rPr>
          <w:sz w:val="20"/>
          <w:szCs w:val="20"/>
          <w:color w:val="auto"/>
        </w:rPr>
      </w:pPr>
    </w:p>
    <w:p>
      <w:pPr>
        <w:ind w:left="120" w:right="279" w:firstLine="216"/>
        <w:spacing w:after="0" w:line="279"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18" w:lineRule="exact"/>
        <w:rPr>
          <w:sz w:val="20"/>
          <w:szCs w:val="20"/>
          <w:color w:val="auto"/>
        </w:rPr>
      </w:pPr>
    </w:p>
    <w:p>
      <w:pPr>
        <w:ind w:left="120" w:right="299" w:firstLine="216"/>
        <w:spacing w:after="0" w:line="269"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39" w:lineRule="exact"/>
        <w:rPr>
          <w:sz w:val="20"/>
          <w:szCs w:val="20"/>
          <w:color w:val="auto"/>
        </w:rPr>
      </w:pPr>
    </w:p>
    <w:p>
      <w:pPr>
        <w:ind w:left="560" w:right="219" w:hanging="219"/>
        <w:spacing w:after="0" w:line="262" w:lineRule="auto"/>
        <w:tabs>
          <w:tab w:leader="none" w:pos="553" w:val="left"/>
        </w:tabs>
        <w:numPr>
          <w:ilvl w:val="0"/>
          <w:numId w:val="35"/>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 xml:space="preserve">Direct-to-Garment (DTG). </w:t>
      </w:r>
      <w:r>
        <w:rPr>
          <w:rFonts w:ascii="Arial" w:cs="Arial" w:eastAsia="Arial" w:hAnsi="Arial"/>
          <w:sz w:val="18"/>
          <w:szCs w:val="18"/>
          <w:color w:val="auto"/>
        </w:rPr>
        <w:t>In DTG printing, an inkjet printer prints directly on the textile.</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DTG printing allows for 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63" w:lineRule="exact"/>
        <w:rPr>
          <w:rFonts w:ascii="Arial" w:cs="Arial" w:eastAsia="Arial" w:hAnsi="Arial"/>
          <w:sz w:val="22"/>
          <w:szCs w:val="22"/>
          <w:b w:val="1"/>
          <w:bCs w:val="1"/>
          <w:i w:val="1"/>
          <w:iCs w:val="1"/>
          <w:color w:val="auto"/>
        </w:rPr>
      </w:pPr>
    </w:p>
    <w:p>
      <w:pPr>
        <w:ind w:left="560" w:right="179" w:hanging="219"/>
        <w:spacing w:after="0" w:line="267" w:lineRule="auto"/>
        <w:tabs>
          <w:tab w:leader="none" w:pos="553" w:val="left"/>
        </w:tabs>
        <w:numPr>
          <w:ilvl w:val="0"/>
          <w:numId w:val="35"/>
        </w:numPr>
        <w:rPr>
          <w:rFonts w:ascii="Arial" w:cs="Arial" w:eastAsia="Arial" w:hAnsi="Arial"/>
          <w:sz w:val="22"/>
          <w:szCs w:val="22"/>
          <w:b w:val="1"/>
          <w:bCs w:val="1"/>
          <w:i w:val="1"/>
          <w:iCs w:val="1"/>
          <w:color w:val="auto"/>
        </w:rPr>
      </w:pPr>
      <w:r>
        <w:rPr>
          <w:rFonts w:ascii="Courier New" w:cs="Courier New" w:eastAsia="Courier New" w:hAnsi="Courier New"/>
          <w:sz w:val="18"/>
          <w:szCs w:val="18"/>
          <w:b w:val="1"/>
          <w:bCs w:val="1"/>
          <w:i w:val="1"/>
          <w:iCs w:val="1"/>
          <w:color w:val="auto"/>
        </w:rPr>
        <w:t xml:space="preserve">Roll-to-Roll (R2R). </w:t>
      </w:r>
      <w:r>
        <w:rPr>
          <w:rFonts w:ascii="Arial" w:cs="Arial" w:eastAsia="Arial" w:hAnsi="Arial"/>
          <w:sz w:val="18"/>
          <w:szCs w:val="18"/>
          <w:color w:val="auto"/>
        </w:rPr>
        <w:t>In R2R printing, rolls of fabric pass in-line through wide-format inkjet</w:t>
      </w:r>
      <w:r>
        <w:rPr>
          <w:rFonts w:ascii="Courier New" w:cs="Courier New" w:eastAsia="Courier New" w:hAnsi="Courier New"/>
          <w:sz w:val="18"/>
          <w:szCs w:val="18"/>
          <w:b w:val="1"/>
          <w:bCs w:val="1"/>
          <w:i w:val="1"/>
          <w:iCs w:val="1"/>
          <w:color w:val="auto"/>
        </w:rPr>
        <w:t xml:space="preserve"> </w:t>
      </w:r>
      <w:r>
        <w:rPr>
          <w:rFonts w:ascii="Arial" w:cs="Arial" w:eastAsia="Arial" w:hAnsi="Arial"/>
          <w:sz w:val="18"/>
          <w:szCs w:val="18"/>
          <w:color w:val="auto"/>
        </w:rPr>
        <w:t>printers that are utilized 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-1063625</wp:posOffset>
            </wp:positionV>
            <wp:extent cx="3224530" cy="471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24530" cy="471805"/>
                    </a:xfrm>
                    <a:prstGeom prst="rect">
                      <a:avLst/>
                    </a:prstGeom>
                    <a:noFill/>
                  </pic:spPr>
                </pic:pic>
              </a:graphicData>
            </a:graphic>
          </wp:anchor>
        </w:drawing>
        <w:drawing>
          <wp:anchor simplePos="0" relativeHeight="251657728" behindDoc="1" locked="0" layoutInCell="0" allowOverlap="1">
            <wp:simplePos x="0" y="0"/>
            <wp:positionH relativeFrom="column">
              <wp:posOffset>923925</wp:posOffset>
            </wp:positionH>
            <wp:positionV relativeFrom="paragraph">
              <wp:posOffset>93980</wp:posOffset>
            </wp:positionV>
            <wp:extent cx="3884930" cy="4718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849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Recent technological developments in digital printing have supported the adoption of digital printing by the global printed textile industry, including by leading fashion designers, apparel brands, and contract manufacturers. Digital printing systems are now capable of printing increasingly large volumes of textiles with complex, customized images and designs at high throughput levels, which have enabled the global printed textile industry to harness the advantages of digital textile printing in a cost-eﬀective manner. Additionally, the growth of e-commerce has given rise to many online apparel and home décor vendors who are unencumbered by legacy manufacturing processes and who rely primarily on digital printing systems to serve their large customer bases. As a result of these trends, we believe that the global printed textile industry oﬀers a significant and rapidly growing market for digital printing solutions.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w:t>
      </w:r>
    </w:p>
    <w:p>
      <w:pPr>
        <w:spacing w:after="0" w:line="208" w:lineRule="exact"/>
        <w:rPr>
          <w:sz w:val="20"/>
          <w:szCs w:val="20"/>
          <w:color w:val="auto"/>
        </w:rPr>
      </w:pPr>
    </w:p>
    <w:p>
      <w:pPr>
        <w:ind w:left="120" w:right="339"/>
        <w:spacing w:after="0" w:line="259" w:lineRule="auto"/>
        <w:rPr>
          <w:sz w:val="20"/>
          <w:szCs w:val="20"/>
          <w:color w:val="auto"/>
        </w:rPr>
      </w:pPr>
      <w:r>
        <w:rPr>
          <w:rFonts w:ascii="Arial" w:cs="Arial" w:eastAsia="Arial" w:hAnsi="Arial"/>
          <w:sz w:val="18"/>
          <w:szCs w:val="18"/>
          <w:color w:val="auto"/>
        </w:rPr>
        <w:t>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354"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There are a number of trends within the global printed textile industry that we believe are resulting in greater demand for our solutions. Consumers are increasingly seeking to diﬀerentiate themselves by wearing customized and personalized garments with colorful and intricate images and designs. Brand owners and contract printers are seeking methods to shorten time to market and reduce production lead times in order to more eﬃciently and cost-eﬀectively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eﬃcient, cost-eﬀective and environmentally friendly manner.</w:t>
      </w:r>
    </w:p>
    <w:p>
      <w:pPr>
        <w:spacing w:after="0" w:line="359"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We have developed and oﬀer a broad portfolio of diﬀerentiated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40 to 300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oﬀering a complete solution from web order intake through graphic job preparation and execution. We also oﬀer customers maintenance and support services and value added services aimed at optimizing the use of our systems.</w:t>
      </w:r>
    </w:p>
    <w:p>
      <w:pPr>
        <w:spacing w:after="0" w:line="200" w:lineRule="exact"/>
        <w:rPr>
          <w:sz w:val="20"/>
          <w:szCs w:val="20"/>
          <w:color w:val="auto"/>
        </w:rPr>
      </w:pPr>
    </w:p>
    <w:p>
      <w:pPr>
        <w:spacing w:after="0" w:line="376" w:lineRule="exact"/>
        <w:rPr>
          <w:sz w:val="20"/>
          <w:szCs w:val="20"/>
          <w:color w:val="auto"/>
        </w:rPr>
      </w:pPr>
    </w:p>
    <w:p>
      <w:pPr>
        <w:ind w:left="120" w:right="259" w:firstLine="216"/>
        <w:spacing w:after="0" w:line="258" w:lineRule="auto"/>
        <w:rPr>
          <w:sz w:val="20"/>
          <w:szCs w:val="20"/>
          <w:color w:val="auto"/>
        </w:rPr>
      </w:pPr>
      <w:r>
        <w:rPr>
          <w:rFonts w:ascii="Arial" w:cs="Arial" w:eastAsia="Arial" w:hAnsi="Arial"/>
          <w:sz w:val="18"/>
          <w:szCs w:val="18"/>
          <w:color w:val="auto"/>
        </w:rPr>
        <w:t>Building on the expertise and capabilities we have accumulated throughout our history in developing and oﬀering diﬀerentiated solutions for the DTG market, we are in the advanced stages of finalizing a digital printing solution aimed at another segment of the printed textile industry, the roll-to -roll, or R2R, market. While the DTG market generally involves printing on finished garments, the R2R market is focused on printing on fabrics that are subsequently converted into finished garments. Our R2R solution utilizes our proprietary wet-on-wet printing methodology and houses an integrated dryer within the system. We believe it will be the first single-step, stand-alone R2R digital textile printing solution available on the market. We plan to market our R2R solution, the Allegro, to online businesses that require large variety and limited quantity orders and to fabric converters, who source large quantities of fabric and convert untreated fabrics into finished materials to be sold to garment and home décor manufacturers. We are targeting the commercial launch of the Allegro in the next 18 months and believe it will oﬀer us a significant opportunity for growth.</w:t>
      </w:r>
    </w:p>
    <w:p>
      <w:pPr>
        <w:spacing w:after="0" w:line="200" w:lineRule="exact"/>
        <w:rPr>
          <w:sz w:val="20"/>
          <w:szCs w:val="20"/>
          <w:color w:val="auto"/>
        </w:rPr>
      </w:pPr>
    </w:p>
    <w:p>
      <w:pPr>
        <w:spacing w:after="0" w:line="378" w:lineRule="exact"/>
        <w:rPr>
          <w:sz w:val="20"/>
          <w:szCs w:val="20"/>
          <w:color w:val="auto"/>
        </w:rPr>
      </w:pPr>
    </w:p>
    <w:p>
      <w:pPr>
        <w:ind w:left="120" w:right="139" w:firstLine="216"/>
        <w:spacing w:after="0" w:line="265" w:lineRule="auto"/>
        <w:rPr>
          <w:sz w:val="20"/>
          <w:szCs w:val="20"/>
          <w:color w:val="auto"/>
        </w:rPr>
      </w:pPr>
      <w:r>
        <w:rPr>
          <w:rFonts w:ascii="Arial" w:cs="Arial" w:eastAsia="Arial" w:hAnsi="Arial"/>
          <w:sz w:val="18"/>
          <w:szCs w:val="18"/>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ectPr>
          <w:pgSz w:w="11900" w:h="16838" w:orient="portrait"/>
          <w:cols w:equalWidth="0" w:num="1">
            <w:col w:w="9019"/>
          </w:cols>
          <w:pgMar w:left="1440" w:top="307" w:right="1440" w:bottom="447"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447" w:gutter="0" w:footer="0" w:header="0"/>
          <w:type w:val="continuous"/>
        </w:sectPr>
      </w:pPr>
    </w:p>
    <w:bookmarkStart w:id="61" w:name="page62"/>
    <w:bookmarkEnd w:id="61"/>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key competitive strengths:</w:t>
      </w:r>
    </w:p>
    <w:p>
      <w:pPr>
        <w:spacing w:after="0" w:line="237" w:lineRule="exact"/>
        <w:rPr>
          <w:sz w:val="20"/>
          <w:szCs w:val="20"/>
          <w:color w:val="auto"/>
        </w:rPr>
      </w:pPr>
    </w:p>
    <w:p>
      <w:pPr>
        <w:ind w:left="560" w:right="139" w:hanging="219"/>
        <w:spacing w:after="0" w:line="252" w:lineRule="auto"/>
        <w:tabs>
          <w:tab w:leader="none" w:pos="645" w:val="left"/>
        </w:tabs>
        <w:numPr>
          <w:ilvl w:val="0"/>
          <w:numId w:val="36"/>
        </w:numPr>
        <w:rPr>
          <w:rFonts w:ascii="Arial" w:cs="Arial" w:eastAsia="Arial" w:hAnsi="Arial"/>
          <w:sz w:val="22"/>
          <w:szCs w:val="22"/>
          <w:b w:val="1"/>
          <w:bCs w:val="1"/>
          <w:color w:val="auto"/>
        </w:rPr>
      </w:pPr>
      <w:r>
        <w:rPr>
          <w:rFonts w:ascii="Arial" w:cs="Arial" w:eastAsia="Arial" w:hAnsi="Arial"/>
          <w:sz w:val="18"/>
          <w:szCs w:val="18"/>
          <w:b w:val="1"/>
          <w:bCs w:val="1"/>
          <w:color w:val="auto"/>
        </w:rPr>
        <w:t>Leading player in fast-growing digital DTG printing market</w:t>
      </w:r>
      <w:r>
        <w:rPr>
          <w:rFonts w:ascii="Arial" w:cs="Arial" w:eastAsia="Arial" w:hAnsi="Arial"/>
          <w:sz w:val="18"/>
          <w:szCs w:val="18"/>
          <w:color w:val="auto"/>
        </w:rPr>
        <w:t>. We are a leading player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fast-growing 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In 2013, we grew our revenues 26.0% compared to 2012 and, in 2014, we grew our revenues 34.4% compared to 2013.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ind w:left="560" w:right="179" w:hanging="219"/>
        <w:spacing w:after="0" w:line="252" w:lineRule="auto"/>
        <w:tabs>
          <w:tab w:leader="none" w:pos="651" w:val="left"/>
        </w:tabs>
        <w:numPr>
          <w:ilvl w:val="0"/>
          <w:numId w:val="3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Disruptive technology that enables our customers to adopt new or improve existing business models. </w:t>
      </w:r>
      <w:r>
        <w:rPr>
          <w:rFonts w:ascii="Arial" w:cs="Arial" w:eastAsia="Arial" w:hAnsi="Arial"/>
          <w:sz w:val="18"/>
          <w:szCs w:val="18"/>
          <w:color w:val="auto"/>
        </w:rPr>
        <w:t>The flexibility that our digital printing solutions provide to</w:t>
      </w:r>
      <w:r>
        <w:rPr>
          <w:rFonts w:ascii="Arial" w:cs="Arial" w:eastAsia="Arial" w:hAnsi="Arial"/>
          <w:sz w:val="18"/>
          <w:szCs w:val="18"/>
          <w:b w:val="1"/>
          <w:bCs w:val="1"/>
          <w:color w:val="auto"/>
        </w:rPr>
        <w:t xml:space="preserve"> </w:t>
      </w:r>
      <w:r>
        <w:rPr>
          <w:rFonts w:ascii="Arial" w:cs="Arial" w:eastAsia="Arial" w:hAnsi="Arial"/>
          <w:sz w:val="18"/>
          <w:szCs w:val="18"/>
          <w:color w:val="auto"/>
        </w:rPr>
        <w:t>our customers, including custom decorators, online businesses, brand owners and contract printers, enable them to develop new or improve their existing business models. Custom decorators utilize our solutions to produce short to medium runs of high-quality customized garments quickly and efficiently, enabling them to increase average selling prices compared to screen printed garments. For online businesses, our solutions facilitate the creation of “produce to order” garment production with minimum order quantities of one unit, at high average selling prices, while achieving significant margins. Brand owners benefit from our solutions’ streamlined pre- and post-treatment processes that allow them to handle production needs in house as they reduce labor, physical space requirements, industrial water consumption and eliminate the need for waste water clearing mechanisms. Our solutions also benefit high-volume contract printers that provide printing services to brand owners and high-end garment manufacturers by allowing them to print high resolution images and designs at qualities that meet high fashion standards.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13" w:lineRule="exact"/>
        <w:rPr>
          <w:rFonts w:ascii="Arial" w:cs="Arial" w:eastAsia="Arial" w:hAnsi="Arial"/>
          <w:sz w:val="22"/>
          <w:szCs w:val="22"/>
          <w:b w:val="1"/>
          <w:bCs w:val="1"/>
          <w:color w:val="auto"/>
        </w:rPr>
      </w:pPr>
    </w:p>
    <w:p>
      <w:pPr>
        <w:ind w:left="560" w:right="299" w:hanging="219"/>
        <w:spacing w:after="0" w:line="254" w:lineRule="auto"/>
        <w:tabs>
          <w:tab w:leader="none" w:pos="645" w:val="left"/>
        </w:tabs>
        <w:numPr>
          <w:ilvl w:val="0"/>
          <w:numId w:val="3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Attractive business model. </w:t>
      </w:r>
      <w:r>
        <w:rPr>
          <w:rFonts w:ascii="Arial" w:cs="Arial" w:eastAsia="Arial" w:hAnsi="Arial"/>
          <w:sz w:val="18"/>
          <w:szCs w:val="18"/>
          <w:color w:val="auto"/>
        </w:rPr>
        <w:t>We currently oﬀer a broad portfolio of diﬀerentiated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printing solutions for the digital DTG market. Our existing and growing installed base of systems results in recurring sales of ink and other consumables, which are specially formulated to enable our systems to operate at the highest throughput level. Recurring sales of ink and other consumables have historically oﬀered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 our ability to provide value added services to our customers.</w:t>
      </w:r>
    </w:p>
    <w:p>
      <w:pPr>
        <w:spacing w:after="0" w:line="373" w:lineRule="exact"/>
        <w:rPr>
          <w:rFonts w:ascii="Arial" w:cs="Arial" w:eastAsia="Arial" w:hAnsi="Arial"/>
          <w:sz w:val="22"/>
          <w:szCs w:val="22"/>
          <w:b w:val="1"/>
          <w:bCs w:val="1"/>
          <w:color w:val="auto"/>
        </w:rPr>
      </w:pPr>
    </w:p>
    <w:p>
      <w:pPr>
        <w:ind w:left="560" w:right="159" w:hanging="219"/>
        <w:spacing w:after="0" w:line="254" w:lineRule="auto"/>
        <w:tabs>
          <w:tab w:leader="none" w:pos="645" w:val="left"/>
        </w:tabs>
        <w:numPr>
          <w:ilvl w:val="0"/>
          <w:numId w:val="3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portfolio reflects over a decade of significant investments in digital textile printing, which we believe creates significant barriers to entry. We have developed a strong base of technology know-how, backed by our portfolio of intellectual property, featuring 17 issued patents and seven pending patent applications, covering wet-on-wet printing methodology, ink formulations, printing processes and related methods and systems. Our team of over 50 researchers and developers, including chemists, electrical engineers, system engineers and mechanical engineers, ensures that our systems remain technologically advanced, and are well engineered, user-friendly and highly reliable.</w:t>
      </w:r>
    </w:p>
    <w:p>
      <w:pPr>
        <w:spacing w:after="0" w:line="373" w:lineRule="exact"/>
        <w:rPr>
          <w:rFonts w:ascii="Arial" w:cs="Arial" w:eastAsia="Arial" w:hAnsi="Arial"/>
          <w:sz w:val="22"/>
          <w:szCs w:val="22"/>
          <w:b w:val="1"/>
          <w:bCs w:val="1"/>
          <w:color w:val="auto"/>
        </w:rPr>
      </w:pPr>
    </w:p>
    <w:p>
      <w:pPr>
        <w:ind w:left="560" w:right="279" w:hanging="219"/>
        <w:spacing w:after="0" w:line="253" w:lineRule="auto"/>
        <w:tabs>
          <w:tab w:leader="none" w:pos="645" w:val="left"/>
        </w:tabs>
        <w:numPr>
          <w:ilvl w:val="0"/>
          <w:numId w:val="3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Extensive product portfolio and strong new product pipeline. </w:t>
      </w:r>
      <w:r>
        <w:rPr>
          <w:rFonts w:ascii="Arial" w:cs="Arial" w:eastAsia="Arial" w:hAnsi="Arial"/>
          <w:sz w:val="18"/>
          <w:szCs w:val="18"/>
          <w:color w:val="auto"/>
        </w:rPr>
        <w:t>With throughputs</w:t>
      </w:r>
      <w:r>
        <w:rPr>
          <w:rFonts w:ascii="Arial" w:cs="Arial" w:eastAsia="Arial" w:hAnsi="Arial"/>
          <w:sz w:val="18"/>
          <w:szCs w:val="18"/>
          <w:b w:val="1"/>
          <w:bCs w:val="1"/>
          <w:color w:val="auto"/>
        </w:rPr>
        <w:t xml:space="preserve"> </w:t>
      </w:r>
      <w:r>
        <w:rPr>
          <w:rFonts w:ascii="Arial" w:cs="Arial" w:eastAsia="Arial" w:hAnsi="Arial"/>
          <w:sz w:val="18"/>
          <w:szCs w:val="18"/>
          <w:color w:val="auto"/>
        </w:rPr>
        <w:t>ranging from 40 to 300 garments per hour, our DTG systems are suited for smaller commercial operators with limited budgets, as well as mass producers with mature operations and complex needs. In addition, we plan to introduce two new solutions to market: the Allegro and the Vulcan. We are targeting a commercial launch of our Allegro system, a one-step, integrated R2R printing and drying system, in the next 18 months. We are also targeting a commercial launch of our Vulcan system, a cost-eﬀective digital substitution for carousel screen printing that enables mass production of customized garments for the DTG market, in the next 24 months. We believe both solutions will oﬀer capabilities that no other player in the global printed textile industry currently oﬀers and will further strengthen our leading position in the digital printed textile market as well as provide additional growth opportunities for our business.</w:t>
      </w:r>
    </w:p>
    <w:p>
      <w:pPr>
        <w:sectPr>
          <w:pgSz w:w="11900" w:h="16838" w:orient="portrait"/>
          <w:cols w:equalWidth="0" w:num="1">
            <w:col w:w="9019"/>
          </w:cols>
          <w:pgMar w:left="1440" w:top="92" w:right="1440"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62" w:name="page63"/>
    <w:bookmarkEnd w:id="62"/>
    <w:p>
      <w:pPr>
        <w:ind w:left="560" w:right="159" w:hanging="219"/>
        <w:spacing w:after="0" w:line="252" w:lineRule="auto"/>
        <w:tabs>
          <w:tab w:leader="none" w:pos="645" w:val="left"/>
        </w:tabs>
        <w:numPr>
          <w:ilvl w:val="0"/>
          <w:numId w:val="37"/>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Environmentally friendly printing processes. </w:t>
      </w:r>
      <w:r>
        <w:rPr>
          <w:rFonts w:ascii="Arial" w:cs="Arial" w:eastAsia="Arial" w:hAnsi="Arial"/>
          <w:sz w:val="18"/>
          <w:szCs w:val="18"/>
          <w:color w:val="auto"/>
        </w:rPr>
        <w:t>A significant portion of global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water pollution comes 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oﬀer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cost-eﬀective manner.</w:t>
      </w:r>
    </w:p>
    <w:p>
      <w:pPr>
        <w:spacing w:after="0" w:line="200" w:lineRule="exact"/>
        <w:rPr>
          <w:rFonts w:ascii="Arial" w:cs="Arial" w:eastAsia="Arial" w:hAnsi="Arial"/>
          <w:sz w:val="22"/>
          <w:szCs w:val="22"/>
          <w:b w:val="1"/>
          <w:bCs w:val="1"/>
          <w:color w:val="auto"/>
        </w:rPr>
      </w:pPr>
    </w:p>
    <w:p>
      <w:pPr>
        <w:spacing w:after="0" w:line="398" w:lineRule="exact"/>
        <w:rPr>
          <w:rFonts w:ascii="Arial" w:cs="Arial" w:eastAsia="Arial" w:hAnsi="Arial"/>
          <w:sz w:val="22"/>
          <w:szCs w:val="22"/>
          <w:b w:val="1"/>
          <w:bCs w:val="1"/>
          <w:color w:val="auto"/>
        </w:rPr>
      </w:pPr>
    </w:p>
    <w:p>
      <w:pPr>
        <w:ind w:left="560" w:right="139" w:hanging="219"/>
        <w:spacing w:after="0" w:line="253" w:lineRule="auto"/>
        <w:tabs>
          <w:tab w:leader="none" w:pos="645" w:val="left"/>
        </w:tabs>
        <w:numPr>
          <w:ilvl w:val="0"/>
          <w:numId w:val="37"/>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Experienced management team. </w:t>
      </w:r>
      <w:r>
        <w:rPr>
          <w:rFonts w:ascii="Arial" w:cs="Arial" w:eastAsia="Arial" w:hAnsi="Arial"/>
          <w:sz w:val="18"/>
          <w:szCs w:val="18"/>
          <w:color w:val="auto"/>
        </w:rPr>
        <w:t>We believe that our management team’s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long history with our company and extensive experience in running global publicly traded companies will enable us to execute our growth strategy. Our Chief Executive Oﬃcer, Gabi Seligsohn, was the President and Chief Executive Oﬃcer of Nova Measuring Instruments (NASDAQ:NVMI) for seven years prior to joining our company. Our Chief Financial Oﬃcer, Guy Avidan, was most recently the Chief Financial Oﬃcer of Audiocodes (NASDAQ:AUDC). Mr. Seligsohn and Mr. Avidan bring extensive experience of managing publicly traded companies. Our founder and Chief Technology Oﬃcer, Ofer Ben-Zur, has over 20 years of digital printing experience. Our Executive Vice President of Sales, Sarel Ashkenazy joined our company in 2004 and together with Mr. Ben-Zur, have helped us to develop into a strong global player.</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37" w:lineRule="exact"/>
        <w:rPr>
          <w:sz w:val="20"/>
          <w:szCs w:val="20"/>
          <w:color w:val="auto"/>
        </w:rPr>
      </w:pPr>
    </w:p>
    <w:p>
      <w:pPr>
        <w:ind w:left="560" w:right="279" w:hanging="219"/>
        <w:spacing w:after="0" w:line="253" w:lineRule="auto"/>
        <w:tabs>
          <w:tab w:leader="none" w:pos="645" w:val="left"/>
        </w:tabs>
        <w:numPr>
          <w:ilvl w:val="0"/>
          <w:numId w:val="3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Capitalize on the continued growth of the digital DTG market. </w:t>
      </w:r>
      <w:r>
        <w:rPr>
          <w:rFonts w:ascii="Arial" w:cs="Arial" w:eastAsia="Arial" w:hAnsi="Arial"/>
          <w:sz w:val="18"/>
          <w:szCs w:val="18"/>
          <w:color w:val="auto"/>
        </w:rPr>
        <w:t>We believe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an opportunity to expand our presence in the growing digital DTG market by increasing sales to existing customers, gaining new customers, introducing new applications, developing new features and functionality, improving system reliability and expanding customer know how in order to drive increased utilization of our systems. In order to achieve these goals, we plan to extend and deepen our presence in the geographies we currently serve as well as align our product roadmap with these opportunities. We also intend to further invest in our direct sales and marketing teams and application development professionals in order to better inform customers and prospective customers about the benefits of digital textile printing and the capabilities of our solutions, through direct communication as well as participation in trade shows and online advertising.</w:t>
      </w:r>
    </w:p>
    <w:p>
      <w:pPr>
        <w:spacing w:after="0" w:line="376" w:lineRule="exact"/>
        <w:rPr>
          <w:rFonts w:ascii="Arial" w:cs="Arial" w:eastAsia="Arial" w:hAnsi="Arial"/>
          <w:sz w:val="22"/>
          <w:szCs w:val="22"/>
          <w:b w:val="1"/>
          <w:bCs w:val="1"/>
          <w:color w:val="auto"/>
        </w:rPr>
      </w:pPr>
    </w:p>
    <w:p>
      <w:pPr>
        <w:ind w:left="560" w:right="199" w:hanging="219"/>
        <w:spacing w:after="0" w:line="253" w:lineRule="auto"/>
        <w:tabs>
          <w:tab w:leader="none" w:pos="645" w:val="left"/>
        </w:tabs>
        <w:numPr>
          <w:ilvl w:val="0"/>
          <w:numId w:val="3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Focus on fast-growing web-to-print businesses. </w:t>
      </w:r>
      <w:r>
        <w:rPr>
          <w:rFonts w:ascii="Arial" w:cs="Arial" w:eastAsia="Arial" w:hAnsi="Arial"/>
          <w:sz w:val="18"/>
          <w:szCs w:val="18"/>
          <w:color w:val="auto"/>
        </w:rPr>
        <w:t>We are increasingly focusing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eﬀorts on online companies whose business models are focused on mass customization and personalization. We already serve dozens of established web-to-print customers throughout the world, some of whom are expanding their businesses at exponential rates. In order to continue to do so, we intend to increase our direct sales force and, with our channel partners, identify strategic accounts that oﬀer the opportunity for long-term business partnerships. We believe our technology is ideally suited for web-to-print businesses because it eﬃciently allows manufacturers the ability to print on-demand, small runs in a cost-eﬀective manner and with excellent quality, starting with a minimum order quantity of one unit.</w:t>
      </w:r>
    </w:p>
    <w:p>
      <w:pPr>
        <w:spacing w:after="0" w:line="200" w:lineRule="exact"/>
        <w:rPr>
          <w:rFonts w:ascii="Arial" w:cs="Arial" w:eastAsia="Arial" w:hAnsi="Arial"/>
          <w:sz w:val="22"/>
          <w:szCs w:val="22"/>
          <w:b w:val="1"/>
          <w:bCs w:val="1"/>
          <w:color w:val="auto"/>
        </w:rPr>
      </w:pPr>
    </w:p>
    <w:p>
      <w:pPr>
        <w:spacing w:after="0" w:line="396" w:lineRule="exact"/>
        <w:rPr>
          <w:rFonts w:ascii="Arial" w:cs="Arial" w:eastAsia="Arial" w:hAnsi="Arial"/>
          <w:sz w:val="22"/>
          <w:szCs w:val="22"/>
          <w:b w:val="1"/>
          <w:bCs w:val="1"/>
          <w:color w:val="auto"/>
        </w:rPr>
      </w:pPr>
    </w:p>
    <w:p>
      <w:pPr>
        <w:ind w:left="560" w:right="139" w:hanging="219"/>
        <w:spacing w:after="0" w:line="256" w:lineRule="auto"/>
        <w:tabs>
          <w:tab w:leader="none" w:pos="645" w:val="left"/>
        </w:tabs>
        <w:numPr>
          <w:ilvl w:val="0"/>
          <w:numId w:val="3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Drive adoption of digital DTG printing solutions by customers who primarily use screen printing carousels. </w:t>
      </w:r>
      <w:r>
        <w:rPr>
          <w:rFonts w:ascii="Arial" w:cs="Arial" w:eastAsia="Arial" w:hAnsi="Arial"/>
          <w:sz w:val="18"/>
          <w:szCs w:val="18"/>
          <w:color w:val="auto"/>
        </w:rPr>
        <w:t>A majority of DTG printing jobs are done today utilizing</w:t>
      </w:r>
      <w:r>
        <w:rPr>
          <w:rFonts w:ascii="Arial" w:cs="Arial" w:eastAsia="Arial" w:hAnsi="Arial"/>
          <w:sz w:val="18"/>
          <w:szCs w:val="18"/>
          <w:b w:val="1"/>
          <w:bCs w:val="1"/>
          <w:color w:val="auto"/>
        </w:rPr>
        <w:t xml:space="preserve"> </w:t>
      </w:r>
      <w:r>
        <w:rPr>
          <w:rFonts w:ascii="Arial" w:cs="Arial" w:eastAsia="Arial" w:hAnsi="Arial"/>
          <w:sz w:val="18"/>
          <w:szCs w:val="18"/>
          <w:color w:val="auto"/>
        </w:rPr>
        <w:t>screen printing carousels. While we have started to penetrate this market by oﬀering standalone DTG solutions, such as our Avalanche and Storm II systems, we plan to deepen our penetration and further transition users of these analog systems to digital printing technologies through our Paradigm II system. Paradigm II is compatible with the majority of existing screen printing carousels and allows manufacturers to combine complex images and designs printed digitally with multiple embellishment eﬀects, such as glitter, silicon, gel and burnout, typically performed using screen printing.</w:t>
      </w:r>
    </w:p>
    <w:p>
      <w:pPr>
        <w:spacing w:after="0" w:line="372" w:lineRule="exact"/>
        <w:rPr>
          <w:rFonts w:ascii="Arial" w:cs="Arial" w:eastAsia="Arial" w:hAnsi="Arial"/>
          <w:sz w:val="22"/>
          <w:szCs w:val="22"/>
          <w:b w:val="1"/>
          <w:bCs w:val="1"/>
          <w:color w:val="auto"/>
        </w:rPr>
      </w:pPr>
    </w:p>
    <w:p>
      <w:pPr>
        <w:ind w:left="560" w:right="179" w:hanging="219"/>
        <w:spacing w:after="0" w:line="255" w:lineRule="auto"/>
        <w:tabs>
          <w:tab w:leader="none" w:pos="645" w:val="left"/>
        </w:tabs>
        <w:numPr>
          <w:ilvl w:val="0"/>
          <w:numId w:val="3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Extend our technological leadership through ongoing research and development and continuing to introduce new products. </w:t>
      </w:r>
      <w:r>
        <w:rPr>
          <w:rFonts w:ascii="Arial" w:cs="Arial" w:eastAsia="Arial" w:hAnsi="Arial"/>
          <w:sz w:val="18"/>
          <w:szCs w:val="18"/>
          <w:color w:val="auto"/>
        </w:rPr>
        <w:t>We will seek to continue to diﬀerentiate</w:t>
      </w:r>
      <w:r>
        <w:rPr>
          <w:rFonts w:ascii="Arial" w:cs="Arial" w:eastAsia="Arial" w:hAnsi="Arial"/>
          <w:sz w:val="18"/>
          <w:szCs w:val="18"/>
          <w:b w:val="1"/>
          <w:bCs w:val="1"/>
          <w:color w:val="auto"/>
        </w:rPr>
        <w:t xml:space="preserve"> </w:t>
      </w:r>
      <w:r>
        <w:rPr>
          <w:rFonts w:ascii="Arial" w:cs="Arial" w:eastAsia="Arial" w:hAnsi="Arial"/>
          <w:sz w:val="18"/>
          <w:szCs w:val="18"/>
          <w:color w:val="auto"/>
        </w:rPr>
        <w:t>ourselves and extend our technological leadership by investing in research and development.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Our product pipeline includes an</w:t>
      </w:r>
    </w:p>
    <w:p>
      <w:pPr>
        <w:sectPr>
          <w:pgSz w:w="11900" w:h="16838" w:orient="portrait"/>
          <w:cols w:equalWidth="0" w:num="1">
            <w:col w:w="9019"/>
          </w:cols>
          <w:pgMar w:left="1440" w:top="320" w:right="1440" w:bottom="177"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0" w:right="1440" w:bottom="177" w:gutter="0" w:footer="0" w:header="0"/>
          <w:type w:val="continuous"/>
        </w:sectPr>
      </w:pPr>
    </w:p>
    <w:bookmarkStart w:id="63" w:name="page64"/>
    <w:bookmarkEnd w:id="63"/>
    <w:p>
      <w:pPr>
        <w:ind w:left="560" w:right="159"/>
        <w:spacing w:after="0" w:line="263" w:lineRule="auto"/>
        <w:rPr>
          <w:sz w:val="20"/>
          <w:szCs w:val="20"/>
          <w:color w:val="auto"/>
        </w:rPr>
      </w:pPr>
      <w:r>
        <w:rPr>
          <w:rFonts w:ascii="Arial" w:cs="Arial" w:eastAsia="Arial" w:hAnsi="Arial"/>
          <w:sz w:val="18"/>
          <w:szCs w:val="18"/>
          <w:color w:val="auto"/>
        </w:rPr>
        <w:t>industrial R2R system, the Allegro, which is expected to launch commercially in the next 18 months. We expect our Allegro system to be the first R2R printing system to allow for one-step R2R digital printing, versus existing digital R2R printers which require at least four pre-and post-processing steps. We also intend to leverage the success of our existing DTG solutions, such as Paradigm II, by introducing the Vulcan system, which will oﬀer an alternative to carousel screen printing. The Vulcan will enable customers to print small runs at throughputs comparable to those achieved through carousel screen printing. We expect to launch the Vulcan commercially in the next 24 months.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Systems</w:t>
      </w:r>
    </w:p>
    <w:p>
      <w:pPr>
        <w:spacing w:after="0" w:line="200" w:lineRule="exact"/>
        <w:rPr>
          <w:sz w:val="20"/>
          <w:szCs w:val="20"/>
          <w:color w:val="auto"/>
        </w:rPr>
      </w:pPr>
    </w:p>
    <w:p>
      <w:pPr>
        <w:ind w:left="120" w:right="119" w:firstLine="216"/>
        <w:spacing w:after="0" w:line="274" w:lineRule="auto"/>
        <w:rPr>
          <w:sz w:val="20"/>
          <w:szCs w:val="20"/>
          <w:color w:val="auto"/>
        </w:rPr>
      </w:pPr>
      <w:r>
        <w:rPr>
          <w:rFonts w:ascii="Arial" w:cs="Arial" w:eastAsia="Arial" w:hAnsi="Arial"/>
          <w:sz w:val="18"/>
          <w:szCs w:val="18"/>
          <w:color w:val="auto"/>
        </w:rPr>
        <w:t>Our line of DTG systems oﬀers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311" w:lineRule="exact"/>
        <w:rPr>
          <w:sz w:val="20"/>
          <w:szCs w:val="20"/>
          <w:color w:val="auto"/>
        </w:rPr>
      </w:pPr>
    </w:p>
    <w:p>
      <w:pPr>
        <w:ind w:left="560" w:right="139" w:hanging="219"/>
        <w:spacing w:after="0" w:line="259" w:lineRule="auto"/>
        <w:tabs>
          <w:tab w:leader="none" w:pos="714" w:val="left"/>
        </w:tabs>
        <w:numPr>
          <w:ilvl w:val="0"/>
          <w:numId w:val="39"/>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Entry Level</w:t>
      </w:r>
      <w:r>
        <w:rPr>
          <w:rFonts w:ascii="Arial" w:cs="Arial" w:eastAsia="Arial" w:hAnsi="Arial"/>
          <w:sz w:val="18"/>
          <w:szCs w:val="18"/>
          <w:color w:val="auto"/>
        </w:rPr>
        <w:t>. Our entry level systems consist of our Breeze and Thunder systems. These</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systems reduce the need for floor space for manufacturing equipment by eliminating certain process steps and by consolidating multiple process steps into a single printing system. The Breeze and Thunder allow businesses to adopt digital technology with a limited upfront investment and use the same technology as our high throughput systems but with smaller garment printing areas and at lower throughput levels.</w:t>
      </w:r>
    </w:p>
    <w:p>
      <w:pPr>
        <w:spacing w:after="0" w:line="323" w:lineRule="exact"/>
        <w:rPr>
          <w:rFonts w:ascii="Courier New" w:cs="Courier New" w:eastAsia="Courier New" w:hAnsi="Courier New"/>
          <w:sz w:val="22"/>
          <w:szCs w:val="22"/>
          <w:i w:val="1"/>
          <w:iCs w:val="1"/>
          <w:color w:val="auto"/>
        </w:rPr>
      </w:pPr>
    </w:p>
    <w:p>
      <w:pPr>
        <w:ind w:left="560" w:right="319" w:hanging="219"/>
        <w:spacing w:after="0" w:line="263" w:lineRule="auto"/>
        <w:tabs>
          <w:tab w:leader="none" w:pos="714" w:val="left"/>
        </w:tabs>
        <w:numPr>
          <w:ilvl w:val="0"/>
          <w:numId w:val="39"/>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of systems, Storm II and Paradigm II, oﬀer high throughput printing capabilities and are designed for customers who conduct large scale printing of small runs of a variety of images and designs.</w:t>
      </w:r>
    </w:p>
    <w:p>
      <w:pPr>
        <w:spacing w:after="0" w:line="367" w:lineRule="exact"/>
        <w:rPr>
          <w:sz w:val="20"/>
          <w:szCs w:val="20"/>
          <w:color w:val="auto"/>
        </w:rPr>
      </w:pPr>
    </w:p>
    <w:p>
      <w:pPr>
        <w:ind w:left="120" w:right="199" w:firstLine="216"/>
        <w:spacing w:after="0" w:line="265" w:lineRule="auto"/>
        <w:rPr>
          <w:sz w:val="20"/>
          <w:szCs w:val="20"/>
          <w:color w:val="auto"/>
        </w:rPr>
      </w:pPr>
      <w:r>
        <w:rPr>
          <w:rFonts w:ascii="Arial" w:cs="Arial" w:eastAsia="Arial" w:hAnsi="Arial"/>
          <w:sz w:val="18"/>
          <w:szCs w:val="18"/>
          <w:color w:val="auto"/>
        </w:rPr>
        <w:t>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DTG Systems</w:t>
      </w:r>
    </w:p>
    <w:p>
      <w:pPr>
        <w:spacing w:after="0" w:line="193" w:lineRule="exact"/>
        <w:rPr>
          <w:sz w:val="20"/>
          <w:szCs w:val="20"/>
          <w:color w:val="auto"/>
        </w:rPr>
      </w:pPr>
    </w:p>
    <w:p>
      <w:pPr>
        <w:ind w:left="120" w:right="239" w:firstLine="216"/>
        <w:spacing w:after="0" w:line="279" w:lineRule="auto"/>
        <w:rPr>
          <w:sz w:val="20"/>
          <w:szCs w:val="20"/>
          <w:color w:val="auto"/>
        </w:rPr>
      </w:pPr>
      <w:r>
        <w:rPr>
          <w:rFonts w:ascii="Arial" w:cs="Arial" w:eastAsia="Arial" w:hAnsi="Arial"/>
          <w:sz w:val="18"/>
          <w:szCs w:val="18"/>
          <w:color w:val="auto"/>
        </w:rPr>
        <w:t>The following table summarizes key aspects of our DTG systems, all of which are compatible with a wide range of fabrics, including cotton, wool, polyester, lycra and denim and print at maximum resolutions ranging from 600 to 630 DPI. Our systems are currently unable to print at a level of quality acceptable for large scale manufacturing on dyed polyester or nylon.</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System</w:t>
            </w: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Target</w:t>
            </w:r>
          </w:p>
        </w:tc>
        <w:tc>
          <w:tcPr>
            <w:tcW w:w="1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Max.</w:t>
            </w:r>
          </w:p>
        </w:tc>
        <w:tc>
          <w:tcPr>
            <w:tcW w:w="180" w:type="dxa"/>
            <w:vAlign w:val="bottom"/>
          </w:tcPr>
          <w:p>
            <w:pPr>
              <w:spacing w:after="0"/>
              <w:rPr>
                <w:sz w:val="16"/>
                <w:szCs w:val="16"/>
                <w:color w:val="auto"/>
              </w:rPr>
            </w:pPr>
          </w:p>
        </w:tc>
        <w:tc>
          <w:tcPr>
            <w:tcW w:w="140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Colors</w:t>
            </w:r>
          </w:p>
        </w:tc>
        <w:tc>
          <w:tcPr>
            <w:tcW w:w="18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Max. Printing</w:t>
            </w:r>
          </w:p>
        </w:tc>
        <w:tc>
          <w:tcPr>
            <w:tcW w:w="0" w:type="dxa"/>
            <w:vAlign w:val="bottom"/>
          </w:tcPr>
          <w:p>
            <w:pPr>
              <w:spacing w:after="0"/>
              <w:rPr>
                <w:sz w:val="1"/>
                <w:szCs w:val="1"/>
                <w:color w:val="auto"/>
              </w:rPr>
            </w:pPr>
          </w:p>
        </w:tc>
      </w:tr>
      <w:tr>
        <w:trPr>
          <w:trHeight w:val="229"/>
        </w:trPr>
        <w:tc>
          <w:tcPr>
            <w:tcW w:w="2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Customer</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Throughput</w:t>
            </w:r>
          </w:p>
        </w:tc>
        <w:tc>
          <w:tcPr>
            <w:tcW w:w="18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Area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Breeze</w:t>
            </w:r>
          </w:p>
        </w:tc>
        <w:tc>
          <w:tcPr>
            <w:tcW w:w="1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rPr>
              <w:t>Entry Level</w:t>
            </w:r>
          </w:p>
        </w:tc>
        <w:tc>
          <w:tcPr>
            <w:tcW w:w="16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rPr>
              <w:t>40</w:t>
            </w:r>
          </w:p>
        </w:tc>
        <w:tc>
          <w:tcPr>
            <w:tcW w:w="1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rPr>
              <w:t>CMYK + White</w:t>
            </w:r>
          </w:p>
        </w:tc>
        <w:tc>
          <w:tcPr>
            <w:tcW w:w="1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rPr>
              <w:t>14 x 18 in</w:t>
            </w: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garments/hour</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8"/>
                <w:szCs w:val="18"/>
                <w:b w:val="1"/>
                <w:bCs w:val="1"/>
                <w:color w:val="auto"/>
              </w:rPr>
              <w:t>Thunder</w:t>
            </w:r>
          </w:p>
        </w:tc>
        <w:tc>
          <w:tcPr>
            <w:tcW w:w="146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Entry Level</w:t>
            </w:r>
          </w:p>
        </w:tc>
        <w:tc>
          <w:tcPr>
            <w:tcW w:w="164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80</w:t>
            </w:r>
          </w:p>
        </w:tc>
        <w:tc>
          <w:tcPr>
            <w:tcW w:w="158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CMYK + White</w:t>
            </w:r>
          </w:p>
        </w:tc>
        <w:tc>
          <w:tcPr>
            <w:tcW w:w="1680" w:type="dxa"/>
            <w:vAlign w:val="bottom"/>
            <w:gridSpan w:val="3"/>
          </w:tcPr>
          <w:p>
            <w:pPr>
              <w:ind w:left="180"/>
              <w:spacing w:after="0" w:line="162" w:lineRule="exact"/>
              <w:rPr>
                <w:sz w:val="20"/>
                <w:szCs w:val="20"/>
                <w:color w:val="auto"/>
              </w:rPr>
            </w:pPr>
            <w:r>
              <w:rPr>
                <w:rFonts w:ascii="Arial" w:cs="Arial" w:eastAsia="Arial" w:hAnsi="Arial"/>
                <w:sz w:val="18"/>
                <w:szCs w:val="18"/>
                <w:color w:val="auto"/>
              </w:rPr>
              <w:t>14 x 18 in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garments/hour</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Storm II</w:t>
            </w:r>
          </w:p>
        </w:tc>
        <w:tc>
          <w:tcPr>
            <w:tcW w:w="14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8"/>
                <w:szCs w:val="18"/>
                <w:color w:val="auto"/>
              </w:rPr>
              <w:t>High</w:t>
            </w:r>
          </w:p>
        </w:tc>
        <w:tc>
          <w:tcPr>
            <w:tcW w:w="16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8"/>
                <w:szCs w:val="18"/>
                <w:color w:val="auto"/>
              </w:rPr>
              <w:t>150</w:t>
            </w:r>
          </w:p>
        </w:tc>
        <w:tc>
          <w:tcPr>
            <w:tcW w:w="1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CMYK + White</w:t>
            </w:r>
          </w:p>
        </w:tc>
        <w:tc>
          <w:tcPr>
            <w:tcW w:w="168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Throughput</w:t>
            </w: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garments/hour</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8"/>
                <w:szCs w:val="18"/>
                <w:b w:val="1"/>
                <w:bCs w:val="1"/>
                <w:color w:val="auto"/>
              </w:rPr>
              <w:t>Avalanche 1000</w:t>
            </w:r>
          </w:p>
        </w:tc>
        <w:tc>
          <w:tcPr>
            <w:tcW w:w="146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High</w:t>
            </w:r>
          </w:p>
        </w:tc>
        <w:tc>
          <w:tcPr>
            <w:tcW w:w="164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300</w:t>
            </w:r>
          </w:p>
        </w:tc>
        <w:tc>
          <w:tcPr>
            <w:tcW w:w="158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CMYK + White</w:t>
            </w:r>
          </w:p>
        </w:tc>
        <w:tc>
          <w:tcPr>
            <w:tcW w:w="1680" w:type="dxa"/>
            <w:vAlign w:val="bottom"/>
            <w:gridSpan w:val="3"/>
          </w:tcPr>
          <w:p>
            <w:pPr>
              <w:ind w:left="180"/>
              <w:spacing w:after="0" w:line="162" w:lineRule="exact"/>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Throughput</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garments/hour</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Avalanche Hexa</w:t>
            </w:r>
          </w:p>
        </w:tc>
        <w:tc>
          <w:tcPr>
            <w:tcW w:w="14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8"/>
                <w:szCs w:val="18"/>
                <w:color w:val="auto"/>
              </w:rPr>
              <w:t>High</w:t>
            </w:r>
          </w:p>
        </w:tc>
        <w:tc>
          <w:tcPr>
            <w:tcW w:w="16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8"/>
                <w:szCs w:val="18"/>
                <w:color w:val="auto"/>
              </w:rPr>
              <w:t>250</w:t>
            </w:r>
          </w:p>
        </w:tc>
        <w:tc>
          <w:tcPr>
            <w:tcW w:w="1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CMYKRG +</w:t>
            </w:r>
          </w:p>
        </w:tc>
        <w:tc>
          <w:tcPr>
            <w:tcW w:w="168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Throughput</w:t>
            </w: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garments/hour</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White</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8"/>
                <w:szCs w:val="18"/>
                <w:b w:val="1"/>
                <w:bCs w:val="1"/>
                <w:color w:val="auto"/>
              </w:rPr>
              <w:t>Avalanche DC Pro</w:t>
            </w:r>
          </w:p>
        </w:tc>
        <w:tc>
          <w:tcPr>
            <w:tcW w:w="146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High</w:t>
            </w:r>
          </w:p>
        </w:tc>
        <w:tc>
          <w:tcPr>
            <w:tcW w:w="164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200</w:t>
            </w:r>
          </w:p>
        </w:tc>
        <w:tc>
          <w:tcPr>
            <w:tcW w:w="158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CMYK + White</w:t>
            </w:r>
          </w:p>
        </w:tc>
        <w:tc>
          <w:tcPr>
            <w:tcW w:w="1680" w:type="dxa"/>
            <w:vAlign w:val="bottom"/>
            <w:gridSpan w:val="3"/>
          </w:tcPr>
          <w:p>
            <w:pPr>
              <w:ind w:left="180"/>
              <w:spacing w:after="0" w:line="162" w:lineRule="exact"/>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Throughput</w:t>
            </w:r>
          </w:p>
        </w:tc>
        <w:tc>
          <w:tcPr>
            <w:tcW w:w="16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garments/hour</w:t>
            </w:r>
          </w:p>
        </w:tc>
        <w:tc>
          <w:tcPr>
            <w:tcW w:w="1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 Discharge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ink</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Avalanche</w:t>
            </w:r>
          </w:p>
        </w:tc>
        <w:tc>
          <w:tcPr>
            <w:tcW w:w="14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8"/>
                <w:szCs w:val="18"/>
                <w:color w:val="auto"/>
              </w:rPr>
              <w:t>High</w:t>
            </w:r>
          </w:p>
        </w:tc>
        <w:tc>
          <w:tcPr>
            <w:tcW w:w="16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8"/>
                <w:szCs w:val="18"/>
                <w:color w:val="auto"/>
              </w:rPr>
              <w:t>200</w:t>
            </w:r>
          </w:p>
        </w:tc>
        <w:tc>
          <w:tcPr>
            <w:tcW w:w="1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CMYK + White</w:t>
            </w:r>
          </w:p>
        </w:tc>
        <w:tc>
          <w:tcPr>
            <w:tcW w:w="168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Throughput</w:t>
            </w: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garments/hour</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8"/>
                <w:szCs w:val="18"/>
                <w:b w:val="1"/>
                <w:bCs w:val="1"/>
                <w:color w:val="auto"/>
              </w:rPr>
              <w:t>Paradigm II</w:t>
            </w:r>
          </w:p>
        </w:tc>
        <w:tc>
          <w:tcPr>
            <w:tcW w:w="146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High</w:t>
            </w:r>
          </w:p>
        </w:tc>
        <w:tc>
          <w:tcPr>
            <w:tcW w:w="1640" w:type="dxa"/>
            <w:vAlign w:val="bottom"/>
            <w:gridSpan w:val="2"/>
          </w:tcPr>
          <w:p>
            <w:pPr>
              <w:ind w:left="160"/>
              <w:spacing w:after="0" w:line="162" w:lineRule="exact"/>
              <w:rPr>
                <w:sz w:val="20"/>
                <w:szCs w:val="20"/>
                <w:color w:val="auto"/>
              </w:rPr>
            </w:pPr>
            <w:r>
              <w:rPr>
                <w:rFonts w:ascii="Arial" w:cs="Arial" w:eastAsia="Arial" w:hAnsi="Arial"/>
                <w:sz w:val="18"/>
                <w:szCs w:val="18"/>
                <w:color w:val="auto"/>
              </w:rPr>
              <w:t>200</w:t>
            </w:r>
          </w:p>
        </w:tc>
        <w:tc>
          <w:tcPr>
            <w:tcW w:w="158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CMYK</w:t>
            </w:r>
          </w:p>
        </w:tc>
        <w:tc>
          <w:tcPr>
            <w:tcW w:w="1680" w:type="dxa"/>
            <w:vAlign w:val="bottom"/>
            <w:gridSpan w:val="3"/>
          </w:tcPr>
          <w:p>
            <w:pPr>
              <w:ind w:left="180"/>
              <w:spacing w:after="0" w:line="162" w:lineRule="exact"/>
              <w:rPr>
                <w:sz w:val="20"/>
                <w:szCs w:val="20"/>
                <w:color w:val="auto"/>
              </w:rPr>
            </w:pPr>
            <w:r>
              <w:rPr>
                <w:rFonts w:ascii="Arial" w:cs="Arial" w:eastAsia="Arial" w:hAnsi="Arial"/>
                <w:sz w:val="18"/>
                <w:szCs w:val="18"/>
                <w:color w:val="auto"/>
              </w:rPr>
              <w:t>15.5 x 19.5 in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Throughput</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garments/hour</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9019"/>
          </w:cols>
          <w:pgMar w:left="1440" w:top="309" w:right="1440" w:bottom="1440" w:gutter="0" w:footer="0" w:header="0"/>
        </w:sect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type w:val="continuous"/>
        </w:sectPr>
      </w:pPr>
    </w:p>
    <w:bookmarkStart w:id="64" w:name="page65"/>
    <w:bookmarkEnd w:id="64"/>
    <w:p>
      <w:pPr>
        <w:ind w:left="120"/>
        <w:spacing w:after="0"/>
        <w:rPr>
          <w:sz w:val="20"/>
          <w:szCs w:val="20"/>
          <w:color w:val="auto"/>
        </w:rPr>
      </w:pPr>
      <w:r>
        <w:rPr>
          <w:rFonts w:ascii="Arial" w:cs="Arial" w:eastAsia="Arial" w:hAnsi="Arial"/>
          <w:sz w:val="18"/>
          <w:szCs w:val="18"/>
          <w:b w:val="1"/>
          <w:bCs w:val="1"/>
          <w:i w:val="1"/>
          <w:iCs w:val="1"/>
          <w:color w:val="auto"/>
        </w:rPr>
        <w:t>Systems under Development</w:t>
      </w:r>
    </w:p>
    <w:p>
      <w:pPr>
        <w:spacing w:after="0" w:line="193" w:lineRule="exact"/>
        <w:rPr>
          <w:sz w:val="20"/>
          <w:szCs w:val="20"/>
          <w:color w:val="auto"/>
        </w:rPr>
      </w:pPr>
    </w:p>
    <w:p>
      <w:pPr>
        <w:ind w:left="120" w:right="219" w:firstLine="216"/>
        <w:spacing w:after="0" w:line="289" w:lineRule="auto"/>
        <w:rPr>
          <w:sz w:val="20"/>
          <w:szCs w:val="20"/>
          <w:color w:val="auto"/>
        </w:rPr>
      </w:pPr>
      <w:r>
        <w:rPr>
          <w:rFonts w:ascii="Arial" w:cs="Arial" w:eastAsia="Arial" w:hAnsi="Arial"/>
          <w:sz w:val="18"/>
          <w:szCs w:val="18"/>
          <w:color w:val="auto"/>
        </w:rPr>
        <w:t>Our systems under development consist of a R2R system, the Allegro, and a DTG system, the Vulcan.</w:t>
      </w:r>
    </w:p>
    <w:p>
      <w:pPr>
        <w:spacing w:after="0" w:line="399" w:lineRule="exact"/>
        <w:rPr>
          <w:sz w:val="20"/>
          <w:szCs w:val="20"/>
          <w:color w:val="auto"/>
        </w:rPr>
      </w:pPr>
    </w:p>
    <w:p>
      <w:pPr>
        <w:ind w:left="560" w:right="139" w:hanging="219"/>
        <w:spacing w:after="0" w:line="257" w:lineRule="auto"/>
        <w:tabs>
          <w:tab w:leader="none" w:pos="714" w:val="left"/>
        </w:tabs>
        <w:numPr>
          <w:ilvl w:val="0"/>
          <w:numId w:val="40"/>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Allegro</w:t>
      </w:r>
      <w:r>
        <w:rPr>
          <w:rFonts w:ascii="Arial" w:cs="Arial" w:eastAsia="Arial" w:hAnsi="Arial"/>
          <w:sz w:val="18"/>
          <w:szCs w:val="18"/>
          <w:color w:val="auto"/>
        </w:rPr>
        <w:t>. Our Allegro system is the first R2R printing system to allow for one-step R2R</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printing, while most existing R2R printers require six steps. The Allegro is in beta testing at three customer sites and we are targeting its commercial launch within the next 18 months.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w:t>
      </w:r>
    </w:p>
    <w:p>
      <w:pPr>
        <w:spacing w:after="0" w:line="348" w:lineRule="exact"/>
        <w:rPr>
          <w:rFonts w:ascii="Courier New" w:cs="Courier New" w:eastAsia="Courier New" w:hAnsi="Courier New"/>
          <w:sz w:val="22"/>
          <w:szCs w:val="22"/>
          <w:i w:val="1"/>
          <w:iCs w:val="1"/>
          <w:color w:val="auto"/>
        </w:rPr>
      </w:pPr>
    </w:p>
    <w:p>
      <w:pPr>
        <w:ind w:left="560" w:right="139" w:hanging="219"/>
        <w:spacing w:after="0" w:line="255" w:lineRule="auto"/>
        <w:tabs>
          <w:tab w:leader="none" w:pos="703" w:val="left"/>
        </w:tabs>
        <w:numPr>
          <w:ilvl w:val="0"/>
          <w:numId w:val="40"/>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Vulcan</w:t>
      </w:r>
      <w:r>
        <w:rPr>
          <w:rFonts w:ascii="Arial" w:cs="Arial" w:eastAsia="Arial" w:hAnsi="Arial"/>
          <w:sz w:val="18"/>
          <w:szCs w:val="18"/>
          <w:color w:val="auto"/>
        </w:rPr>
        <w:t>. Our Vulcan system is designed to enable mass production of customized garments</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with high and consistent printing quality. It is designed to run at throughputs higher than any of our existing systems. The system’s architecture takes a different ergonomic approach to the sequence of loading and unloading of garments than that of our existing systems, enabling higher throughputs. We expect to begin beta testing of the Vulcan at customer sites in 2015 and are targeting its commercial launch within the next 24 months.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Ink and Other Consumables</w:t>
      </w:r>
    </w:p>
    <w:p>
      <w:pPr>
        <w:spacing w:after="0" w:line="214" w:lineRule="exact"/>
        <w:rPr>
          <w:sz w:val="20"/>
          <w:szCs w:val="20"/>
          <w:color w:val="auto"/>
        </w:rPr>
      </w:pPr>
    </w:p>
    <w:p>
      <w:pPr>
        <w:ind w:left="120" w:right="159" w:firstLine="216"/>
        <w:spacing w:after="0" w:line="261"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We are also investing in the development of new ink formulas for our new systems and in order to expand the range of fabrics on which we can print and further improve the quality of our high resolution images and designs.</w:t>
      </w:r>
    </w:p>
    <w:p>
      <w:pPr>
        <w:spacing w:after="0" w:line="347" w:lineRule="exact"/>
        <w:rPr>
          <w:sz w:val="20"/>
          <w:szCs w:val="20"/>
          <w:color w:val="auto"/>
        </w:rPr>
      </w:pPr>
    </w:p>
    <w:p>
      <w:pPr>
        <w:ind w:left="120" w:right="239" w:firstLine="216"/>
        <w:spacing w:after="0" w:line="263" w:lineRule="auto"/>
        <w:rPr>
          <w:sz w:val="20"/>
          <w:szCs w:val="20"/>
          <w:color w:val="auto"/>
        </w:rPr>
      </w:pPr>
      <w:r>
        <w:rPr>
          <w:rFonts w:ascii="Arial" w:cs="Arial" w:eastAsia="Arial" w:hAnsi="Arial"/>
          <w:sz w:val="18"/>
          <w:szCs w:val="18"/>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Integrated Software</w:t>
      </w:r>
    </w:p>
    <w:p>
      <w:pPr>
        <w:spacing w:after="0" w:line="214" w:lineRule="exact"/>
        <w:rPr>
          <w:sz w:val="20"/>
          <w:szCs w:val="20"/>
          <w:color w:val="auto"/>
        </w:rPr>
      </w:pPr>
    </w:p>
    <w:p>
      <w:pPr>
        <w:ind w:left="120" w:right="159" w:firstLine="216"/>
        <w:spacing w:after="0" w:line="258" w:lineRule="auto"/>
        <w:rPr>
          <w:sz w:val="20"/>
          <w:szCs w:val="20"/>
          <w:color w:val="auto"/>
        </w:rPr>
      </w:pPr>
      <w:r>
        <w:rPr>
          <w:rFonts w:ascii="Arial" w:cs="Arial" w:eastAsia="Arial" w:hAnsi="Arial"/>
          <w:sz w:val="18"/>
          <w:szCs w:val="18"/>
          <w:color w:val="auto"/>
        </w:rPr>
        <w:t>All of our systems arrive with our QuickP Production software installed. QuickP Production is a basic interface that allows users to control key operating parameters of our systems, such as ink dots per inch, or DPI, and import image files created using other Ruster Image Processing, or RIP, software. Almost all of our customers also purchase our QuickP Designer software. QuickP Designer is a software package that combines our own internally developed RIP software with other print job management capabilities and allows greater control over the image design process than QuickP Production, such as the ability to resize and reposition images and improve image quality. A single QuickP Designer license can be used to support multiple Kornit systems. We also oﬀer our QuickP Plus 2.0 software suite, which provides customers with a full workflow solution from acceptance of online orders through production via our web application server. QuickP Plus 2.0 is at an early stage of adoption by customers and is currently installed at a few of our customer sites.</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Services</w:t>
      </w:r>
    </w:p>
    <w:p>
      <w:pPr>
        <w:spacing w:after="0" w:line="200" w:lineRule="exact"/>
        <w:rPr>
          <w:sz w:val="20"/>
          <w:szCs w:val="20"/>
          <w:color w:val="auto"/>
        </w:rPr>
      </w:pPr>
    </w:p>
    <w:p>
      <w:pPr>
        <w:ind w:left="120" w:right="119" w:firstLine="216"/>
        <w:spacing w:after="0" w:line="265" w:lineRule="auto"/>
        <w:rPr>
          <w:sz w:val="20"/>
          <w:szCs w:val="20"/>
          <w:color w:val="auto"/>
        </w:rPr>
      </w:pPr>
      <w:r>
        <w:rPr>
          <w:rFonts w:ascii="Arial" w:cs="Arial" w:eastAsia="Arial" w:hAnsi="Arial"/>
          <w:sz w:val="18"/>
          <w:szCs w:val="18"/>
          <w:color w:val="auto"/>
        </w:rPr>
        <w:t>Our services consist of maintenance and support, and professional services. We are seeking to increase the number of customers that rely on us to provide services for their systems by expanding our service capabilities.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ectPr>
          <w:pgSz w:w="11900" w:h="16838" w:orient="portrait"/>
          <w:cols w:equalWidth="0" w:num="1">
            <w:col w:w="9019"/>
          </w:cols>
          <w:pgMar w:left="1440" w:top="125" w:right="1440" w:bottom="582"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582" w:gutter="0" w:footer="0" w:header="0"/>
          <w:type w:val="continuous"/>
        </w:sectPr>
      </w:pPr>
    </w:p>
    <w:bookmarkStart w:id="65" w:name="page66"/>
    <w:bookmarkEnd w:id="65"/>
    <w:p>
      <w:pPr>
        <w:ind w:left="120"/>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152" w:lineRule="exact"/>
        <w:rPr>
          <w:sz w:val="20"/>
          <w:szCs w:val="20"/>
          <w:color w:val="auto"/>
        </w:rPr>
      </w:pPr>
    </w:p>
    <w:p>
      <w:pPr>
        <w:ind w:left="120" w:right="279" w:firstLine="216"/>
        <w:spacing w:after="0" w:line="261" w:lineRule="auto"/>
        <w:rPr>
          <w:sz w:val="20"/>
          <w:szCs w:val="20"/>
          <w:color w:val="auto"/>
        </w:rPr>
      </w:pPr>
      <w:r>
        <w:rPr>
          <w:rFonts w:ascii="Arial" w:cs="Arial" w:eastAsia="Arial" w:hAnsi="Arial"/>
          <w:sz w:val="18"/>
          <w:szCs w:val="18"/>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52" w:lineRule="exact"/>
        <w:rPr>
          <w:sz w:val="20"/>
          <w:szCs w:val="20"/>
          <w:color w:val="auto"/>
        </w:rPr>
      </w:pPr>
    </w:p>
    <w:p>
      <w:pPr>
        <w:ind w:left="120" w:right="159" w:firstLine="216"/>
        <w:spacing w:after="0" w:line="265"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oﬃces. We continuously seek to expand the number and content of the training programs. We provide professional services to customers in all regions.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7" w:lineRule="exact"/>
        <w:rPr>
          <w:sz w:val="20"/>
          <w:szCs w:val="20"/>
          <w:color w:val="auto"/>
        </w:rPr>
      </w:pPr>
    </w:p>
    <w:p>
      <w:pPr>
        <w:jc w:val="both"/>
        <w:ind w:left="120" w:right="279" w:firstLine="216"/>
        <w:spacing w:after="0" w:line="312" w:lineRule="auto"/>
        <w:rPr>
          <w:sz w:val="20"/>
          <w:szCs w:val="20"/>
          <w:color w:val="auto"/>
        </w:rPr>
      </w:pPr>
      <w:r>
        <w:rPr>
          <w:rFonts w:ascii="Arial" w:cs="Arial" w:eastAsia="Arial" w:hAnsi="Arial"/>
          <w:sz w:val="18"/>
          <w:szCs w:val="18"/>
          <w:color w:val="auto"/>
        </w:rPr>
        <w:t>Our diverse global customer base consisted of more than 800 customers as of December 31, 2014. Our customers include custom decorators, online businesses, brand owners and contract printers.</w:t>
      </w:r>
    </w:p>
    <w:p>
      <w:pPr>
        <w:spacing w:after="0" w:line="326" w:lineRule="exact"/>
        <w:rPr>
          <w:sz w:val="20"/>
          <w:szCs w:val="20"/>
          <w:color w:val="auto"/>
        </w:rPr>
      </w:pPr>
    </w:p>
    <w:p>
      <w:pPr>
        <w:ind w:left="560" w:right="179" w:hanging="219"/>
        <w:spacing w:after="0" w:line="267" w:lineRule="auto"/>
        <w:tabs>
          <w:tab w:leader="none" w:pos="711" w:val="left"/>
        </w:tabs>
        <w:numPr>
          <w:ilvl w:val="0"/>
          <w:numId w:val="41"/>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 xml:space="preserve">Custom Decorators. </w:t>
      </w:r>
      <w:r>
        <w:rPr>
          <w:rFonts w:ascii="Arial" w:cs="Arial" w:eastAsia="Arial" w:hAnsi="Arial"/>
          <w:sz w:val="18"/>
          <w:szCs w:val="18"/>
          <w:color w:val="auto"/>
        </w:rPr>
        <w:t>Our custom decorator customers produce and sell decorated</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garments, mostly t-shirts. Our systems allow custom decorators to produce short to medium runs of high-quality customized garments quickly and efficiently, which enables them to increase average selling prices and margins compared to their screen printed garments.</w:t>
      </w:r>
    </w:p>
    <w:p>
      <w:pPr>
        <w:spacing w:after="0" w:line="71" w:lineRule="exact"/>
        <w:rPr>
          <w:rFonts w:ascii="Courier New" w:cs="Courier New" w:eastAsia="Courier New" w:hAnsi="Courier New"/>
          <w:sz w:val="22"/>
          <w:szCs w:val="22"/>
          <w:i w:val="1"/>
          <w:iCs w:val="1"/>
          <w:color w:val="auto"/>
        </w:rPr>
      </w:pPr>
    </w:p>
    <w:p>
      <w:pPr>
        <w:ind w:left="560" w:right="159" w:hanging="219"/>
        <w:spacing w:after="0" w:line="256" w:lineRule="auto"/>
        <w:tabs>
          <w:tab w:leader="none" w:pos="714" w:val="left"/>
        </w:tabs>
        <w:numPr>
          <w:ilvl w:val="0"/>
          <w:numId w:val="41"/>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Online Businesses</w:t>
      </w:r>
      <w:r>
        <w:rPr>
          <w:rFonts w:ascii="Arial" w:cs="Arial" w:eastAsia="Arial" w:hAnsi="Arial"/>
          <w:sz w:val="18"/>
          <w:szCs w:val="18"/>
          <w:color w:val="auto"/>
        </w:rPr>
        <w:t>. The business model of our online business customers is based on</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“produce to order” garments, often in quantities of one, at high average selling prices and significant margins. Since the online customized apparel business is growing quickly, most of our online business customers serve more than one website and have multiple systems on their production floors. Some of these customers look to us to link them with other users of our systems around the world, to cater to their own global customer base, enabling them to shorten delivery times for the orders they process through their websites. Our systems’ one-step printing process allows these customers to produce customized garments with short setup time.</w:t>
      </w:r>
    </w:p>
    <w:p>
      <w:pPr>
        <w:spacing w:after="0" w:line="309" w:lineRule="exact"/>
        <w:rPr>
          <w:rFonts w:ascii="Courier New" w:cs="Courier New" w:eastAsia="Courier New" w:hAnsi="Courier New"/>
          <w:sz w:val="22"/>
          <w:szCs w:val="22"/>
          <w:i w:val="1"/>
          <w:iCs w:val="1"/>
          <w:color w:val="auto"/>
        </w:rPr>
      </w:pPr>
    </w:p>
    <w:p>
      <w:pPr>
        <w:ind w:left="560" w:right="379" w:hanging="219"/>
        <w:spacing w:after="0" w:line="263" w:lineRule="auto"/>
        <w:tabs>
          <w:tab w:leader="none" w:pos="714" w:val="left"/>
        </w:tabs>
        <w:numPr>
          <w:ilvl w:val="0"/>
          <w:numId w:val="41"/>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Brand Owners</w:t>
      </w:r>
      <w:r>
        <w:rPr>
          <w:rFonts w:ascii="Arial" w:cs="Arial" w:eastAsia="Arial" w:hAnsi="Arial"/>
          <w:sz w:val="18"/>
          <w:szCs w:val="18"/>
          <w:color w:val="auto"/>
        </w:rPr>
        <w:t>. Most brand owners use contract printers to produce their garments. Our</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systems oﬀer an alternative to outsourcing in cases where brand owners prefer to handle their production needs in house. Several brand owners that own full or partial production capacity are adopting digital textile printing technology to achieve innovation in design, greater customization and shorter lead times to market, which our systems facilitate.</w:t>
      </w:r>
    </w:p>
    <w:p>
      <w:pPr>
        <w:spacing w:after="0" w:line="75" w:lineRule="exact"/>
        <w:rPr>
          <w:rFonts w:ascii="Courier New" w:cs="Courier New" w:eastAsia="Courier New" w:hAnsi="Courier New"/>
          <w:sz w:val="22"/>
          <w:szCs w:val="22"/>
          <w:i w:val="1"/>
          <w:iCs w:val="1"/>
          <w:color w:val="auto"/>
        </w:rPr>
      </w:pPr>
    </w:p>
    <w:p>
      <w:pPr>
        <w:ind w:left="560" w:right="119" w:hanging="219"/>
        <w:spacing w:after="0" w:line="258" w:lineRule="auto"/>
        <w:tabs>
          <w:tab w:leader="none" w:pos="711" w:val="left"/>
        </w:tabs>
        <w:numPr>
          <w:ilvl w:val="0"/>
          <w:numId w:val="41"/>
        </w:numPr>
        <w:rPr>
          <w:rFonts w:ascii="Courier New" w:cs="Courier New" w:eastAsia="Courier New" w:hAnsi="Courier New"/>
          <w:sz w:val="22"/>
          <w:szCs w:val="22"/>
          <w:i w:val="1"/>
          <w:iCs w:val="1"/>
          <w:color w:val="auto"/>
        </w:rPr>
      </w:pPr>
      <w:r>
        <w:rPr>
          <w:rFonts w:ascii="Courier New" w:cs="Courier New" w:eastAsia="Courier New" w:hAnsi="Courier New"/>
          <w:sz w:val="18"/>
          <w:szCs w:val="18"/>
          <w:i w:val="1"/>
          <w:iCs w:val="1"/>
          <w:color w:val="auto"/>
        </w:rPr>
        <w:t>Contract Printers</w:t>
      </w:r>
      <w:r>
        <w:rPr>
          <w:rFonts w:ascii="Arial" w:cs="Arial" w:eastAsia="Arial" w:hAnsi="Arial"/>
          <w:sz w:val="18"/>
          <w:szCs w:val="18"/>
          <w:color w:val="auto"/>
        </w:rPr>
        <w:t>. Contract printers are high volume producers that are seeking</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industrial scale and cost-effective printing solutions. They provide printing services to brand owners and high-end garment manufacturers and primarily use analog printing technologies. Our contract printer customers typically purchase our Avalanche family of products for high productivity as well as our Paradigm II DTG system, which allows them to combine complex images and designs with multiple embellishment effects, such as glitter, silicon, gel and burnout, into their ordinary screen printed textiles.</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Distribution</w:t>
      </w:r>
    </w:p>
    <w:p>
      <w:pPr>
        <w:spacing w:after="0" w:line="173"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Our go to market strategy consists of a hybrid model of indirect and direct sales. We sell the majority of our solutions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December 31, 2014, our global network of channel partners consisted of approximately 50 independent distributors and resellers. Sales by our distributors accounted for approximately 72% of our revenues in 2014 and approximately 63% in 2013. In addition to working closely with our channel partners, our direct sales force engages in direct sales in certain geographies, and also with our largest customers, irrespective of their location.</w:t>
      </w:r>
    </w:p>
    <w:p>
      <w:pPr>
        <w:sectPr>
          <w:pgSz w:w="11900" w:h="16838" w:orient="portrait"/>
          <w:cols w:equalWidth="0" w:num="1">
            <w:col w:w="9019"/>
          </w:cols>
          <w:pgMar w:left="1440" w:top="125" w:right="1440" w:bottom="38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380" w:gutter="0" w:footer="0" w:header="0"/>
          <w:type w:val="continuous"/>
        </w:sectPr>
      </w:pPr>
    </w:p>
    <w:bookmarkStart w:id="66" w:name="page67"/>
    <w:bookmarkEnd w:id="66"/>
    <w:p>
      <w:pPr>
        <w:ind w:left="120" w:right="259" w:firstLine="216"/>
        <w:spacing w:after="0" w:line="257" w:lineRule="auto"/>
        <w:rPr>
          <w:sz w:val="20"/>
          <w:szCs w:val="20"/>
          <w:color w:val="auto"/>
        </w:rPr>
      </w:pPr>
      <w:r>
        <w:rPr>
          <w:rFonts w:ascii="Arial" w:cs="Arial" w:eastAsia="Arial" w:hAnsi="Arial"/>
          <w:sz w:val="18"/>
          <w:szCs w:val="18"/>
          <w:color w:val="auto"/>
        </w:rPr>
        <w:t>The substantial majority of our sales in North America are performed through independent distributors. Hirsch International Corporation and SPSI, Inc. were our top two independent distributors by revenues in 2013 and 2014, accounting for 20% and 25% of our revenues in each such period in the case of Hirsch, and 13% and 15% of our revenues in each such period in the case of SPSI, respectively. We entered into distributor agreements with Hirsch and SPSI, dated April 1, 2014, each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as well as five Canadian provinces. Our agreement with SPSI is a non-exclusive distribution contract across the United States, including 20 states mainly in the Midwest, Northwest, and Southwest regions. For both distributors, we maintain projected sales plans for a number of different print systems on a yearly basis and there is a minimum yearly sales requirement for systems and ink and other consumables.</w:t>
      </w: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227"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diﬀerentiation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359" w:lineRule="exact"/>
        <w:rPr>
          <w:sz w:val="20"/>
          <w:szCs w:val="20"/>
          <w:color w:val="auto"/>
        </w:rPr>
      </w:pPr>
    </w:p>
    <w:p>
      <w:pPr>
        <w:ind w:left="120" w:right="139" w:firstLine="216"/>
        <w:spacing w:after="0" w:line="260" w:lineRule="auto"/>
        <w:rPr>
          <w:sz w:val="20"/>
          <w:szCs w:val="20"/>
          <w:color w:val="auto"/>
        </w:rPr>
      </w:pPr>
      <w:r>
        <w:rPr>
          <w:rFonts w:ascii="Arial" w:cs="Arial" w:eastAsia="Arial" w:hAnsi="Arial"/>
          <w:sz w:val="18"/>
          <w:szCs w:val="18"/>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w:t>
      </w:r>
    </w:p>
    <w:p>
      <w:pPr>
        <w:spacing w:after="0" w:line="193"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8"/>
          <w:szCs w:val="18"/>
          <w:color w:val="auto"/>
        </w:rPr>
        <w:t>The majority of our systems are assembled by ITS Industrial Techno Logic Solutions Ltd., or ITS, at its facilities in Kfar Saba, Israel. A portion of our systems are assembled by IFAT Technologies Ltd., or Ifat, at its facilities in Rehovot, Israel. Aside from our print heads, we source most of the components of our systems directly, which we believe allows us to manage our material costs and take advantage of the overall volume of systems manufactured at both facilities without the overhead of having in house manufacturing.</w:t>
      </w:r>
    </w:p>
    <w:p>
      <w:pPr>
        <w:spacing w:after="0" w:line="353" w:lineRule="exact"/>
        <w:rPr>
          <w:sz w:val="20"/>
          <w:szCs w:val="20"/>
          <w:color w:val="auto"/>
        </w:rPr>
      </w:pPr>
    </w:p>
    <w:p>
      <w:pPr>
        <w:ind w:left="120" w:right="219" w:firstLine="216"/>
        <w:spacing w:after="0" w:line="260" w:lineRule="auto"/>
        <w:rPr>
          <w:sz w:val="20"/>
          <w:szCs w:val="20"/>
          <w:color w:val="auto"/>
        </w:rPr>
      </w:pPr>
      <w:r>
        <w:rPr>
          <w:rFonts w:ascii="Arial" w:cs="Arial" w:eastAsia="Arial" w:hAnsi="Arial"/>
          <w:sz w:val="18"/>
          <w:szCs w:val="18"/>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Either party can also terminate the agreement at any time upon 365 days’ notice. Prices are set forth in the agreement and are determined separately with respect to the printers, services and raw materials.</w:t>
      </w:r>
    </w:p>
    <w:p>
      <w:pPr>
        <w:spacing w:after="0" w:line="359" w:lineRule="exact"/>
        <w:rPr>
          <w:sz w:val="20"/>
          <w:szCs w:val="20"/>
          <w:color w:val="auto"/>
        </w:rPr>
      </w:pPr>
    </w:p>
    <w:p>
      <w:pPr>
        <w:ind w:left="120" w:right="399" w:firstLine="216"/>
        <w:spacing w:after="0" w:line="312" w:lineRule="auto"/>
        <w:rPr>
          <w:sz w:val="20"/>
          <w:szCs w:val="20"/>
          <w:color w:val="auto"/>
        </w:rPr>
      </w:pPr>
      <w:r>
        <w:rPr>
          <w:rFonts w:ascii="Arial" w:cs="Arial" w:eastAsia="Arial" w:hAnsi="Arial"/>
          <w:sz w:val="18"/>
          <w:szCs w:val="18"/>
          <w:color w:val="auto"/>
        </w:rPr>
        <w:t>Ifat manufactures some of our Avalanche systems and our Breeze, Thunder and Paradigm II systems on a purchase order basis in accordance with our bill of materials, drawings and designs.</w:t>
      </w:r>
    </w:p>
    <w:p>
      <w:pPr>
        <w:spacing w:after="0" w:line="326" w:lineRule="exact"/>
        <w:rPr>
          <w:sz w:val="20"/>
          <w:szCs w:val="20"/>
          <w:color w:val="auto"/>
        </w:rPr>
      </w:pPr>
    </w:p>
    <w:p>
      <w:pPr>
        <w:ind w:left="120" w:right="179" w:firstLine="216"/>
        <w:spacing w:after="0" w:line="312" w:lineRule="auto"/>
        <w:rPr>
          <w:sz w:val="20"/>
          <w:szCs w:val="20"/>
          <w:color w:val="auto"/>
        </w:rPr>
      </w:pPr>
      <w:r>
        <w:rPr>
          <w:rFonts w:ascii="Arial" w:cs="Arial" w:eastAsia="Arial" w:hAnsi="Arial"/>
          <w:sz w:val="18"/>
          <w:szCs w:val="18"/>
          <w:color w:val="auto"/>
        </w:rPr>
        <w:t>We produce and bottle our ink and other consumables at our facility in Kiryat Gat, Israel using raw materials purchased from various suppliers for milling pigments and mixing, bottling and packaging.</w:t>
      </w:r>
    </w:p>
    <w:p>
      <w:pPr>
        <w:sectPr>
          <w:pgSz w:w="11900" w:h="16838" w:orient="portrait"/>
          <w:cols w:equalWidth="0" w:num="1">
            <w:col w:w="9019"/>
          </w:cols>
          <w:pgMar w:left="1440" w:top="92" w:right="1440" w:bottom="663"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663" w:gutter="0" w:footer="0" w:header="0"/>
          <w:type w:val="continuous"/>
        </w:sectPr>
      </w:pPr>
    </w:p>
    <w:bookmarkStart w:id="67" w:name="page68"/>
    <w:bookmarkEnd w:id="67"/>
    <w:p>
      <w:pPr>
        <w:ind w:left="120"/>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193"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8"/>
          <w:szCs w:val="18"/>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24" w:lineRule="exact"/>
        <w:rPr>
          <w:sz w:val="20"/>
          <w:szCs w:val="20"/>
          <w:color w:val="auto"/>
        </w:rPr>
      </w:pPr>
    </w:p>
    <w:p>
      <w:pPr>
        <w:ind w:left="120" w:right="179" w:firstLine="216"/>
        <w:spacing w:after="0" w:line="256" w:lineRule="auto"/>
        <w:rPr>
          <w:sz w:val="20"/>
          <w:szCs w:val="20"/>
          <w:color w:val="auto"/>
        </w:rPr>
      </w:pPr>
      <w:r>
        <w:rPr>
          <w:rFonts w:ascii="Arial" w:cs="Arial" w:eastAsia="Arial" w:hAnsi="Arial"/>
          <w:sz w:val="18"/>
          <w:szCs w:val="18"/>
          <w:color w:val="auto"/>
        </w:rPr>
        <w:t>The print heads for our systems are supplied by a sole supplier, FDMX. We entered into an agreement with FDMX, dated January 6, 2006, as amended, pursuant to which FDMX sells us print heads and additional by-products, including ink.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and other consumables, other than inks and other consumables sold by FDMX, that we sell over a relevant period or, if we do not sell ink and other consumables, a payment based on sales of our systems. The agreement renews automatically for successive one-year periods unless one party notifies the other party that it does not wish to renew the agreement by providing 90 days’ notice prior to the end of the current term, which ends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200" w:lineRule="exact"/>
        <w:rPr>
          <w:sz w:val="20"/>
          <w:szCs w:val="20"/>
          <w:color w:val="auto"/>
        </w:rPr>
      </w:pPr>
    </w:p>
    <w:p>
      <w:pPr>
        <w:spacing w:after="0" w:line="382" w:lineRule="exact"/>
        <w:rPr>
          <w:sz w:val="20"/>
          <w:szCs w:val="20"/>
          <w:color w:val="auto"/>
        </w:rPr>
      </w:pPr>
    </w:p>
    <w:p>
      <w:pPr>
        <w:ind w:left="120" w:right="559" w:firstLine="216"/>
        <w:spacing w:after="0" w:line="338" w:lineRule="auto"/>
        <w:rPr>
          <w:sz w:val="20"/>
          <w:szCs w:val="20"/>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65" w:lineRule="exact"/>
        <w:rPr>
          <w:sz w:val="20"/>
          <w:szCs w:val="20"/>
          <w:color w:val="auto"/>
        </w:rPr>
      </w:pPr>
    </w:p>
    <w:p>
      <w:pPr>
        <w:ind w:left="120" w:right="119" w:firstLine="216"/>
        <w:spacing w:after="0" w:line="263" w:lineRule="auto"/>
        <w:rPr>
          <w:sz w:val="20"/>
          <w:szCs w:val="20"/>
          <w:color w:val="auto"/>
        </w:rPr>
      </w:pPr>
      <w:r>
        <w:rPr>
          <w:rFonts w:ascii="Arial" w:cs="Arial" w:eastAsia="Arial" w:hAnsi="Arial"/>
          <w:sz w:val="18"/>
          <w:szCs w:val="18"/>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Factors—If our relationships with suppliers, especially with single source suppliers of components, were to terminate, our business could be harmed.”</w:t>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7"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eﬀorts are focused on improving and enhancing our existing systems and services, as well as developing new systems, software, features and functionality. Our current research and development eﬀorts are primarily focused on completing the development of our Vulcan DTG printing system, which is positioned to be the first mass customization DTG printer. Our eﬀorts are also focused on the Allegro R2R system, which is currently in beta testing at three customer sites and takes advantage of our patented wet-on-wet printing methodology to allow printing on rolls of textiles of various fabrics, without requiring a separate pre-treatment process or use of textiles that are specifically designed for digital printing. We are also focused on enhancing our current DTG systems with new features and functionality, improving system reliability and uptime and making our systems even more user-friendly, and investing in new chemistry for broadening our span of applications.</w:t>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7" w:lineRule="exact"/>
        <w:rPr>
          <w:sz w:val="20"/>
          <w:szCs w:val="20"/>
          <w:color w:val="auto"/>
        </w:rPr>
      </w:pPr>
    </w:p>
    <w:p>
      <w:pPr>
        <w:ind w:left="120" w:right="259" w:firstLine="216"/>
        <w:spacing w:after="0" w:line="279" w:lineRule="auto"/>
        <w:rPr>
          <w:sz w:val="20"/>
          <w:szCs w:val="20"/>
          <w:color w:val="auto"/>
        </w:rPr>
      </w:pPr>
      <w:r>
        <w:rPr>
          <w:rFonts w:ascii="Arial" w:cs="Arial" w:eastAsia="Arial" w:hAnsi="Arial"/>
          <w:sz w:val="18"/>
          <w:szCs w:val="18"/>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18" w:lineRule="exact"/>
        <w:rPr>
          <w:sz w:val="20"/>
          <w:szCs w:val="20"/>
          <w:color w:val="auto"/>
        </w:rPr>
      </w:pPr>
    </w:p>
    <w:p>
      <w:pPr>
        <w:ind w:left="120" w:right="279" w:firstLine="216"/>
        <w:spacing w:after="0" w:line="269" w:lineRule="auto"/>
        <w:rPr>
          <w:sz w:val="20"/>
          <w:szCs w:val="20"/>
          <w:color w:val="auto"/>
        </w:rPr>
      </w:pPr>
      <w:r>
        <w:rPr>
          <w:rFonts w:ascii="Arial" w:cs="Arial" w:eastAsia="Arial" w:hAnsi="Arial"/>
          <w:sz w:val="18"/>
          <w:szCs w:val="18"/>
          <w:color w:val="auto"/>
        </w:rPr>
        <w:t>As of December 31,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The principal granted patents relate to our wet-on-wet printing</w:t>
      </w:r>
    </w:p>
    <w:p>
      <w:pPr>
        <w:sectPr>
          <w:pgSz w:w="11900" w:h="16838" w:orient="portrait"/>
          <w:cols w:equalWidth="0" w:num="1">
            <w:col w:w="9019"/>
          </w:cols>
          <w:pgMar w:left="1440" w:top="125"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8" w:name="page69"/>
    <w:bookmarkEnd w:id="68"/>
    <w:p>
      <w:pPr>
        <w:ind w:left="120" w:right="739"/>
        <w:spacing w:after="0" w:line="339" w:lineRule="auto"/>
        <w:rPr>
          <w:sz w:val="20"/>
          <w:szCs w:val="20"/>
          <w:color w:val="auto"/>
        </w:rPr>
      </w:pPr>
      <w:r>
        <w:rPr>
          <w:rFonts w:ascii="Arial" w:cs="Arial" w:eastAsia="Arial" w:hAnsi="Arial"/>
          <w:sz w:val="18"/>
          <w:szCs w:val="18"/>
          <w:color w:val="auto"/>
        </w:rPr>
        <w:t>methodology, ink formulations, printing processes and related methods and systems, with expiration dates ranging from 2020 to 2035.</w:t>
      </w:r>
    </w:p>
    <w:p>
      <w:pPr>
        <w:spacing w:after="0" w:line="65" w:lineRule="exact"/>
        <w:rPr>
          <w:sz w:val="20"/>
          <w:szCs w:val="20"/>
          <w:color w:val="auto"/>
        </w:rPr>
      </w:pPr>
    </w:p>
    <w:p>
      <w:pPr>
        <w:ind w:left="120" w:right="559" w:firstLine="216"/>
        <w:spacing w:after="0" w:line="268" w:lineRule="auto"/>
        <w:rPr>
          <w:sz w:val="20"/>
          <w:szCs w:val="20"/>
          <w:color w:val="auto"/>
        </w:rPr>
      </w:pPr>
      <w:r>
        <w:rPr>
          <w:rFonts w:ascii="Arial" w:cs="Arial" w:eastAsia="Arial" w:hAnsi="Arial"/>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26" w:lineRule="exact"/>
        <w:rPr>
          <w:sz w:val="20"/>
          <w:szCs w:val="20"/>
          <w:color w:val="auto"/>
        </w:rPr>
      </w:pPr>
    </w:p>
    <w:p>
      <w:pPr>
        <w:ind w:left="120" w:right="199" w:firstLine="216"/>
        <w:spacing w:after="0" w:line="338" w:lineRule="auto"/>
        <w:rPr>
          <w:sz w:val="20"/>
          <w:szCs w:val="20"/>
          <w:color w:val="auto"/>
        </w:rPr>
      </w:pPr>
      <w:r>
        <w:rPr>
          <w:rFonts w:ascii="Arial" w:cs="Arial" w:eastAsia="Arial" w:hAnsi="Arial"/>
          <w:sz w:val="18"/>
          <w:szCs w:val="18"/>
          <w:color w:val="auto"/>
        </w:rPr>
        <w:t>In addition, we own the registered trademarks “KORNIT” and “NEOPIGMENT” and make use of a number of additional unregistered trademarks.</w:t>
      </w:r>
    </w:p>
    <w:p>
      <w:pPr>
        <w:spacing w:after="0" w:line="65" w:lineRule="exact"/>
        <w:rPr>
          <w:sz w:val="20"/>
          <w:szCs w:val="20"/>
          <w:color w:val="auto"/>
        </w:rPr>
      </w:pPr>
    </w:p>
    <w:p>
      <w:pPr>
        <w:ind w:left="120" w:right="279" w:firstLine="216"/>
        <w:spacing w:after="0" w:line="265" w:lineRule="auto"/>
        <w:rPr>
          <w:sz w:val="20"/>
          <w:szCs w:val="20"/>
          <w:color w:val="auto"/>
        </w:rPr>
      </w:pPr>
      <w:r>
        <w:rPr>
          <w:rFonts w:ascii="Arial" w:cs="Arial" w:eastAsia="Arial" w:hAnsi="Arial"/>
          <w:sz w:val="18"/>
          <w:szCs w:val="18"/>
          <w:color w:val="auto"/>
        </w:rPr>
        <w:t>There can be no assurance that our patents or other intellectual property rights will aﬀord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eﬀect on our business or financial position.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97" w:lineRule="exact"/>
        <w:rPr>
          <w:sz w:val="20"/>
          <w:szCs w:val="20"/>
          <w:color w:val="auto"/>
        </w:rPr>
      </w:pPr>
    </w:p>
    <w:p>
      <w:pPr>
        <w:ind w:left="120" w:right="259" w:firstLine="216"/>
        <w:spacing w:after="0" w:line="260" w:lineRule="auto"/>
        <w:rPr>
          <w:sz w:val="20"/>
          <w:szCs w:val="20"/>
          <w:color w:val="auto"/>
        </w:rPr>
      </w:pPr>
      <w:r>
        <w:rPr>
          <w:rFonts w:ascii="Arial" w:cs="Arial" w:eastAsia="Arial" w:hAnsi="Arial"/>
          <w:sz w:val="18"/>
          <w:szCs w:val="18"/>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oﬀer a wide spectrum of digital textile printing systems of varying features, capacities and price points. We believe that this strategy will enable us to eﬀectively compete with the other textile printer and ink manufacturers in the digital DTG market.</w:t>
      </w: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Infrastructure</w:t>
      </w:r>
    </w:p>
    <w:p>
      <w:pPr>
        <w:spacing w:after="0" w:line="197"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Our corporate headquarters are located in Rosh-Ha`Ayin, Israel in an office consisting of approximately 40,000 square feet. The lease for this office expires in August 2016. In Israel, we also lease a manufacturing facility in Kiryat Gat, which consists of approximately 15,000 square feet. The lease for the Kiryat Gat manufacturing facility expires on May 30, 2015,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leases for this office expires in June 2018. We maintain additional sales, support and marketing offices in Germany and Hong Kong.</w:t>
      </w:r>
    </w:p>
    <w:p>
      <w:pPr>
        <w:spacing w:after="0" w:line="3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97" w:lineRule="exact"/>
        <w:rPr>
          <w:sz w:val="20"/>
          <w:szCs w:val="20"/>
          <w:color w:val="auto"/>
        </w:rPr>
      </w:pPr>
    </w:p>
    <w:p>
      <w:pPr>
        <w:ind w:left="120" w:right="119" w:firstLine="216"/>
        <w:spacing w:after="0" w:line="258" w:lineRule="auto"/>
        <w:rPr>
          <w:sz w:val="20"/>
          <w:szCs w:val="20"/>
          <w:color w:val="auto"/>
        </w:rPr>
      </w:pPr>
      <w:r>
        <w:rPr>
          <w:rFonts w:ascii="Arial" w:cs="Arial" w:eastAsia="Arial" w:hAnsi="Arial"/>
          <w:sz w:val="18"/>
          <w:szCs w:val="18"/>
          <w:color w:val="auto"/>
        </w:rPr>
        <w:t>We are subject to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In Israel, where we manufacture our ink and other consumables, businesses storing or using certain hazardous materials, including materials necessary for our manufacturing process, are required, pursuant to the Israeli Dangerous Substances Law 5753 -1993, to obtain a toxin permit from the Ministry of Environmental Protection. We hold a valid toxin permit for use of chemicals that will remain in effect until October 14, 2016. Our activities also require permits from various governmental authorities including, local municipal authorities, such as planning and zoning authorities, and the Ministry of Health.</w:t>
      </w:r>
    </w:p>
    <w:p>
      <w:pPr>
        <w:sectPr>
          <w:pgSz w:w="11900" w:h="16838" w:orient="portrait"/>
          <w:cols w:equalWidth="0" w:num="1">
            <w:col w:w="9019"/>
          </w:cols>
          <w:pgMar w:left="1440" w:top="92"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69" w:name="page70"/>
    <w:bookmarkEnd w:id="69"/>
    <w:p>
      <w:pPr>
        <w:ind w:left="120" w:right="219" w:firstLine="216"/>
        <w:spacing w:after="0" w:line="268" w:lineRule="auto"/>
        <w:rPr>
          <w:sz w:val="20"/>
          <w:szCs w:val="20"/>
          <w:color w:val="auto"/>
        </w:rPr>
      </w:pPr>
      <w:r>
        <w:rPr>
          <w:rFonts w:ascii="Arial" w:cs="Arial" w:eastAsia="Arial" w:hAnsi="Arial"/>
          <w:sz w:val="18"/>
          <w:szCs w:val="18"/>
          <w:color w:val="auto"/>
        </w:rPr>
        <w:t>Based on information currently available to us, we do not expect environmental costs and contingencies to have a material adverse eﬀect on our business or operations. To our knowledge, all of our facilities, operations, systems and ink and other consumables comply with the environmental laws, regulations and standards to which they are subject. The operation of our facilities, however, entails risks and significant expenditures could be required in the future to comply with environmental or health and safety laws, regulations or requirements.</w:t>
      </w:r>
    </w:p>
    <w:p>
      <w:pPr>
        <w:spacing w:after="0" w:line="127" w:lineRule="exact"/>
        <w:rPr>
          <w:sz w:val="20"/>
          <w:szCs w:val="20"/>
          <w:color w:val="auto"/>
        </w:rPr>
      </w:pPr>
    </w:p>
    <w:p>
      <w:pPr>
        <w:ind w:left="120" w:right="359" w:firstLine="216"/>
        <w:spacing w:after="0" w:line="260" w:lineRule="auto"/>
        <w:rPr>
          <w:sz w:val="20"/>
          <w:szCs w:val="20"/>
          <w:color w:val="auto"/>
        </w:rPr>
      </w:pPr>
      <w:r>
        <w:rPr>
          <w:rFonts w:ascii="Arial" w:cs="Arial" w:eastAsia="Arial" w:hAnsi="Arial"/>
          <w:sz w:val="18"/>
          <w:szCs w:val="18"/>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systems and certain components of such systems “put on the market” in the EU (whether or not manufactured in the EU) are subject to these directives. Additionally, we are required to comply with certain laws, regulations and directives, including TSCA in the United States and REACH in the EU, governing chemicals. These and similar laws and regulations require the testing and registration of certain chemicals we use and ship. We continuously monitor changes to these regulations and work to address such developments.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Corporate Structure</w:t>
      </w:r>
    </w:p>
    <w:p>
      <w:pPr>
        <w:spacing w:after="0" w:line="227" w:lineRule="exact"/>
        <w:rPr>
          <w:sz w:val="20"/>
          <w:szCs w:val="20"/>
          <w:color w:val="auto"/>
        </w:rPr>
      </w:pPr>
    </w:p>
    <w:p>
      <w:pPr>
        <w:ind w:left="120" w:right="639" w:firstLine="216"/>
        <w:spacing w:after="0" w:line="338" w:lineRule="auto"/>
        <w:rPr>
          <w:sz w:val="20"/>
          <w:szCs w:val="20"/>
          <w:color w:val="auto"/>
        </w:rPr>
      </w:pPr>
      <w:r>
        <w:rPr>
          <w:rFonts w:ascii="Arial" w:cs="Arial" w:eastAsia="Arial" w:hAnsi="Arial"/>
          <w:sz w:val="18"/>
          <w:szCs w:val="18"/>
          <w:color w:val="auto"/>
        </w:rPr>
        <w:t>Our legal name is Kornit Digital Ltd. We were formed as a company under the laws of the State of Israel on January 16, 2002.</w:t>
      </w:r>
    </w:p>
    <w:p>
      <w:pPr>
        <w:spacing w:after="0" w:line="65" w:lineRule="exact"/>
        <w:rPr>
          <w:sz w:val="20"/>
          <w:szCs w:val="20"/>
          <w:color w:val="auto"/>
        </w:rPr>
      </w:pPr>
    </w:p>
    <w:p>
      <w:pPr>
        <w:ind w:left="120" w:right="159" w:firstLine="216"/>
        <w:spacing w:after="0" w:line="265" w:lineRule="auto"/>
        <w:rPr>
          <w:sz w:val="20"/>
          <w:szCs w:val="20"/>
          <w:color w:val="auto"/>
        </w:rPr>
      </w:pPr>
      <w:r>
        <w:rPr>
          <w:rFonts w:ascii="Arial" w:cs="Arial" w:eastAsia="Arial" w:hAnsi="Arial"/>
          <w:sz w:val="18"/>
          <w:szCs w:val="18"/>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7" w:lineRule="exact"/>
        <w:rPr>
          <w:sz w:val="20"/>
          <w:szCs w:val="20"/>
          <w:color w:val="auto"/>
        </w:rPr>
      </w:pPr>
    </w:p>
    <w:p>
      <w:pPr>
        <w:ind w:left="120" w:right="379" w:firstLine="216"/>
        <w:spacing w:after="0" w:line="284" w:lineRule="auto"/>
        <w:rPr>
          <w:sz w:val="20"/>
          <w:szCs w:val="20"/>
          <w:color w:val="auto"/>
        </w:rPr>
      </w:pPr>
      <w:r>
        <w:rPr>
          <w:rFonts w:ascii="Arial" w:cs="Arial" w:eastAsia="Arial" w:hAnsi="Arial"/>
          <w:sz w:val="18"/>
          <w:szCs w:val="18"/>
          <w:color w:val="auto"/>
        </w:rPr>
        <w:t>As of December 31, 2014, we had 251 employees and subcontractors with 166 located in Israel, 37 in the United States, 23 in Germany and 25 in Hong Kong. The following table shows the breakdown of our workforce of employees and subcontractors by category of activity as of the dates indicated:</w:t>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Area of Activity</w:t>
            </w:r>
          </w:p>
        </w:tc>
        <w:tc>
          <w:tcPr>
            <w:tcW w:w="1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As of December 31,</w:t>
            </w:r>
          </w:p>
        </w:tc>
        <w:tc>
          <w:tcPr>
            <w:tcW w:w="1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20" w:type="dxa"/>
            <w:vAlign w:val="bottom"/>
            <w:gridSpan w:val="3"/>
            <w:vMerge w:val="continue"/>
          </w:tcPr>
          <w:p>
            <w:pPr>
              <w:spacing w:after="0"/>
              <w:rPr>
                <w:sz w:val="15"/>
                <w:szCs w:val="15"/>
                <w:color w:val="auto"/>
              </w:rPr>
            </w:pPr>
          </w:p>
        </w:tc>
        <w:tc>
          <w:tcPr>
            <w:tcW w:w="1240" w:type="dxa"/>
            <w:vAlign w:val="bottom"/>
          </w:tcPr>
          <w:p>
            <w:pPr>
              <w:jc w:val="right"/>
              <w:ind w:right="311"/>
              <w:spacing w:after="0" w:line="183" w:lineRule="exact"/>
              <w:rPr>
                <w:sz w:val="20"/>
                <w:szCs w:val="20"/>
                <w:color w:val="auto"/>
              </w:rPr>
            </w:pPr>
            <w:r>
              <w:rPr>
                <w:rFonts w:ascii="Arial" w:cs="Arial" w:eastAsia="Arial" w:hAnsi="Arial"/>
                <w:sz w:val="16"/>
                <w:szCs w:val="16"/>
                <w:b w:val="1"/>
                <w:bCs w:val="1"/>
                <w:color w:val="auto"/>
              </w:rPr>
              <w:t>2012</w:t>
            </w:r>
          </w:p>
        </w:tc>
        <w:tc>
          <w:tcPr>
            <w:tcW w:w="1580" w:type="dxa"/>
            <w:vAlign w:val="bottom"/>
            <w:gridSpan w:val="2"/>
          </w:tcPr>
          <w:p>
            <w:pPr>
              <w:jc w:val="right"/>
              <w:ind w:right="310"/>
              <w:spacing w:after="0" w:line="183" w:lineRule="exact"/>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5"/>
                <w:szCs w:val="15"/>
                <w:color w:val="auto"/>
              </w:rPr>
            </w:pPr>
          </w:p>
        </w:tc>
        <w:tc>
          <w:tcPr>
            <w:tcW w:w="1240" w:type="dxa"/>
            <w:vAlign w:val="bottom"/>
          </w:tcPr>
          <w:p>
            <w:pPr>
              <w:jc w:val="right"/>
              <w:ind w:right="311"/>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Service</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Sales and marketing</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Manufacturing and operations</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w:t>
            </w:r>
          </w:p>
        </w:tc>
        <w:tc>
          <w:tcPr>
            <w:tcW w:w="3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3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20" w:right="219" w:firstLine="216"/>
        <w:spacing w:after="0" w:line="258"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70" w:name="page71"/>
    <w:bookmarkEnd w:id="70"/>
    <w:p>
      <w:pPr>
        <w:ind w:left="120" w:right="739" w:firstLine="216"/>
        <w:spacing w:after="0" w:line="339" w:lineRule="auto"/>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 Imaging Systems, Inc.</w:t>
      </w:r>
    </w:p>
    <w:p>
      <w:pPr>
        <w:spacing w:after="0" w:line="225" w:lineRule="exact"/>
        <w:rPr>
          <w:sz w:val="20"/>
          <w:szCs w:val="20"/>
          <w:color w:val="auto"/>
        </w:rPr>
      </w:pPr>
    </w:p>
    <w:p>
      <w:pPr>
        <w:ind w:left="120" w:right="359" w:firstLine="216"/>
        <w:spacing w:after="0" w:line="293" w:lineRule="auto"/>
        <w:rPr>
          <w:sz w:val="20"/>
          <w:szCs w:val="20"/>
          <w:color w:val="auto"/>
        </w:rPr>
      </w:pPr>
      <w:r>
        <w:rPr>
          <w:rFonts w:ascii="Arial" w:cs="Arial" w:eastAsia="Arial" w:hAnsi="Arial"/>
          <w:sz w:val="16"/>
          <w:szCs w:val="16"/>
          <w:color w:val="auto"/>
        </w:rPr>
        <w:t>In February 2015, one of our U.S. distributors, Hirsch International Corporation (“Hirsch”), which accounted for approximately 20% of our revenues in 2013 and approximately 25% of our revenues in 2014, provided us with a letter Hirsch received from Direct Imaging Systems, Inc. (“DIS”) claiming that Hirsch was infringing on the 6,095,628 (the “628 patent”) patent, which expires in August 2016, through its distribution of our Breeze printing system. To our knowledge, DIS does not manufacture printers and therefore does not compete with us. DIS attached a copy of a complaint that it had filed against Hirsch with the U.S. District Court for the Middle District of Florida.</w:t>
      </w:r>
    </w:p>
    <w:p>
      <w:pPr>
        <w:spacing w:after="0" w:line="165"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We previously received a letter from DIS in September 2004 claiming that our products infringed the 628 patent. After reviewing the patent at that time, we determined that we had valid defenses to any infringement claim against us. We did not enter into any further discussions with DIS and DIS did not contact us further after January 2005. Subsequently, the 628 patent was subject to reexamination and only one claim was found to be valid.</w:t>
      </w:r>
    </w:p>
    <w:p>
      <w:pPr>
        <w:spacing w:after="0" w:line="171" w:lineRule="exact"/>
        <w:rPr>
          <w:sz w:val="20"/>
          <w:szCs w:val="20"/>
          <w:color w:val="auto"/>
        </w:rPr>
      </w:pPr>
    </w:p>
    <w:p>
      <w:pPr>
        <w:ind w:left="120" w:right="179" w:firstLine="216"/>
        <w:spacing w:after="0" w:line="253" w:lineRule="auto"/>
        <w:rPr>
          <w:sz w:val="20"/>
          <w:szCs w:val="20"/>
          <w:color w:val="auto"/>
        </w:rPr>
      </w:pPr>
      <w:r>
        <w:rPr>
          <w:rFonts w:ascii="Arial" w:cs="Arial" w:eastAsia="Arial" w:hAnsi="Arial"/>
          <w:sz w:val="18"/>
          <w:szCs w:val="18"/>
          <w:color w:val="auto"/>
        </w:rPr>
        <w:t>Although we were not contacted by DIS in February 2015 and are not named in the complaint, we may be joined to the claim at a future date. In addition, our agreement with Hirsch contains an undertaking by us to indemnify Hirsch against claims by third parties alleging that our products infringe third party intellectual property rights. We cannot predict whether we will be subject to any claim directly from DIS or required to indemnify Hirsch. We continue to believe that there are valid defenses to the claim of infringement and, additionally, that we may have available other defenses, including the affirmative defense of laches in that there was an unreasonable delay between the initial allegation of infringement in 2004 and the allegation in February 2015. Laches bars any claim for damages prior to the filing of the lawsuit. Given the inherent uncertainty involved in litigation, if we are subject to a claim or indemnification, we cannot provide any assurance that an adverse ruling or a negative outcome will not have a material adverse effect on us.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Other than as described herein we are not currently a party to any litigation the outcome of which might have a material adverse effect on our business, operating results or financial condition. Regardless of the outcome, litigation can have an adverse impact on us because of defense and settlement costs, diversion of management resources and other factors.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MANAGEMENT</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Oﬃcers and Directors</w:t>
      </w:r>
    </w:p>
    <w:p>
      <w:pPr>
        <w:spacing w:after="0" w:line="183" w:lineRule="exact"/>
        <w:rPr>
          <w:sz w:val="20"/>
          <w:szCs w:val="20"/>
          <w:color w:val="auto"/>
        </w:rPr>
      </w:pPr>
    </w:p>
    <w:p>
      <w:pPr>
        <w:ind w:left="120" w:right="499" w:firstLine="216"/>
        <w:spacing w:after="0" w:line="338" w:lineRule="auto"/>
        <w:rPr>
          <w:sz w:val="20"/>
          <w:szCs w:val="20"/>
          <w:color w:val="auto"/>
        </w:rPr>
      </w:pPr>
      <w:r>
        <w:rPr>
          <w:rFonts w:ascii="Arial" w:cs="Arial" w:eastAsia="Arial" w:hAnsi="Arial"/>
          <w:sz w:val="18"/>
          <w:szCs w:val="18"/>
          <w:color w:val="auto"/>
        </w:rPr>
        <w:t>The following table sets forth the name, age and position of each of our executive oﬃcers, directors and director nominees as of the date of this prospectus.</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3940" w:type="dxa"/>
            <w:vAlign w:val="bottom"/>
            <w:gridSpan w:val="2"/>
          </w:tcPr>
          <w:p>
            <w:pPr>
              <w:ind w:left="18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760" w:type="dxa"/>
            <w:vAlign w:val="bottom"/>
            <w:tcBorders>
              <w:top w:val="single" w:sz="8" w:color="auto"/>
            </w:tcBorders>
          </w:tcPr>
          <w:p>
            <w:pPr>
              <w:spacing w:after="0"/>
              <w:rPr>
                <w:sz w:val="16"/>
                <w:szCs w:val="16"/>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Gabi Seligsohn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 and Director Nominee</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Ofer Ben-Zur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w w:val="96"/>
              </w:rPr>
              <w:t>President, Chief Technology Officer and Director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Guy Avidan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Sarel Ashkenazy</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of Sales</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Ofer Sandelson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Guy Zimmerman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Vice President of Marketing &amp; Business</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Development</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Oded Kraft</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Vice President of Products</w:t>
            </w:r>
          </w:p>
        </w:tc>
      </w:tr>
      <w:tr>
        <w:trPr>
          <w:trHeight w:val="418"/>
        </w:trPr>
        <w:tc>
          <w:tcPr>
            <w:tcW w:w="3960" w:type="dxa"/>
            <w:vAlign w:val="bottom"/>
            <w:gridSpan w:val="3"/>
          </w:tcPr>
          <w:p>
            <w:pPr>
              <w:spacing w:after="0"/>
              <w:rPr>
                <w:sz w:val="20"/>
                <w:szCs w:val="20"/>
                <w:color w:val="auto"/>
              </w:rPr>
            </w:pPr>
            <w:r>
              <w:rPr>
                <w:rFonts w:ascii="Arial" w:cs="Arial" w:eastAsia="Arial" w:hAnsi="Arial"/>
                <w:sz w:val="18"/>
                <w:szCs w:val="18"/>
                <w:i w:val="1"/>
                <w:iCs w:val="1"/>
                <w:color w:val="auto"/>
              </w:rPr>
              <w:t>Directors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Yuval Cohen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Eli Blatt</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Yoav Hineman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183"/>
        </w:trPr>
        <w:tc>
          <w:tcPr>
            <w:tcW w:w="3960" w:type="dxa"/>
            <w:vAlign w:val="bottom"/>
            <w:gridSpan w:val="3"/>
          </w:tcPr>
          <w:p>
            <w:pPr>
              <w:spacing w:after="0" w:line="183" w:lineRule="exact"/>
              <w:rPr>
                <w:sz w:val="20"/>
                <w:szCs w:val="20"/>
                <w:color w:val="auto"/>
              </w:rPr>
            </w:pPr>
            <w:r>
              <w:rPr>
                <w:rFonts w:ascii="Arial" w:cs="Arial" w:eastAsia="Arial" w:hAnsi="Arial"/>
                <w:sz w:val="18"/>
                <w:szCs w:val="18"/>
                <w:color w:val="auto"/>
              </w:rPr>
              <w:t>Marc Lesnick</w:t>
            </w:r>
          </w:p>
        </w:tc>
        <w:tc>
          <w:tcPr>
            <w:tcW w:w="880" w:type="dxa"/>
            <w:vAlign w:val="bottom"/>
          </w:tcPr>
          <w:p>
            <w:pPr>
              <w:jc w:val="center"/>
              <w:spacing w:after="0" w:line="183" w:lineRule="exact"/>
              <w:rPr>
                <w:sz w:val="20"/>
                <w:szCs w:val="20"/>
                <w:color w:val="auto"/>
              </w:rPr>
            </w:pPr>
            <w:r>
              <w:rPr>
                <w:rFonts w:ascii="Arial" w:cs="Arial" w:eastAsia="Arial" w:hAnsi="Arial"/>
                <w:sz w:val="18"/>
                <w:szCs w:val="18"/>
                <w:color w:val="auto"/>
                <w:w w:val="89"/>
              </w:rPr>
              <w:t>48</w:t>
            </w:r>
          </w:p>
        </w:tc>
        <w:tc>
          <w:tcPr>
            <w:tcW w:w="394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Director</w:t>
            </w:r>
          </w:p>
        </w:tc>
      </w:tr>
      <w:tr>
        <w:trPr>
          <w:trHeight w:val="276"/>
        </w:trPr>
        <w:tc>
          <w:tcPr>
            <w:tcW w:w="3960" w:type="dxa"/>
            <w:vAlign w:val="bottom"/>
            <w:gridSpan w:val="3"/>
          </w:tcPr>
          <w:p>
            <w:pPr>
              <w:spacing w:after="0" w:line="275" w:lineRule="exact"/>
              <w:rPr>
                <w:sz w:val="20"/>
                <w:szCs w:val="20"/>
                <w:color w:val="auto"/>
              </w:rPr>
            </w:pPr>
            <w:r>
              <w:rPr>
                <w:rFonts w:ascii="Arial" w:cs="Arial" w:eastAsia="Arial" w:hAnsi="Arial"/>
                <w:sz w:val="31"/>
                <w:szCs w:val="31"/>
                <w:color w:val="auto"/>
                <w:vertAlign w:val="subscript"/>
              </w:rPr>
              <w:t>Lauri Hanover</w:t>
            </w:r>
            <w:r>
              <w:rPr>
                <w:rFonts w:ascii="Arial" w:cs="Arial" w:eastAsia="Arial" w:hAnsi="Arial"/>
                <w:sz w:val="14"/>
                <w:szCs w:val="14"/>
                <w:color w:val="auto"/>
              </w:rPr>
              <w:t>(1)(2)(3)(4)</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 Nominee</w:t>
            </w: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18"/>
                <w:szCs w:val="18"/>
                <w:color w:val="auto"/>
              </w:rPr>
              <w:t>Alon Lumbroso</w:t>
            </w:r>
            <w:r>
              <w:rPr>
                <w:rFonts w:ascii="Arial" w:cs="Arial" w:eastAsia="Arial" w:hAnsi="Arial"/>
                <w:sz w:val="29"/>
                <w:szCs w:val="29"/>
                <w:color w:val="auto"/>
                <w:vertAlign w:val="superscript"/>
              </w:rPr>
              <w:t>(1)(2)(3)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 Nominee</w:t>
            </w: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29"/>
                <w:szCs w:val="29"/>
                <w:color w:val="auto"/>
                <w:vertAlign w:val="subscript"/>
              </w:rPr>
              <w:t>Jerry Mandel</w:t>
            </w:r>
            <w:r>
              <w:rPr>
                <w:rFonts w:ascii="Arial" w:cs="Arial" w:eastAsia="Arial" w:hAnsi="Arial"/>
                <w:sz w:val="13"/>
                <w:szCs w:val="13"/>
                <w:color w:val="auto"/>
              </w:rPr>
              <w:t>(1)(2)(3)(4)</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 Nominee</w:t>
            </w:r>
          </w:p>
        </w:tc>
      </w:tr>
      <w:tr>
        <w:trPr>
          <w:trHeight w:val="394"/>
        </w:trPr>
        <w:tc>
          <w:tcPr>
            <w:tcW w:w="3960" w:type="dxa"/>
            <w:vAlign w:val="bottom"/>
            <w:gridSpan w:val="3"/>
          </w:tcPr>
          <w:p>
            <w:pPr>
              <w:spacing w:after="0"/>
              <w:rPr>
                <w:sz w:val="20"/>
                <w:szCs w:val="20"/>
                <w:color w:val="auto"/>
              </w:rPr>
            </w:pPr>
            <w:r>
              <w:rPr>
                <w:rFonts w:ascii="Arial" w:cs="Arial" w:eastAsia="Arial" w:hAnsi="Arial"/>
                <w:sz w:val="18"/>
                <w:szCs w:val="18"/>
                <w:color w:val="auto"/>
              </w:rPr>
              <w:t>Dov Ofer</w:t>
            </w:r>
            <w:r>
              <w:rPr>
                <w:rFonts w:ascii="Arial" w:cs="Arial" w:eastAsia="Arial" w:hAnsi="Arial"/>
                <w:sz w:val="30"/>
                <w:szCs w:val="30"/>
                <w:color w:val="auto"/>
                <w:vertAlign w:val="superscript"/>
              </w:rPr>
              <w:t>(3)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59055</wp:posOffset>
            </wp:positionV>
            <wp:extent cx="13893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6" w:lineRule="exact"/>
        <w:rPr>
          <w:sz w:val="20"/>
          <w:szCs w:val="20"/>
          <w:color w:val="auto"/>
        </w:rPr>
      </w:pPr>
    </w:p>
    <w:p>
      <w:pPr>
        <w:ind w:left="440" w:hanging="315"/>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8"/>
          <w:szCs w:val="18"/>
          <w:color w:val="auto"/>
        </w:rPr>
      </w:pPr>
    </w:p>
    <w:p>
      <w:pPr>
        <w:ind w:left="440" w:hanging="315"/>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440" w:hanging="315"/>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 director under the NASDAQ Stock Market rules.</w:t>
      </w:r>
    </w:p>
    <w:p>
      <w:pPr>
        <w:spacing w:after="0" w:line="9" w:lineRule="exact"/>
        <w:rPr>
          <w:rFonts w:ascii="Arial" w:cs="Arial" w:eastAsia="Arial" w:hAnsi="Arial"/>
          <w:sz w:val="18"/>
          <w:szCs w:val="18"/>
          <w:color w:val="auto"/>
        </w:rPr>
      </w:pPr>
    </w:p>
    <w:p>
      <w:pPr>
        <w:jc w:val="both"/>
        <w:ind w:left="440" w:right="219" w:hanging="315"/>
        <w:spacing w:after="0" w:line="323"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Proposed to serve as an external director under the Israeli Companies Law subject to ratification of their election as external directors under the Israeli Companies Law by our shareholders within three months following this offering.</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93" w:lineRule="exact"/>
        <w:rPr>
          <w:sz w:val="20"/>
          <w:szCs w:val="20"/>
          <w:color w:val="auto"/>
        </w:rPr>
      </w:pPr>
    </w:p>
    <w:p>
      <w:pPr>
        <w:ind w:left="120" w:right="139" w:firstLine="216"/>
        <w:spacing w:after="0" w:line="255" w:lineRule="auto"/>
        <w:rPr>
          <w:sz w:val="20"/>
          <w:szCs w:val="20"/>
          <w:color w:val="auto"/>
        </w:rPr>
      </w:pPr>
      <w:r>
        <w:rPr>
          <w:rFonts w:ascii="Courier New" w:cs="Courier New" w:eastAsia="Courier New" w:hAnsi="Courier New"/>
          <w:sz w:val="18"/>
          <w:szCs w:val="18"/>
          <w:i w:val="1"/>
          <w:iCs w:val="1"/>
          <w:color w:val="auto"/>
        </w:rPr>
        <w:t xml:space="preserve">Gabi Seligsohn </w:t>
      </w:r>
      <w:r>
        <w:rPr>
          <w:rFonts w:ascii="Arial" w:cs="Arial" w:eastAsia="Arial" w:hAnsi="Arial"/>
          <w:sz w:val="18"/>
          <w:szCs w:val="18"/>
          <w:color w:val="auto"/>
        </w:rPr>
        <w:t>is intended to serve as a member of our board of directors prior to our listing</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on the NASDAQ Global Market. Mr. Seligsohn has served as our Chief Executive Oﬃcer since April 2014. From August 2006 until August 2013, Mr. Seligsohn served as the President and Chief Executive Oﬃcer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Oﬃcer of the year by the Israeli Institute of Management for hi-tech industries in the large company category. He holds an LL.B. from the University of Reading in Reading, England.</w:t>
      </w:r>
    </w:p>
    <w:p>
      <w:pPr>
        <w:spacing w:after="0" w:line="200" w:lineRule="exact"/>
        <w:rPr>
          <w:sz w:val="20"/>
          <w:szCs w:val="20"/>
          <w:color w:val="auto"/>
        </w:rPr>
      </w:pPr>
    </w:p>
    <w:p>
      <w:pPr>
        <w:spacing w:after="0" w:line="387" w:lineRule="exact"/>
        <w:rPr>
          <w:sz w:val="20"/>
          <w:szCs w:val="20"/>
          <w:color w:val="auto"/>
        </w:rPr>
      </w:pPr>
    </w:p>
    <w:p>
      <w:pPr>
        <w:ind w:left="120" w:right="139" w:firstLine="216"/>
        <w:spacing w:after="0" w:line="259" w:lineRule="auto"/>
        <w:rPr>
          <w:sz w:val="20"/>
          <w:szCs w:val="20"/>
          <w:color w:val="auto"/>
        </w:rPr>
      </w:pPr>
      <w:r>
        <w:rPr>
          <w:rFonts w:ascii="Courier New" w:cs="Courier New" w:eastAsia="Courier New" w:hAnsi="Courier New"/>
          <w:sz w:val="18"/>
          <w:szCs w:val="18"/>
          <w:i w:val="1"/>
          <w:iCs w:val="1"/>
          <w:color w:val="auto"/>
        </w:rPr>
        <w:t xml:space="preserve">Ofer Ben-Zur </w:t>
      </w:r>
      <w:r>
        <w:rPr>
          <w:rFonts w:ascii="Arial" w:cs="Arial" w:eastAsia="Arial" w:hAnsi="Arial"/>
          <w:sz w:val="18"/>
          <w:szCs w:val="18"/>
          <w:color w:val="auto"/>
        </w:rPr>
        <w:t>is a co-founder of our company and has served as our President and Chief</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Technology Oﬃcer since April 2014 and a director since 2002. From 2002 to April 2014, Mr. Ben-Zur served as our Chief Executive Oﬃcer,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ectPr>
          <w:pgSz w:w="11900" w:h="16838" w:orient="portrait"/>
          <w:cols w:equalWidth="0" w:num="1">
            <w:col w:w="9019"/>
          </w:cols>
          <w:pgMar w:left="1440" w:top="30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type w:val="continuous"/>
        </w:sectPr>
      </w:pPr>
    </w:p>
    <w:bookmarkStart w:id="72" w:name="page73"/>
    <w:bookmarkEnd w:id="72"/>
    <w:p>
      <w:pPr>
        <w:ind w:left="120" w:right="199" w:firstLine="216"/>
        <w:spacing w:after="0" w:line="262" w:lineRule="auto"/>
        <w:rPr>
          <w:sz w:val="20"/>
          <w:szCs w:val="20"/>
          <w:color w:val="auto"/>
        </w:rPr>
      </w:pPr>
      <w:r>
        <w:rPr>
          <w:rFonts w:ascii="Courier New" w:cs="Courier New" w:eastAsia="Courier New" w:hAnsi="Courier New"/>
          <w:sz w:val="18"/>
          <w:szCs w:val="18"/>
          <w:i w:val="1"/>
          <w:iCs w:val="1"/>
          <w:color w:val="auto"/>
        </w:rPr>
        <w:t xml:space="preserve">Guy Avidan </w:t>
      </w:r>
      <w:r>
        <w:rPr>
          <w:rFonts w:ascii="Arial" w:cs="Arial" w:eastAsia="Arial" w:hAnsi="Arial"/>
          <w:sz w:val="18"/>
          <w:szCs w:val="18"/>
          <w:color w:val="auto"/>
        </w:rPr>
        <w:t>has served as our Chief Financial Oﬃcer since November 2014. From July 2010</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until November 2014, Mr. Avidan served as Vice President of Finance and Chief Executive Oﬃcer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Oﬃcer between 2007 and 2009, Vice President and General Manager of MRV International from 2001 to 2007. From 1992 to 1995,</w:t>
      </w:r>
    </w:p>
    <w:p>
      <w:pPr>
        <w:spacing w:after="0" w:line="360" w:lineRule="exact"/>
        <w:rPr>
          <w:sz w:val="20"/>
          <w:szCs w:val="20"/>
          <w:color w:val="auto"/>
        </w:rPr>
      </w:pPr>
    </w:p>
    <w:p>
      <w:pPr>
        <w:jc w:val="both"/>
        <w:ind w:left="120" w:right="419" w:firstLine="216"/>
        <w:spacing w:after="0" w:line="294" w:lineRule="auto"/>
        <w:rPr>
          <w:sz w:val="20"/>
          <w:szCs w:val="20"/>
          <w:color w:val="auto"/>
        </w:rPr>
      </w:pPr>
      <w:r>
        <w:rPr>
          <w:rFonts w:ascii="Arial" w:cs="Arial" w:eastAsia="Arial" w:hAnsi="Arial"/>
          <w:sz w:val="18"/>
          <w:szCs w:val="18"/>
          <w:color w:val="auto"/>
        </w:rPr>
        <w:t>Mr. Avidan served as Vice President of Finance and Chief Financial Oﬃcer of Ace North Hills, which was acquired by MRV Communications. Mr. Avidan is a CPA in Israel and holds a B.A. in Economics and Accounting from Haifa University in Israel.</w:t>
      </w:r>
    </w:p>
    <w:p>
      <w:pPr>
        <w:spacing w:after="0" w:line="104" w:lineRule="exact"/>
        <w:rPr>
          <w:sz w:val="20"/>
          <w:szCs w:val="20"/>
          <w:color w:val="auto"/>
        </w:rPr>
      </w:pPr>
    </w:p>
    <w:p>
      <w:pPr>
        <w:ind w:left="120" w:right="159" w:firstLine="216"/>
        <w:spacing w:after="0" w:line="262" w:lineRule="auto"/>
        <w:rPr>
          <w:sz w:val="20"/>
          <w:szCs w:val="20"/>
          <w:color w:val="auto"/>
        </w:rPr>
      </w:pPr>
      <w:r>
        <w:rPr>
          <w:rFonts w:ascii="Courier New" w:cs="Courier New" w:eastAsia="Courier New" w:hAnsi="Courier New"/>
          <w:sz w:val="18"/>
          <w:szCs w:val="18"/>
          <w:i w:val="1"/>
          <w:iCs w:val="1"/>
          <w:color w:val="auto"/>
        </w:rPr>
        <w:t xml:space="preserve">Sarel Ashkenazy </w:t>
      </w:r>
      <w:r>
        <w:rPr>
          <w:rFonts w:ascii="Arial" w:cs="Arial" w:eastAsia="Arial" w:hAnsi="Arial"/>
          <w:sz w:val="18"/>
          <w:szCs w:val="18"/>
          <w:color w:val="auto"/>
        </w:rPr>
        <w:t>has served as our Executive Vice President of Sales since April 2014. From</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August 2004 to April 2014, Mr. Ashkenazy was our Manager of Business Development and Marketing and responsible for sales and marketing, as well as establishing and expanding our distributor network and business development. From 1999 until 2003, prior to joining our company, Mr. Ashkenazy served as Marketing Director for Image ID, a provider of Automatic Identification and Data Capture (AIDC) solutions based on imaging technology and sophisticated algorithms. Mr. Ashkenazy holds a B.B. degree in Business Management and Economics from the College of Management in Israel.</w:t>
      </w:r>
    </w:p>
    <w:p>
      <w:pPr>
        <w:spacing w:after="0" w:line="359" w:lineRule="exact"/>
        <w:rPr>
          <w:sz w:val="20"/>
          <w:szCs w:val="20"/>
          <w:color w:val="auto"/>
        </w:rPr>
      </w:pPr>
    </w:p>
    <w:p>
      <w:pPr>
        <w:ind w:left="120" w:right="139" w:firstLine="216"/>
        <w:spacing w:after="0" w:line="255" w:lineRule="auto"/>
        <w:rPr>
          <w:sz w:val="20"/>
          <w:szCs w:val="20"/>
          <w:color w:val="auto"/>
        </w:rPr>
      </w:pPr>
      <w:r>
        <w:rPr>
          <w:rFonts w:ascii="Courier New" w:cs="Courier New" w:eastAsia="Courier New" w:hAnsi="Courier New"/>
          <w:sz w:val="18"/>
          <w:szCs w:val="18"/>
          <w:i w:val="1"/>
          <w:iCs w:val="1"/>
          <w:color w:val="auto"/>
        </w:rPr>
        <w:t xml:space="preserve">Ofer Sandelson </w:t>
      </w:r>
      <w:r>
        <w:rPr>
          <w:rFonts w:ascii="Arial" w:cs="Arial" w:eastAsia="Arial" w:hAnsi="Arial"/>
          <w:sz w:val="18"/>
          <w:szCs w:val="18"/>
          <w:color w:val="auto"/>
        </w:rPr>
        <w:t>has served as our Chief Operating Oﬃcer since July 2013. Prior to joining our</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company, Mr. Sandelson served as Chief Executive Oﬃcer of RVB Holdings Ltd. (“RVB”), a Cleantech technology company. From 2010 to 2011, Mr. Sandelson served as the Chief Executive Oﬃcer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Oﬃcer and President of CogniTens in Israel, Chief Executive Oﬃcer of both Lifewatch Inc. and Instromedix, medical devices companies in the United States and aﬃliates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366" w:lineRule="exact"/>
        <w:rPr>
          <w:sz w:val="20"/>
          <w:szCs w:val="20"/>
          <w:color w:val="auto"/>
        </w:rPr>
      </w:pPr>
    </w:p>
    <w:p>
      <w:pPr>
        <w:ind w:left="120" w:right="259" w:firstLine="216"/>
        <w:spacing w:after="0" w:line="259" w:lineRule="auto"/>
        <w:rPr>
          <w:sz w:val="20"/>
          <w:szCs w:val="20"/>
          <w:color w:val="auto"/>
        </w:rPr>
      </w:pPr>
      <w:r>
        <w:rPr>
          <w:rFonts w:ascii="Courier New" w:cs="Courier New" w:eastAsia="Courier New" w:hAnsi="Courier New"/>
          <w:sz w:val="18"/>
          <w:szCs w:val="18"/>
          <w:i w:val="1"/>
          <w:iCs w:val="1"/>
          <w:color w:val="auto"/>
        </w:rPr>
        <w:t xml:space="preserve">Guy Zimmerman </w:t>
      </w:r>
      <w:r>
        <w:rPr>
          <w:rFonts w:ascii="Arial" w:cs="Arial" w:eastAsia="Arial" w:hAnsi="Arial"/>
          <w:sz w:val="18"/>
          <w:szCs w:val="18"/>
          <w:color w:val="auto"/>
        </w:rPr>
        <w:t>has served as our Vice President of Marketing and Business Development</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since April 2013. From 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363" w:lineRule="exact"/>
        <w:rPr>
          <w:sz w:val="20"/>
          <w:szCs w:val="20"/>
          <w:color w:val="auto"/>
        </w:rPr>
      </w:pPr>
    </w:p>
    <w:p>
      <w:pPr>
        <w:ind w:left="120" w:right="139" w:firstLine="216"/>
        <w:spacing w:after="0" w:line="259" w:lineRule="auto"/>
        <w:rPr>
          <w:sz w:val="20"/>
          <w:szCs w:val="20"/>
          <w:color w:val="auto"/>
        </w:rPr>
      </w:pPr>
      <w:r>
        <w:rPr>
          <w:rFonts w:ascii="Courier New" w:cs="Courier New" w:eastAsia="Courier New" w:hAnsi="Courier New"/>
          <w:sz w:val="18"/>
          <w:szCs w:val="18"/>
          <w:i w:val="1"/>
          <w:iCs w:val="1"/>
          <w:color w:val="auto"/>
        </w:rPr>
        <w:t xml:space="preserve">Oded Kraft </w:t>
      </w:r>
      <w:r>
        <w:rPr>
          <w:rFonts w:ascii="Arial" w:cs="Arial" w:eastAsia="Arial" w:hAnsi="Arial"/>
          <w:sz w:val="18"/>
          <w:szCs w:val="18"/>
          <w:color w:val="auto"/>
        </w:rPr>
        <w:t>has served as our Vice President of Products since September 2014. From January</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2013 to April 2014, Mr. Kraft managed a portfolio of several businesses within the Diabetes Care Division of Roche in Germany. From 2008 to December 2012, he was the Vice President of Products at Medingo, a medical devices company, which was acquired by Roche GmbH in 2010. From 2001 to 2008, Mr. Kraft worked at GE Healthcare Nuclear Medicine division, serving as a Global Segment Leader from 2005 to 2008 and System Architect from 2002 to 2005. Mr. Kraft served in the Israel Defense Forces in an intelligence technology unit for seven years, finishing with the rank of captain and serving part of the time in the United States with a U.S. defense contractor. Mr. Kraft holds a B.Sc. in Electrical Engineering and M.B.A. from Technion-Israel Institute of Technology in Israel.</w:t>
      </w:r>
    </w:p>
    <w:p>
      <w:pPr>
        <w:spacing w:after="0" w:line="3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93" w:lineRule="exact"/>
        <w:rPr>
          <w:sz w:val="20"/>
          <w:szCs w:val="20"/>
          <w:color w:val="auto"/>
        </w:rPr>
      </w:pPr>
    </w:p>
    <w:p>
      <w:pPr>
        <w:ind w:left="120" w:right="159" w:firstLine="216"/>
        <w:spacing w:after="0" w:line="258" w:lineRule="auto"/>
        <w:rPr>
          <w:sz w:val="20"/>
          <w:szCs w:val="20"/>
          <w:color w:val="auto"/>
        </w:rPr>
      </w:pPr>
      <w:r>
        <w:rPr>
          <w:rFonts w:ascii="Courier New" w:cs="Courier New" w:eastAsia="Courier New" w:hAnsi="Courier New"/>
          <w:sz w:val="18"/>
          <w:szCs w:val="18"/>
          <w:i w:val="1"/>
          <w:iCs w:val="1"/>
          <w:color w:val="auto"/>
        </w:rPr>
        <w:t xml:space="preserve">Yuval Cohen </w:t>
      </w:r>
      <w:r>
        <w:rPr>
          <w:rFonts w:ascii="Arial" w:cs="Arial" w:eastAsia="Arial" w:hAnsi="Arial"/>
          <w:sz w:val="18"/>
          <w:szCs w:val="18"/>
          <w:color w:val="auto"/>
        </w:rPr>
        <w:t>has served as the Chairman of our board of directors since August 2011. Mr.</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Cohen is the founding and 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the chairman of the board of directors of SodaStream International Ltd. (NASDAQ: SODA) and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ectPr>
          <w:pgSz w:w="11900" w:h="16838" w:orient="portrait"/>
          <w:cols w:equalWidth="0" w:num="1">
            <w:col w:w="9019"/>
          </w:cols>
          <w:pgMar w:left="1440" w:top="92" w:right="1440" w:bottom="15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50" w:gutter="0" w:footer="0" w:header="0"/>
          <w:type w:val="continuous"/>
        </w:sectPr>
      </w:pPr>
    </w:p>
    <w:bookmarkStart w:id="73" w:name="page74"/>
    <w:bookmarkEnd w:id="73"/>
    <w:p>
      <w:pPr>
        <w:ind w:left="120" w:right="139" w:firstLine="216"/>
        <w:spacing w:after="0" w:line="261" w:lineRule="auto"/>
        <w:rPr>
          <w:sz w:val="20"/>
          <w:szCs w:val="20"/>
          <w:color w:val="auto"/>
        </w:rPr>
      </w:pPr>
      <w:r>
        <w:rPr>
          <w:rFonts w:ascii="Courier New" w:cs="Courier New" w:eastAsia="Courier New" w:hAnsi="Courier New"/>
          <w:sz w:val="18"/>
          <w:szCs w:val="18"/>
          <w:i w:val="1"/>
          <w:iCs w:val="1"/>
          <w:color w:val="auto"/>
        </w:rPr>
        <w:t xml:space="preserve">Eli Blatt </w:t>
      </w:r>
      <w:r>
        <w:rPr>
          <w:rFonts w:ascii="Arial" w:cs="Arial" w:eastAsia="Arial" w:hAnsi="Arial"/>
          <w:sz w:val="18"/>
          <w:szCs w:val="18"/>
          <w:color w:val="auto"/>
        </w:rPr>
        <w:t>has served as a member of our board of directors since August 2011. Mr. Blatt</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joined Fortissimo Capital in 2004. From March 1999 to May 2004, Mr. Blatt worked at Noosh, Inc., a provider of cloud-based integrated project and procurement solutions, serving as its Chief Financial Oﬃcer from 2002 to 2004 and Vice President of Operations from 1999 to 2002. From 1997 to 1999, Mr. Blatt served as Director of Operations for CheckPoint Software Technologies Inc. (NASDAQ: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357" w:lineRule="exact"/>
        <w:rPr>
          <w:sz w:val="20"/>
          <w:szCs w:val="20"/>
          <w:color w:val="auto"/>
        </w:rPr>
      </w:pPr>
    </w:p>
    <w:p>
      <w:pPr>
        <w:ind w:left="120" w:right="259" w:firstLine="216"/>
        <w:spacing w:after="0" w:line="259" w:lineRule="auto"/>
        <w:rPr>
          <w:sz w:val="20"/>
          <w:szCs w:val="20"/>
          <w:color w:val="auto"/>
        </w:rPr>
      </w:pPr>
      <w:r>
        <w:rPr>
          <w:rFonts w:ascii="Courier New" w:cs="Courier New" w:eastAsia="Courier New" w:hAnsi="Courier New"/>
          <w:sz w:val="18"/>
          <w:szCs w:val="18"/>
          <w:i w:val="1"/>
          <w:iCs w:val="1"/>
          <w:color w:val="auto"/>
        </w:rPr>
        <w:t xml:space="preserve">Yoav Hineman </w:t>
      </w:r>
      <w:r>
        <w:rPr>
          <w:rFonts w:ascii="Arial" w:cs="Arial" w:eastAsia="Arial" w:hAnsi="Arial"/>
          <w:sz w:val="18"/>
          <w:szCs w:val="18"/>
          <w:color w:val="auto"/>
        </w:rPr>
        <w:t>has served as a member of our board of directors since August 2011. Mr.</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Hineman is expected to asign as a member of our board of directors prior to our listing on the NASDAQ Global Market. Mr. Hineman joined Fortissimo Capital in January 2009. From 2006 to 2009, Mr. Hineman was a Managing Director of Magnolia Capital, the Israeli arm of Thomas Weisel Partners. From 2004 to 2006 prior to joining Magnolia Capital, Mr. Hineman was a Software Analyst at SG Cowen &amp; Co., covering infrastructure software companies. From 2000 to 2004, Mr. Hineman was an associate at SoundView Technology Group. Currently, Mr. Hineman serves on the board of directors of several privately held portfolio companies of Fortissimo Capital. Mr. Hineman holds a B.S. in Business Administration from University of California, Berkeley Haas School of Business in California.</w:t>
      </w:r>
    </w:p>
    <w:p>
      <w:pPr>
        <w:spacing w:after="0" w:line="349" w:lineRule="exact"/>
        <w:rPr>
          <w:sz w:val="20"/>
          <w:szCs w:val="20"/>
          <w:color w:val="auto"/>
        </w:rPr>
      </w:pPr>
    </w:p>
    <w:p>
      <w:pPr>
        <w:ind w:left="120" w:right="439" w:firstLine="216"/>
        <w:spacing w:after="0" w:line="259" w:lineRule="auto"/>
        <w:rPr>
          <w:sz w:val="20"/>
          <w:szCs w:val="20"/>
          <w:color w:val="auto"/>
        </w:rPr>
      </w:pPr>
      <w:r>
        <w:rPr>
          <w:rFonts w:ascii="Courier New" w:cs="Courier New" w:eastAsia="Courier New" w:hAnsi="Courier New"/>
          <w:sz w:val="18"/>
          <w:szCs w:val="18"/>
          <w:i w:val="1"/>
          <w:iCs w:val="1"/>
          <w:color w:val="auto"/>
        </w:rPr>
        <w:t xml:space="preserve">Marc Lesnick </w:t>
      </w:r>
      <w:r>
        <w:rPr>
          <w:rFonts w:ascii="Arial" w:cs="Arial" w:eastAsia="Arial" w:hAnsi="Arial"/>
          <w:sz w:val="18"/>
          <w:szCs w:val="18"/>
          <w:color w:val="auto"/>
        </w:rPr>
        <w:t>has served as a member of our board of directors since August 2011. Mr.</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Lesnick joined Fortissimo 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aﬃliated entities. From 1992 to 1997 prior to joining Jerusalem Global, Mr. Lesnick was an attorney at Weil, Gotshal &amp; Manges LLP in New York, where he focused on public oﬀerings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369"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i w:val="1"/>
          <w:iCs w:val="1"/>
          <w:color w:val="auto"/>
        </w:rPr>
        <w:t xml:space="preserve">Lauri Hanover </w:t>
      </w:r>
      <w:r>
        <w:rPr>
          <w:rFonts w:ascii="Arial" w:cs="Arial" w:eastAsia="Arial" w:hAnsi="Arial"/>
          <w:sz w:val="16"/>
          <w:szCs w:val="16"/>
          <w:color w:val="auto"/>
        </w:rPr>
        <w:t>is intended to serve as a member of our board of directors prior to our listing on the NASDAQ Global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and is intended to serve as an external director under the Companies Law subject to the ratification of her appointment at a general meeting to be held following the completion of this offering. Ms. Hanover is the Chief Financial Officer of Netafim Ltd. since August 2013, the global leader in smart irrigation systems. From 2009 to 2013, she served as Chief Financial Officer and Executive Vice President of the Tnuva Group, Israel’s largest food manufacturer. From 2008 to 2009, Ms. Hanover served as Chief Executive Officer of Gross, Kleinhendler, Hodak, Halvey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at University of Pennsylvania in Pennsylvania, as well as an M.B.A. from New York University in New York.</w:t>
      </w:r>
    </w:p>
    <w:p>
      <w:pPr>
        <w:spacing w:after="0" w:line="94"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i w:val="1"/>
          <w:iCs w:val="1"/>
          <w:color w:val="auto"/>
        </w:rPr>
        <w:t xml:space="preserve">Alon Lumbroso </w:t>
      </w:r>
      <w:r>
        <w:rPr>
          <w:rFonts w:ascii="Arial" w:cs="Arial" w:eastAsia="Arial" w:hAnsi="Arial"/>
          <w:sz w:val="16"/>
          <w:szCs w:val="16"/>
          <w:color w:val="auto"/>
        </w:rPr>
        <w:t>is intended to serve as a member of our board of directors prior to our listing on the NASDAQ Global Market,</w:t>
      </w:r>
      <w:r>
        <w:rPr>
          <w:rFonts w:ascii="Arial" w:cs="Arial" w:eastAsia="Arial" w:hAnsi="Arial"/>
          <w:sz w:val="16"/>
          <w:szCs w:val="16"/>
          <w:i w:val="1"/>
          <w:iCs w:val="1"/>
          <w:color w:val="auto"/>
        </w:rPr>
        <w:t xml:space="preserve"> </w:t>
      </w:r>
      <w:r>
        <w:rPr>
          <w:rFonts w:ascii="Arial" w:cs="Arial" w:eastAsia="Arial" w:hAnsi="Arial"/>
          <w:sz w:val="16"/>
          <w:szCs w:val="16"/>
          <w:color w:val="auto"/>
        </w:rPr>
        <w:t>Mr. Lumbroso is the founder and partner 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74" w:lineRule="exact"/>
        <w:rPr>
          <w:sz w:val="20"/>
          <w:szCs w:val="20"/>
          <w:color w:val="auto"/>
        </w:rPr>
      </w:pPr>
    </w:p>
    <w:p>
      <w:pPr>
        <w:ind w:left="120" w:right="299" w:firstLine="216"/>
        <w:spacing w:after="0" w:line="257" w:lineRule="auto"/>
        <w:rPr>
          <w:sz w:val="20"/>
          <w:szCs w:val="20"/>
          <w:color w:val="auto"/>
        </w:rPr>
      </w:pPr>
      <w:r>
        <w:rPr>
          <w:rFonts w:ascii="Arial" w:cs="Arial" w:eastAsia="Arial" w:hAnsi="Arial"/>
          <w:sz w:val="18"/>
          <w:szCs w:val="18"/>
          <w:i w:val="1"/>
          <w:iCs w:val="1"/>
          <w:color w:val="auto"/>
        </w:rPr>
        <w:t xml:space="preserve">Jerry Mandel </w:t>
      </w:r>
      <w:r>
        <w:rPr>
          <w:rFonts w:ascii="Arial" w:cs="Arial" w:eastAsia="Arial" w:hAnsi="Arial"/>
          <w:sz w:val="18"/>
          <w:szCs w:val="18"/>
          <w:color w:val="auto"/>
        </w:rPr>
        <w:t>is intended to serve as a member of our board of directors prior to our listing on the NASDAQ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is intended to serve as an external director under the Companies Law subject to the ratification of his appointment at a general meeting to be held following the completion of this offering. Mr. Mandel is the founder, Chief Executive Officer, and managing member of GC Florida Group, a group of partnerships established in 2009 that invests in and</w:t>
      </w:r>
    </w:p>
    <w:p>
      <w:pPr>
        <w:sectPr>
          <w:pgSz w:w="11900" w:h="16838" w:orient="portrait"/>
          <w:cols w:equalWidth="0" w:num="1">
            <w:col w:w="9019"/>
          </w:cols>
          <w:pgMar w:left="1440" w:top="92" w:right="1440" w:bottom="144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74" w:name="page75"/>
    <w:bookmarkEnd w:id="74"/>
    <w:p>
      <w:pPr>
        <w:ind w:left="120" w:right="239"/>
        <w:spacing w:after="0" w:line="218" w:lineRule="exact"/>
        <w:rPr>
          <w:sz w:val="20"/>
          <w:szCs w:val="20"/>
          <w:color w:val="auto"/>
        </w:rPr>
      </w:pPr>
      <w:r>
        <w:rPr>
          <w:rFonts w:ascii="Arial" w:cs="Arial" w:eastAsia="Arial" w:hAnsi="Arial"/>
          <w:sz w:val="16"/>
          <w:szCs w:val="16"/>
          <w:color w:val="auto"/>
        </w:rPr>
        <w:t>manages residential and commercial properties. From 2007 to 2009, he served as Chief Executive Officer and a director of GMF Ltd., an investment firm that provides mezzanine financing to middle</w:t>
      </w:r>
      <w:r>
        <w:rPr>
          <w:rFonts w:ascii="MS PGothic" w:cs="MS PGothic" w:eastAsia="MS PGothic" w:hAnsi="MS PGothic"/>
          <w:sz w:val="16"/>
          <w:szCs w:val="16"/>
          <w:color w:val="auto"/>
        </w:rPr>
        <w:t>‑</w:t>
      </w:r>
      <w:r>
        <w:rPr>
          <w:rFonts w:ascii="Arial" w:cs="Arial" w:eastAsia="Arial" w:hAnsi="Arial"/>
          <w:sz w:val="16"/>
          <w:szCs w:val="16"/>
          <w:color w:val="auto"/>
        </w:rPr>
        <w:t>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 Merrill Lynch &amp; Co. and responsible for the origination and execution of investment banking activities in Israel. Currently, Mr. Mandel serves as a director and audit committee member of Direct Insurance – Financial Investments Ltd. (TASE: DIFI). Mr. Mandel holds a B.Sc. in Industrial Engineering from Tel Aviv University in Israel and an M.B.A. from Columbia Business School in New York.</w:t>
      </w:r>
    </w:p>
    <w:p>
      <w:pPr>
        <w:spacing w:after="0" w:line="108" w:lineRule="exact"/>
        <w:rPr>
          <w:sz w:val="20"/>
          <w:szCs w:val="20"/>
          <w:color w:val="auto"/>
        </w:rPr>
      </w:pPr>
    </w:p>
    <w:p>
      <w:pPr>
        <w:ind w:left="120" w:right="199" w:firstLine="216"/>
        <w:spacing w:after="0" w:line="270" w:lineRule="auto"/>
        <w:rPr>
          <w:sz w:val="20"/>
          <w:szCs w:val="20"/>
          <w:color w:val="auto"/>
        </w:rPr>
      </w:pPr>
      <w:r>
        <w:rPr>
          <w:rFonts w:ascii="Arial" w:cs="Arial" w:eastAsia="Arial" w:hAnsi="Arial"/>
          <w:sz w:val="17"/>
          <w:szCs w:val="17"/>
          <w:i w:val="1"/>
          <w:iCs w:val="1"/>
          <w:color w:val="auto"/>
        </w:rPr>
        <w:t xml:space="preserve">Dov Ofer </w:t>
      </w:r>
      <w:r>
        <w:rPr>
          <w:rFonts w:ascii="Arial" w:cs="Arial" w:eastAsia="Arial" w:hAnsi="Arial"/>
          <w:sz w:val="17"/>
          <w:szCs w:val="17"/>
          <w:color w:val="auto"/>
        </w:rPr>
        <w:t>is intended to serve as a member of our board of directors prior to our listing on the NASDAQ Global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From 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Arrangements Concerning Election of Directors; Familial Relationships</w:t>
      </w:r>
    </w:p>
    <w:p>
      <w:pPr>
        <w:spacing w:after="0" w:line="117" w:lineRule="exact"/>
        <w:rPr>
          <w:sz w:val="20"/>
          <w:szCs w:val="20"/>
          <w:color w:val="auto"/>
        </w:rPr>
      </w:pPr>
    </w:p>
    <w:p>
      <w:pPr>
        <w:ind w:left="120" w:right="439" w:firstLine="216"/>
        <w:spacing w:after="0" w:line="257" w:lineRule="auto"/>
        <w:rPr>
          <w:sz w:val="20"/>
          <w:szCs w:val="20"/>
          <w:color w:val="auto"/>
        </w:rPr>
      </w:pPr>
      <w:r>
        <w:rPr>
          <w:rFonts w:ascii="Arial" w:cs="Arial" w:eastAsia="Arial" w:hAnsi="Arial"/>
          <w:sz w:val="18"/>
          <w:szCs w:val="18"/>
          <w:color w:val="auto"/>
        </w:rPr>
        <w:t>Our current board of directors consists of five directors and will consist of nine directors prior to our listing on the NASDAQ Global Market. Currently-serving directors that were appointed prior to this offering will continue to serve pursuant to their appointment until the expiration of their terms as described below. We are not a party to, and are not aware of, any voting agreements among our shareholders. In addition, there are no family relationships among our executive officers and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After the completion of this offering, we will be a “controlled company” under the NASDAQ Stock Market rules. A “controlled company” is a company of which more than 50% of the voting power is held by an individual, group or another company. We will be a controlled company on the basis of Fortissimo Capital’s ownership in our company immediately following the offering. Pursuant to the “controlled company” exemption, we are not required and currently do not intend to comply with the requirement that we have a nominating committee comprised solely of independent directors and, instead, director nominations will be made by our board of directors as a whole. In the event that we cease to be a controlled company, we will be required to comply with this provision within the transition periods specified in the NASDAQ Stock Market rules, unless we elect to avail ourselves of the opt-out from NASDAQ Stock Market rules afforded to foreign private issuers, as discussed below.</w:t>
      </w:r>
    </w:p>
    <w:p>
      <w:pPr>
        <w:spacing w:after="0" w:line="182"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The “controlled company” exemption does not modify the independence requirements for our audit committee. Accordingly, immediately following this offering, we will have an audit committee comprised of at least three members all of whom meet the NASDAQ Stock Market independence requirements and which must include all of our external directors and consist of a majority of “independent directors” as defined under the Israeli Companies Law. See “—Audit committee – Israeli Companies Law Requirements.” Furthermore, while we are exempt under the “controlled company” exemption from the requirement under the NASDAQ Stock Market rules that we have a compensation committee comprised solely of independent directors, we are required under the Israeli Companies Law to have a compensation committee consisting of at least three members, including all of our external directors. External directors must constitute a majority of the members of the compensation committee.</w:t>
      </w:r>
    </w:p>
    <w:p>
      <w:pPr>
        <w:spacing w:after="0" w:line="18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In addition to the controlled company exemption, as a foreign private issuer, 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external directors, the audit committee and an internal auditor. This is the case even if our shares are not listed on a stock exchange in Israel. These requirements are in addition to the corporate governance requirements imposed by the Listing Rules of the NASDAQ Stock Market and other applicable provisions of U.S. securities laws to which we will become subject (as a foreign private issuer) upon the listing of our ordinary shares on the NASDAQ Global Market. Under the NASDAQ Stock Market rules, a foreign private issuer, such as us, may generally follow its home country rules of corporate governance in lieu of the comparable requirements of the NASDAQ Stock Market rules, except for certain matters including (among others) the composition and responsibilities of the audit committee and the independence of its members within the meaning of the rules and regulations of the Commission.</w:t>
      </w:r>
    </w:p>
    <w:p>
      <w:pPr>
        <w:sectPr>
          <w:pgSz w:w="11900" w:h="16838" w:orient="portrait"/>
          <w:cols w:equalWidth="0" w:num="1">
            <w:col w:w="9019"/>
          </w:cols>
          <w:pgMar w:left="1440" w:top="125" w:right="1440" w:bottom="1440" w:gutter="0" w:footer="0" w:header="0"/>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5" w:name="page76"/>
    <w:bookmarkEnd w:id="75"/>
    <w:p>
      <w:pPr>
        <w:ind w:left="120" w:right="259" w:firstLine="216"/>
        <w:spacing w:after="0" w:line="272" w:lineRule="auto"/>
        <w:rPr>
          <w:sz w:val="20"/>
          <w:szCs w:val="20"/>
          <w:color w:val="auto"/>
        </w:rPr>
      </w:pPr>
      <w:r>
        <w:rPr>
          <w:rFonts w:ascii="Arial" w:cs="Arial" w:eastAsia="Arial" w:hAnsi="Arial"/>
          <w:sz w:val="17"/>
          <w:szCs w:val="17"/>
          <w:color w:val="auto"/>
        </w:rPr>
        <w:t>We intend to comply with the rules generally applicable to U.S. domestic companies listed on the NASDAQ Stock Market, other than with respect to the quorum requirements. As permitted under the Israeli Companies Law, pursuant to our amended and restated articles of association to be effective upon completion of this offering, the quorum for an ordinary meeting of shareholders shall be the presence of at least two shareholders present in person, by proxy or by a voting instrument, who hold at least 25% of the voting power of our shares (and in an adjourned meeting, with some exceptions, any number of shareholders) instead of 33 1/3% of our issued share capital as required under NASDAQ corporate governance rules.</w:t>
      </w:r>
    </w:p>
    <w:p>
      <w:pPr>
        <w:spacing w:after="0" w:line="178"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color w:val="auto"/>
        </w:rPr>
        <w:t>We may in the future decide to use the controlled company exemption or foreign private issuer opt-out with respect to additional NASDAQ corporate governance rules.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89" w:lineRule="exact"/>
        <w:rPr>
          <w:sz w:val="20"/>
          <w:szCs w:val="20"/>
          <w:color w:val="auto"/>
        </w:rPr>
      </w:pPr>
    </w:p>
    <w:p>
      <w:pPr>
        <w:ind w:left="120" w:right="119" w:firstLine="216"/>
        <w:spacing w:after="0" w:line="302" w:lineRule="auto"/>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 directors must consist of at least five and not more than nine directors, including at least two external directors required to be appointed under the Israeli Companies Law. Our board of directors will consist of nine directors upon completion of this offering, including new directors and two external directors whose service will commence upon the completion of</w:t>
      </w:r>
    </w:p>
    <w:p>
      <w:pPr>
        <w:spacing w:after="0" w:line="6" w:lineRule="exact"/>
        <w:rPr>
          <w:sz w:val="20"/>
          <w:szCs w:val="20"/>
          <w:color w:val="auto"/>
        </w:rPr>
      </w:pPr>
    </w:p>
    <w:p>
      <w:pPr>
        <w:ind w:left="120" w:right="179"/>
        <w:spacing w:after="0" w:line="269" w:lineRule="auto"/>
        <w:rPr>
          <w:sz w:val="20"/>
          <w:szCs w:val="20"/>
          <w:color w:val="auto"/>
        </w:rPr>
      </w:pPr>
      <w:r>
        <w:rPr>
          <w:rFonts w:ascii="Arial" w:cs="Arial" w:eastAsia="Arial" w:hAnsi="Arial"/>
          <w:sz w:val="17"/>
          <w:szCs w:val="17"/>
          <w:color w:val="auto"/>
        </w:rPr>
        <w:t>this offering.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at each annual general meeting the term of office of only one class of directors will expire.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Israeli Companies Law and our amended and restated articles of association.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225" w:lineRule="exact"/>
        <w:rPr>
          <w:sz w:val="20"/>
          <w:szCs w:val="20"/>
          <w:color w:val="auto"/>
        </w:rPr>
      </w:pPr>
    </w:p>
    <w:p>
      <w:pPr>
        <w:ind w:left="640" w:right="659" w:hanging="321"/>
        <w:spacing w:after="0" w:line="342" w:lineRule="auto"/>
        <w:tabs>
          <w:tab w:leader="none" w:pos="6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Class I directors will be Alon Lumbroso and Dov Ofer, and their terms will expire at the annual general meeting of the shareholders to be held in 2016 and when their successors are elected and qualified;</w:t>
      </w:r>
    </w:p>
    <w:p>
      <w:pPr>
        <w:spacing w:after="0" w:line="123" w:lineRule="exact"/>
        <w:rPr>
          <w:rFonts w:ascii="Arial" w:cs="Arial" w:eastAsia="Arial" w:hAnsi="Arial"/>
          <w:sz w:val="16"/>
          <w:szCs w:val="16"/>
          <w:color w:val="auto"/>
        </w:rPr>
      </w:pPr>
    </w:p>
    <w:p>
      <w:pPr>
        <w:ind w:left="640" w:right="139" w:hanging="321"/>
        <w:spacing w:after="0" w:line="264" w:lineRule="auto"/>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Class II directors will be Ofer Ben-Zur and Gabi Seligsohn, and their terms will expire at the first annual general meeting of the shareholders following the meeting referred to in clause (i) above and when their successors are elected and qualified; and</w:t>
      </w:r>
    </w:p>
    <w:p>
      <w:pPr>
        <w:spacing w:after="0" w:line="181" w:lineRule="exact"/>
        <w:rPr>
          <w:rFonts w:ascii="Arial" w:cs="Arial" w:eastAsia="Arial" w:hAnsi="Arial"/>
          <w:sz w:val="18"/>
          <w:szCs w:val="18"/>
          <w:color w:val="auto"/>
        </w:rPr>
      </w:pPr>
    </w:p>
    <w:p>
      <w:pPr>
        <w:ind w:left="640" w:right="319" w:hanging="321"/>
        <w:spacing w:after="0" w:line="264" w:lineRule="auto"/>
        <w:tabs>
          <w:tab w:leader="none" w:pos="6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Class III directors will be Eli Blatt, Yuval Cohen and Marc Lesnick, and their terms will expire at the first annual general meeting of the shareholders following the meeting referred to in clause (ii) above and when their successors are elected and qualified.</w:t>
      </w:r>
    </w:p>
    <w:p>
      <w:pPr>
        <w:spacing w:after="0" w:line="149"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Our board of directors has determined that our directors, Lauri Hanover, Alon Lumbroso, Jerry Mandel and Dov Ofer are independent under the rules of the NASDAQ Stock Market. The definition of “independent director” under the NASDAQ Stock Market rules and “external director” under the Israeli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Israeli Companies Law without qualifying as an “independent director” under the NASDAQ Stock Market rules, or vice-versa. The definition of external director under the Israeli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w:t>
      </w:r>
    </w:p>
    <w:p>
      <w:pPr>
        <w:sectPr>
          <w:pgSz w:w="11900" w:h="16838" w:orient="portrait"/>
          <w:cols w:equalWidth="0" w:num="1">
            <w:col w:w="9019"/>
          </w:cols>
          <w:pgMar w:left="1440" w:top="125" w:right="1440" w:bottom="102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028" w:gutter="0" w:footer="0" w:header="0"/>
          <w:type w:val="continuous"/>
        </w:sectPr>
      </w:pPr>
    </w:p>
    <w:bookmarkStart w:id="76" w:name="page77"/>
    <w:bookmarkEnd w:id="76"/>
    <w:p>
      <w:pPr>
        <w:spacing w:after="0" w:line="31" w:lineRule="exact"/>
        <w:rPr>
          <w:sz w:val="20"/>
          <w:szCs w:val="20"/>
          <w:color w:val="auto"/>
        </w:rPr>
      </w:pPr>
    </w:p>
    <w:p>
      <w:pPr>
        <w:ind w:left="120" w:right="419"/>
        <w:spacing w:after="0" w:line="276" w:lineRule="auto"/>
        <w:rPr>
          <w:sz w:val="20"/>
          <w:szCs w:val="20"/>
          <w:color w:val="auto"/>
        </w:rPr>
      </w:pPr>
      <w:r>
        <w:rPr>
          <w:rFonts w:ascii="Arial" w:cs="Arial" w:eastAsia="Arial" w:hAnsi="Arial"/>
          <w:sz w:val="17"/>
          <w:szCs w:val="17"/>
          <w:color w:val="auto"/>
        </w:rPr>
        <w:t>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140" w:lineRule="exact"/>
        <w:rPr>
          <w:sz w:val="20"/>
          <w:szCs w:val="20"/>
          <w:color w:val="auto"/>
        </w:rPr>
      </w:pPr>
    </w:p>
    <w:p>
      <w:pPr>
        <w:ind w:left="120" w:right="239" w:firstLine="216"/>
        <w:spacing w:after="0" w:line="258" w:lineRule="auto"/>
        <w:rPr>
          <w:sz w:val="20"/>
          <w:szCs w:val="20"/>
          <w:color w:val="auto"/>
        </w:rPr>
      </w:pPr>
      <w:r>
        <w:rPr>
          <w:rFonts w:ascii="Arial" w:cs="Arial" w:eastAsia="Arial" w:hAnsi="Arial"/>
          <w:sz w:val="18"/>
          <w:szCs w:val="18"/>
          <w:color w:val="auto"/>
        </w:rPr>
        <w:t>Under the Israeli Companies Law and our amended and restated articles of association,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Oﬃcer).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200" w:lineRule="exact"/>
        <w:rPr>
          <w:sz w:val="20"/>
          <w:szCs w:val="20"/>
          <w:color w:val="auto"/>
        </w:rPr>
      </w:pPr>
    </w:p>
    <w:p>
      <w:pPr>
        <w:spacing w:after="0" w:line="378" w:lineRule="exact"/>
        <w:rPr>
          <w:sz w:val="20"/>
          <w:szCs w:val="20"/>
          <w:color w:val="auto"/>
        </w:rPr>
      </w:pPr>
    </w:p>
    <w:p>
      <w:pPr>
        <w:ind w:left="120" w:right="179" w:firstLine="216"/>
        <w:spacing w:after="0" w:line="265"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to fill vacancies on our board of directors for a term of oﬃce equal to the remaining period of the term of oﬃce of the director(s) whose oﬃce(s) have been vacated. External directors are elected for an initial term of three years and may be elected for additional three-year terms under the circumstances described below. External directors may be removed from oﬃce only under the limited circumstances set forth in the Israeli Companies Law. See “— External Directors.”</w:t>
      </w:r>
    </w:p>
    <w:p>
      <w:pPr>
        <w:spacing w:after="0" w:line="357" w:lineRule="exact"/>
        <w:rPr>
          <w:sz w:val="20"/>
          <w:szCs w:val="20"/>
          <w:color w:val="auto"/>
        </w:rPr>
      </w:pPr>
    </w:p>
    <w:p>
      <w:pPr>
        <w:ind w:left="120" w:right="119" w:firstLine="216"/>
        <w:spacing w:after="0" w:line="265" w:lineRule="auto"/>
        <w:rPr>
          <w:sz w:val="20"/>
          <w:szCs w:val="20"/>
          <w:color w:val="auto"/>
        </w:rPr>
      </w:pPr>
      <w:r>
        <w:rPr>
          <w:rFonts w:ascii="Arial" w:cs="Arial" w:eastAsia="Arial" w:hAnsi="Arial"/>
          <w:sz w:val="18"/>
          <w:szCs w:val="18"/>
          <w:color w:val="auto"/>
        </w:rPr>
        <w:t>Under the Israeli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193" w:lineRule="exact"/>
        <w:rPr>
          <w:sz w:val="20"/>
          <w:szCs w:val="20"/>
          <w:color w:val="auto"/>
        </w:rPr>
      </w:pPr>
    </w:p>
    <w:p>
      <w:pPr>
        <w:ind w:left="120" w:right="359" w:firstLine="216"/>
        <w:spacing w:after="0" w:line="274" w:lineRule="auto"/>
        <w:rPr>
          <w:sz w:val="20"/>
          <w:szCs w:val="20"/>
          <w:color w:val="auto"/>
        </w:rPr>
      </w:pPr>
      <w:r>
        <w:rPr>
          <w:rFonts w:ascii="Arial" w:cs="Arial" w:eastAsia="Arial" w:hAnsi="Arial"/>
          <w:sz w:val="18"/>
          <w:szCs w:val="18"/>
          <w:color w:val="auto"/>
        </w:rPr>
        <w:t>Under the Israeli Companies Law, we are required to include at least two members who qualify as external directors. Lauri Hanover and Jerry Mandel have agreed to serve as our external directors prior to our listing on the NASDAQ Global Market, subject to ratification at a meeting of our shareholders to be held no later than three months following the closing of this oﬀering.</w:t>
      </w:r>
    </w:p>
    <w:p>
      <w:pPr>
        <w:spacing w:after="0" w:line="351" w:lineRule="exact"/>
        <w:rPr>
          <w:sz w:val="20"/>
          <w:szCs w:val="20"/>
          <w:color w:val="auto"/>
        </w:rPr>
      </w:pPr>
    </w:p>
    <w:p>
      <w:pPr>
        <w:ind w:left="120" w:right="139" w:firstLine="216"/>
        <w:spacing w:after="0" w:line="294" w:lineRule="auto"/>
        <w:rPr>
          <w:sz w:val="20"/>
          <w:szCs w:val="20"/>
          <w:color w:val="auto"/>
        </w:rPr>
      </w:pPr>
      <w:r>
        <w:rPr>
          <w:rFonts w:ascii="Arial" w:cs="Arial" w:eastAsia="Arial" w:hAnsi="Arial"/>
          <w:sz w:val="18"/>
          <w:szCs w:val="18"/>
          <w:color w:val="auto"/>
        </w:rPr>
        <w:t>The provisions of the Israeli Companies Law set forth special approval requirements for the election of external directors. External directors must be elected by a majority vote of the shares present and voting at a meeting of shareholders, provided that either:</w:t>
      </w:r>
    </w:p>
    <w:p>
      <w:pPr>
        <w:spacing w:after="0" w:line="117" w:lineRule="exact"/>
        <w:rPr>
          <w:sz w:val="20"/>
          <w:szCs w:val="20"/>
          <w:color w:val="auto"/>
        </w:rPr>
      </w:pPr>
    </w:p>
    <w:p>
      <w:pPr>
        <w:ind w:left="560" w:right="299" w:hanging="219"/>
        <w:spacing w:after="0" w:line="255" w:lineRule="auto"/>
        <w:tabs>
          <w:tab w:leader="none" w:pos="626" w:val="left"/>
        </w:tabs>
        <w:numPr>
          <w:ilvl w:val="0"/>
          <w:numId w:val="44"/>
        </w:numPr>
        <w:rPr>
          <w:rFonts w:ascii="Arial" w:cs="Arial" w:eastAsia="Arial" w:hAnsi="Arial"/>
          <w:sz w:val="22"/>
          <w:szCs w:val="22"/>
          <w:color w:val="auto"/>
        </w:rPr>
      </w:pPr>
      <w:r>
        <w:rPr>
          <w:rFonts w:ascii="Arial" w:cs="Arial" w:eastAsia="Arial" w:hAnsi="Arial"/>
          <w:sz w:val="18"/>
          <w:szCs w:val="18"/>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381" w:lineRule="exact"/>
        <w:rPr>
          <w:rFonts w:ascii="Arial" w:cs="Arial" w:eastAsia="Arial" w:hAnsi="Arial"/>
          <w:sz w:val="22"/>
          <w:szCs w:val="22"/>
          <w:color w:val="auto"/>
        </w:rPr>
      </w:pPr>
    </w:p>
    <w:p>
      <w:pPr>
        <w:ind w:left="560" w:right="179" w:hanging="219"/>
        <w:spacing w:after="0" w:line="265" w:lineRule="auto"/>
        <w:tabs>
          <w:tab w:leader="none" w:pos="626" w:val="left"/>
        </w:tabs>
        <w:numPr>
          <w:ilvl w:val="0"/>
          <w:numId w:val="44"/>
        </w:numPr>
        <w:rPr>
          <w:rFonts w:ascii="Arial" w:cs="Arial" w:eastAsia="Arial" w:hAnsi="Arial"/>
          <w:sz w:val="22"/>
          <w:szCs w:val="22"/>
          <w:color w:val="auto"/>
        </w:rPr>
      </w:pPr>
      <w:r>
        <w:rPr>
          <w:rFonts w:ascii="Arial" w:cs="Arial" w:eastAsia="Arial" w:hAnsi="Arial"/>
          <w:sz w:val="18"/>
          <w:szCs w:val="18"/>
          <w:color w:val="auto"/>
        </w:rPr>
        <w:t>the total number of shares voted by non-controlling shareholders and by shareholders who do not have a personal interest in the election of the external director against the election of the external director does not exceed 2% of the aggregate voting rights in the company.</w:t>
      </w:r>
    </w:p>
    <w:p>
      <w:pPr>
        <w:spacing w:after="0" w:line="128"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The term “controlling shareholder” is defined in the Israeli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With respect to certain matters, a controlling shareholder is deemed to include a shareholder that holds 25% or more of the voting rights in a public company if no other shareholder holds more than 50% of the voting rights in the company, but excludes a shareholder whose power derives solely from his or her position as a director of the company or from any other position with the company. We expect that following this offering, Fortissimo Capital, which prior to this offering beneficially owned 69.6% of our shares, will be a controlling shareholder, although this status may change in the future.</w:t>
      </w:r>
    </w:p>
    <w:p>
      <w:pPr>
        <w:spacing w:after="0" w:line="359" w:lineRule="exact"/>
        <w:rPr>
          <w:sz w:val="20"/>
          <w:szCs w:val="20"/>
          <w:color w:val="auto"/>
        </w:rPr>
      </w:pPr>
    </w:p>
    <w:p>
      <w:pPr>
        <w:ind w:left="120" w:right="279" w:firstLine="216"/>
        <w:spacing w:after="0" w:line="312"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w:t>
      </w:r>
    </w:p>
    <w:p>
      <w:pPr>
        <w:spacing w:after="0" w:line="340" w:lineRule="exact"/>
        <w:rPr>
          <w:sz w:val="20"/>
          <w:szCs w:val="20"/>
          <w:color w:val="auto"/>
        </w:rPr>
      </w:pPr>
    </w:p>
    <w:p>
      <w:pPr>
        <w:ind w:left="560" w:right="1139" w:hanging="219"/>
        <w:spacing w:after="0" w:line="285" w:lineRule="auto"/>
        <w:tabs>
          <w:tab w:leader="none" w:pos="626" w:val="left"/>
        </w:tabs>
        <w:numPr>
          <w:ilvl w:val="0"/>
          <w:numId w:val="45"/>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one or more shareholders holding at least 1% of the</w:t>
      </w:r>
    </w:p>
    <w:p>
      <w:pPr>
        <w:sectPr>
          <w:pgSz w:w="11900" w:h="16870" w:orient="portrait"/>
          <w:cols w:equalWidth="0" w:num="1">
            <w:col w:w="9019"/>
          </w:cols>
          <w:pgMar w:left="1440" w:top="125" w:right="1440" w:bottom="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8" w:name="page79"/>
    <w:bookmarkEnd w:id="78"/>
    <w:p>
      <w:pPr>
        <w:ind w:left="560" w:right="199"/>
        <w:spacing w:after="0" w:line="259" w:lineRule="auto"/>
        <w:rPr>
          <w:sz w:val="20"/>
          <w:szCs w:val="20"/>
          <w:color w:val="auto"/>
        </w:rPr>
      </w:pPr>
      <w:r>
        <w:rPr>
          <w:rFonts w:ascii="Arial" w:cs="Arial" w:eastAsia="Arial" w:hAnsi="Arial"/>
          <w:sz w:val="18"/>
          <w:szCs w:val="18"/>
          <w:color w:val="auto"/>
        </w:rPr>
        <w:t>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Israeli Companies Law with respect to the affiliation of the external director nominee;</w:t>
      </w:r>
    </w:p>
    <w:p>
      <w:pPr>
        <w:spacing w:after="0" w:line="168" w:lineRule="exact"/>
        <w:rPr>
          <w:sz w:val="20"/>
          <w:szCs w:val="20"/>
          <w:color w:val="auto"/>
        </w:rPr>
      </w:pPr>
    </w:p>
    <w:p>
      <w:pPr>
        <w:jc w:val="both"/>
        <w:ind w:left="560" w:right="819" w:hanging="219"/>
        <w:spacing w:after="0" w:line="285" w:lineRule="auto"/>
        <w:tabs>
          <w:tab w:leader="none" w:pos="626" w:val="left"/>
        </w:tabs>
        <w:numPr>
          <w:ilvl w:val="0"/>
          <w:numId w:val="46"/>
        </w:numPr>
        <w:rPr>
          <w:rFonts w:ascii="Arial" w:cs="Arial" w:eastAsia="Arial" w:hAnsi="Arial"/>
          <w:sz w:val="22"/>
          <w:szCs w:val="22"/>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115" w:lineRule="exact"/>
        <w:rPr>
          <w:rFonts w:ascii="Arial" w:cs="Arial" w:eastAsia="Arial" w:hAnsi="Arial"/>
          <w:sz w:val="22"/>
          <w:szCs w:val="22"/>
          <w:color w:val="auto"/>
        </w:rPr>
      </w:pPr>
    </w:p>
    <w:p>
      <w:pPr>
        <w:jc w:val="both"/>
        <w:ind w:left="560" w:right="279" w:hanging="219"/>
        <w:spacing w:after="0" w:line="265" w:lineRule="auto"/>
        <w:tabs>
          <w:tab w:leader="none" w:pos="626" w:val="left"/>
        </w:tabs>
        <w:numPr>
          <w:ilvl w:val="0"/>
          <w:numId w:val="46"/>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128"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The term of office for external directors for Israeli companies traded on certain foreign stock exchanges, including the NASDAQ Global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359" w:lineRule="exact"/>
        <w:rPr>
          <w:sz w:val="20"/>
          <w:szCs w:val="20"/>
          <w:color w:val="auto"/>
        </w:rPr>
      </w:pPr>
    </w:p>
    <w:p>
      <w:pPr>
        <w:ind w:left="120" w:right="339" w:firstLine="216"/>
        <w:spacing w:after="0" w:line="274" w:lineRule="auto"/>
        <w:rPr>
          <w:sz w:val="20"/>
          <w:szCs w:val="20"/>
          <w:color w:val="auto"/>
        </w:rPr>
      </w:pPr>
      <w:r>
        <w:rPr>
          <w:rFonts w:ascii="Arial" w:cs="Arial" w:eastAsia="Arial" w:hAnsi="Arial"/>
          <w:sz w:val="18"/>
          <w:szCs w:val="18"/>
          <w:color w:val="auto"/>
        </w:rPr>
        <w:t>External directors may be removed from oﬃce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351" w:lineRule="exact"/>
        <w:rPr>
          <w:sz w:val="20"/>
          <w:szCs w:val="20"/>
          <w:color w:val="auto"/>
        </w:rPr>
      </w:pPr>
    </w:p>
    <w:p>
      <w:pPr>
        <w:ind w:left="120" w:right="199" w:firstLine="216"/>
        <w:spacing w:after="0" w:line="284" w:lineRule="auto"/>
        <w:rPr>
          <w:sz w:val="20"/>
          <w:szCs w:val="20"/>
          <w:color w:val="auto"/>
        </w:rPr>
      </w:pPr>
      <w:r>
        <w:rPr>
          <w:rFonts w:ascii="Arial" w:cs="Arial" w:eastAsia="Arial" w:hAnsi="Arial"/>
          <w:sz w:val="18"/>
          <w:szCs w:val="18"/>
          <w:color w:val="auto"/>
        </w:rPr>
        <w:t>If an external directorship becomes vacant and there are fewer than two external directors on the board of directors at the time, then the board of directors is required under the Israeli Companies Law to call a shareholders’ meeting as soon as practicable to appoint a replacement external director.</w:t>
      </w:r>
    </w:p>
    <w:p>
      <w:pPr>
        <w:spacing w:after="0" w:line="346" w:lineRule="exact"/>
        <w:rPr>
          <w:sz w:val="20"/>
          <w:szCs w:val="20"/>
          <w:color w:val="auto"/>
        </w:rPr>
      </w:pPr>
    </w:p>
    <w:p>
      <w:pPr>
        <w:ind w:left="120" w:right="299" w:firstLine="216"/>
        <w:spacing w:after="0" w:line="261" w:lineRule="auto"/>
        <w:rPr>
          <w:sz w:val="20"/>
          <w:szCs w:val="20"/>
          <w:color w:val="auto"/>
        </w:rPr>
      </w:pPr>
      <w:r>
        <w:rPr>
          <w:rFonts w:ascii="Arial" w:cs="Arial" w:eastAsia="Arial" w:hAnsi="Arial"/>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Israeli Companies Law, external directors of a company are prohibited from receiving, directly or indirectly, any compensation from the company other than for their services as external directors pursuant to the Israeli Companies Law and the regulations promulgated thereunder. Compensation of an external director is determined prior to his or her appointment and may not be changed during his or her term subject to certain exceptions.</w:t>
      </w:r>
    </w:p>
    <w:p>
      <w:pPr>
        <w:spacing w:after="0" w:line="360"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The Israeli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aﬃliation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aﬃliation or other disqualifying relationship with a person then serving as chairman of the board or chief executive oﬃcer, a holder of 5% or more of the issued share capital or voting power in the company or the most senior financial oﬃcer.</w:t>
      </w:r>
    </w:p>
    <w:p>
      <w:pPr>
        <w:spacing w:after="0" w:line="200" w:lineRule="exact"/>
        <w:rPr>
          <w:sz w:val="20"/>
          <w:szCs w:val="20"/>
          <w:color w:val="auto"/>
        </w:rPr>
      </w:pPr>
    </w:p>
    <w:p>
      <w:pPr>
        <w:spacing w:after="0" w:line="384" w:lineRule="exact"/>
        <w:rPr>
          <w:sz w:val="20"/>
          <w:szCs w:val="20"/>
          <w:color w:val="auto"/>
        </w:rPr>
      </w:pPr>
    </w:p>
    <w:p>
      <w:pPr>
        <w:ind w:left="120" w:right="359" w:firstLine="216"/>
        <w:spacing w:after="0" w:line="312" w:lineRule="auto"/>
        <w:rPr>
          <w:sz w:val="20"/>
          <w:szCs w:val="20"/>
          <w:color w:val="auto"/>
        </w:rPr>
      </w:pPr>
      <w:r>
        <w:rPr>
          <w:rFonts w:ascii="Arial" w:cs="Arial" w:eastAsia="Arial" w:hAnsi="Arial"/>
          <w:sz w:val="18"/>
          <w:szCs w:val="18"/>
          <w:color w:val="auto"/>
        </w:rPr>
        <w:t>The term “relative” is defined in the Israeli Companies Law as a spouse, sibling, parent, grandparent or descendant; spouse’s sibling, parent or descendant; and the spouse of each of the foregoing persons.</w:t>
      </w:r>
    </w:p>
    <w:p>
      <w:pPr>
        <w:spacing w:after="0" w:line="326" w:lineRule="exact"/>
        <w:rPr>
          <w:sz w:val="20"/>
          <w:szCs w:val="20"/>
          <w:color w:val="auto"/>
        </w:rPr>
      </w:pPr>
    </w:p>
    <w:p>
      <w:pPr>
        <w:ind w:left="120" w:right="339" w:firstLine="216"/>
        <w:spacing w:after="0" w:line="338" w:lineRule="auto"/>
        <w:rPr>
          <w:sz w:val="20"/>
          <w:szCs w:val="20"/>
          <w:color w:val="auto"/>
        </w:rPr>
      </w:pPr>
      <w:r>
        <w:rPr>
          <w:rFonts w:ascii="Arial" w:cs="Arial" w:eastAsia="Arial" w:hAnsi="Arial"/>
          <w:sz w:val="18"/>
          <w:szCs w:val="18"/>
          <w:color w:val="auto"/>
        </w:rPr>
        <w:t>Under the Israeli Companies Law, the term “aﬃliation” and the similar types of disqualifying relationships, as used above, include (subject to certain exceptions):</w:t>
      </w:r>
    </w:p>
    <w:p>
      <w:pPr>
        <w:spacing w:after="0" w:line="79" w:lineRule="exact"/>
        <w:rPr>
          <w:sz w:val="20"/>
          <w:szCs w:val="20"/>
          <w:color w:val="auto"/>
        </w:rPr>
      </w:pPr>
    </w:p>
    <w:p>
      <w:pPr>
        <w:ind w:left="620" w:hanging="279"/>
        <w:spacing w:after="0"/>
        <w:tabs>
          <w:tab w:leader="none" w:pos="620" w:val="left"/>
        </w:tabs>
        <w:numPr>
          <w:ilvl w:val="0"/>
          <w:numId w:val="47"/>
        </w:numPr>
        <w:rPr>
          <w:rFonts w:ascii="Arial" w:cs="Arial" w:eastAsia="Arial" w:hAnsi="Arial"/>
          <w:sz w:val="22"/>
          <w:szCs w:val="22"/>
          <w:color w:val="auto"/>
        </w:rPr>
      </w:pPr>
      <w:r>
        <w:rPr>
          <w:rFonts w:ascii="Arial" w:cs="Arial" w:eastAsia="Arial" w:hAnsi="Arial"/>
          <w:sz w:val="18"/>
          <w:szCs w:val="18"/>
          <w:color w:val="auto"/>
        </w:rPr>
        <w:t>an employment relationship;</w:t>
      </w:r>
    </w:p>
    <w:p>
      <w:pPr>
        <w:spacing w:after="0" w:line="192" w:lineRule="exact"/>
        <w:rPr>
          <w:rFonts w:ascii="Arial" w:cs="Arial" w:eastAsia="Arial" w:hAnsi="Arial"/>
          <w:sz w:val="22"/>
          <w:szCs w:val="22"/>
          <w:color w:val="auto"/>
        </w:rPr>
      </w:pPr>
    </w:p>
    <w:p>
      <w:pPr>
        <w:ind w:left="560" w:right="179" w:hanging="219"/>
        <w:spacing w:after="0" w:line="285" w:lineRule="auto"/>
        <w:tabs>
          <w:tab w:leader="none" w:pos="626" w:val="left"/>
        </w:tabs>
        <w:numPr>
          <w:ilvl w:val="0"/>
          <w:numId w:val="47"/>
        </w:numPr>
        <w:rPr>
          <w:rFonts w:ascii="Arial" w:cs="Arial" w:eastAsia="Arial" w:hAnsi="Arial"/>
          <w:sz w:val="22"/>
          <w:szCs w:val="22"/>
          <w:color w:val="auto"/>
        </w:rPr>
      </w:pPr>
      <w:r>
        <w:rPr>
          <w:rFonts w:ascii="Arial" w:cs="Arial" w:eastAsia="Arial" w:hAnsi="Arial"/>
          <w:sz w:val="18"/>
          <w:szCs w:val="18"/>
          <w:color w:val="auto"/>
        </w:rPr>
        <w:t>a business or professional relationship even if not maintained on a regular basis (excluding insignificant relationships); control; and</w:t>
      </w:r>
    </w:p>
    <w:p>
      <w:pPr>
        <w:sectPr>
          <w:pgSz w:w="11900" w:h="16838" w:orient="portrait"/>
          <w:cols w:equalWidth="0" w:num="1">
            <w:col w:w="9019"/>
          </w:cols>
          <w:pgMar w:left="1440" w:top="125" w:right="1440" w:bottom="907"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907" w:gutter="0" w:footer="0" w:header="0"/>
          <w:type w:val="continuous"/>
        </w:sectPr>
      </w:pPr>
    </w:p>
    <w:bookmarkStart w:id="79" w:name="page80"/>
    <w:bookmarkEnd w:id="79"/>
    <w:p>
      <w:pPr>
        <w:ind w:left="560" w:right="119" w:hanging="219"/>
        <w:spacing w:after="0" w:line="265" w:lineRule="auto"/>
        <w:tabs>
          <w:tab w:leader="none" w:pos="626" w:val="left"/>
        </w:tabs>
        <w:numPr>
          <w:ilvl w:val="0"/>
          <w:numId w:val="48"/>
        </w:numPr>
        <w:rPr>
          <w:rFonts w:ascii="Arial" w:cs="Arial" w:eastAsia="Arial" w:hAnsi="Arial"/>
          <w:sz w:val="22"/>
          <w:szCs w:val="22"/>
          <w:color w:val="auto"/>
        </w:rPr>
      </w:pPr>
      <w:r>
        <w:rPr>
          <w:rFonts w:ascii="Arial" w:cs="Arial" w:eastAsia="Arial" w:hAnsi="Arial"/>
          <w:sz w:val="18"/>
          <w:szCs w:val="18"/>
          <w:color w:val="auto"/>
        </w:rPr>
        <w:t>service as an oﬃce holder, excluding service as a director in a private company prior to the initial public oﬀering of its shares if such director was appointed as a director of the private company in order to serve as an external director following the initial public oﬀering.</w:t>
      </w:r>
    </w:p>
    <w:p>
      <w:pPr>
        <w:spacing w:after="0" w:line="128" w:lineRule="exact"/>
        <w:rPr>
          <w:sz w:val="20"/>
          <w:szCs w:val="20"/>
          <w:color w:val="auto"/>
        </w:rPr>
      </w:pPr>
    </w:p>
    <w:p>
      <w:pPr>
        <w:jc w:val="both"/>
        <w:ind w:left="120" w:right="219" w:firstLine="216"/>
        <w:spacing w:after="0" w:line="279" w:lineRule="auto"/>
        <w:rPr>
          <w:sz w:val="20"/>
          <w:szCs w:val="20"/>
          <w:color w:val="auto"/>
        </w:rPr>
      </w:pPr>
      <w:r>
        <w:rPr>
          <w:rFonts w:ascii="Arial" w:cs="Arial" w:eastAsia="Arial" w:hAnsi="Arial"/>
          <w:sz w:val="18"/>
          <w:szCs w:val="18"/>
          <w:color w:val="auto"/>
        </w:rPr>
        <w:t>The term “oﬃce holder” is defined in the Israeli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18" w:lineRule="exact"/>
        <w:rPr>
          <w:sz w:val="20"/>
          <w:szCs w:val="20"/>
          <w:color w:val="auto"/>
        </w:rPr>
      </w:pPr>
    </w:p>
    <w:p>
      <w:pPr>
        <w:ind w:left="120" w:right="119" w:firstLine="216"/>
        <w:spacing w:after="0" w:line="261" w:lineRule="auto"/>
        <w:rPr>
          <w:sz w:val="20"/>
          <w:szCs w:val="20"/>
          <w:color w:val="auto"/>
        </w:rPr>
      </w:pPr>
      <w:r>
        <w:rPr>
          <w:rFonts w:ascii="Arial" w:cs="Arial" w:eastAsia="Arial" w:hAnsi="Arial"/>
          <w:sz w:val="18"/>
          <w:szCs w:val="18"/>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Israeli Companies Law and the regulations promulgated thereunder.</w:t>
      </w:r>
    </w:p>
    <w:p>
      <w:pPr>
        <w:spacing w:after="0" w:line="360" w:lineRule="exact"/>
        <w:rPr>
          <w:sz w:val="20"/>
          <w:szCs w:val="20"/>
          <w:color w:val="auto"/>
        </w:rPr>
      </w:pPr>
    </w:p>
    <w:p>
      <w:pPr>
        <w:ind w:left="120" w:right="139" w:firstLine="216"/>
        <w:spacing w:after="0" w:line="261" w:lineRule="auto"/>
        <w:rPr>
          <w:sz w:val="20"/>
          <w:szCs w:val="20"/>
          <w:color w:val="auto"/>
        </w:rPr>
      </w:pPr>
      <w:r>
        <w:rPr>
          <w:rFonts w:ascii="Arial" w:cs="Arial" w:eastAsia="Arial" w:hAnsi="Arial"/>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oﬃce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360" w:lineRule="exact"/>
        <w:rPr>
          <w:sz w:val="20"/>
          <w:szCs w:val="20"/>
          <w:color w:val="auto"/>
        </w:rPr>
      </w:pPr>
    </w:p>
    <w:p>
      <w:pPr>
        <w:ind w:left="120" w:right="159" w:firstLine="216"/>
        <w:spacing w:after="0" w:line="272" w:lineRule="auto"/>
        <w:rPr>
          <w:sz w:val="20"/>
          <w:szCs w:val="20"/>
          <w:color w:val="auto"/>
        </w:rPr>
      </w:pPr>
      <w:r>
        <w:rPr>
          <w:rFonts w:ascii="Arial" w:cs="Arial" w:eastAsia="Arial" w:hAnsi="Arial"/>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24"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According to the Israeli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Securities Exchange Act of 1934, as amended, or the Exchange Act, (ii) meets the standards of the Listing Rules of the NASDAQ Stock Market rules for membership on the audit committee, and (iii) has accounting and financial expertise as defined under the Israeli Companies Law, then neither of our external directors is required to possess accounting and financial expertise as long as each possesses the requisite professional qualifications.</w:t>
      </w:r>
    </w:p>
    <w:p>
      <w:pPr>
        <w:spacing w:after="0" w:line="200" w:lineRule="exact"/>
        <w:rPr>
          <w:sz w:val="20"/>
          <w:szCs w:val="20"/>
          <w:color w:val="auto"/>
        </w:rPr>
      </w:pPr>
    </w:p>
    <w:p>
      <w:pPr>
        <w:spacing w:after="0" w:line="383"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w:t>
      </w:r>
    </w:p>
    <w:p>
      <w:pPr>
        <w:spacing w:after="0" w:line="3" w:lineRule="exact"/>
        <w:rPr>
          <w:sz w:val="20"/>
          <w:szCs w:val="20"/>
          <w:color w:val="auto"/>
        </w:rPr>
      </w:pPr>
    </w:p>
    <w:p>
      <w:pPr>
        <w:jc w:val="both"/>
        <w:ind w:left="120" w:right="299" w:firstLine="5"/>
        <w:spacing w:after="0" w:line="250" w:lineRule="auto"/>
        <w:tabs>
          <w:tab w:leader="none" w:pos="4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academic degree or has completed another form of higher education in the primary field of business of the company or in a field which is relevant to his/her position in the company, or</w:t>
      </w:r>
    </w:p>
    <w:p>
      <w:pPr>
        <w:ind w:left="120" w:right="239" w:firstLine="5"/>
        <w:spacing w:after="0" w:line="258" w:lineRule="auto"/>
        <w:tabs>
          <w:tab w:leader="none" w:pos="4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pacing w:after="0" w:line="136" w:lineRule="exact"/>
        <w:rPr>
          <w:sz w:val="20"/>
          <w:szCs w:val="20"/>
          <w:color w:val="auto"/>
        </w:rPr>
      </w:pPr>
    </w:p>
    <w:p>
      <w:pPr>
        <w:ind w:left="120" w:right="159" w:firstLine="216"/>
        <w:spacing w:after="0" w:line="338" w:lineRule="auto"/>
        <w:rPr>
          <w:sz w:val="20"/>
          <w:szCs w:val="20"/>
          <w:color w:val="auto"/>
        </w:rPr>
      </w:pPr>
      <w:r>
        <w:rPr>
          <w:rFonts w:ascii="Arial" w:cs="Arial" w:eastAsia="Arial" w:hAnsi="Arial"/>
          <w:sz w:val="18"/>
          <w:szCs w:val="18"/>
          <w:color w:val="auto"/>
        </w:rPr>
        <w:t>Our board of directors has determined that Jerry Mandel has accounting and financial expertise and possesses professional qualifications as required under the Israeli Companies Law.</w:t>
      </w:r>
    </w:p>
    <w:p>
      <w:pPr>
        <w:sectPr>
          <w:pgSz w:w="11900" w:h="16838" w:orient="portrait"/>
          <w:cols w:equalWidth="0" w:num="1">
            <w:col w:w="9019"/>
          </w:cols>
          <w:pgMar w:left="1440" w:top="322" w:right="1440" w:bottom="1440" w:gutter="0" w:footer="0" w:header="0"/>
        </w:sectPr>
      </w:pP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type w:val="continuous"/>
        </w:sectPr>
      </w:pPr>
    </w:p>
    <w:bookmarkStart w:id="80" w:name="page81"/>
    <w:bookmarkEnd w:id="80"/>
    <w:p>
      <w:pPr>
        <w:ind w:left="1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93" w:lineRule="exact"/>
        <w:rPr>
          <w:sz w:val="20"/>
          <w:szCs w:val="20"/>
          <w:color w:val="auto"/>
        </w:rPr>
      </w:pPr>
    </w:p>
    <w:p>
      <w:pPr>
        <w:ind w:left="120" w:right="159" w:firstLine="216"/>
        <w:spacing w:after="0" w:line="28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Yuval Cohen to serve as chairman of the board of directors.</w:t>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ind w:left="120" w:right="239" w:firstLine="216"/>
        <w:spacing w:after="0" w:line="312" w:lineRule="auto"/>
        <w:rPr>
          <w:sz w:val="20"/>
          <w:szCs w:val="20"/>
          <w:color w:val="auto"/>
        </w:rPr>
      </w:pPr>
      <w:r>
        <w:rPr>
          <w:rFonts w:ascii="Arial" w:cs="Arial" w:eastAsia="Arial" w:hAnsi="Arial"/>
          <w:sz w:val="18"/>
          <w:szCs w:val="18"/>
          <w:color w:val="auto"/>
        </w:rPr>
        <w:t>Following the listing of our ordinary shares on the NASDAQ Global Market, our audit committee will consist of our two external directors, Lauri Hanover (Chairman) and Jerry Mandel as well as Alon Lumbroso.</w:t>
      </w:r>
    </w:p>
    <w:p>
      <w:pPr>
        <w:spacing w:after="0" w:line="37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Israeli Companies Law Requirements</w:t>
      </w:r>
    </w:p>
    <w:p>
      <w:pPr>
        <w:spacing w:after="0" w:line="185"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Under the Israeli Companies Law, we will be required to appoint an audit committee following the closing of this oﬀering. The audit committee must be comprised of at least three directors, including all of the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Israeli Companies Law, the audit committee of a publicly traded company must consist of a majority of independent directors. In general, an “independent director” under the Israeli Companies Law is defined as either an external director or as a director who meets the following criteria:</w:t>
      </w:r>
    </w:p>
    <w:p>
      <w:pPr>
        <w:spacing w:after="0" w:line="373" w:lineRule="exact"/>
        <w:rPr>
          <w:sz w:val="20"/>
          <w:szCs w:val="20"/>
          <w:color w:val="auto"/>
        </w:rPr>
      </w:pPr>
    </w:p>
    <w:p>
      <w:pPr>
        <w:ind w:left="560" w:right="379" w:hanging="219"/>
        <w:spacing w:after="0" w:line="248" w:lineRule="auto"/>
        <w:tabs>
          <w:tab w:leader="none" w:pos="626" w:val="left"/>
        </w:tabs>
        <w:numPr>
          <w:ilvl w:val="0"/>
          <w:numId w:val="50"/>
        </w:numPr>
        <w:rPr>
          <w:rFonts w:ascii="Arial" w:cs="Arial" w:eastAsia="Arial" w:hAnsi="Arial"/>
          <w:sz w:val="22"/>
          <w:szCs w:val="22"/>
          <w:color w:val="auto"/>
        </w:rPr>
      </w:pPr>
      <w:r>
        <w:rPr>
          <w:rFonts w:ascii="Arial" w:cs="Arial" w:eastAsia="Arial" w:hAnsi="Arial"/>
          <w:sz w:val="18"/>
          <w:szCs w:val="18"/>
          <w:color w:val="auto"/>
        </w:rPr>
        <w:t>he or she meets the qualifications for being appointed as an external director, except for the requirement (i) that the director be an Israeli resident (which does not apply to companies such as ours whose securities have been oﬀered</w:t>
      </w:r>
    </w:p>
    <w:p>
      <w:pPr>
        <w:spacing w:after="0" w:line="1" w:lineRule="exact"/>
        <w:rPr>
          <w:rFonts w:ascii="Arial" w:cs="Arial" w:eastAsia="Arial" w:hAnsi="Arial"/>
          <w:sz w:val="22"/>
          <w:szCs w:val="22"/>
          <w:color w:val="auto"/>
        </w:rPr>
      </w:pPr>
    </w:p>
    <w:p>
      <w:pPr>
        <w:ind w:left="560" w:right="859"/>
        <w:spacing w:after="0" w:line="290" w:lineRule="auto"/>
        <w:rPr>
          <w:rFonts w:ascii="Arial" w:cs="Arial" w:eastAsia="Arial" w:hAnsi="Arial"/>
          <w:sz w:val="22"/>
          <w:szCs w:val="22"/>
          <w:color w:val="auto"/>
        </w:rPr>
      </w:pPr>
      <w:r>
        <w:rPr>
          <w:rFonts w:ascii="Arial" w:cs="Arial" w:eastAsia="Arial" w:hAnsi="Arial"/>
          <w:sz w:val="18"/>
          <w:szCs w:val="18"/>
          <w:color w:val="auto"/>
        </w:rPr>
        <w:t>outside of Israel or are listed for trading outside of Israel) and (ii) for accounting and financial expertise or professional qualifications; and</w:t>
      </w:r>
    </w:p>
    <w:p>
      <w:pPr>
        <w:spacing w:after="0" w:line="119" w:lineRule="exact"/>
        <w:rPr>
          <w:rFonts w:ascii="Arial" w:cs="Arial" w:eastAsia="Arial" w:hAnsi="Arial"/>
          <w:sz w:val="22"/>
          <w:szCs w:val="22"/>
          <w:color w:val="auto"/>
        </w:rPr>
      </w:pPr>
    </w:p>
    <w:p>
      <w:pPr>
        <w:ind w:left="560" w:right="319" w:hanging="219"/>
        <w:spacing w:after="0" w:line="265" w:lineRule="auto"/>
        <w:tabs>
          <w:tab w:leader="none" w:pos="626" w:val="left"/>
        </w:tabs>
        <w:numPr>
          <w:ilvl w:val="0"/>
          <w:numId w:val="50"/>
        </w:numPr>
        <w:rPr>
          <w:rFonts w:ascii="Arial" w:cs="Arial" w:eastAsia="Arial" w:hAnsi="Arial"/>
          <w:sz w:val="22"/>
          <w:szCs w:val="22"/>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NASDAQ Listing Requirements</w:t>
      </w:r>
    </w:p>
    <w:p>
      <w:pPr>
        <w:spacing w:after="0" w:line="185" w:lineRule="exact"/>
        <w:rPr>
          <w:sz w:val="20"/>
          <w:szCs w:val="20"/>
          <w:color w:val="auto"/>
        </w:rPr>
      </w:pPr>
    </w:p>
    <w:p>
      <w:pPr>
        <w:ind w:left="120" w:right="159" w:firstLine="216"/>
        <w:spacing w:after="0" w:line="294"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04" w:lineRule="exact"/>
        <w:rPr>
          <w:sz w:val="20"/>
          <w:szCs w:val="20"/>
          <w:color w:val="auto"/>
        </w:rPr>
      </w:pPr>
    </w:p>
    <w:p>
      <w:pPr>
        <w:ind w:left="120" w:right="139" w:firstLine="216"/>
        <w:spacing w:after="0" w:line="274" w:lineRule="auto"/>
        <w:rPr>
          <w:sz w:val="20"/>
          <w:szCs w:val="20"/>
          <w:color w:val="auto"/>
        </w:rPr>
      </w:pPr>
      <w:r>
        <w:rPr>
          <w:rFonts w:ascii="Arial" w:cs="Arial" w:eastAsia="Arial" w:hAnsi="Arial"/>
          <w:sz w:val="18"/>
          <w:szCs w:val="18"/>
          <w:color w:val="auto"/>
        </w:rPr>
        <w:t>All members of our audit committee will meet the requirements for financial literacy under the applicable rules and regulations of the Commission and NASDAQ corporate governance rules. Our board of directors has determined that Jerry Mandel is an audit committee financial expert as defined by the Commission rules and has the requisite financial experience as defined by NASDAQ corporate governance rules.</w:t>
      </w:r>
    </w:p>
    <w:p>
      <w:pPr>
        <w:spacing w:after="0" w:line="351" w:lineRule="exact"/>
        <w:rPr>
          <w:sz w:val="20"/>
          <w:szCs w:val="20"/>
          <w:color w:val="auto"/>
        </w:rPr>
      </w:pPr>
    </w:p>
    <w:p>
      <w:pPr>
        <w:ind w:left="120" w:right="219" w:firstLine="216"/>
        <w:spacing w:after="0" w:line="294" w:lineRule="auto"/>
        <w:rPr>
          <w:sz w:val="20"/>
          <w:szCs w:val="20"/>
          <w:color w:val="auto"/>
        </w:rPr>
      </w:pPr>
      <w:r>
        <w:rPr>
          <w:rFonts w:ascii="Arial" w:cs="Arial" w:eastAsia="Arial" w:hAnsi="Arial"/>
          <w:sz w:val="18"/>
          <w:szCs w:val="18"/>
          <w:color w:val="auto"/>
        </w:rPr>
        <w:t>Each of the members of our audit committee will be “independent” as such term is defined in Rule 10A-3(b)(1) under the Exchange Act and satisfies the independent director requirements under the NASDAQ Stock Market rules.</w:t>
      </w:r>
    </w:p>
    <w:p>
      <w:pPr>
        <w:spacing w:after="0" w:line="14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Audit Committee Role</w:t>
      </w:r>
    </w:p>
    <w:p>
      <w:pPr>
        <w:spacing w:after="0" w:line="185"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8"/>
          <w:szCs w:val="18"/>
          <w:color w:val="auto"/>
        </w:rPr>
        <w:t>We expect that our board of directors will adopt an audit committee charter to be eﬀective upon the listing of our shares on the NASDAQ Global Market that will set forth the responsibilities of the audit committee consistent with the rules and regulations of the Commission and the listing requirements of the NASDAQ Stock Market, as well as the requirements for such committee under the Israeli Companies Law, including the following:</w:t>
      </w:r>
    </w:p>
    <w:p>
      <w:pPr>
        <w:spacing w:after="0" w:line="137" w:lineRule="exact"/>
        <w:rPr>
          <w:sz w:val="20"/>
          <w:szCs w:val="20"/>
          <w:color w:val="auto"/>
        </w:rPr>
      </w:pPr>
    </w:p>
    <w:p>
      <w:pPr>
        <w:ind w:left="560" w:right="399" w:hanging="219"/>
        <w:spacing w:after="0" w:line="265" w:lineRule="auto"/>
        <w:tabs>
          <w:tab w:leader="none" w:pos="626" w:val="left"/>
        </w:tabs>
        <w:numPr>
          <w:ilvl w:val="0"/>
          <w:numId w:val="51"/>
        </w:numPr>
        <w:rPr>
          <w:rFonts w:ascii="Arial" w:cs="Arial" w:eastAsia="Arial" w:hAnsi="Arial"/>
          <w:sz w:val="22"/>
          <w:szCs w:val="22"/>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ectPr>
          <w:pgSz w:w="11900" w:h="16838" w:orient="portrait"/>
          <w:cols w:equalWidth="0" w:num="1">
            <w:col w:w="9019"/>
          </w:cols>
          <w:pgMar w:left="1440" w:top="125" w:right="1440" w:bottom="1440" w:gutter="0" w:footer="0" w:header="0"/>
        </w:sectPr>
      </w:pP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1" w:name="page82"/>
    <w:bookmarkEnd w:id="81"/>
    <w:p>
      <w:pPr>
        <w:ind w:left="560" w:right="839" w:hanging="219"/>
        <w:spacing w:after="0" w:line="285" w:lineRule="auto"/>
        <w:tabs>
          <w:tab w:leader="none" w:pos="626"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recommending the engagement or termination of the person filling the oﬃce of our internal auditor; and</w:t>
      </w:r>
    </w:p>
    <w:p>
      <w:pPr>
        <w:spacing w:after="0" w:line="115" w:lineRule="exact"/>
        <w:rPr>
          <w:rFonts w:ascii="Arial" w:cs="Arial" w:eastAsia="Arial" w:hAnsi="Arial"/>
          <w:sz w:val="22"/>
          <w:szCs w:val="22"/>
          <w:color w:val="auto"/>
        </w:rPr>
      </w:pPr>
    </w:p>
    <w:p>
      <w:pPr>
        <w:ind w:left="560" w:right="579" w:hanging="219"/>
        <w:spacing w:after="0" w:line="285" w:lineRule="auto"/>
        <w:tabs>
          <w:tab w:leader="none" w:pos="626"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102" w:lineRule="exact"/>
        <w:rPr>
          <w:sz w:val="20"/>
          <w:szCs w:val="20"/>
          <w:color w:val="auto"/>
        </w:rPr>
      </w:pPr>
    </w:p>
    <w:p>
      <w:pPr>
        <w:ind w:left="120" w:right="179" w:firstLine="216"/>
        <w:spacing w:after="0" w:line="265"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eﬀorts of our independent accountants and takes those actions that it deems necessary to satisfy itself that the accountants are independent of management.</w:t>
      </w:r>
    </w:p>
    <w:p>
      <w:pPr>
        <w:spacing w:after="0" w:line="3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239" w:lineRule="exact"/>
        <w:rPr>
          <w:sz w:val="20"/>
          <w:szCs w:val="20"/>
          <w:color w:val="auto"/>
        </w:rPr>
      </w:pPr>
    </w:p>
    <w:p>
      <w:pPr>
        <w:ind w:left="560" w:right="119" w:hanging="219"/>
        <w:spacing w:after="0" w:line="265" w:lineRule="auto"/>
        <w:tabs>
          <w:tab w:leader="none" w:pos="626" w:val="left"/>
        </w:tabs>
        <w:numPr>
          <w:ilvl w:val="0"/>
          <w:numId w:val="53"/>
        </w:numPr>
        <w:rPr>
          <w:rFonts w:ascii="Arial" w:cs="Arial" w:eastAsia="Arial" w:hAnsi="Arial"/>
          <w:sz w:val="22"/>
          <w:szCs w:val="22"/>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41" w:lineRule="exact"/>
        <w:rPr>
          <w:rFonts w:ascii="Arial" w:cs="Arial" w:eastAsia="Arial" w:hAnsi="Arial"/>
          <w:sz w:val="22"/>
          <w:szCs w:val="22"/>
          <w:color w:val="auto"/>
        </w:rPr>
      </w:pPr>
    </w:p>
    <w:p>
      <w:pPr>
        <w:ind w:left="560" w:right="279" w:hanging="219"/>
        <w:spacing w:after="0" w:line="256" w:lineRule="auto"/>
        <w:tabs>
          <w:tab w:leader="none" w:pos="626" w:val="left"/>
        </w:tabs>
        <w:numPr>
          <w:ilvl w:val="0"/>
          <w:numId w:val="53"/>
        </w:numPr>
        <w:rPr>
          <w:rFonts w:ascii="Arial" w:cs="Arial" w:eastAsia="Arial" w:hAnsi="Arial"/>
          <w:sz w:val="22"/>
          <w:szCs w:val="22"/>
          <w:color w:val="auto"/>
        </w:rPr>
      </w:pPr>
      <w:r>
        <w:rPr>
          <w:rFonts w:ascii="Arial" w:cs="Arial" w:eastAsia="Arial" w:hAnsi="Arial"/>
          <w:sz w:val="18"/>
          <w:szCs w:val="18"/>
          <w:color w:val="auto"/>
        </w:rPr>
        <w:t>determining whether to approve certain related party transactions (including transactions in which an oﬃce holder has a personal interest and whether such transaction is extraordinary or material under the Israeli Companies Law) (see “—Approval of Related Party Transactions under Israeli Law”);</w:t>
      </w:r>
    </w:p>
    <w:p>
      <w:pPr>
        <w:spacing w:after="0" w:line="382" w:lineRule="exact"/>
        <w:rPr>
          <w:rFonts w:ascii="Arial" w:cs="Arial" w:eastAsia="Arial" w:hAnsi="Arial"/>
          <w:sz w:val="22"/>
          <w:szCs w:val="22"/>
          <w:color w:val="auto"/>
        </w:rPr>
      </w:pPr>
    </w:p>
    <w:p>
      <w:pPr>
        <w:ind w:left="560" w:right="179" w:hanging="219"/>
        <w:spacing w:after="0" w:line="256" w:lineRule="auto"/>
        <w:tabs>
          <w:tab w:leader="none" w:pos="626" w:val="left"/>
        </w:tabs>
        <w:numPr>
          <w:ilvl w:val="0"/>
          <w:numId w:val="53"/>
        </w:numPr>
        <w:rPr>
          <w:rFonts w:ascii="Arial" w:cs="Arial" w:eastAsia="Arial" w:hAnsi="Arial"/>
          <w:sz w:val="22"/>
          <w:szCs w:val="22"/>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382" w:lineRule="exact"/>
        <w:rPr>
          <w:rFonts w:ascii="Arial" w:cs="Arial" w:eastAsia="Arial" w:hAnsi="Arial"/>
          <w:sz w:val="22"/>
          <w:szCs w:val="22"/>
          <w:color w:val="auto"/>
        </w:rPr>
      </w:pPr>
    </w:p>
    <w:p>
      <w:pPr>
        <w:ind w:left="560" w:right="279" w:hanging="219"/>
        <w:spacing w:after="0" w:line="259" w:lineRule="auto"/>
        <w:tabs>
          <w:tab w:leader="none" w:pos="626" w:val="left"/>
        </w:tabs>
        <w:numPr>
          <w:ilvl w:val="0"/>
          <w:numId w:val="53"/>
        </w:numPr>
        <w:rPr>
          <w:rFonts w:ascii="Arial" w:cs="Arial" w:eastAsia="Arial" w:hAnsi="Arial"/>
          <w:sz w:val="22"/>
          <w:szCs w:val="22"/>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381" w:lineRule="exact"/>
        <w:rPr>
          <w:rFonts w:ascii="Arial" w:cs="Arial" w:eastAsia="Arial" w:hAnsi="Arial"/>
          <w:sz w:val="22"/>
          <w:szCs w:val="22"/>
          <w:color w:val="auto"/>
        </w:rPr>
      </w:pPr>
    </w:p>
    <w:p>
      <w:pPr>
        <w:ind w:left="560" w:right="119" w:hanging="219"/>
        <w:spacing w:after="0" w:line="285" w:lineRule="auto"/>
        <w:tabs>
          <w:tab w:leader="none" w:pos="626" w:val="left"/>
        </w:tabs>
        <w:numPr>
          <w:ilvl w:val="0"/>
          <w:numId w:val="53"/>
        </w:numPr>
        <w:rPr>
          <w:rFonts w:ascii="Arial" w:cs="Arial" w:eastAsia="Arial" w:hAnsi="Arial"/>
          <w:sz w:val="22"/>
          <w:szCs w:val="22"/>
          <w:color w:val="auto"/>
        </w:rPr>
      </w:pPr>
      <w:r>
        <w:rPr>
          <w:rFonts w:ascii="Arial" w:cs="Arial" w:eastAsia="Arial" w:hAnsi="Arial"/>
          <w:sz w:val="18"/>
          <w:szCs w:val="18"/>
          <w:color w:val="auto"/>
        </w:rPr>
        <w:t>examining our internal audit controls and internal auditor’s performance, including whether the internal auditor has suﬃcient resources and tools to fulfill his responsibilities;</w:t>
      </w:r>
    </w:p>
    <w:p>
      <w:pPr>
        <w:spacing w:after="0" w:line="115" w:lineRule="exact"/>
        <w:rPr>
          <w:rFonts w:ascii="Arial" w:cs="Arial" w:eastAsia="Arial" w:hAnsi="Arial"/>
          <w:sz w:val="22"/>
          <w:szCs w:val="22"/>
          <w:color w:val="auto"/>
        </w:rPr>
      </w:pPr>
    </w:p>
    <w:p>
      <w:pPr>
        <w:ind w:left="560" w:right="259" w:hanging="219"/>
        <w:spacing w:after="0" w:line="265" w:lineRule="auto"/>
        <w:tabs>
          <w:tab w:leader="none" w:pos="626" w:val="left"/>
        </w:tabs>
        <w:numPr>
          <w:ilvl w:val="0"/>
          <w:numId w:val="53"/>
        </w:numPr>
        <w:rPr>
          <w:rFonts w:ascii="Arial" w:cs="Arial" w:eastAsia="Arial" w:hAnsi="Arial"/>
          <w:sz w:val="22"/>
          <w:szCs w:val="22"/>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41" w:lineRule="exact"/>
        <w:rPr>
          <w:rFonts w:ascii="Arial" w:cs="Arial" w:eastAsia="Arial" w:hAnsi="Arial"/>
          <w:sz w:val="22"/>
          <w:szCs w:val="22"/>
          <w:color w:val="auto"/>
        </w:rPr>
      </w:pPr>
    </w:p>
    <w:p>
      <w:pPr>
        <w:ind w:left="560" w:right="259" w:hanging="219"/>
        <w:spacing w:after="0" w:line="285" w:lineRule="auto"/>
        <w:tabs>
          <w:tab w:leader="none" w:pos="626" w:val="left"/>
        </w:tabs>
        <w:numPr>
          <w:ilvl w:val="0"/>
          <w:numId w:val="53"/>
        </w:numPr>
        <w:rPr>
          <w:rFonts w:ascii="Arial" w:cs="Arial" w:eastAsia="Arial" w:hAnsi="Arial"/>
          <w:sz w:val="22"/>
          <w:szCs w:val="22"/>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02" w:lineRule="exact"/>
        <w:rPr>
          <w:sz w:val="20"/>
          <w:szCs w:val="20"/>
          <w:color w:val="auto"/>
        </w:rPr>
      </w:pPr>
    </w:p>
    <w:p>
      <w:pPr>
        <w:ind w:left="120" w:right="319" w:firstLine="216"/>
        <w:spacing w:after="0" w:line="279" w:lineRule="auto"/>
        <w:rPr>
          <w:sz w:val="20"/>
          <w:szCs w:val="20"/>
          <w:color w:val="auto"/>
        </w:rPr>
      </w:pPr>
      <w:r>
        <w:rPr>
          <w:rFonts w:ascii="Arial" w:cs="Arial" w:eastAsia="Arial" w:hAnsi="Arial"/>
          <w:sz w:val="18"/>
          <w:szCs w:val="18"/>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193" w:lineRule="exact"/>
        <w:rPr>
          <w:sz w:val="20"/>
          <w:szCs w:val="20"/>
          <w:color w:val="auto"/>
        </w:rPr>
      </w:pPr>
    </w:p>
    <w:p>
      <w:pPr>
        <w:jc w:val="both"/>
        <w:ind w:left="120" w:right="239" w:firstLine="216"/>
        <w:spacing w:after="0" w:line="294" w:lineRule="auto"/>
        <w:rPr>
          <w:sz w:val="20"/>
          <w:szCs w:val="20"/>
          <w:color w:val="auto"/>
        </w:rPr>
      </w:pPr>
      <w:r>
        <w:rPr>
          <w:rFonts w:ascii="Arial" w:cs="Arial" w:eastAsia="Arial" w:hAnsi="Arial"/>
          <w:sz w:val="18"/>
          <w:szCs w:val="18"/>
          <w:color w:val="auto"/>
        </w:rPr>
        <w:t>Following the listing of our ordinary shares on the NASDAQ Global Market, our compensation committee will consist of our two external directors, Jerry Mandel (Chairman) and Lauri Hanover as well as Alon Lumbroso.</w:t>
      </w:r>
    </w:p>
    <w:p>
      <w:pPr>
        <w:spacing w:after="0" w:line="14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Israeli Companies Law Requirements</w:t>
      </w:r>
    </w:p>
    <w:p>
      <w:pPr>
        <w:spacing w:after="0" w:line="185"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Under the Israeli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Market, and who do not have a controlling shareholder, do not have to meet this majority requirement; provided, however, that the compensation committee meets other Israeli Companies Law composition requirements, as well as the requirements of the jurisdiction where the company’s securities are traded. As we currently have a controlling shareholder, we are obligated to meet the majority requirement, although this may change in the future. Each compensation committee member who is not an</w:t>
      </w:r>
    </w:p>
    <w:p>
      <w:pPr>
        <w:sectPr>
          <w:pgSz w:w="11900" w:h="16838" w:orient="portrait"/>
          <w:cols w:equalWidth="0" w:num="1">
            <w:col w:w="9019"/>
          </w:cols>
          <w:pgMar w:left="1440" w:top="322" w:right="1440" w:bottom="758"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2" w:right="1440" w:bottom="758" w:gutter="0" w:footer="0" w:header="0"/>
          <w:type w:val="continuous"/>
        </w:sectPr>
      </w:pPr>
    </w:p>
    <w:bookmarkStart w:id="82" w:name="page83"/>
    <w:bookmarkEnd w:id="82"/>
    <w:p>
      <w:pPr>
        <w:ind w:left="120" w:right="119"/>
        <w:spacing w:after="0" w:line="264" w:lineRule="auto"/>
        <w:rPr>
          <w:sz w:val="20"/>
          <w:szCs w:val="20"/>
          <w:color w:val="auto"/>
        </w:rPr>
      </w:pPr>
      <w:r>
        <w:rPr>
          <w:rFonts w:ascii="Arial" w:cs="Arial" w:eastAsia="Arial" w:hAnsi="Arial"/>
          <w:sz w:val="18"/>
          <w:szCs w:val="18"/>
          <w:color w:val="auto"/>
        </w:rPr>
        <w:t>external director must be a director whose compensation does not exceed an amount that may be paid to an external director. The compensation committee is subject to the same Israeli Companies Law restrictions as the audit committee as to who may not be a member of the compensation committee.</w:t>
      </w:r>
    </w:p>
    <w:p>
      <w:pPr>
        <w:spacing w:after="0" w:line="149"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duties of the compensation committee include the recommendation to the company’s board of directors of a policy regarding the terms of engagement of oﬃce holders, to which we refer as a compensation policy. That policy must be adopted by the company’s board of directors, after considering the recommendations of the compensation committee, and will need to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 We will be required to adopt a compensation policy within nine months following our listing on the NASDAQ Global Market.</w:t>
      </w:r>
    </w:p>
    <w:p>
      <w:pPr>
        <w:spacing w:after="0" w:line="360"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oﬃce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oﬃce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200" w:lineRule="exact"/>
        <w:rPr>
          <w:sz w:val="20"/>
          <w:szCs w:val="20"/>
          <w:color w:val="auto"/>
        </w:rPr>
      </w:pPr>
    </w:p>
    <w:p>
      <w:pPr>
        <w:spacing w:after="0" w:line="383" w:lineRule="exact"/>
        <w:rPr>
          <w:sz w:val="20"/>
          <w:szCs w:val="20"/>
          <w:color w:val="auto"/>
        </w:rPr>
      </w:pPr>
    </w:p>
    <w:p>
      <w:pPr>
        <w:ind w:left="120" w:right="119" w:firstLine="216"/>
        <w:spacing w:after="0" w:line="272" w:lineRule="auto"/>
        <w:rPr>
          <w:sz w:val="20"/>
          <w:szCs w:val="20"/>
          <w:color w:val="auto"/>
        </w:rPr>
      </w:pPr>
      <w:r>
        <w:rPr>
          <w:rFonts w:ascii="Arial" w:cs="Arial" w:eastAsia="Arial" w:hAnsi="Arial"/>
          <w:sz w:val="18"/>
          <w:szCs w:val="18"/>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oﬃce holders as well as functions previously fulfilled by a company’s audit committee with respect to matters related to approval of the terms of engagement of oﬃce holders, including:</w:t>
      </w:r>
    </w:p>
    <w:p>
      <w:pPr>
        <w:spacing w:after="0" w:line="137" w:lineRule="exact"/>
        <w:rPr>
          <w:sz w:val="20"/>
          <w:szCs w:val="20"/>
          <w:color w:val="auto"/>
        </w:rPr>
      </w:pPr>
    </w:p>
    <w:p>
      <w:pPr>
        <w:ind w:left="560" w:right="519" w:hanging="219"/>
        <w:spacing w:after="0" w:line="256" w:lineRule="auto"/>
        <w:tabs>
          <w:tab w:leader="none" w:pos="626" w:val="left"/>
        </w:tabs>
        <w:numPr>
          <w:ilvl w:val="0"/>
          <w:numId w:val="54"/>
        </w:numPr>
        <w:rPr>
          <w:rFonts w:ascii="Arial" w:cs="Arial" w:eastAsia="Arial" w:hAnsi="Arial"/>
          <w:sz w:val="22"/>
          <w:szCs w:val="22"/>
          <w:color w:val="auto"/>
        </w:rPr>
      </w:pPr>
      <w:r>
        <w:rPr>
          <w:rFonts w:ascii="Arial" w:cs="Arial" w:eastAsia="Arial" w:hAnsi="Arial"/>
          <w:sz w:val="18"/>
          <w:szCs w:val="18"/>
          <w:color w:val="auto"/>
        </w:rPr>
        <w:t>recommending whether a compensation policy should continue in eﬀect, if the then-current policy has a term of greater than three years (approval of either a new compensation policy or the continuation of an existing compensation policy must in any case occur every three years);</w:t>
      </w:r>
    </w:p>
    <w:p>
      <w:pPr>
        <w:spacing w:after="0" w:line="382" w:lineRule="exact"/>
        <w:rPr>
          <w:rFonts w:ascii="Arial" w:cs="Arial" w:eastAsia="Arial" w:hAnsi="Arial"/>
          <w:sz w:val="22"/>
          <w:szCs w:val="22"/>
          <w:color w:val="auto"/>
        </w:rPr>
      </w:pPr>
    </w:p>
    <w:p>
      <w:pPr>
        <w:ind w:left="560" w:right="319" w:hanging="219"/>
        <w:spacing w:after="0" w:line="285" w:lineRule="auto"/>
        <w:tabs>
          <w:tab w:leader="none" w:pos="626" w:val="left"/>
        </w:tabs>
        <w:numPr>
          <w:ilvl w:val="0"/>
          <w:numId w:val="54"/>
        </w:numPr>
        <w:rPr>
          <w:rFonts w:ascii="Arial" w:cs="Arial" w:eastAsia="Arial" w:hAnsi="Arial"/>
          <w:sz w:val="22"/>
          <w:szCs w:val="22"/>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115" w:lineRule="exact"/>
        <w:rPr>
          <w:rFonts w:ascii="Arial" w:cs="Arial" w:eastAsia="Arial" w:hAnsi="Arial"/>
          <w:sz w:val="22"/>
          <w:szCs w:val="22"/>
          <w:color w:val="auto"/>
        </w:rPr>
      </w:pPr>
    </w:p>
    <w:p>
      <w:pPr>
        <w:ind w:left="560" w:right="239" w:hanging="219"/>
        <w:spacing w:after="0" w:line="285" w:lineRule="auto"/>
        <w:tabs>
          <w:tab w:leader="none" w:pos="626" w:val="left"/>
        </w:tabs>
        <w:numPr>
          <w:ilvl w:val="0"/>
          <w:numId w:val="54"/>
        </w:numPr>
        <w:rPr>
          <w:rFonts w:ascii="Arial" w:cs="Arial" w:eastAsia="Arial" w:hAnsi="Arial"/>
          <w:sz w:val="22"/>
          <w:szCs w:val="22"/>
          <w:color w:val="auto"/>
        </w:rPr>
      </w:pPr>
      <w:r>
        <w:rPr>
          <w:rFonts w:ascii="Arial" w:cs="Arial" w:eastAsia="Arial" w:hAnsi="Arial"/>
          <w:sz w:val="18"/>
          <w:szCs w:val="18"/>
          <w:color w:val="auto"/>
        </w:rPr>
        <w:t>approving compensation terms of executive oﬃcers, directors and employees that require approval of the compensation committee;</w:t>
      </w:r>
    </w:p>
    <w:p>
      <w:pPr>
        <w:spacing w:after="0" w:line="115" w:lineRule="exact"/>
        <w:rPr>
          <w:rFonts w:ascii="Arial" w:cs="Arial" w:eastAsia="Arial" w:hAnsi="Arial"/>
          <w:sz w:val="22"/>
          <w:szCs w:val="22"/>
          <w:color w:val="auto"/>
        </w:rPr>
      </w:pPr>
    </w:p>
    <w:p>
      <w:pPr>
        <w:ind w:left="560" w:right="219" w:hanging="219"/>
        <w:spacing w:after="0" w:line="256" w:lineRule="auto"/>
        <w:tabs>
          <w:tab w:leader="none" w:pos="626" w:val="left"/>
        </w:tabs>
        <w:numPr>
          <w:ilvl w:val="0"/>
          <w:numId w:val="54"/>
        </w:numPr>
        <w:rPr>
          <w:rFonts w:ascii="Arial" w:cs="Arial" w:eastAsia="Arial" w:hAnsi="Arial"/>
          <w:sz w:val="22"/>
          <w:szCs w:val="22"/>
          <w:color w:val="auto"/>
        </w:rPr>
      </w:pPr>
      <w:r>
        <w:rPr>
          <w:rFonts w:ascii="Arial" w:cs="Arial" w:eastAsia="Arial" w:hAnsi="Arial"/>
          <w:sz w:val="18"/>
          <w:szCs w:val="18"/>
          <w:color w:val="auto"/>
        </w:rPr>
        <w:t>determining whether the compensation terms of a chief executive oﬃcer nominee, which were determined pursuant to the compensation policy, will be exempt from approval of the shareholders because such approval would harm the ability to engage with such nominee; and</w:t>
      </w:r>
    </w:p>
    <w:p>
      <w:pPr>
        <w:spacing w:after="0" w:line="382" w:lineRule="exact"/>
        <w:rPr>
          <w:rFonts w:ascii="Arial" w:cs="Arial" w:eastAsia="Arial" w:hAnsi="Arial"/>
          <w:sz w:val="22"/>
          <w:szCs w:val="22"/>
          <w:color w:val="auto"/>
        </w:rPr>
      </w:pPr>
    </w:p>
    <w:p>
      <w:pPr>
        <w:ind w:left="560" w:right="439" w:hanging="219"/>
        <w:spacing w:after="0" w:line="259" w:lineRule="auto"/>
        <w:tabs>
          <w:tab w:leader="none" w:pos="626" w:val="left"/>
        </w:tabs>
        <w:numPr>
          <w:ilvl w:val="0"/>
          <w:numId w:val="54"/>
        </w:numPr>
        <w:rPr>
          <w:rFonts w:ascii="Arial" w:cs="Arial" w:eastAsia="Arial" w:hAnsi="Arial"/>
          <w:sz w:val="22"/>
          <w:szCs w:val="22"/>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NASDAQ Listing Requirements</w:t>
      </w:r>
    </w:p>
    <w:p>
      <w:pPr>
        <w:spacing w:after="0" w:line="171" w:lineRule="exact"/>
        <w:rPr>
          <w:sz w:val="20"/>
          <w:szCs w:val="20"/>
          <w:color w:val="auto"/>
        </w:rPr>
      </w:pPr>
    </w:p>
    <w:p>
      <w:pPr>
        <w:ind w:left="120" w:right="259" w:firstLine="216"/>
        <w:spacing w:after="0" w:line="269" w:lineRule="auto"/>
        <w:rPr>
          <w:sz w:val="20"/>
          <w:szCs w:val="20"/>
          <w:color w:val="auto"/>
        </w:rPr>
      </w:pPr>
      <w:r>
        <w:rPr>
          <w:rFonts w:ascii="Arial" w:cs="Arial" w:eastAsia="Arial" w:hAnsi="Arial"/>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diﬀerent from the general test for independence of board and committee members. Each of the members of our compensation committee will satisfy those requirements.</w:t>
      </w:r>
    </w:p>
    <w:p>
      <w:pPr>
        <w:sectPr>
          <w:pgSz w:w="11900" w:h="16838" w:orient="portrait"/>
          <w:cols w:equalWidth="0" w:num="1">
            <w:col w:w="9019"/>
          </w:cols>
          <w:pgMar w:left="1440" w:top="125"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3" w:name="page84"/>
    <w:bookmarkEnd w:id="83"/>
    <w:p>
      <w:pPr>
        <w:ind w:left="120"/>
        <w:spacing w:after="0"/>
        <w:rPr>
          <w:sz w:val="20"/>
          <w:szCs w:val="20"/>
          <w:color w:val="auto"/>
        </w:rPr>
      </w:pPr>
      <w:r>
        <w:rPr>
          <w:rFonts w:ascii="Courier New" w:cs="Courier New" w:eastAsia="Courier New" w:hAnsi="Courier New"/>
          <w:sz w:val="18"/>
          <w:szCs w:val="18"/>
          <w:i w:val="1"/>
          <w:iCs w:val="1"/>
          <w:color w:val="auto"/>
        </w:rPr>
        <w:t>Compensation Committee Role</w:t>
      </w:r>
    </w:p>
    <w:p>
      <w:pPr>
        <w:spacing w:after="0" w:line="171" w:lineRule="exact"/>
        <w:rPr>
          <w:sz w:val="20"/>
          <w:szCs w:val="20"/>
          <w:color w:val="auto"/>
        </w:rPr>
      </w:pPr>
    </w:p>
    <w:p>
      <w:pPr>
        <w:ind w:left="120" w:right="299" w:firstLine="216"/>
        <w:spacing w:after="0" w:line="294" w:lineRule="auto"/>
        <w:rPr>
          <w:sz w:val="20"/>
          <w:szCs w:val="20"/>
          <w:color w:val="auto"/>
        </w:rPr>
      </w:pPr>
      <w:r>
        <w:rPr>
          <w:rFonts w:ascii="Arial" w:cs="Arial" w:eastAsia="Arial" w:hAnsi="Arial"/>
          <w:sz w:val="18"/>
          <w:szCs w:val="18"/>
          <w:color w:val="auto"/>
        </w:rPr>
        <w:t>Our board of directors will adopt a compensation committee charter to be eﬀective upon the listing of our shares on the NASDAQ Stock Market setting forth the responsibilities of the compensation committee, which include:</w:t>
      </w:r>
    </w:p>
    <w:p>
      <w:pPr>
        <w:spacing w:after="0" w:line="90" w:lineRule="exact"/>
        <w:rPr>
          <w:sz w:val="20"/>
          <w:szCs w:val="20"/>
          <w:color w:val="auto"/>
        </w:rPr>
      </w:pPr>
    </w:p>
    <w:p>
      <w:pPr>
        <w:ind w:left="620" w:hanging="279"/>
        <w:spacing w:after="0"/>
        <w:tabs>
          <w:tab w:leader="none" w:pos="620" w:val="left"/>
        </w:tabs>
        <w:numPr>
          <w:ilvl w:val="0"/>
          <w:numId w:val="55"/>
        </w:numPr>
        <w:rPr>
          <w:rFonts w:ascii="Arial" w:cs="Arial" w:eastAsia="Arial" w:hAnsi="Arial"/>
          <w:sz w:val="22"/>
          <w:szCs w:val="22"/>
          <w:color w:val="auto"/>
        </w:rPr>
      </w:pPr>
      <w:r>
        <w:rPr>
          <w:rFonts w:ascii="Arial" w:cs="Arial" w:eastAsia="Arial" w:hAnsi="Arial"/>
          <w:sz w:val="18"/>
          <w:szCs w:val="18"/>
          <w:color w:val="auto"/>
        </w:rPr>
        <w:t>the responsibilities set forth in the compensation policy;</w:t>
      </w:r>
    </w:p>
    <w:p>
      <w:pPr>
        <w:spacing w:after="0" w:line="192" w:lineRule="exact"/>
        <w:rPr>
          <w:rFonts w:ascii="Arial" w:cs="Arial" w:eastAsia="Arial" w:hAnsi="Arial"/>
          <w:sz w:val="22"/>
          <w:szCs w:val="22"/>
          <w:color w:val="auto"/>
        </w:rPr>
      </w:pPr>
    </w:p>
    <w:p>
      <w:pPr>
        <w:ind w:left="560" w:right="299" w:hanging="219"/>
        <w:spacing w:after="0" w:line="285" w:lineRule="auto"/>
        <w:tabs>
          <w:tab w:leader="none" w:pos="626" w:val="left"/>
        </w:tabs>
        <w:numPr>
          <w:ilvl w:val="0"/>
          <w:numId w:val="55"/>
        </w:numPr>
        <w:rPr>
          <w:rFonts w:ascii="Arial" w:cs="Arial" w:eastAsia="Arial" w:hAnsi="Arial"/>
          <w:sz w:val="22"/>
          <w:szCs w:val="22"/>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115" w:lineRule="exact"/>
        <w:rPr>
          <w:rFonts w:ascii="Arial" w:cs="Arial" w:eastAsia="Arial" w:hAnsi="Arial"/>
          <w:sz w:val="22"/>
          <w:szCs w:val="22"/>
          <w:color w:val="auto"/>
        </w:rPr>
      </w:pPr>
    </w:p>
    <w:p>
      <w:pPr>
        <w:ind w:left="560" w:right="639" w:hanging="219"/>
        <w:spacing w:after="0" w:line="285" w:lineRule="auto"/>
        <w:tabs>
          <w:tab w:leader="none" w:pos="626" w:val="left"/>
        </w:tabs>
        <w:numPr>
          <w:ilvl w:val="0"/>
          <w:numId w:val="55"/>
        </w:numPr>
        <w:rPr>
          <w:rFonts w:ascii="Arial" w:cs="Arial" w:eastAsia="Arial" w:hAnsi="Arial"/>
          <w:sz w:val="22"/>
          <w:szCs w:val="22"/>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Compensation of Executive Officers</w:t>
      </w:r>
    </w:p>
    <w:p>
      <w:pPr>
        <w:spacing w:after="0" w:line="179" w:lineRule="exact"/>
        <w:rPr>
          <w:sz w:val="20"/>
          <w:szCs w:val="20"/>
          <w:color w:val="auto"/>
        </w:rPr>
      </w:pPr>
    </w:p>
    <w:p>
      <w:pPr>
        <w:ind w:left="120" w:right="179" w:firstLine="216"/>
        <w:spacing w:after="0" w:line="258" w:lineRule="auto"/>
        <w:rPr>
          <w:sz w:val="20"/>
          <w:szCs w:val="20"/>
          <w:color w:val="auto"/>
        </w:rPr>
      </w:pPr>
      <w:r>
        <w:rPr>
          <w:rFonts w:ascii="Arial" w:cs="Arial" w:eastAsia="Arial" w:hAnsi="Arial"/>
          <w:sz w:val="18"/>
          <w:szCs w:val="18"/>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Oﬃcer and other two most highly compensated executive oﬃcers on an individual, rather than an aggregate, basis. Nevertheless, a recent amendment to regulations promulgated under the Israeli Companies Law will require us, after we become a public company, to disclose the annual compensation of our five most highly compensated oﬃce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79" w:lineRule="exact"/>
        <w:rPr>
          <w:sz w:val="20"/>
          <w:szCs w:val="20"/>
          <w:color w:val="auto"/>
        </w:rPr>
      </w:pPr>
    </w:p>
    <w:p>
      <w:pPr>
        <w:ind w:left="120" w:right="319" w:firstLine="216"/>
        <w:spacing w:after="0" w:line="265" w:lineRule="auto"/>
        <w:rPr>
          <w:sz w:val="20"/>
          <w:szCs w:val="20"/>
          <w:color w:val="auto"/>
        </w:rPr>
      </w:pPr>
      <w:r>
        <w:rPr>
          <w:rFonts w:ascii="Arial" w:cs="Arial" w:eastAsia="Arial" w:hAnsi="Arial"/>
          <w:sz w:val="18"/>
          <w:szCs w:val="18"/>
          <w:color w:val="auto"/>
        </w:rPr>
        <w:t>Under the Israeli Companies Law, compensation of directors requires the approval of a company’s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344" w:lineRule="exact"/>
        <w:rPr>
          <w:sz w:val="20"/>
          <w:szCs w:val="20"/>
          <w:color w:val="auto"/>
        </w:rPr>
      </w:pPr>
    </w:p>
    <w:p>
      <w:pPr>
        <w:ind w:left="120" w:right="419" w:firstLine="216"/>
        <w:spacing w:after="0" w:line="294"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04" w:lineRule="exact"/>
        <w:rPr>
          <w:sz w:val="20"/>
          <w:szCs w:val="20"/>
          <w:color w:val="auto"/>
        </w:rPr>
      </w:pPr>
    </w:p>
    <w:p>
      <w:pPr>
        <w:ind w:left="120" w:right="459" w:firstLine="216"/>
        <w:spacing w:after="0" w:line="338" w:lineRule="auto"/>
        <w:rPr>
          <w:sz w:val="20"/>
          <w:szCs w:val="20"/>
          <w:color w:val="auto"/>
        </w:rPr>
      </w:pPr>
      <w:r>
        <w:rPr>
          <w:rFonts w:ascii="Arial" w:cs="Arial" w:eastAsia="Arial" w:hAnsi="Arial"/>
          <w:sz w:val="18"/>
          <w:szCs w:val="18"/>
          <w:color w:val="auto"/>
        </w:rPr>
        <w:t>External directors are entitled to remuneration subject to the provisions and limitations set forth in the regulations promulgated under the Israeli Companies Law.</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“—Compensation of Oﬃcers and Directors.”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193" w:lineRule="exact"/>
        <w:rPr>
          <w:sz w:val="20"/>
          <w:szCs w:val="20"/>
          <w:color w:val="auto"/>
        </w:rPr>
      </w:pPr>
    </w:p>
    <w:p>
      <w:pPr>
        <w:ind w:left="120" w:right="339" w:firstLine="216"/>
        <w:spacing w:after="0" w:line="312"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 internal auditor may not be:</w:t>
      </w:r>
    </w:p>
    <w:p>
      <w:pPr>
        <w:spacing w:after="0" w:line="340" w:lineRule="exact"/>
        <w:rPr>
          <w:sz w:val="20"/>
          <w:szCs w:val="20"/>
          <w:color w:val="auto"/>
        </w:rPr>
      </w:pPr>
    </w:p>
    <w:p>
      <w:pPr>
        <w:ind w:left="560" w:right="419" w:hanging="219"/>
        <w:spacing w:after="0" w:line="285" w:lineRule="auto"/>
        <w:tabs>
          <w:tab w:leader="none" w:pos="626"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person (or a relative of a person) who holds 5% or more of the company’s outstanding shares or voting rights;</w:t>
      </w:r>
    </w:p>
    <w:p>
      <w:pPr>
        <w:spacing w:after="0" w:line="115" w:lineRule="exact"/>
        <w:rPr>
          <w:rFonts w:ascii="Arial" w:cs="Arial" w:eastAsia="Arial" w:hAnsi="Arial"/>
          <w:sz w:val="22"/>
          <w:szCs w:val="22"/>
          <w:color w:val="auto"/>
        </w:rPr>
      </w:pPr>
    </w:p>
    <w:p>
      <w:pPr>
        <w:ind w:left="560" w:right="239" w:hanging="219"/>
        <w:spacing w:after="0" w:line="285" w:lineRule="auto"/>
        <w:tabs>
          <w:tab w:leader="none" w:pos="626"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an oﬃce holder (including a director) of the company (or a relative thereof); or</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member of the company’s independent auditor, or anyone on its behalf.</w:t>
      </w:r>
    </w:p>
    <w:p>
      <w:pPr>
        <w:spacing w:after="0" w:line="179" w:lineRule="exact"/>
        <w:rPr>
          <w:sz w:val="20"/>
          <w:szCs w:val="20"/>
          <w:color w:val="auto"/>
        </w:rPr>
      </w:pPr>
    </w:p>
    <w:p>
      <w:pPr>
        <w:ind w:left="120" w:right="239" w:firstLine="216"/>
        <w:spacing w:after="0" w:line="294"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w:t>
      </w:r>
    </w:p>
    <w:p>
      <w:pPr>
        <w:sectPr>
          <w:pgSz w:w="11900" w:h="16838" w:orient="portrait"/>
          <w:cols w:equalWidth="0" w:num="1">
            <w:col w:w="9019"/>
          </w:cols>
          <w:pgMar w:left="1440" w:top="136"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type w:val="continuous"/>
        </w:sectPr>
      </w:pPr>
    </w:p>
    <w:bookmarkStart w:id="84" w:name="page85"/>
    <w:bookmarkEnd w:id="84"/>
    <w:p>
      <w:pPr>
        <w:ind w:left="120" w:right="299"/>
        <w:spacing w:after="0" w:line="277" w:lineRule="auto"/>
        <w:rPr>
          <w:sz w:val="20"/>
          <w:szCs w:val="20"/>
          <w:color w:val="auto"/>
        </w:rPr>
      </w:pPr>
      <w:r>
        <w:rPr>
          <w:rFonts w:ascii="Arial" w:cs="Arial" w:eastAsia="Arial" w:hAnsi="Arial"/>
          <w:sz w:val="18"/>
          <w:szCs w:val="18"/>
          <w:color w:val="auto"/>
        </w:rPr>
        <w:t>auditor as well as to review the internal auditor’s work plan. We intend to appoint an internal auditor prior to our listing on the NASDAQ Global Market.</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193" w:lineRule="exact"/>
        <w:rPr>
          <w:sz w:val="20"/>
          <w:szCs w:val="20"/>
          <w:color w:val="auto"/>
        </w:rPr>
      </w:pPr>
    </w:p>
    <w:p>
      <w:pPr>
        <w:ind w:left="120" w:right="279" w:firstLine="216"/>
        <w:spacing w:after="0" w:line="294" w:lineRule="auto"/>
        <w:rPr>
          <w:sz w:val="20"/>
          <w:szCs w:val="20"/>
          <w:color w:val="auto"/>
        </w:rPr>
      </w:pPr>
      <w:r>
        <w:rPr>
          <w:rFonts w:ascii="Arial" w:cs="Arial" w:eastAsia="Arial" w:hAnsi="Arial"/>
          <w:sz w:val="18"/>
          <w:szCs w:val="18"/>
          <w:color w:val="auto"/>
        </w:rPr>
        <w:t>The Israeli Companies Law codifies the fiduciary duties that oﬃce holders owe to a company. Each person listed in the table under “Management—Executive Oﬃcers and Directors” is an oﬃce holder under the Israeli Companies Law.</w:t>
      </w:r>
    </w:p>
    <w:p>
      <w:pPr>
        <w:spacing w:after="0" w:line="104" w:lineRule="exact"/>
        <w:rPr>
          <w:sz w:val="20"/>
          <w:szCs w:val="20"/>
          <w:color w:val="auto"/>
        </w:rPr>
      </w:pPr>
    </w:p>
    <w:p>
      <w:pPr>
        <w:ind w:left="120" w:right="299" w:firstLine="216"/>
        <w:spacing w:after="0" w:line="279" w:lineRule="auto"/>
        <w:rPr>
          <w:sz w:val="20"/>
          <w:szCs w:val="20"/>
          <w:color w:val="auto"/>
        </w:rPr>
      </w:pPr>
      <w:r>
        <w:rPr>
          <w:rFonts w:ascii="Arial" w:cs="Arial" w:eastAsia="Arial" w:hAnsi="Arial"/>
          <w:sz w:val="18"/>
          <w:szCs w:val="18"/>
          <w:color w:val="auto"/>
        </w:rPr>
        <w:t>An oﬃce holder’s fiduciary duties consist of a duty of care and a duty of loyalty. The duty of care requires an oﬃce holder to act with the level of care with which a reasonable oﬃce holder in the same position would have acted under the same circumstances. The duty of loyalty requires that an oﬃce holder act in good faith and in the best interests of the company.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39" w:lineRule="exact"/>
        <w:rPr>
          <w:sz w:val="20"/>
          <w:szCs w:val="20"/>
          <w:color w:val="auto"/>
        </w:rPr>
      </w:pPr>
    </w:p>
    <w:p>
      <w:pPr>
        <w:ind w:left="560" w:right="1019" w:hanging="219"/>
        <w:spacing w:after="0" w:line="285" w:lineRule="auto"/>
        <w:tabs>
          <w:tab w:leader="none" w:pos="626" w:val="left"/>
        </w:tabs>
        <w:numPr>
          <w:ilvl w:val="0"/>
          <w:numId w:val="57"/>
        </w:numPr>
        <w:rPr>
          <w:rFonts w:ascii="Arial" w:cs="Arial" w:eastAsia="Arial" w:hAnsi="Arial"/>
          <w:sz w:val="22"/>
          <w:szCs w:val="22"/>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all other important information pertaining to any such action.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duty of loyalty includes a duty to:</w:t>
      </w:r>
    </w:p>
    <w:p>
      <w:pPr>
        <w:spacing w:after="0" w:line="239" w:lineRule="exact"/>
        <w:rPr>
          <w:sz w:val="20"/>
          <w:szCs w:val="20"/>
          <w:color w:val="auto"/>
        </w:rPr>
      </w:pPr>
    </w:p>
    <w:p>
      <w:pPr>
        <w:ind w:left="560" w:right="499" w:hanging="219"/>
        <w:spacing w:after="0" w:line="285" w:lineRule="auto"/>
        <w:tabs>
          <w:tab w:leader="none" w:pos="626" w:val="left"/>
        </w:tabs>
        <w:numPr>
          <w:ilvl w:val="0"/>
          <w:numId w:val="58"/>
        </w:numPr>
        <w:rPr>
          <w:rFonts w:ascii="Arial" w:cs="Arial" w:eastAsia="Arial" w:hAnsi="Arial"/>
          <w:sz w:val="22"/>
          <w:szCs w:val="22"/>
          <w:color w:val="auto"/>
        </w:rPr>
      </w:pPr>
      <w:r>
        <w:rPr>
          <w:rFonts w:ascii="Arial" w:cs="Arial" w:eastAsia="Arial" w:hAnsi="Arial"/>
          <w:sz w:val="18"/>
          <w:szCs w:val="18"/>
          <w:color w:val="auto"/>
        </w:rPr>
        <w:t>refrain from any conflict of interest between the performance of his or her duties to the company and his or her other duties or personal aﬀairs;</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58"/>
        </w:numPr>
        <w:rPr>
          <w:rFonts w:ascii="Arial" w:cs="Arial" w:eastAsia="Arial" w:hAnsi="Arial"/>
          <w:sz w:val="22"/>
          <w:szCs w:val="22"/>
          <w:color w:val="auto"/>
        </w:rPr>
      </w:pPr>
      <w:r>
        <w:rPr>
          <w:rFonts w:ascii="Arial" w:cs="Arial" w:eastAsia="Arial" w:hAnsi="Arial"/>
          <w:sz w:val="18"/>
          <w:szCs w:val="18"/>
          <w:color w:val="auto"/>
        </w:rPr>
        <w:t>refrain from any activity that is competitive with the business of the company;</w:t>
      </w:r>
    </w:p>
    <w:p>
      <w:pPr>
        <w:spacing w:after="0" w:line="192" w:lineRule="exact"/>
        <w:rPr>
          <w:rFonts w:ascii="Arial" w:cs="Arial" w:eastAsia="Arial" w:hAnsi="Arial"/>
          <w:sz w:val="22"/>
          <w:szCs w:val="22"/>
          <w:color w:val="auto"/>
        </w:rPr>
      </w:pPr>
    </w:p>
    <w:p>
      <w:pPr>
        <w:ind w:left="560" w:right="179" w:hanging="219"/>
        <w:spacing w:after="0" w:line="285" w:lineRule="auto"/>
        <w:tabs>
          <w:tab w:leader="none" w:pos="626" w:val="left"/>
        </w:tabs>
        <w:numPr>
          <w:ilvl w:val="0"/>
          <w:numId w:val="58"/>
        </w:numPr>
        <w:rPr>
          <w:rFonts w:ascii="Arial" w:cs="Arial" w:eastAsia="Arial" w:hAnsi="Arial"/>
          <w:sz w:val="22"/>
          <w:szCs w:val="22"/>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115" w:lineRule="exact"/>
        <w:rPr>
          <w:rFonts w:ascii="Arial" w:cs="Arial" w:eastAsia="Arial" w:hAnsi="Arial"/>
          <w:sz w:val="22"/>
          <w:szCs w:val="22"/>
          <w:color w:val="auto"/>
        </w:rPr>
      </w:pPr>
    </w:p>
    <w:p>
      <w:pPr>
        <w:ind w:left="560" w:right="419" w:hanging="219"/>
        <w:spacing w:after="0" w:line="285" w:lineRule="auto"/>
        <w:tabs>
          <w:tab w:leader="none" w:pos="626" w:val="left"/>
        </w:tabs>
        <w:numPr>
          <w:ilvl w:val="0"/>
          <w:numId w:val="58"/>
        </w:numPr>
        <w:rPr>
          <w:rFonts w:ascii="Arial" w:cs="Arial" w:eastAsia="Arial" w:hAnsi="Arial"/>
          <w:sz w:val="22"/>
          <w:szCs w:val="22"/>
          <w:color w:val="auto"/>
        </w:rPr>
      </w:pPr>
      <w:r>
        <w:rPr>
          <w:rFonts w:ascii="Arial" w:cs="Arial" w:eastAsia="Arial" w:hAnsi="Arial"/>
          <w:sz w:val="18"/>
          <w:szCs w:val="18"/>
          <w:color w:val="auto"/>
        </w:rPr>
        <w:t>disclose to the company any information or documents relating to the company’s aﬀairs which the oﬃce holder received as a result of his or her position as an oﬃce holder.</w:t>
      </w:r>
    </w:p>
    <w:p>
      <w:pPr>
        <w:spacing w:after="0" w:line="148" w:lineRule="exact"/>
        <w:rPr>
          <w:sz w:val="20"/>
          <w:szCs w:val="20"/>
          <w:color w:val="auto"/>
        </w:rPr>
      </w:pPr>
    </w:p>
    <w:p>
      <w:pPr>
        <w:ind w:left="120" w:right="679"/>
        <w:spacing w:after="0" w:line="252" w:lineRule="auto"/>
        <w:rPr>
          <w:sz w:val="20"/>
          <w:szCs w:val="20"/>
          <w:color w:val="auto"/>
        </w:rPr>
      </w:pPr>
      <w:r>
        <w:rPr>
          <w:rFonts w:ascii="Courier New" w:cs="Courier New" w:eastAsia="Courier New" w:hAnsi="Courier New"/>
          <w:sz w:val="18"/>
          <w:szCs w:val="18"/>
          <w:i w:val="1"/>
          <w:iCs w:val="1"/>
          <w:color w:val="auto"/>
        </w:rPr>
        <w:t>Disclosure of Personal Interests of an Office Holder and Approval of Certain Transactions</w:t>
      </w:r>
    </w:p>
    <w:p>
      <w:pPr>
        <w:spacing w:after="0" w:line="174" w:lineRule="exact"/>
        <w:rPr>
          <w:sz w:val="20"/>
          <w:szCs w:val="20"/>
          <w:color w:val="auto"/>
        </w:rPr>
      </w:pPr>
    </w:p>
    <w:p>
      <w:pPr>
        <w:ind w:left="120" w:right="139" w:firstLine="216"/>
        <w:spacing w:after="0" w:line="260" w:lineRule="auto"/>
        <w:rPr>
          <w:sz w:val="20"/>
          <w:szCs w:val="20"/>
          <w:color w:val="auto"/>
        </w:rPr>
      </w:pPr>
      <w:r>
        <w:rPr>
          <w:rFonts w:ascii="Arial" w:cs="Arial" w:eastAsia="Arial" w:hAnsi="Arial"/>
          <w:sz w:val="18"/>
          <w:szCs w:val="18"/>
          <w:color w:val="auto"/>
        </w:rPr>
        <w:t>The Israeli Companies Law requires that an oﬃce holder promptly disclose to the board of directors any personal interest that he or she may be aware of and all related material information or documents concerning any existing or proposed transaction with the company. An interested oﬃce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359" w:lineRule="exact"/>
        <w:rPr>
          <w:sz w:val="20"/>
          <w:szCs w:val="20"/>
          <w:color w:val="auto"/>
        </w:rPr>
      </w:pPr>
    </w:p>
    <w:p>
      <w:pPr>
        <w:ind w:left="120" w:right="199" w:firstLine="216"/>
        <w:spacing w:after="0" w:line="265" w:lineRule="auto"/>
        <w:rPr>
          <w:sz w:val="20"/>
          <w:szCs w:val="20"/>
          <w:color w:val="auto"/>
        </w:rPr>
      </w:pPr>
      <w:r>
        <w:rPr>
          <w:rFonts w:ascii="Arial" w:cs="Arial" w:eastAsia="Arial" w:hAnsi="Arial"/>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371" w:lineRule="exact"/>
        <w:rPr>
          <w:sz w:val="20"/>
          <w:szCs w:val="20"/>
          <w:color w:val="auto"/>
        </w:rPr>
      </w:pPr>
    </w:p>
    <w:p>
      <w:pPr>
        <w:ind w:left="620" w:hanging="279"/>
        <w:spacing w:after="0"/>
        <w:tabs>
          <w:tab w:leader="none" w:pos="620"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transaction other than in the ordinary course of business;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transaction that is not on market terms; or</w:t>
      </w:r>
    </w:p>
    <w:p>
      <w:pPr>
        <w:spacing w:after="0" w:line="192" w:lineRule="exact"/>
        <w:rPr>
          <w:rFonts w:ascii="Arial" w:cs="Arial" w:eastAsia="Arial" w:hAnsi="Arial"/>
          <w:sz w:val="22"/>
          <w:szCs w:val="22"/>
          <w:color w:val="auto"/>
        </w:rPr>
      </w:pPr>
    </w:p>
    <w:p>
      <w:pPr>
        <w:ind w:left="560" w:right="679" w:hanging="219"/>
        <w:spacing w:after="0"/>
        <w:tabs>
          <w:tab w:leader="none" w:pos="626"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transaction that may have a material impact on a company’s profitability, assets or liabilities.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5" w:name="page86"/>
    <w:bookmarkEnd w:id="85"/>
    <w:p>
      <w:pPr>
        <w:ind w:left="120" w:right="199" w:firstLine="216"/>
        <w:spacing w:after="0" w:line="255" w:lineRule="auto"/>
        <w:rPr>
          <w:sz w:val="20"/>
          <w:szCs w:val="20"/>
          <w:color w:val="auto"/>
        </w:rPr>
      </w:pPr>
      <w:r>
        <w:rPr>
          <w:rFonts w:ascii="Arial" w:cs="Arial" w:eastAsia="Arial" w:hAnsi="Arial"/>
          <w:sz w:val="18"/>
          <w:szCs w:val="18"/>
          <w:color w:val="auto"/>
        </w:rPr>
        <w:t>If it is determined that an oﬃce holder has a personal interest in a transaction which is not an extraordinary transaction, approval by the board of directors is required for the transaction, unless the company’s articles of association provide for a diﬀerent method of approval. Further, so long as an oﬃce holder has disclosed his or her personal interest in a transaction, the board of directors may approve an action by the oﬃce holder that would otherwise be deemed a breach of his or her duty of loyalty. However, a company may not approve a transaction or action that is not in the best interests of the company or that is not performed by the oﬃce holder in good faith. An extraordinary transaction in which an oﬃce holder has a personal interest requires approval first by the company’s audit committee and subsequently by the board of directors. The compensation of, or an undertaking to indemnify or insure, an oﬃce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oﬃce holder is the chief executive oﬃcer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200" w:lineRule="exact"/>
        <w:rPr>
          <w:sz w:val="20"/>
          <w:szCs w:val="20"/>
          <w:color w:val="auto"/>
        </w:rPr>
      </w:pPr>
    </w:p>
    <w:p>
      <w:pPr>
        <w:spacing w:after="0" w:line="388" w:lineRule="exact"/>
        <w:rPr>
          <w:sz w:val="20"/>
          <w:szCs w:val="20"/>
          <w:color w:val="auto"/>
        </w:rPr>
      </w:pPr>
    </w:p>
    <w:p>
      <w:pPr>
        <w:ind w:left="120" w:right="119" w:firstLine="216"/>
        <w:spacing w:after="0" w:line="261" w:lineRule="auto"/>
        <w:rPr>
          <w:sz w:val="20"/>
          <w:szCs w:val="20"/>
          <w:color w:val="auto"/>
        </w:rPr>
      </w:pPr>
      <w:r>
        <w:rPr>
          <w:rFonts w:ascii="Arial" w:cs="Arial" w:eastAsia="Arial" w:hAnsi="Arial"/>
          <w:sz w:val="18"/>
          <w:szCs w:val="18"/>
          <w:color w:val="auto"/>
        </w:rPr>
        <w:t>Generally, a person who has a personal interest in a matter which is considered at a meeting of the board of directors or the audit committee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200" w:lineRule="exact"/>
        <w:rPr>
          <w:sz w:val="20"/>
          <w:szCs w:val="20"/>
          <w:color w:val="auto"/>
        </w:rPr>
      </w:pPr>
    </w:p>
    <w:p>
      <w:pPr>
        <w:spacing w:after="0" w:line="206" w:lineRule="exact"/>
        <w:rPr>
          <w:sz w:val="20"/>
          <w:szCs w:val="20"/>
          <w:color w:val="auto"/>
        </w:rPr>
      </w:pPr>
    </w:p>
    <w:p>
      <w:pPr>
        <w:ind w:left="120" w:right="679"/>
        <w:spacing w:after="0" w:line="252" w:lineRule="auto"/>
        <w:rPr>
          <w:sz w:val="20"/>
          <w:szCs w:val="20"/>
          <w:color w:val="auto"/>
        </w:rPr>
      </w:pPr>
      <w:r>
        <w:rPr>
          <w:rFonts w:ascii="Courier New" w:cs="Courier New" w:eastAsia="Courier New" w:hAnsi="Courier New"/>
          <w:sz w:val="18"/>
          <w:szCs w:val="18"/>
          <w:i w:val="1"/>
          <w:iCs w:val="1"/>
          <w:color w:val="auto"/>
        </w:rPr>
        <w:t>Disclosure of Personal Interests of Controlling Shareholders and Approval of Certain Transactions</w:t>
      </w:r>
    </w:p>
    <w:p>
      <w:pPr>
        <w:spacing w:after="0" w:line="174" w:lineRule="exact"/>
        <w:rPr>
          <w:sz w:val="20"/>
          <w:szCs w:val="20"/>
          <w:color w:val="auto"/>
        </w:rPr>
      </w:pPr>
    </w:p>
    <w:p>
      <w:pPr>
        <w:ind w:left="120" w:right="239" w:firstLine="216"/>
        <w:spacing w:after="0" w:line="256" w:lineRule="auto"/>
        <w:rPr>
          <w:sz w:val="20"/>
          <w:szCs w:val="20"/>
          <w:color w:val="auto"/>
        </w:rPr>
      </w:pPr>
      <w:r>
        <w:rPr>
          <w:rFonts w:ascii="Arial" w:cs="Arial" w:eastAsia="Arial" w:hAnsi="Arial"/>
          <w:sz w:val="18"/>
          <w:szCs w:val="18"/>
          <w:color w:val="auto"/>
        </w:rPr>
        <w:t>Pursuant to Israeli law, the disclosure requirements regarding personal interests that apply to directors and executive oﬃcers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 The approval of the audit committee or the compensation committee, the board of directors and the shareholders of the company, in that order, is required for (a) extraordinary transactions with a controlling shareholder or in which a controlling shareholder has a personal interest, (b) the engagement with a controlling shareholder or his or her relative, directly or indirectly, including through a company under control of the controlling shareholder, for the provision of services to the company, (c) the terms of engagement and compensation of a controlling shareholder or his or her relative who is an oﬃce holder or (d) the employment of a controlling shareholder or his or her relative by the company, other than as an oﬃce holder. In addition, the shareholder approval requires one of the following, which we refer to as a Special Majority:</w:t>
      </w:r>
    </w:p>
    <w:p>
      <w:pPr>
        <w:spacing w:after="0" w:line="200" w:lineRule="exact"/>
        <w:rPr>
          <w:sz w:val="20"/>
          <w:szCs w:val="20"/>
          <w:color w:val="auto"/>
        </w:rPr>
      </w:pPr>
    </w:p>
    <w:p>
      <w:pPr>
        <w:spacing w:after="0" w:line="396" w:lineRule="exact"/>
        <w:rPr>
          <w:sz w:val="20"/>
          <w:szCs w:val="20"/>
          <w:color w:val="auto"/>
        </w:rPr>
      </w:pPr>
    </w:p>
    <w:p>
      <w:pPr>
        <w:ind w:left="560" w:right="559" w:hanging="219"/>
        <w:spacing w:after="0" w:line="265" w:lineRule="auto"/>
        <w:tabs>
          <w:tab w:leader="none" w:pos="626" w:val="left"/>
        </w:tabs>
        <w:numPr>
          <w:ilvl w:val="0"/>
          <w:numId w:val="60"/>
        </w:numPr>
        <w:rPr>
          <w:rFonts w:ascii="Arial" w:cs="Arial" w:eastAsia="Arial" w:hAnsi="Arial"/>
          <w:sz w:val="22"/>
          <w:szCs w:val="22"/>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41" w:lineRule="exact"/>
        <w:rPr>
          <w:rFonts w:ascii="Arial" w:cs="Arial" w:eastAsia="Arial" w:hAnsi="Arial"/>
          <w:sz w:val="22"/>
          <w:szCs w:val="22"/>
          <w:color w:val="auto"/>
        </w:rPr>
      </w:pPr>
    </w:p>
    <w:p>
      <w:pPr>
        <w:ind w:left="560" w:right="219" w:hanging="219"/>
        <w:spacing w:after="0" w:line="265" w:lineRule="auto"/>
        <w:tabs>
          <w:tab w:leader="none" w:pos="626" w:val="left"/>
        </w:tabs>
        <w:numPr>
          <w:ilvl w:val="0"/>
          <w:numId w:val="60"/>
        </w:numPr>
        <w:rPr>
          <w:rFonts w:ascii="Arial" w:cs="Arial" w:eastAsia="Arial" w:hAnsi="Arial"/>
          <w:sz w:val="22"/>
          <w:szCs w:val="22"/>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28" w:lineRule="exact"/>
        <w:rPr>
          <w:sz w:val="20"/>
          <w:szCs w:val="20"/>
          <w:color w:val="auto"/>
        </w:rPr>
      </w:pPr>
    </w:p>
    <w:p>
      <w:pPr>
        <w:ind w:left="120" w:right="119" w:firstLine="216"/>
        <w:spacing w:after="0" w:line="279" w:lineRule="auto"/>
        <w:rPr>
          <w:sz w:val="20"/>
          <w:szCs w:val="20"/>
          <w:color w:val="auto"/>
        </w:rPr>
      </w:pPr>
      <w:r>
        <w:rPr>
          <w:rFonts w:ascii="Arial" w:cs="Arial" w:eastAsia="Arial" w:hAnsi="Arial"/>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18" w:lineRule="exact"/>
        <w:rPr>
          <w:sz w:val="20"/>
          <w:szCs w:val="20"/>
          <w:color w:val="auto"/>
        </w:rPr>
      </w:pPr>
    </w:p>
    <w:p>
      <w:pPr>
        <w:ind w:left="120" w:right="339" w:firstLine="216"/>
        <w:spacing w:after="0" w:line="27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oﬃce holder require the approval of the compensation committee, board of directors and shareholders by a Special Majority, in that order, and the terms thereof may not be inconsistent with the company’s stated compensation policy.</w:t>
      </w:r>
    </w:p>
    <w:p>
      <w:pPr>
        <w:spacing w:after="0" w:line="118" w:lineRule="exact"/>
        <w:rPr>
          <w:sz w:val="20"/>
          <w:szCs w:val="20"/>
          <w:color w:val="auto"/>
        </w:rPr>
      </w:pPr>
    </w:p>
    <w:p>
      <w:pPr>
        <w:ind w:left="120" w:right="199" w:firstLine="216"/>
        <w:spacing w:after="0" w:line="294" w:lineRule="auto"/>
        <w:rPr>
          <w:sz w:val="20"/>
          <w:szCs w:val="20"/>
          <w:color w:val="auto"/>
        </w:rPr>
      </w:pPr>
      <w:r>
        <w:rPr>
          <w:rFonts w:ascii="Arial" w:cs="Arial" w:eastAsia="Arial" w:hAnsi="Arial"/>
          <w:sz w:val="18"/>
          <w:szCs w:val="18"/>
          <w:color w:val="auto"/>
        </w:rPr>
        <w:t>Pursuant to regulations promulgated under the Israeli Companies Law, certain transactions with a controlling shareholder or his or her relative, or with directors, that would otherwise require approval of a company’s shareholders</w:t>
      </w:r>
    </w:p>
    <w:p>
      <w:pPr>
        <w:sectPr>
          <w:pgSz w:w="11900" w:h="16838" w:orient="portrait"/>
          <w:cols w:equalWidth="0" w:num="1">
            <w:col w:w="9019"/>
          </w:cols>
          <w:pgMar w:left="1440" w:top="91" w:right="1440" w:bottom="637"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637" w:gutter="0" w:footer="0" w:header="0"/>
          <w:type w:val="continuous"/>
        </w:sectPr>
      </w:pPr>
    </w:p>
    <w:bookmarkStart w:id="86" w:name="page87"/>
    <w:bookmarkEnd w:id="86"/>
    <w:p>
      <w:pPr>
        <w:ind w:left="120" w:right="139"/>
        <w:spacing w:after="0" w:line="257" w:lineRule="auto"/>
        <w:rPr>
          <w:sz w:val="20"/>
          <w:szCs w:val="20"/>
          <w:color w:val="auto"/>
        </w:rPr>
      </w:pPr>
      <w:r>
        <w:rPr>
          <w:rFonts w:ascii="Arial" w:cs="Arial" w:eastAsia="Arial" w:hAnsi="Arial"/>
          <w:sz w:val="18"/>
          <w:szCs w:val="18"/>
          <w:color w:val="auto"/>
        </w:rPr>
        <w:t>may be exempt from shareholder approval upon certain determinations of the audit committee and board of directors. Under these regulations, a shareholder holding at least 1% of the issued share capital of the company may require, within 14 days of the publication of such determinations, that despite such determinations by the audit committee and the board of directors, such transaction will require shareholder approval under the same majority requirements that would otherwise apply to such transactions.</w:t>
      </w:r>
    </w:p>
    <w:p>
      <w:pPr>
        <w:spacing w:after="0" w:line="156" w:lineRule="exact"/>
        <w:rPr>
          <w:sz w:val="20"/>
          <w:szCs w:val="20"/>
          <w:color w:val="auto"/>
        </w:rPr>
      </w:pPr>
    </w:p>
    <w:p>
      <w:pPr>
        <w:ind w:left="120" w:right="239" w:firstLine="216"/>
        <w:spacing w:after="0" w:line="294" w:lineRule="auto"/>
        <w:rPr>
          <w:sz w:val="20"/>
          <w:szCs w:val="20"/>
          <w:color w:val="auto"/>
        </w:rPr>
      </w:pPr>
      <w:r>
        <w:rPr>
          <w:rFonts w:ascii="Arial" w:cs="Arial" w:eastAsia="Arial" w:hAnsi="Arial"/>
          <w:sz w:val="18"/>
          <w:szCs w:val="18"/>
          <w:color w:val="auto"/>
        </w:rPr>
        <w:t>We expect that following this oﬀering, Fortissimo Capital, which prior to this oﬀering beneficially owned 69.6% of our ordinary shares, will be a controlling shareholder, although this status may change in the future.</w:t>
      </w:r>
    </w:p>
    <w:p>
      <w:pPr>
        <w:spacing w:after="0" w:line="14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Shareholder Duties</w:t>
      </w:r>
    </w:p>
    <w:p>
      <w:pPr>
        <w:spacing w:after="0" w:line="185" w:lineRule="exact"/>
        <w:rPr>
          <w:sz w:val="20"/>
          <w:szCs w:val="20"/>
          <w:color w:val="auto"/>
        </w:rPr>
      </w:pPr>
    </w:p>
    <w:p>
      <w:pPr>
        <w:jc w:val="both"/>
        <w:ind w:left="120" w:right="199" w:firstLine="216"/>
        <w:spacing w:after="0" w:line="279"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31" w:lineRule="exact"/>
        <w:rPr>
          <w:sz w:val="20"/>
          <w:szCs w:val="20"/>
          <w:color w:val="auto"/>
        </w:rPr>
      </w:pPr>
    </w:p>
    <w:p>
      <w:pPr>
        <w:ind w:left="620" w:hanging="279"/>
        <w:spacing w:after="0"/>
        <w:tabs>
          <w:tab w:leader="none" w:pos="62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an amendment to the company’s articles of association;</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an increase of the company’s authorized share capital;</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 merger; or</w:t>
      </w:r>
    </w:p>
    <w:p>
      <w:pPr>
        <w:spacing w:after="0" w:line="192" w:lineRule="exact"/>
        <w:rPr>
          <w:rFonts w:ascii="Arial" w:cs="Arial" w:eastAsia="Arial" w:hAnsi="Arial"/>
          <w:sz w:val="22"/>
          <w:szCs w:val="22"/>
          <w:color w:val="auto"/>
        </w:rPr>
      </w:pPr>
    </w:p>
    <w:p>
      <w:pPr>
        <w:ind w:left="560" w:right="1179" w:hanging="219"/>
        <w:spacing w:after="0" w:line="285" w:lineRule="auto"/>
        <w:tabs>
          <w:tab w:leader="none" w:pos="626" w:val="left"/>
        </w:tabs>
        <w:numPr>
          <w:ilvl w:val="0"/>
          <w:numId w:val="61"/>
        </w:numPr>
        <w:rPr>
          <w:rFonts w:ascii="Arial" w:cs="Arial" w:eastAsia="Arial" w:hAnsi="Arial"/>
          <w:sz w:val="22"/>
          <w:szCs w:val="22"/>
          <w:color w:val="auto"/>
        </w:rPr>
      </w:pPr>
      <w:r>
        <w:rPr>
          <w:rFonts w:ascii="Arial" w:cs="Arial" w:eastAsia="Arial" w:hAnsi="Arial"/>
          <w:sz w:val="18"/>
          <w:szCs w:val="18"/>
          <w:color w:val="auto"/>
        </w:rPr>
        <w:t>the approval of related party transactions and acts of oﬃce holders that require shareholder approval.</w:t>
      </w:r>
    </w:p>
    <w:p>
      <w:pPr>
        <w:spacing w:after="0" w:line="102" w:lineRule="exact"/>
        <w:rPr>
          <w:sz w:val="20"/>
          <w:szCs w:val="20"/>
          <w:color w:val="auto"/>
        </w:rPr>
      </w:pPr>
    </w:p>
    <w:p>
      <w:pPr>
        <w:ind w:left="120" w:right="1299" w:firstLine="216"/>
        <w:spacing w:after="0" w:line="338" w:lineRule="auto"/>
        <w:rPr>
          <w:sz w:val="20"/>
          <w:szCs w:val="20"/>
          <w:color w:val="auto"/>
        </w:rPr>
      </w:pPr>
      <w:r>
        <w:rPr>
          <w:rFonts w:ascii="Arial" w:cs="Arial" w:eastAsia="Arial" w:hAnsi="Arial"/>
          <w:sz w:val="18"/>
          <w:szCs w:val="18"/>
          <w:color w:val="auto"/>
        </w:rPr>
        <w:t>A shareholder also has a general duty to refrain from discriminating against other shareholders.</w:t>
      </w:r>
    </w:p>
    <w:p>
      <w:pPr>
        <w:spacing w:after="0" w:line="65" w:lineRule="exact"/>
        <w:rPr>
          <w:sz w:val="20"/>
          <w:szCs w:val="20"/>
          <w:color w:val="auto"/>
        </w:rPr>
      </w:pPr>
    </w:p>
    <w:p>
      <w:pPr>
        <w:ind w:left="120" w:right="259" w:firstLine="216"/>
        <w:spacing w:after="0" w:line="265"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Exculpation, Insurance and Indemnification of Directors and Oﬃcers</w:t>
      </w:r>
    </w:p>
    <w:p>
      <w:pPr>
        <w:spacing w:after="0" w:line="200" w:lineRule="exact"/>
        <w:rPr>
          <w:sz w:val="20"/>
          <w:szCs w:val="20"/>
          <w:color w:val="auto"/>
        </w:rPr>
      </w:pPr>
    </w:p>
    <w:p>
      <w:pPr>
        <w:ind w:left="120" w:right="159" w:firstLine="216"/>
        <w:spacing w:after="0" w:line="263" w:lineRule="auto"/>
        <w:rPr>
          <w:sz w:val="20"/>
          <w:szCs w:val="20"/>
          <w:color w:val="auto"/>
        </w:rPr>
      </w:pPr>
      <w:r>
        <w:rPr>
          <w:rFonts w:ascii="Arial" w:cs="Arial" w:eastAsia="Arial" w:hAnsi="Arial"/>
          <w:sz w:val="18"/>
          <w:szCs w:val="18"/>
          <w:color w:val="auto"/>
        </w:rPr>
        <w:t>Under the Israeli Companies Law, a company may not exculpate an oﬃce holder from liability for a breach of the duty of loyalty. An Israeli company may exculpate an oﬃce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eﬀective upon the closing of this oﬀering, include such a provision. A company may not exculpate in advance a director from liability arising out of a prohibited dividend or distribution to shareholders.</w:t>
      </w:r>
    </w:p>
    <w:p>
      <w:pPr>
        <w:spacing w:after="0" w:line="357" w:lineRule="exact"/>
        <w:rPr>
          <w:sz w:val="20"/>
          <w:szCs w:val="20"/>
          <w:color w:val="auto"/>
        </w:rPr>
      </w:pPr>
    </w:p>
    <w:p>
      <w:pPr>
        <w:ind w:left="120" w:right="199" w:firstLine="216"/>
        <w:spacing w:after="0" w:line="279" w:lineRule="auto"/>
        <w:rPr>
          <w:sz w:val="20"/>
          <w:szCs w:val="20"/>
          <w:color w:val="auto"/>
        </w:rPr>
      </w:pPr>
      <w:r>
        <w:rPr>
          <w:rFonts w:ascii="Arial" w:cs="Arial" w:eastAsia="Arial" w:hAnsi="Arial"/>
          <w:sz w:val="18"/>
          <w:szCs w:val="18"/>
          <w:color w:val="auto"/>
        </w:rPr>
        <w:t>Under the Israeli Companies Law, a company may indemnify an oﬃce holder in respect of the following liabilities and expenses incurred for acts performed by him or her as an oﬃce holder, either pursuant to an undertaking made in advance of an event or following an event, provided its articles of association include a provision authorizing such indemnification:</w:t>
      </w:r>
    </w:p>
    <w:p>
      <w:pPr>
        <w:spacing w:after="0" w:line="131" w:lineRule="exact"/>
        <w:rPr>
          <w:sz w:val="20"/>
          <w:szCs w:val="20"/>
          <w:color w:val="auto"/>
        </w:rPr>
      </w:pPr>
    </w:p>
    <w:p>
      <w:pPr>
        <w:ind w:left="560" w:right="119" w:hanging="219"/>
        <w:spacing w:after="0" w:line="254" w:lineRule="auto"/>
        <w:tabs>
          <w:tab w:leader="none" w:pos="626" w:val="left"/>
        </w:tabs>
        <w:numPr>
          <w:ilvl w:val="0"/>
          <w:numId w:val="62"/>
        </w:numPr>
        <w:rPr>
          <w:rFonts w:ascii="Arial" w:cs="Arial" w:eastAsia="Arial" w:hAnsi="Arial"/>
          <w:sz w:val="22"/>
          <w:szCs w:val="22"/>
          <w:color w:val="auto"/>
        </w:rPr>
      </w:pPr>
      <w:r>
        <w:rPr>
          <w:rFonts w:ascii="Arial" w:cs="Arial" w:eastAsia="Arial" w:hAnsi="Arial"/>
          <w:sz w:val="18"/>
          <w:szCs w:val="18"/>
          <w:color w:val="auto"/>
        </w:rPr>
        <w:t>financial liability imposed on him or her in favor of another person pursuant to a judgment, including a settlement or arbitrator’s award approved by a court. However, if an undertaking to indemnify an oﬃce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376" w:lineRule="exact"/>
        <w:rPr>
          <w:rFonts w:ascii="Arial" w:cs="Arial" w:eastAsia="Arial" w:hAnsi="Arial"/>
          <w:sz w:val="22"/>
          <w:szCs w:val="22"/>
          <w:color w:val="auto"/>
        </w:rPr>
      </w:pPr>
    </w:p>
    <w:p>
      <w:pPr>
        <w:ind w:left="560" w:right="179" w:hanging="219"/>
        <w:spacing w:after="0" w:line="255" w:lineRule="auto"/>
        <w:tabs>
          <w:tab w:leader="none" w:pos="626" w:val="left"/>
        </w:tabs>
        <w:numPr>
          <w:ilvl w:val="0"/>
          <w:numId w:val="62"/>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oﬃce holder (1) as a result of an investigation or proceeding instituted against him or her by an authority authorized to conduct such investigation or proceeding, provided that (i) no indictment was filed against such oﬃce holder as a result of such investigation or proceeding, and (ii) no financial liability was imposed upon him or her as a substitute for the criminal proceeding as a result of such</w:t>
      </w:r>
    </w:p>
    <w:p>
      <w:pPr>
        <w:sectPr>
          <w:pgSz w:w="11900" w:h="16838" w:orient="portrait"/>
          <w:cols w:equalWidth="0" w:num="1">
            <w:col w:w="9019"/>
          </w:cols>
          <w:pgMar w:left="1440" w:top="125" w:right="1440" w:bottom="1136"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136" w:gutter="0" w:footer="0" w:header="0"/>
          <w:type w:val="continuous"/>
        </w:sectPr>
      </w:pPr>
    </w:p>
    <w:bookmarkStart w:id="87" w:name="page88"/>
    <w:bookmarkEnd w:id="87"/>
    <w:p>
      <w:pPr>
        <w:ind w:left="560" w:right="419"/>
        <w:spacing w:after="0" w:line="308" w:lineRule="auto"/>
        <w:rPr>
          <w:sz w:val="20"/>
          <w:szCs w:val="20"/>
          <w:color w:val="auto"/>
        </w:rPr>
      </w:pPr>
      <w:r>
        <w:rPr>
          <w:rFonts w:ascii="Arial" w:cs="Arial" w:eastAsia="Arial" w:hAnsi="Arial"/>
          <w:sz w:val="17"/>
          <w:szCs w:val="17"/>
          <w:color w:val="auto"/>
        </w:rPr>
        <w:t>investigation or proceeding or, if such financial liability was imposed, it was imposed with respect to an offense that does not require proof of criminal intent; and (2) in connection with a monetary sanction; and</w:t>
      </w:r>
    </w:p>
    <w:p>
      <w:pPr>
        <w:spacing w:after="0" w:line="127" w:lineRule="exact"/>
        <w:rPr>
          <w:sz w:val="20"/>
          <w:szCs w:val="20"/>
          <w:color w:val="auto"/>
        </w:rPr>
      </w:pPr>
    </w:p>
    <w:p>
      <w:pPr>
        <w:ind w:left="560" w:right="399" w:hanging="219"/>
        <w:spacing w:after="0" w:line="255" w:lineRule="auto"/>
        <w:tabs>
          <w:tab w:leader="none" w:pos="626" w:val="left"/>
        </w:tabs>
        <w:numPr>
          <w:ilvl w:val="0"/>
          <w:numId w:val="63"/>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oﬃce holder or imposed by a court in proceedings instituted against him or her by the company, on its behalf, or by a third party, or in connection with criminal proceedings in which the oﬃce holder was acquitted, or as a result of a conviction for an oﬀense that does not require proof of criminal intent.</w:t>
      </w:r>
    </w:p>
    <w:p>
      <w:pPr>
        <w:spacing w:after="0" w:line="368" w:lineRule="exact"/>
        <w:rPr>
          <w:sz w:val="20"/>
          <w:szCs w:val="20"/>
          <w:color w:val="auto"/>
        </w:rPr>
      </w:pPr>
    </w:p>
    <w:p>
      <w:pPr>
        <w:ind w:left="120" w:right="139" w:firstLine="216"/>
        <w:spacing w:after="0" w:line="294" w:lineRule="auto"/>
        <w:rPr>
          <w:sz w:val="20"/>
          <w:szCs w:val="20"/>
          <w:color w:val="auto"/>
        </w:rPr>
      </w:pPr>
      <w:r>
        <w:rPr>
          <w:rFonts w:ascii="Arial" w:cs="Arial" w:eastAsia="Arial" w:hAnsi="Arial"/>
          <w:sz w:val="18"/>
          <w:szCs w:val="18"/>
          <w:color w:val="auto"/>
        </w:rPr>
        <w:t>Under the Israeli Companies Law, a company may insure an oﬃce holder against the following liabilities incurred for acts performed by him or her as an oﬃce holder, if and to the extent provided in the company’s articles of association:</w:t>
      </w:r>
    </w:p>
    <w:p>
      <w:pPr>
        <w:spacing w:after="0" w:line="117" w:lineRule="exact"/>
        <w:rPr>
          <w:sz w:val="20"/>
          <w:szCs w:val="20"/>
          <w:color w:val="auto"/>
        </w:rPr>
      </w:pPr>
    </w:p>
    <w:p>
      <w:pPr>
        <w:ind w:left="560" w:right="179" w:hanging="219"/>
        <w:spacing w:after="0" w:line="285" w:lineRule="auto"/>
        <w:tabs>
          <w:tab w:leader="none" w:pos="626" w:val="left"/>
        </w:tabs>
        <w:numPr>
          <w:ilvl w:val="0"/>
          <w:numId w:val="64"/>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oﬃce holder acted in good faith and had a reasonable basis to believe that the act would not harm the company;</w:t>
      </w:r>
    </w:p>
    <w:p>
      <w:pPr>
        <w:spacing w:after="0" w:line="115" w:lineRule="exact"/>
        <w:rPr>
          <w:rFonts w:ascii="Arial" w:cs="Arial" w:eastAsia="Arial" w:hAnsi="Arial"/>
          <w:sz w:val="22"/>
          <w:szCs w:val="22"/>
          <w:color w:val="auto"/>
        </w:rPr>
      </w:pPr>
    </w:p>
    <w:p>
      <w:pPr>
        <w:ind w:left="560" w:right="499" w:hanging="219"/>
        <w:spacing w:after="0" w:line="285" w:lineRule="auto"/>
        <w:tabs>
          <w:tab w:leader="none" w:pos="626" w:val="left"/>
        </w:tabs>
        <w:numPr>
          <w:ilvl w:val="0"/>
          <w:numId w:val="64"/>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oﬃce holder; and</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64"/>
        </w:numPr>
        <w:rPr>
          <w:rFonts w:ascii="Arial" w:cs="Arial" w:eastAsia="Arial" w:hAnsi="Arial"/>
          <w:sz w:val="22"/>
          <w:szCs w:val="22"/>
          <w:color w:val="auto"/>
        </w:rPr>
      </w:pPr>
      <w:r>
        <w:rPr>
          <w:rFonts w:ascii="Arial" w:cs="Arial" w:eastAsia="Arial" w:hAnsi="Arial"/>
          <w:sz w:val="18"/>
          <w:szCs w:val="18"/>
          <w:color w:val="auto"/>
        </w:rPr>
        <w:t>a financial liability imposed on the oﬃce holder in favor of a third party.</w:t>
      </w:r>
    </w:p>
    <w:p>
      <w:pPr>
        <w:spacing w:after="0" w:line="179" w:lineRule="exact"/>
        <w:rPr>
          <w:sz w:val="20"/>
          <w:szCs w:val="20"/>
          <w:color w:val="auto"/>
        </w:rPr>
      </w:pPr>
    </w:p>
    <w:p>
      <w:pPr>
        <w:ind w:left="120" w:right="159" w:firstLine="216"/>
        <w:spacing w:after="0" w:line="338" w:lineRule="auto"/>
        <w:rPr>
          <w:sz w:val="20"/>
          <w:szCs w:val="20"/>
          <w:color w:val="auto"/>
        </w:rPr>
      </w:pPr>
      <w:r>
        <w:rPr>
          <w:rFonts w:ascii="Arial" w:cs="Arial" w:eastAsia="Arial" w:hAnsi="Arial"/>
          <w:sz w:val="18"/>
          <w:szCs w:val="18"/>
          <w:color w:val="auto"/>
        </w:rPr>
        <w:t>Under the Israeli Companies Law, a company may not indemnify, exculpate or insure an oﬃce holder against any of the following:</w:t>
      </w:r>
    </w:p>
    <w:p>
      <w:pPr>
        <w:spacing w:after="0" w:line="79" w:lineRule="exact"/>
        <w:rPr>
          <w:sz w:val="20"/>
          <w:szCs w:val="20"/>
          <w:color w:val="auto"/>
        </w:rPr>
      </w:pPr>
    </w:p>
    <w:p>
      <w:pPr>
        <w:ind w:left="560" w:right="139" w:hanging="219"/>
        <w:spacing w:after="0" w:line="265" w:lineRule="auto"/>
        <w:tabs>
          <w:tab w:leader="none" w:pos="626" w:val="left"/>
        </w:tabs>
        <w:numPr>
          <w:ilvl w:val="0"/>
          <w:numId w:val="65"/>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oﬃce holder acted in good faith and had a reasonable basis to believe that the act would not harm the company;</w:t>
      </w:r>
    </w:p>
    <w:p>
      <w:pPr>
        <w:spacing w:after="0" w:line="141" w:lineRule="exact"/>
        <w:rPr>
          <w:rFonts w:ascii="Arial" w:cs="Arial" w:eastAsia="Arial" w:hAnsi="Arial"/>
          <w:sz w:val="22"/>
          <w:szCs w:val="22"/>
          <w:color w:val="auto"/>
        </w:rPr>
      </w:pPr>
    </w:p>
    <w:p>
      <w:pPr>
        <w:ind w:left="560" w:right="359" w:hanging="219"/>
        <w:spacing w:after="0" w:line="285" w:lineRule="auto"/>
        <w:tabs>
          <w:tab w:leader="none" w:pos="626" w:val="left"/>
        </w:tabs>
        <w:numPr>
          <w:ilvl w:val="0"/>
          <w:numId w:val="65"/>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oﬃce holder;</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65"/>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5"/>
        </w:numPr>
        <w:rPr>
          <w:rFonts w:ascii="Arial" w:cs="Arial" w:eastAsia="Arial" w:hAnsi="Arial"/>
          <w:sz w:val="22"/>
          <w:szCs w:val="22"/>
          <w:color w:val="auto"/>
        </w:rPr>
      </w:pPr>
      <w:r>
        <w:rPr>
          <w:rFonts w:ascii="Arial" w:cs="Arial" w:eastAsia="Arial" w:hAnsi="Arial"/>
          <w:sz w:val="18"/>
          <w:szCs w:val="18"/>
          <w:color w:val="auto"/>
        </w:rPr>
        <w:t>a fine or forfeit levied against the oﬃce holder.</w:t>
      </w:r>
    </w:p>
    <w:p>
      <w:pPr>
        <w:spacing w:after="0" w:line="179" w:lineRule="exact"/>
        <w:rPr>
          <w:sz w:val="20"/>
          <w:szCs w:val="20"/>
          <w:color w:val="auto"/>
        </w:rPr>
      </w:pPr>
    </w:p>
    <w:p>
      <w:pPr>
        <w:ind w:left="120" w:right="199" w:firstLine="216"/>
        <w:spacing w:after="0" w:line="279" w:lineRule="auto"/>
        <w:rPr>
          <w:sz w:val="20"/>
          <w:szCs w:val="20"/>
          <w:color w:val="auto"/>
        </w:rPr>
      </w:pPr>
      <w:r>
        <w:rPr>
          <w:rFonts w:ascii="Arial" w:cs="Arial" w:eastAsia="Arial" w:hAnsi="Arial"/>
          <w:sz w:val="18"/>
          <w:szCs w:val="18"/>
          <w:color w:val="auto"/>
        </w:rPr>
        <w:t>Under the Israeli Companies Law, exculpation, indemnification and insurance of oﬃce holders in a public company must be approved by the compensation committee and the board of directors and, with respect to certain oﬃce holders or under certain circumstances, also by the shareholders. See “—Approval of Related Party Transactions under Israeli Law.”</w:t>
      </w:r>
    </w:p>
    <w:p>
      <w:pPr>
        <w:spacing w:after="0" w:line="118" w:lineRule="exact"/>
        <w:rPr>
          <w:sz w:val="20"/>
          <w:szCs w:val="20"/>
          <w:color w:val="auto"/>
        </w:rPr>
      </w:pPr>
    </w:p>
    <w:p>
      <w:pPr>
        <w:ind w:left="120" w:right="279" w:firstLine="216"/>
        <w:spacing w:after="0" w:line="294" w:lineRule="auto"/>
        <w:rPr>
          <w:sz w:val="20"/>
          <w:szCs w:val="20"/>
          <w:color w:val="auto"/>
        </w:rPr>
      </w:pPr>
      <w:r>
        <w:rPr>
          <w:rFonts w:ascii="Arial" w:cs="Arial" w:eastAsia="Arial" w:hAnsi="Arial"/>
          <w:sz w:val="18"/>
          <w:szCs w:val="18"/>
          <w:color w:val="auto"/>
        </w:rPr>
        <w:t>Our amended and restated articles of association to be eﬀective upon completion of this oﬀering will permit us to exculpate, indemnify and insure our oﬃce holders to the fullest extent permitted or to be permitted by the Israeli Companies Law.</w:t>
      </w:r>
    </w:p>
    <w:p>
      <w:pPr>
        <w:spacing w:after="0" w:line="104"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We have obtained directors and oﬃcers liability insurance for the benefit of our oﬃce holders and intend to continue to maintain such coverage and pay all premiums thereunder to the fullest extent permitted by the Israeli Companies Law. In addition, prior to the closing of this oﬀering, we intend to enter into agreements with each of our directors and executive oﬃcers exculpating them from liability to us for damages caused to us as a result of a breach of duty of care and undertaking to indemnify them, in each case, to the fullest extent permitted by our amended and restated articles of association to be eﬀective upon the completion of this oﬀering and the Israeli Companies Law, including with respect to liabilities resulting from this oﬀering to the extent that these liabilities are not covered by insurance. In the opinion of the Commission, indemnification of directors and oﬃce holders for liabilities arising under the Securities Act, however, is against public policy and therefore unenforceable.</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7" w:lineRule="exact"/>
        <w:rPr>
          <w:sz w:val="20"/>
          <w:szCs w:val="20"/>
          <w:color w:val="auto"/>
        </w:rPr>
      </w:pPr>
    </w:p>
    <w:p>
      <w:pPr>
        <w:ind w:left="120" w:right="239" w:firstLine="216"/>
        <w:spacing w:after="0" w:line="279" w:lineRule="auto"/>
        <w:rPr>
          <w:sz w:val="20"/>
          <w:szCs w:val="20"/>
          <w:color w:val="auto"/>
        </w:rPr>
      </w:pPr>
      <w:r>
        <w:rPr>
          <w:rFonts w:ascii="Arial" w:cs="Arial" w:eastAsia="Arial" w:hAnsi="Arial"/>
          <w:sz w:val="18"/>
          <w:szCs w:val="18"/>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Commission.</w:t>
      </w:r>
    </w:p>
    <w:p>
      <w:pPr>
        <w:sectPr>
          <w:pgSz w:w="11900" w:h="16838" w:orient="portrait"/>
          <w:cols w:equalWidth="0" w:num="1">
            <w:col w:w="9019"/>
          </w:cols>
          <w:pgMar w:left="1440" w:top="341"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88" w:name="page89"/>
    <w:bookmarkEnd w:id="88"/>
    <w:p>
      <w:pPr>
        <w:ind w:left="120" w:right="159"/>
        <w:spacing w:after="0" w:line="270" w:lineRule="auto"/>
        <w:rPr>
          <w:sz w:val="20"/>
          <w:szCs w:val="20"/>
          <w:color w:val="auto"/>
        </w:rPr>
      </w:pPr>
      <w:r>
        <w:rPr>
          <w:rFonts w:ascii="Arial" w:cs="Arial" w:eastAsia="Arial" w:hAnsi="Arial"/>
          <w:sz w:val="17"/>
          <w:szCs w:val="17"/>
          <w:color w:val="auto"/>
        </w:rPr>
        <w:t>Upon the effectiveness of the registration statement of which this prospectus forms a part, the full text of the Code of Business Conduct and Ethics will be posted on our website at www.kornit.com.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Commission. Under Item 16B of the Commission’s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Executive Oﬃcers and Directors</w:t>
      </w:r>
    </w:p>
    <w:p>
      <w:pPr>
        <w:spacing w:after="0" w:line="227" w:lineRule="exact"/>
        <w:rPr>
          <w:sz w:val="20"/>
          <w:szCs w:val="20"/>
          <w:color w:val="auto"/>
        </w:rPr>
      </w:pPr>
    </w:p>
    <w:p>
      <w:pPr>
        <w:ind w:left="120" w:right="119" w:firstLine="216"/>
        <w:spacing w:after="0" w:line="262" w:lineRule="auto"/>
        <w:rPr>
          <w:sz w:val="20"/>
          <w:szCs w:val="20"/>
          <w:color w:val="auto"/>
        </w:rPr>
      </w:pPr>
      <w:r>
        <w:rPr>
          <w:rFonts w:ascii="Arial" w:cs="Arial" w:eastAsia="Arial" w:hAnsi="Arial"/>
          <w:sz w:val="18"/>
          <w:szCs w:val="18"/>
          <w:color w:val="auto"/>
        </w:rPr>
        <w:t>The aggregate compensation paid and equity-based compensation and other payments expensed by us and our subsidiaries to our directors and executive oﬃcers with respect to the year ended December 31, 2014 was $2.0 million. This amount includes approximately $0.2 million set aside or accrued to provide pension, severance, retirement or similar benefits or expenses. As of December 31, 2014, options to purchase 192,121 ordinary shares granted to our directors and executive oﬃcers were outstanding under our share option plans at a weighted average exercise price of $11.75 per share. Certain of our oﬃcers and directors receive a severance payment of up to six months of their base salary upon termination of their employment.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159" w:firstLine="216"/>
        <w:spacing w:after="0" w:line="277" w:lineRule="auto"/>
        <w:rPr>
          <w:sz w:val="20"/>
          <w:szCs w:val="20"/>
          <w:color w:val="auto"/>
        </w:rPr>
      </w:pPr>
      <w:r>
        <w:rPr>
          <w:rFonts w:ascii="Arial" w:cs="Arial" w:eastAsia="Arial" w:hAnsi="Arial"/>
          <w:sz w:val="18"/>
          <w:szCs w:val="18"/>
          <w:color w:val="auto"/>
        </w:rPr>
        <w:t>The following table presents the grant dates, number of options, related exercise prices and expiration dates of options granted to our directors and executive officers for the year ended December 31, 2014:</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Exercise Price</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Expiration Date</w:t>
            </w:r>
          </w:p>
        </w:tc>
      </w:tr>
      <w:tr>
        <w:trPr>
          <w:trHeight w:val="210"/>
        </w:trPr>
        <w:tc>
          <w:tcPr>
            <w:tcW w:w="20" w:type="dxa"/>
            <w:vAlign w:val="bottom"/>
          </w:tcPr>
          <w:p>
            <w:pPr>
              <w:spacing w:after="0"/>
              <w:rPr>
                <w:sz w:val="18"/>
                <w:szCs w:val="18"/>
                <w:color w:val="auto"/>
              </w:rPr>
            </w:pPr>
          </w:p>
        </w:tc>
        <w:tc>
          <w:tcPr>
            <w:tcW w:w="4200" w:type="dxa"/>
            <w:vAlign w:val="bottom"/>
            <w:gridSpan w:val="2"/>
          </w:tcPr>
          <w:p>
            <w:pPr>
              <w:ind w:left="1600"/>
              <w:spacing w:after="0"/>
              <w:rPr>
                <w:sz w:val="20"/>
                <w:szCs w:val="20"/>
                <w:color w:val="auto"/>
              </w:rPr>
            </w:pPr>
            <w:r>
              <w:rPr>
                <w:rFonts w:ascii="Arial" w:cs="Arial" w:eastAsia="Arial" w:hAnsi="Arial"/>
                <w:sz w:val="16"/>
                <w:szCs w:val="16"/>
                <w:b w:val="1"/>
                <w:bCs w:val="1"/>
                <w:color w:val="auto"/>
              </w:rPr>
              <w:t>Grant Date</w:t>
            </w:r>
          </w:p>
        </w:tc>
        <w:tc>
          <w:tcPr>
            <w:tcW w:w="1220" w:type="dxa"/>
            <w:vAlign w:val="bottom"/>
          </w:tcPr>
          <w:p>
            <w:pPr>
              <w:jc w:val="right"/>
              <w:ind w:right="253"/>
              <w:spacing w:after="0"/>
              <w:rPr>
                <w:sz w:val="20"/>
                <w:szCs w:val="20"/>
                <w:color w:val="auto"/>
              </w:rPr>
            </w:pPr>
            <w:r>
              <w:rPr>
                <w:rFonts w:ascii="Arial" w:cs="Arial" w:eastAsia="Arial" w:hAnsi="Arial"/>
                <w:sz w:val="16"/>
                <w:szCs w:val="16"/>
                <w:b w:val="1"/>
                <w:bCs w:val="1"/>
                <w:color w:val="auto"/>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of Options</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of Options</w:t>
            </w: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2014</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 2021</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April 27, 2014</w:t>
            </w:r>
          </w:p>
        </w:tc>
        <w:tc>
          <w:tcPr>
            <w:tcW w:w="1220" w:type="dxa"/>
            <w:vAlign w:val="bottom"/>
          </w:tcPr>
          <w:p>
            <w:pPr>
              <w:jc w:val="right"/>
              <w:spacing w:after="0"/>
              <w:rPr>
                <w:sz w:val="20"/>
                <w:szCs w:val="20"/>
                <w:color w:val="auto"/>
              </w:rPr>
            </w:pPr>
            <w:r>
              <w:rPr>
                <w:rFonts w:ascii="Arial" w:cs="Arial" w:eastAsia="Arial" w:hAnsi="Arial"/>
                <w:sz w:val="18"/>
                <w:szCs w:val="18"/>
                <w:color w:val="auto"/>
              </w:rPr>
              <w:t>99,341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14.23</w:t>
            </w:r>
          </w:p>
        </w:tc>
        <w:tc>
          <w:tcPr>
            <w:tcW w:w="36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April 27, 2021</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July 10, 2024</w:t>
            </w:r>
          </w:p>
        </w:tc>
      </w:tr>
      <w:tr>
        <w:trPr>
          <w:trHeight w:val="230"/>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October 6, 2014</w:t>
            </w:r>
          </w:p>
        </w:tc>
        <w:tc>
          <w:tcPr>
            <w:tcW w:w="1220" w:type="dxa"/>
            <w:vAlign w:val="bottom"/>
          </w:tcPr>
          <w:p>
            <w:pPr>
              <w:jc w:val="right"/>
              <w:spacing w:after="0"/>
              <w:rPr>
                <w:sz w:val="20"/>
                <w:szCs w:val="20"/>
                <w:color w:val="auto"/>
              </w:rPr>
            </w:pPr>
            <w:r>
              <w:rPr>
                <w:rFonts w:ascii="Arial" w:cs="Arial" w:eastAsia="Arial" w:hAnsi="Arial"/>
                <w:sz w:val="18"/>
                <w:szCs w:val="18"/>
                <w:color w:val="auto"/>
              </w:rPr>
              <w:t>14,438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13.54</w:t>
            </w:r>
          </w:p>
        </w:tc>
        <w:tc>
          <w:tcPr>
            <w:tcW w:w="36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6, 2024</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111"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We have entered into written employment agreements with all of our executive oﬃcers. These agreements contain standard provisions for a company in our industry regarding non-competition, confidentiality of information and assignment of inventions. These agreements do not provide for benefits upon the termination of these executives’ respective employment with us, other than payment of salary and benefits (but not accrual of vacation days) during the required notice period for termination of these agreements, which varies under these individual agreements. Under their employment agreements, certain of our oﬃcers and directors receive a severance payment of up to six months of their base salary upon termination of their employment. See “Certain Relationships and Related Party Transactions—Agreements and Arrangements with, and Compensation of, Directors and Executive Oﬃcers” for additional information.</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193" w:lineRule="exact"/>
        <w:rPr>
          <w:sz w:val="20"/>
          <w:szCs w:val="20"/>
          <w:color w:val="auto"/>
        </w:rPr>
      </w:pPr>
    </w:p>
    <w:p>
      <w:pPr>
        <w:ind w:left="120" w:right="419" w:firstLine="216"/>
        <w:spacing w:after="0" w:line="272" w:lineRule="auto"/>
        <w:rPr>
          <w:sz w:val="20"/>
          <w:szCs w:val="20"/>
          <w:color w:val="auto"/>
        </w:rPr>
      </w:pPr>
      <w:r>
        <w:rPr>
          <w:rFonts w:ascii="Arial" w:cs="Arial" w:eastAsia="Arial" w:hAnsi="Arial"/>
          <w:sz w:val="18"/>
          <w:szCs w:val="18"/>
          <w:color w:val="auto"/>
        </w:rPr>
        <w:t>In May 2004 our board of directors adopted and our shareholders approved our 2004 Share Option Plan, or the 2004 Plan. The 2004 Plan was amended on June 15, 2005. We are not granting options under the 2004 Plan anymore because it was superceded by the 2012 Plan, athough previously granted awards remain outstanding. As of December 31, 2014, a total of 179,350 ordinary shares were outstanding under the 2004 Plan.</w:t>
      </w:r>
    </w:p>
    <w:p>
      <w:pPr>
        <w:spacing w:after="0" w:line="124" w:lineRule="exact"/>
        <w:rPr>
          <w:sz w:val="20"/>
          <w:szCs w:val="20"/>
          <w:color w:val="auto"/>
        </w:rPr>
      </w:pPr>
    </w:p>
    <w:p>
      <w:pPr>
        <w:ind w:left="120" w:right="599" w:firstLine="216"/>
        <w:spacing w:after="0" w:line="312" w:lineRule="auto"/>
        <w:rPr>
          <w:sz w:val="20"/>
          <w:szCs w:val="20"/>
          <w:color w:val="auto"/>
        </w:rPr>
      </w:pPr>
      <w:r>
        <w:rPr>
          <w:rFonts w:ascii="Arial" w:cs="Arial" w:eastAsia="Arial" w:hAnsi="Arial"/>
          <w:sz w:val="18"/>
          <w:szCs w:val="18"/>
          <w:color w:val="auto"/>
        </w:rPr>
        <w:t>The 2004 Plan provides for the grant of options to our and our subsidiaries’ and aﬃliates’ directors, employees and oﬃcers, who are expected to continue to our future growth and success.</w:t>
      </w:r>
    </w:p>
    <w:p>
      <w:pPr>
        <w:spacing w:after="0" w:line="326" w:lineRule="exact"/>
        <w:rPr>
          <w:sz w:val="20"/>
          <w:szCs w:val="20"/>
          <w:color w:val="auto"/>
        </w:rPr>
      </w:pPr>
    </w:p>
    <w:p>
      <w:pPr>
        <w:jc w:val="both"/>
        <w:ind w:left="120" w:right="519" w:firstLine="216"/>
        <w:spacing w:after="0" w:line="294" w:lineRule="auto"/>
        <w:rPr>
          <w:sz w:val="20"/>
          <w:szCs w:val="20"/>
          <w:color w:val="auto"/>
        </w:rPr>
      </w:pPr>
      <w:r>
        <w:rPr>
          <w:rFonts w:ascii="Arial" w:cs="Arial" w:eastAsia="Arial" w:hAnsi="Arial"/>
          <w:sz w:val="18"/>
          <w:szCs w:val="18"/>
          <w:color w:val="auto"/>
        </w:rPr>
        <w:t>The 2004 Plan is administered by our board of directors or by a compensation committee appointed by the board of directors, which determines, subject to Israeli law, the grantees of awards and the terms of the grant, including, exercise</w:t>
      </w:r>
    </w:p>
    <w:p>
      <w:pPr>
        <w:sectPr>
          <w:pgSz w:w="11900" w:h="16838" w:orient="portrait"/>
          <w:cols w:equalWidth="0" w:num="1">
            <w:col w:w="9019"/>
          </w:cols>
          <w:pgMar w:left="1440" w:top="125"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9" w:name="page90"/>
    <w:bookmarkEnd w:id="89"/>
    <w:p>
      <w:pPr>
        <w:jc w:val="both"/>
        <w:ind w:left="120" w:right="279"/>
        <w:spacing w:after="0" w:line="286" w:lineRule="auto"/>
        <w:rPr>
          <w:sz w:val="20"/>
          <w:szCs w:val="20"/>
          <w:color w:val="auto"/>
        </w:rPr>
      </w:pPr>
      <w:r>
        <w:rPr>
          <w:rFonts w:ascii="Arial" w:cs="Arial" w:eastAsia="Arial" w:hAnsi="Arial"/>
          <w:sz w:val="17"/>
          <w:szCs w:val="17"/>
          <w:color w:val="auto"/>
        </w:rPr>
        <w:t>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33" w:lineRule="exact"/>
        <w:rPr>
          <w:sz w:val="20"/>
          <w:szCs w:val="20"/>
          <w:color w:val="auto"/>
        </w:rPr>
      </w:pPr>
    </w:p>
    <w:p>
      <w:pPr>
        <w:ind w:left="120" w:right="279" w:firstLine="216"/>
        <w:spacing w:after="0" w:line="260" w:lineRule="auto"/>
        <w:rPr>
          <w:sz w:val="20"/>
          <w:szCs w:val="20"/>
          <w:color w:val="auto"/>
        </w:rPr>
      </w:pPr>
      <w:r>
        <w:rPr>
          <w:rFonts w:ascii="Arial" w:cs="Arial" w:eastAsia="Arial" w:hAnsi="Arial"/>
          <w:sz w:val="18"/>
          <w:szCs w:val="18"/>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w:t>
      </w:r>
    </w:p>
    <w:p>
      <w:pPr>
        <w:spacing w:after="0" w:line="1" w:lineRule="exact"/>
        <w:rPr>
          <w:sz w:val="20"/>
          <w:szCs w:val="20"/>
          <w:color w:val="auto"/>
        </w:rPr>
      </w:pPr>
    </w:p>
    <w:p>
      <w:pPr>
        <w:ind w:left="120" w:right="119" w:firstLine="5"/>
        <w:spacing w:after="0" w:line="253" w:lineRule="auto"/>
        <w:tabs>
          <w:tab w:leader="none" w:pos="4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(up to 50% in 2014).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200" w:lineRule="exact"/>
        <w:rPr>
          <w:sz w:val="20"/>
          <w:szCs w:val="20"/>
          <w:color w:val="auto"/>
        </w:rPr>
      </w:pPr>
    </w:p>
    <w:p>
      <w:pPr>
        <w:spacing w:after="0" w:line="375" w:lineRule="exact"/>
        <w:rPr>
          <w:sz w:val="20"/>
          <w:szCs w:val="20"/>
          <w:color w:val="auto"/>
        </w:rPr>
      </w:pPr>
    </w:p>
    <w:p>
      <w:pPr>
        <w:ind w:left="120" w:right="359" w:firstLine="216"/>
        <w:spacing w:after="0" w:line="289" w:lineRule="auto"/>
        <w:rPr>
          <w:sz w:val="20"/>
          <w:szCs w:val="20"/>
          <w:color w:val="auto"/>
        </w:rPr>
      </w:pPr>
      <w:r>
        <w:rPr>
          <w:rFonts w:ascii="Arial" w:cs="Arial" w:eastAsia="Arial" w:hAnsi="Arial"/>
          <w:sz w:val="18"/>
          <w:szCs w:val="18"/>
          <w:color w:val="auto"/>
        </w:rPr>
        <w:t>Vesting schedule of options granted under the 2004 Plan is set forth in each grantee’s grant letter.</w:t>
      </w:r>
    </w:p>
    <w:p>
      <w:pPr>
        <w:spacing w:after="0" w:line="399" w:lineRule="exact"/>
        <w:rPr>
          <w:sz w:val="20"/>
          <w:szCs w:val="20"/>
          <w:color w:val="auto"/>
        </w:rPr>
      </w:pPr>
    </w:p>
    <w:p>
      <w:pPr>
        <w:ind w:left="120" w:right="119" w:firstLine="216"/>
        <w:spacing w:after="0" w:line="258" w:lineRule="auto"/>
        <w:rPr>
          <w:sz w:val="20"/>
          <w:szCs w:val="20"/>
          <w:color w:val="auto"/>
        </w:rPr>
      </w:pPr>
      <w:r>
        <w:rPr>
          <w:rFonts w:ascii="Arial" w:cs="Arial" w:eastAsia="Arial" w:hAnsi="Arial"/>
          <w:sz w:val="18"/>
          <w:szCs w:val="18"/>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361" w:lineRule="exact"/>
        <w:rPr>
          <w:sz w:val="20"/>
          <w:szCs w:val="20"/>
          <w:color w:val="auto"/>
        </w:rPr>
      </w:pPr>
    </w:p>
    <w:p>
      <w:pPr>
        <w:ind w:left="120" w:right="359" w:firstLine="216"/>
        <w:spacing w:after="0" w:line="338" w:lineRule="auto"/>
        <w:rPr>
          <w:sz w:val="20"/>
          <w:szCs w:val="20"/>
          <w:color w:val="auto"/>
        </w:rPr>
      </w:pPr>
      <w:r>
        <w:rPr>
          <w:rFonts w:ascii="Arial" w:cs="Arial" w:eastAsia="Arial" w:hAnsi="Arial"/>
          <w:sz w:val="18"/>
          <w:szCs w:val="18"/>
          <w:color w:val="auto"/>
        </w:rPr>
        <w:t>Options may not be sold, assigned, pledged or otherwise disposed of by the participant who holds such options, except by will or the laws of descent.</w:t>
      </w:r>
    </w:p>
    <w:p>
      <w:pPr>
        <w:spacing w:after="0" w:line="65" w:lineRule="exact"/>
        <w:rPr>
          <w:sz w:val="20"/>
          <w:szCs w:val="20"/>
          <w:color w:val="auto"/>
        </w:rPr>
      </w:pPr>
    </w:p>
    <w:p>
      <w:pPr>
        <w:ind w:left="120" w:right="159" w:firstLine="216"/>
        <w:spacing w:after="0" w:line="263" w:lineRule="auto"/>
        <w:rPr>
          <w:sz w:val="20"/>
          <w:szCs w:val="20"/>
          <w:color w:val="auto"/>
        </w:rPr>
      </w:pPr>
      <w:r>
        <w:rPr>
          <w:rFonts w:ascii="Arial" w:cs="Arial" w:eastAsia="Arial" w:hAnsi="Arial"/>
          <w:sz w:val="18"/>
          <w:szCs w:val="18"/>
          <w:color w:val="auto"/>
        </w:rPr>
        <w:t>In the event of a merger or consolidation of our company, or a sale of all, or substantially all, of our shares or assets or other transaction having a similar eﬀect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193"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In October 2012, our board of directors adopted and our shareholders approved our 2012 Share Incentive Plan, or the 2012 Plan</w:t>
      </w:r>
      <w:r>
        <w:rPr>
          <w:rFonts w:ascii="Courier New" w:cs="Courier New" w:eastAsia="Courier New" w:hAnsi="Courier New"/>
          <w:sz w:val="18"/>
          <w:szCs w:val="18"/>
          <w:i w:val="1"/>
          <w:iCs w:val="1"/>
          <w:color w:val="auto"/>
        </w:rPr>
        <w:t>.</w:t>
      </w:r>
      <w:r>
        <w:rPr>
          <w:rFonts w:ascii="Arial" w:cs="Arial" w:eastAsia="Arial" w:hAnsi="Arial"/>
          <w:sz w:val="18"/>
          <w:szCs w:val="18"/>
          <w:color w:val="auto"/>
        </w:rPr>
        <w:t xml:space="preserve"> The 2012 Plan replaced our 2004 Plan. The 2012 Plan provides for the grant of options, restricted shares, restricted share units and other share-based awards to our and our subsidiaries’ and aﬃliates’ directors, employees, oﬃcers, consultants, advisors, and any other person whose services are considered valuable to us or our aﬃliates, to continue as service providers, to increase their eﬀorts on our behalf or on behalf of our subsidiary or aﬃliate and to promote the success of our business. As of December 31, 2014, we had available 9,497 shares for future grant and had 226,102 options to purchase ordinary shares outstanding under the 2012 Plan. Our board of directors may increase the number of shares available for future grant at any time.</w:t>
      </w:r>
    </w:p>
    <w:p>
      <w:pPr>
        <w:spacing w:after="0" w:line="363" w:lineRule="exact"/>
        <w:rPr>
          <w:sz w:val="20"/>
          <w:szCs w:val="20"/>
          <w:color w:val="auto"/>
        </w:rPr>
      </w:pPr>
    </w:p>
    <w:p>
      <w:pPr>
        <w:ind w:left="120" w:right="239" w:firstLine="216"/>
        <w:spacing w:after="0" w:line="294" w:lineRule="auto"/>
        <w:rPr>
          <w:sz w:val="20"/>
          <w:szCs w:val="20"/>
          <w:color w:val="auto"/>
        </w:rPr>
      </w:pPr>
      <w:r>
        <w:rPr>
          <w:rFonts w:ascii="Arial" w:cs="Arial" w:eastAsia="Arial" w:hAnsi="Arial"/>
          <w:sz w:val="18"/>
          <w:szCs w:val="18"/>
          <w:color w:val="auto"/>
        </w:rPr>
        <w:t>The 2012 Plan is administered by our board of directors or by a committee designated by the board of directors, which determines, subject to Israeli law, the grantees of awards and the terms of the grant, including, exercise prices, vesting</w:t>
      </w:r>
    </w:p>
    <w:p>
      <w:pPr>
        <w:sectPr>
          <w:pgSz w:w="11900" w:h="16838" w:orient="portrait"/>
          <w:cols w:equalWidth="0" w:num="1">
            <w:col w:w="9019"/>
          </w:cols>
          <w:pgMar w:left="1440" w:top="125" w:right="1440" w:bottom="434"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434" w:gutter="0" w:footer="0" w:header="0"/>
          <w:type w:val="continuous"/>
        </w:sectPr>
      </w:pPr>
    </w:p>
    <w:bookmarkStart w:id="90" w:name="page91"/>
    <w:bookmarkEnd w:id="90"/>
    <w:p>
      <w:pPr>
        <w:ind w:left="120" w:right="199"/>
        <w:spacing w:after="0" w:line="279" w:lineRule="auto"/>
        <w:rPr>
          <w:sz w:val="20"/>
          <w:szCs w:val="20"/>
          <w:color w:val="auto"/>
        </w:rPr>
      </w:pPr>
      <w:r>
        <w:rPr>
          <w:rFonts w:ascii="Arial" w:cs="Arial" w:eastAsia="Arial" w:hAnsi="Arial"/>
          <w:sz w:val="17"/>
          <w:szCs w:val="17"/>
          <w:color w:val="auto"/>
        </w:rPr>
        <w:t>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39" w:lineRule="exact"/>
        <w:rPr>
          <w:sz w:val="20"/>
          <w:szCs w:val="20"/>
          <w:color w:val="auto"/>
        </w:rPr>
      </w:pPr>
    </w:p>
    <w:p>
      <w:pPr>
        <w:ind w:left="120" w:right="179" w:firstLine="216"/>
        <w:spacing w:after="0" w:line="269" w:lineRule="auto"/>
        <w:rPr>
          <w:sz w:val="20"/>
          <w:szCs w:val="20"/>
          <w:color w:val="auto"/>
        </w:rPr>
      </w:pPr>
      <w:r>
        <w:rPr>
          <w:rFonts w:ascii="Arial" w:cs="Arial" w:eastAsia="Arial" w:hAnsi="Arial"/>
          <w:sz w:val="18"/>
          <w:szCs w:val="18"/>
          <w:color w:val="auto"/>
        </w:rPr>
        <w:t>The 2012 Plan provides that options granted to our employees, directors and oﬃcers who are not controlling shareholders and who are considered Israeli residents are intended to qualify for special tax treatment under the “capital gain track” provisions of Section 102(b)(2) of the Ordinance. Our Israeli non-employee service providers and controlling shareholders may only be granted options under Section 3(i) of the Ordinance, which does not provide for similar tax benefits.</w:t>
      </w:r>
    </w:p>
    <w:p>
      <w:pPr>
        <w:spacing w:after="0" w:line="353" w:lineRule="exact"/>
        <w:rPr>
          <w:sz w:val="20"/>
          <w:szCs w:val="20"/>
          <w:color w:val="auto"/>
        </w:rPr>
      </w:pPr>
    </w:p>
    <w:p>
      <w:pPr>
        <w:ind w:left="120" w:right="139" w:firstLine="216"/>
        <w:spacing w:after="0" w:line="274"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351" w:lineRule="exact"/>
        <w:rPr>
          <w:sz w:val="20"/>
          <w:szCs w:val="20"/>
          <w:color w:val="auto"/>
        </w:rPr>
      </w:pPr>
    </w:p>
    <w:p>
      <w:pPr>
        <w:ind w:left="120" w:right="319" w:firstLine="216"/>
        <w:spacing w:after="0" w:line="338" w:lineRule="auto"/>
        <w:rPr>
          <w:sz w:val="20"/>
          <w:szCs w:val="20"/>
          <w:color w:val="auto"/>
        </w:rPr>
      </w:pPr>
      <w:r>
        <w:rPr>
          <w:rFonts w:ascii="Arial" w:cs="Arial" w:eastAsia="Arial" w:hAnsi="Arial"/>
          <w:sz w:val="18"/>
          <w:szCs w:val="18"/>
          <w:color w:val="auto"/>
        </w:rPr>
        <w:t>Awards under the 2012 Plan may be granted until 10 years from the date on which the 2012 Plan was adopted by our board of directors.</w:t>
      </w:r>
    </w:p>
    <w:p>
      <w:pPr>
        <w:spacing w:after="0" w:line="65" w:lineRule="exact"/>
        <w:rPr>
          <w:sz w:val="20"/>
          <w:szCs w:val="20"/>
          <w:color w:val="auto"/>
        </w:rPr>
      </w:pPr>
    </w:p>
    <w:p>
      <w:pPr>
        <w:ind w:left="120" w:right="219" w:firstLine="216"/>
        <w:spacing w:after="0" w:line="268" w:lineRule="auto"/>
        <w:rPr>
          <w:sz w:val="20"/>
          <w:szCs w:val="20"/>
          <w:color w:val="auto"/>
        </w:rPr>
      </w:pPr>
      <w:r>
        <w:rPr>
          <w:rFonts w:ascii="Arial" w:cs="Arial" w:eastAsia="Arial" w:hAnsi="Arial"/>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26" w:lineRule="exact"/>
        <w:rPr>
          <w:sz w:val="20"/>
          <w:szCs w:val="20"/>
          <w:color w:val="auto"/>
        </w:rPr>
      </w:pPr>
    </w:p>
    <w:p>
      <w:pPr>
        <w:ind w:left="120" w:right="119" w:firstLine="216"/>
        <w:spacing w:after="0" w:line="256" w:lineRule="auto"/>
        <w:rPr>
          <w:sz w:val="20"/>
          <w:szCs w:val="20"/>
          <w:color w:val="auto"/>
        </w:rPr>
      </w:pPr>
      <w:r>
        <w:rPr>
          <w:rFonts w:ascii="Arial" w:cs="Arial" w:eastAsia="Arial" w:hAnsi="Arial"/>
          <w:sz w:val="18"/>
          <w:szCs w:val="18"/>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200" w:lineRule="exact"/>
        <w:rPr>
          <w:sz w:val="20"/>
          <w:szCs w:val="20"/>
          <w:color w:val="auto"/>
        </w:rPr>
      </w:pPr>
    </w:p>
    <w:p>
      <w:pPr>
        <w:spacing w:after="0" w:line="382" w:lineRule="exact"/>
        <w:rPr>
          <w:sz w:val="20"/>
          <w:szCs w:val="20"/>
          <w:color w:val="auto"/>
        </w:rPr>
      </w:pPr>
    </w:p>
    <w:p>
      <w:pPr>
        <w:ind w:left="120" w:right="159" w:firstLine="216"/>
        <w:spacing w:after="0" w:line="258" w:lineRule="auto"/>
        <w:rPr>
          <w:sz w:val="20"/>
          <w:szCs w:val="20"/>
          <w:color w:val="auto"/>
        </w:rPr>
      </w:pPr>
      <w:r>
        <w:rPr>
          <w:rFonts w:ascii="Arial" w:cs="Arial" w:eastAsia="Arial" w:hAnsi="Arial"/>
          <w:sz w:val="18"/>
          <w:szCs w:val="18"/>
          <w:color w:val="auto"/>
        </w:rPr>
        <w:t>In the event of a merger or consolidation of our company, or a sale of all, or substantially all, of our shares or assets or other transaction having a similar eﬀect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200" w:lineRule="exact"/>
        <w:rPr>
          <w:sz w:val="20"/>
          <w:szCs w:val="20"/>
          <w:color w:val="auto"/>
        </w:rPr>
      </w:pPr>
    </w:p>
    <w:p>
      <w:pPr>
        <w:spacing w:after="0" w:line="384" w:lineRule="exact"/>
        <w:rPr>
          <w:sz w:val="20"/>
          <w:szCs w:val="20"/>
          <w:color w:val="auto"/>
        </w:rPr>
      </w:pPr>
    </w:p>
    <w:p>
      <w:pPr>
        <w:ind w:left="120" w:right="219" w:firstLine="216"/>
        <w:spacing w:after="0" w:line="263" w:lineRule="auto"/>
        <w:rPr>
          <w:sz w:val="20"/>
          <w:szCs w:val="20"/>
          <w:color w:val="auto"/>
        </w:rPr>
      </w:pPr>
      <w:r>
        <w:rPr>
          <w:rFonts w:ascii="Arial" w:cs="Arial" w:eastAsia="Arial" w:hAnsi="Arial"/>
          <w:sz w:val="18"/>
          <w:szCs w:val="18"/>
          <w:color w:val="auto"/>
        </w:rPr>
        <w:t>Restricted share awards are ordinary shares that are awarded to a participant subject to the satisfaction of the terms and conditions established by the board of directors or a committee designated by the board of directors. Until such time as the applicable restrictions lapse, restricted shares are subject to forfeiture and may not be sold, assigned, pledged or otherwise disposed of by the participant who holds those shares, except by will or the laws of descent. Generally, if a grantee’s employment or service is terminated for any reason prior to the expiration of the time when the restrictions lapse, shares that are still restricted will be forfeited by the participant.</w:t>
      </w:r>
    </w:p>
    <w:p>
      <w:pPr>
        <w:sectPr>
          <w:pgSz w:w="11900" w:h="16838" w:orient="portrait"/>
          <w:cols w:equalWidth="0" w:num="1">
            <w:col w:w="9019"/>
          </w:cols>
          <w:pgMar w:left="1440" w:top="125"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7" w:lineRule="exact"/>
        <w:rPr>
          <w:sz w:val="20"/>
          <w:szCs w:val="20"/>
          <w:color w:val="auto"/>
        </w:rPr>
      </w:pPr>
    </w:p>
    <w:p>
      <w:pPr>
        <w:ind w:left="120" w:right="699" w:firstLine="216"/>
        <w:spacing w:after="0" w:line="338"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the date of this prospectus and after this oﬀering by:</w:t>
      </w:r>
    </w:p>
    <w:p>
      <w:pPr>
        <w:spacing w:after="0" w:line="79" w:lineRule="exact"/>
        <w:rPr>
          <w:sz w:val="20"/>
          <w:szCs w:val="20"/>
          <w:color w:val="auto"/>
        </w:rPr>
      </w:pPr>
    </w:p>
    <w:p>
      <w:pPr>
        <w:ind w:left="560" w:right="699" w:hanging="219"/>
        <w:spacing w:after="0" w:line="285" w:lineRule="auto"/>
        <w:tabs>
          <w:tab w:leader="none" w:pos="626" w:val="left"/>
        </w:tabs>
        <w:numPr>
          <w:ilvl w:val="0"/>
          <w:numId w:val="67"/>
        </w:numPr>
        <w:rPr>
          <w:rFonts w:ascii="Arial" w:cs="Arial" w:eastAsia="Arial" w:hAnsi="Arial"/>
          <w:sz w:val="22"/>
          <w:szCs w:val="22"/>
          <w:color w:val="auto"/>
        </w:rPr>
      </w:pPr>
      <w:r>
        <w:rPr>
          <w:rFonts w:ascii="Arial" w:cs="Arial" w:eastAsia="Arial" w:hAnsi="Arial"/>
          <w:sz w:val="18"/>
          <w:szCs w:val="18"/>
          <w:color w:val="auto"/>
        </w:rPr>
        <w:t>each person or entity known by us to own beneficially 5% or more of our outstanding ordinary shares;</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67"/>
        </w:numPr>
        <w:rPr>
          <w:rFonts w:ascii="Arial" w:cs="Arial" w:eastAsia="Arial" w:hAnsi="Arial"/>
          <w:sz w:val="22"/>
          <w:szCs w:val="22"/>
          <w:color w:val="auto"/>
        </w:rPr>
      </w:pPr>
      <w:r>
        <w:rPr>
          <w:rFonts w:ascii="Arial" w:cs="Arial" w:eastAsia="Arial" w:hAnsi="Arial"/>
          <w:sz w:val="18"/>
          <w:szCs w:val="18"/>
          <w:color w:val="auto"/>
        </w:rPr>
        <w:t>each of our directors, director nominees and executive oﬃcers individually; and</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7"/>
        </w:numPr>
        <w:rPr>
          <w:rFonts w:ascii="Arial" w:cs="Arial" w:eastAsia="Arial" w:hAnsi="Arial"/>
          <w:sz w:val="22"/>
          <w:szCs w:val="22"/>
          <w:color w:val="auto"/>
        </w:rPr>
      </w:pPr>
      <w:r>
        <w:rPr>
          <w:rFonts w:ascii="Arial" w:cs="Arial" w:eastAsia="Arial" w:hAnsi="Arial"/>
          <w:sz w:val="18"/>
          <w:szCs w:val="18"/>
          <w:color w:val="auto"/>
        </w:rPr>
        <w:t>all of our executive oﬃcers, directors and director nominees as a group.</w:t>
      </w:r>
    </w:p>
    <w:p>
      <w:pPr>
        <w:spacing w:after="0" w:line="179" w:lineRule="exact"/>
        <w:rPr>
          <w:sz w:val="20"/>
          <w:szCs w:val="20"/>
          <w:color w:val="auto"/>
        </w:rPr>
      </w:pPr>
    </w:p>
    <w:p>
      <w:pPr>
        <w:ind w:left="120" w:right="159" w:firstLine="216"/>
        <w:spacing w:after="0" w:line="258" w:lineRule="auto"/>
        <w:rPr>
          <w:sz w:val="20"/>
          <w:szCs w:val="20"/>
          <w:color w:val="auto"/>
        </w:rPr>
      </w:pPr>
      <w:r>
        <w:rPr>
          <w:rFonts w:ascii="Arial" w:cs="Arial" w:eastAsia="Arial" w:hAnsi="Arial"/>
          <w:sz w:val="18"/>
          <w:szCs w:val="18"/>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or warrants that are currently exercisable or exercisable within 60 days of December 31, 2014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oﬀering is based on 3,296,450 ordinary shares outstanding as of December 31, 2014, assuming the conversion of all outstanding preferred shares as of that date. Except where otherwise indicated, we believe, based on information furnished to us by such owners, that the beneficial owners of the ordinary shares listed below have sole investment and voting power with respect to such shares.</w:t>
      </w:r>
    </w:p>
    <w:p>
      <w:pPr>
        <w:spacing w:after="0" w:line="355" w:lineRule="exact"/>
        <w:rPr>
          <w:sz w:val="20"/>
          <w:szCs w:val="20"/>
          <w:color w:val="auto"/>
        </w:rPr>
      </w:pPr>
    </w:p>
    <w:p>
      <w:pPr>
        <w:ind w:left="120" w:right="1059" w:firstLine="216"/>
        <w:spacing w:after="0" w:line="338" w:lineRule="auto"/>
        <w:rPr>
          <w:sz w:val="20"/>
          <w:szCs w:val="20"/>
          <w:color w:val="auto"/>
        </w:rPr>
      </w:pPr>
      <w:r>
        <w:rPr>
          <w:rFonts w:ascii="Arial" w:cs="Arial" w:eastAsia="Arial" w:hAnsi="Arial"/>
          <w:sz w:val="18"/>
          <w:szCs w:val="18"/>
          <w:color w:val="auto"/>
        </w:rPr>
        <w:t>We were not aware of any U.S. persons that are holders of record of our shares as of December 31, 2014.</w:t>
      </w:r>
    </w:p>
    <w:p>
      <w:pPr>
        <w:spacing w:after="0" w:line="65" w:lineRule="exact"/>
        <w:rPr>
          <w:sz w:val="20"/>
          <w:szCs w:val="20"/>
          <w:color w:val="auto"/>
        </w:rPr>
      </w:pPr>
    </w:p>
    <w:p>
      <w:pPr>
        <w:ind w:left="120" w:right="899" w:firstLine="216"/>
        <w:spacing w:after="0" w:line="338" w:lineRule="auto"/>
        <w:rPr>
          <w:sz w:val="20"/>
          <w:szCs w:val="20"/>
          <w:color w:val="auto"/>
        </w:rPr>
      </w:pPr>
      <w:r>
        <w:rPr>
          <w:rFonts w:ascii="Arial" w:cs="Arial" w:eastAsia="Arial" w:hAnsi="Arial"/>
          <w:sz w:val="18"/>
          <w:szCs w:val="18"/>
          <w:color w:val="auto"/>
        </w:rPr>
        <w:t>Unless otherwise noted below, each shareholder’s address is c/o Kornit Digital Ltd., 12 Ha’Amal Street, Rosh –Ha’Ayin 4809246, Israel.</w:t>
      </w:r>
    </w:p>
    <w:p>
      <w:pPr>
        <w:spacing w:after="0" w:line="65" w:lineRule="exact"/>
        <w:rPr>
          <w:sz w:val="20"/>
          <w:szCs w:val="20"/>
          <w:color w:val="auto"/>
        </w:rPr>
      </w:pPr>
    </w:p>
    <w:p>
      <w:pPr>
        <w:ind w:left="120" w:right="279" w:firstLine="216"/>
        <w:spacing w:after="0" w:line="294"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aﬃliates within the past three years is included under “Certain Relationships and Related Party Transactions.”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center"/>
              <w:ind w:left="253"/>
              <w:spacing w:after="0"/>
              <w:rPr>
                <w:sz w:val="20"/>
                <w:szCs w:val="20"/>
                <w:color w:val="auto"/>
              </w:rPr>
            </w:pPr>
            <w:r>
              <w:rPr>
                <w:rFonts w:ascii="Arial" w:cs="Arial" w:eastAsia="Arial" w:hAnsi="Arial"/>
                <w:sz w:val="16"/>
                <w:szCs w:val="16"/>
                <w:b w:val="1"/>
                <w:bCs w:val="1"/>
                <w:color w:val="auto"/>
              </w:rPr>
              <w:t>Number and</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4"/>
            <w:vMerge w:val="restart"/>
          </w:tcPr>
          <w:p>
            <w:pPr>
              <w:jc w:val="center"/>
              <w:ind w:right="180"/>
              <w:spacing w:after="0"/>
              <w:rPr>
                <w:sz w:val="20"/>
                <w:szCs w:val="20"/>
                <w:color w:val="auto"/>
              </w:rPr>
            </w:pPr>
            <w:r>
              <w:rPr>
                <w:rFonts w:ascii="Arial" w:cs="Arial" w:eastAsia="Arial" w:hAnsi="Arial"/>
                <w:sz w:val="16"/>
                <w:szCs w:val="16"/>
                <w:b w:val="1"/>
                <w:bCs w:val="1"/>
                <w:color w:val="auto"/>
              </w:rPr>
              <w:t>Percentage of Ordinary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center"/>
              <w:ind w:left="253"/>
              <w:spacing w:after="0"/>
              <w:rPr>
                <w:sz w:val="20"/>
                <w:szCs w:val="20"/>
                <w:color w:val="auto"/>
              </w:rPr>
            </w:pPr>
            <w:r>
              <w:rPr>
                <w:rFonts w:ascii="Arial" w:cs="Arial" w:eastAsia="Arial" w:hAnsi="Arial"/>
                <w:sz w:val="16"/>
                <w:szCs w:val="16"/>
                <w:b w:val="1"/>
                <w:bCs w:val="1"/>
                <w:color w:val="auto"/>
              </w:rPr>
              <w:t>Percentage of</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center"/>
              <w:ind w:left="253"/>
              <w:spacing w:after="0"/>
              <w:rPr>
                <w:sz w:val="20"/>
                <w:szCs w:val="20"/>
                <w:color w:val="auto"/>
              </w:rPr>
            </w:pPr>
            <w:r>
              <w:rPr>
                <w:rFonts w:ascii="Arial" w:cs="Arial" w:eastAsia="Arial" w:hAnsi="Arial"/>
                <w:sz w:val="16"/>
                <w:szCs w:val="16"/>
                <w:b w:val="1"/>
                <w:bCs w:val="1"/>
                <w:color w:val="auto"/>
              </w:rPr>
              <w:t>Ordinary Shares</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Shares Beneficially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Beneficially Owned</w:t>
            </w:r>
          </w:p>
        </w:tc>
        <w:tc>
          <w:tcPr>
            <w:tcW w:w="25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Owned After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3"/>
          </w:tcPr>
          <w:p>
            <w:pPr>
              <w:jc w:val="center"/>
              <w:ind w:left="253"/>
              <w:spacing w:after="0"/>
              <w:rPr>
                <w:sz w:val="20"/>
                <w:szCs w:val="20"/>
                <w:color w:val="auto"/>
              </w:rPr>
            </w:pPr>
            <w:r>
              <w:rPr>
                <w:rFonts w:ascii="Arial" w:cs="Arial" w:eastAsia="Arial" w:hAnsi="Arial"/>
                <w:sz w:val="16"/>
                <w:szCs w:val="16"/>
                <w:b w:val="1"/>
                <w:bCs w:val="1"/>
                <w:color w:val="auto"/>
              </w:rPr>
              <w:t>Prior to Oﬀering</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Oﬀering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Borders>
              <w:top w:val="single" w:sz="8" w:color="auto"/>
            </w:tcBorders>
            <w:gridSpan w:val="2"/>
          </w:tcPr>
          <w:p>
            <w:pPr>
              <w:jc w:val="center"/>
              <w:ind w:right="360"/>
              <w:spacing w:after="0" w:line="143" w:lineRule="exact"/>
              <w:rPr>
                <w:sz w:val="20"/>
                <w:szCs w:val="20"/>
                <w:color w:val="auto"/>
              </w:rPr>
            </w:pPr>
            <w:r>
              <w:rPr>
                <w:rFonts w:ascii="Arial" w:cs="Arial" w:eastAsia="Arial" w:hAnsi="Arial"/>
                <w:sz w:val="16"/>
                <w:szCs w:val="16"/>
                <w:b w:val="1"/>
                <w:bCs w:val="1"/>
                <w:color w:val="auto"/>
              </w:rPr>
              <w:t>Assuming</w:t>
            </w:r>
          </w:p>
        </w:tc>
        <w:tc>
          <w:tcPr>
            <w:tcW w:w="10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b w:val="1"/>
                <w:bCs w:val="1"/>
                <w:color w:val="auto"/>
              </w:rPr>
              <w:t>Assuming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No</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Full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Exercise</w:t>
            </w: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of the</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of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Over-</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Over-</w:t>
            </w:r>
          </w:p>
        </w:tc>
        <w:tc>
          <w:tcPr>
            <w:tcW w:w="0" w:type="dxa"/>
            <w:vAlign w:val="bottom"/>
          </w:tcPr>
          <w:p>
            <w:pPr>
              <w:spacing w:after="0"/>
              <w:rPr>
                <w:sz w:val="1"/>
                <w:szCs w:val="1"/>
                <w:color w:val="auto"/>
              </w:rPr>
            </w:pPr>
          </w:p>
        </w:tc>
      </w:tr>
      <w:tr>
        <w:trPr>
          <w:trHeight w:val="189"/>
        </w:trPr>
        <w:tc>
          <w:tcPr>
            <w:tcW w:w="37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12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Number</w:t>
            </w:r>
          </w:p>
        </w:tc>
        <w:tc>
          <w:tcPr>
            <w:tcW w:w="1280" w:type="dxa"/>
            <w:vAlign w:val="bottom"/>
            <w:gridSpan w:val="3"/>
            <w:vMerge w:val="restart"/>
          </w:tcPr>
          <w:p>
            <w:pPr>
              <w:jc w:val="right"/>
              <w:ind w:right="460"/>
              <w:spacing w:after="0"/>
              <w:rPr>
                <w:sz w:val="20"/>
                <w:szCs w:val="20"/>
                <w:color w:val="auto"/>
              </w:rPr>
            </w:pPr>
            <w:r>
              <w:rPr>
                <w:rFonts w:ascii="Arial" w:cs="Arial" w:eastAsia="Arial" w:hAnsi="Arial"/>
                <w:sz w:val="16"/>
                <w:szCs w:val="16"/>
                <w:b w:val="1"/>
                <w:bCs w:val="1"/>
                <w:color w:val="auto"/>
              </w:rPr>
              <w:t>Percent</w:t>
            </w: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Allotment</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Allotment</w:t>
            </w:r>
          </w:p>
        </w:tc>
        <w:tc>
          <w:tcPr>
            <w:tcW w:w="0" w:type="dxa"/>
            <w:vAlign w:val="bottom"/>
          </w:tcPr>
          <w:p>
            <w:pPr>
              <w:spacing w:after="0"/>
              <w:rPr>
                <w:sz w:val="1"/>
                <w:szCs w:val="1"/>
                <w:color w:val="auto"/>
              </w:rPr>
            </w:pPr>
          </w:p>
        </w:tc>
      </w:tr>
      <w:tr>
        <w:trPr>
          <w:trHeight w:val="229"/>
        </w:trPr>
        <w:tc>
          <w:tcPr>
            <w:tcW w:w="3700" w:type="dxa"/>
            <w:vAlign w:val="bottom"/>
            <w:gridSpan w:val="3"/>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Option</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9"/>
                <w:szCs w:val="29"/>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2,294,713</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69.6%</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Gavriel Weinshtock</w:t>
            </w:r>
            <w:r>
              <w:rPr>
                <w:rFonts w:ascii="Arial" w:cs="Arial" w:eastAsia="Arial" w:hAnsi="Arial"/>
                <w:sz w:val="29"/>
                <w:szCs w:val="29"/>
                <w:color w:val="auto"/>
                <w:vertAlign w:val="superscript"/>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205,920</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Arial" w:cs="Arial" w:eastAsia="Arial" w:hAnsi="Arial"/>
                <w:sz w:val="18"/>
                <w:szCs w:val="18"/>
                <w:color w:val="auto"/>
              </w:rPr>
              <w:t>Yossef Nuriel</w:t>
            </w:r>
            <w:r>
              <w:rPr>
                <w:rFonts w:ascii="Arial" w:cs="Arial" w:eastAsia="Arial" w:hAnsi="Arial"/>
                <w:sz w:val="29"/>
                <w:szCs w:val="29"/>
                <w:color w:val="auto"/>
                <w:vertAlign w:val="superscript"/>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192,890</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Yahel (Nur Group) Holdings Ltd.</w:t>
            </w:r>
            <w:r>
              <w:rPr>
                <w:rFonts w:ascii="Arial" w:cs="Arial" w:eastAsia="Arial" w:hAnsi="Arial"/>
                <w:sz w:val="29"/>
                <w:szCs w:val="29"/>
                <w:color w:val="auto"/>
                <w:vertAlign w:val="superscript"/>
              </w:rPr>
              <w:t>(4)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167,217</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Directors, Director Nominees and Executive</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Officers</w:t>
            </w: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Arial" w:cs="Arial" w:eastAsia="Arial" w:hAnsi="Arial"/>
                <w:sz w:val="18"/>
                <w:szCs w:val="18"/>
                <w:color w:val="auto"/>
              </w:rPr>
              <w:t>Yuval Cohen</w:t>
            </w:r>
            <w:r>
              <w:rPr>
                <w:rFonts w:ascii="Arial" w:cs="Arial" w:eastAsia="Arial" w:hAnsi="Arial"/>
                <w:sz w:val="29"/>
                <w:szCs w:val="29"/>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2,294,713</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69.6%</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Ofer Ben-Zur</w:t>
            </w:r>
            <w:r>
              <w:rPr>
                <w:rFonts w:ascii="Arial" w:cs="Arial" w:eastAsia="Arial" w:hAnsi="Arial"/>
                <w:sz w:val="29"/>
                <w:szCs w:val="29"/>
                <w:color w:val="auto"/>
                <w:vertAlign w:val="superscript"/>
              </w:rPr>
              <w:t>(5)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226,990</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Arial" w:cs="Arial" w:eastAsia="Arial" w:hAnsi="Arial"/>
                <w:sz w:val="18"/>
                <w:szCs w:val="18"/>
                <w:color w:val="auto"/>
              </w:rPr>
              <w:t>Eli Blatt</w:t>
            </w:r>
            <w:r>
              <w:rPr>
                <w:rFonts w:ascii="Arial" w:cs="Arial" w:eastAsia="Arial" w:hAnsi="Arial"/>
                <w:sz w:val="29"/>
                <w:szCs w:val="29"/>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2,294,713</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69.6%</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Hineman</w:t>
            </w:r>
            <w:r>
              <w:rPr>
                <w:rFonts w:ascii="Arial" w:cs="Arial" w:eastAsia="Arial" w:hAnsi="Arial"/>
                <w:sz w:val="29"/>
                <w:szCs w:val="29"/>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2,294,713</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69.6%</w:t>
            </w: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Arial" w:cs="Arial" w:eastAsia="Arial" w:hAnsi="Arial"/>
                <w:sz w:val="18"/>
                <w:szCs w:val="18"/>
                <w:color w:val="auto"/>
              </w:rPr>
              <w:t>Marc Lesnick</w:t>
            </w:r>
            <w:r>
              <w:rPr>
                <w:rFonts w:ascii="Arial" w:cs="Arial" w:eastAsia="Arial" w:hAnsi="Arial"/>
                <w:sz w:val="29"/>
                <w:szCs w:val="29"/>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2,294,713</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69.6%</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Lauri Hanover</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Alon Lumbroso</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Jerry Mandel</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Dov Ofer</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9019"/>
          </w:cols>
          <w:pgMar w:left="1440" w:top="307" w:right="1440" w:bottom="1440" w:gutter="0" w:footer="0" w:header="0"/>
        </w:sect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type w:val="continuous"/>
        </w:sectPr>
      </w:pPr>
    </w:p>
    <w:bookmarkStart w:id="92" w:name="page93"/>
    <w:bookmarkEnd w:id="92"/>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center"/>
              <w:ind w:left="274"/>
              <w:spacing w:after="0"/>
              <w:rPr>
                <w:sz w:val="20"/>
                <w:szCs w:val="20"/>
                <w:color w:val="auto"/>
              </w:rPr>
            </w:pPr>
            <w:r>
              <w:rPr>
                <w:rFonts w:ascii="Arial" w:cs="Arial" w:eastAsia="Arial" w:hAnsi="Arial"/>
                <w:sz w:val="16"/>
                <w:szCs w:val="16"/>
                <w:b w:val="1"/>
                <w:bCs w:val="1"/>
                <w:color w:val="auto"/>
              </w:rPr>
              <w:t>Number and</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4"/>
            <w:vMerge w:val="restart"/>
          </w:tcPr>
          <w:p>
            <w:pPr>
              <w:jc w:val="center"/>
              <w:ind w:right="180"/>
              <w:spacing w:after="0"/>
              <w:rPr>
                <w:sz w:val="20"/>
                <w:szCs w:val="20"/>
                <w:color w:val="auto"/>
              </w:rPr>
            </w:pPr>
            <w:r>
              <w:rPr>
                <w:rFonts w:ascii="Arial" w:cs="Arial" w:eastAsia="Arial" w:hAnsi="Arial"/>
                <w:sz w:val="16"/>
                <w:szCs w:val="16"/>
                <w:b w:val="1"/>
                <w:bCs w:val="1"/>
                <w:color w:val="auto"/>
              </w:rPr>
              <w:t>Percentage of Ordinary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center"/>
              <w:ind w:left="274"/>
              <w:spacing w:after="0"/>
              <w:rPr>
                <w:sz w:val="20"/>
                <w:szCs w:val="20"/>
                <w:color w:val="auto"/>
              </w:rPr>
            </w:pPr>
            <w:r>
              <w:rPr>
                <w:rFonts w:ascii="Arial" w:cs="Arial" w:eastAsia="Arial" w:hAnsi="Arial"/>
                <w:sz w:val="16"/>
                <w:szCs w:val="16"/>
                <w:b w:val="1"/>
                <w:bCs w:val="1"/>
                <w:color w:val="auto"/>
              </w:rPr>
              <w:t>Percentage of</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center"/>
              <w:ind w:left="274"/>
              <w:spacing w:after="0"/>
              <w:rPr>
                <w:sz w:val="20"/>
                <w:szCs w:val="20"/>
                <w:color w:val="auto"/>
              </w:rPr>
            </w:pPr>
            <w:r>
              <w:rPr>
                <w:rFonts w:ascii="Arial" w:cs="Arial" w:eastAsia="Arial" w:hAnsi="Arial"/>
                <w:sz w:val="16"/>
                <w:szCs w:val="16"/>
                <w:b w:val="1"/>
                <w:bCs w:val="1"/>
                <w:color w:val="auto"/>
              </w:rPr>
              <w:t>Ordinary Shares</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Shares Beneficially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Beneficially Owned</w:t>
            </w:r>
          </w:p>
        </w:tc>
        <w:tc>
          <w:tcPr>
            <w:tcW w:w="25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Owned After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3"/>
          </w:tcPr>
          <w:p>
            <w:pPr>
              <w:jc w:val="center"/>
              <w:ind w:left="254"/>
              <w:spacing w:after="0"/>
              <w:rPr>
                <w:sz w:val="20"/>
                <w:szCs w:val="20"/>
                <w:color w:val="auto"/>
              </w:rPr>
            </w:pPr>
            <w:r>
              <w:rPr>
                <w:rFonts w:ascii="Arial" w:cs="Arial" w:eastAsia="Arial" w:hAnsi="Arial"/>
                <w:sz w:val="16"/>
                <w:szCs w:val="16"/>
                <w:b w:val="1"/>
                <w:bCs w:val="1"/>
                <w:color w:val="auto"/>
              </w:rPr>
              <w:t>Prior to Oﬀering</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Oﬀering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Borders>
              <w:top w:val="single" w:sz="8" w:color="auto"/>
            </w:tcBorders>
            <w:gridSpan w:val="2"/>
          </w:tcPr>
          <w:p>
            <w:pPr>
              <w:jc w:val="center"/>
              <w:ind w:right="360"/>
              <w:spacing w:after="0" w:line="143" w:lineRule="exact"/>
              <w:rPr>
                <w:sz w:val="20"/>
                <w:szCs w:val="20"/>
                <w:color w:val="auto"/>
              </w:rPr>
            </w:pPr>
            <w:r>
              <w:rPr>
                <w:rFonts w:ascii="Arial" w:cs="Arial" w:eastAsia="Arial" w:hAnsi="Arial"/>
                <w:sz w:val="16"/>
                <w:szCs w:val="16"/>
                <w:b w:val="1"/>
                <w:bCs w:val="1"/>
                <w:color w:val="auto"/>
              </w:rPr>
              <w:t>Assuming</w:t>
            </w:r>
          </w:p>
        </w:tc>
        <w:tc>
          <w:tcPr>
            <w:tcW w:w="10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b w:val="1"/>
                <w:bCs w:val="1"/>
                <w:color w:val="auto"/>
              </w:rPr>
              <w:t>Assuming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No</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Full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Exercise</w:t>
            </w: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of the</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of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Over-</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Over-</w:t>
            </w:r>
          </w:p>
        </w:tc>
        <w:tc>
          <w:tcPr>
            <w:tcW w:w="0" w:type="dxa"/>
            <w:vAlign w:val="bottom"/>
          </w:tcPr>
          <w:p>
            <w:pPr>
              <w:spacing w:after="0"/>
              <w:rPr>
                <w:sz w:val="1"/>
                <w:szCs w:val="1"/>
                <w:color w:val="auto"/>
              </w:rPr>
            </w:pPr>
          </w:p>
        </w:tc>
      </w:tr>
      <w:tr>
        <w:trPr>
          <w:trHeight w:val="189"/>
        </w:trPr>
        <w:tc>
          <w:tcPr>
            <w:tcW w:w="36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13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Number</w:t>
            </w:r>
          </w:p>
        </w:tc>
        <w:tc>
          <w:tcPr>
            <w:tcW w:w="1280" w:type="dxa"/>
            <w:vAlign w:val="bottom"/>
            <w:gridSpan w:val="3"/>
            <w:vMerge w:val="restart"/>
          </w:tcPr>
          <w:p>
            <w:pPr>
              <w:jc w:val="right"/>
              <w:ind w:right="460"/>
              <w:spacing w:after="0"/>
              <w:rPr>
                <w:sz w:val="20"/>
                <w:szCs w:val="20"/>
                <w:color w:val="auto"/>
              </w:rPr>
            </w:pPr>
            <w:r>
              <w:rPr>
                <w:rFonts w:ascii="Arial" w:cs="Arial" w:eastAsia="Arial" w:hAnsi="Arial"/>
                <w:sz w:val="16"/>
                <w:szCs w:val="16"/>
                <w:b w:val="1"/>
                <w:bCs w:val="1"/>
                <w:color w:val="auto"/>
              </w:rPr>
              <w:t>Percent</w:t>
            </w: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Allotment</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Allotment</w:t>
            </w:r>
          </w:p>
        </w:tc>
        <w:tc>
          <w:tcPr>
            <w:tcW w:w="0" w:type="dxa"/>
            <w:vAlign w:val="bottom"/>
          </w:tcPr>
          <w:p>
            <w:pPr>
              <w:spacing w:after="0"/>
              <w:rPr>
                <w:sz w:val="1"/>
                <w:szCs w:val="1"/>
                <w:color w:val="auto"/>
              </w:rPr>
            </w:pPr>
          </w:p>
        </w:tc>
      </w:tr>
      <w:tr>
        <w:trPr>
          <w:trHeight w:val="229"/>
        </w:trPr>
        <w:tc>
          <w:tcPr>
            <w:tcW w:w="3680" w:type="dxa"/>
            <w:vAlign w:val="bottom"/>
            <w:gridSpan w:val="3"/>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Option</w:t>
            </w: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Avidan</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Sarel Ashkenazy</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Sandelson</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Guy Zimmerman</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Oded Kraft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All Directors and Executive Officers as a</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680" w:type="dxa"/>
            <w:vAlign w:val="bottom"/>
            <w:gridSpan w:val="3"/>
          </w:tcPr>
          <w:p>
            <w:pPr>
              <w:spacing w:after="0" w:line="247" w:lineRule="exact"/>
              <w:rPr>
                <w:sz w:val="20"/>
                <w:szCs w:val="20"/>
                <w:color w:val="auto"/>
              </w:rPr>
            </w:pPr>
            <w:r>
              <w:rPr>
                <w:rFonts w:ascii="Arial" w:cs="Arial" w:eastAsia="Arial" w:hAnsi="Arial"/>
                <w:sz w:val="17"/>
                <w:szCs w:val="17"/>
                <w:b w:val="1"/>
                <w:bCs w:val="1"/>
                <w:color w:val="auto"/>
              </w:rPr>
              <w:t>Group (14 persons)</w:t>
            </w:r>
            <w:r>
              <w:rPr>
                <w:rFonts w:ascii="Arial" w:cs="Arial" w:eastAsia="Arial" w:hAnsi="Arial"/>
                <w:sz w:val="28"/>
                <w:szCs w:val="28"/>
                <w:color w:val="auto"/>
                <w:vertAlign w:val="superscript"/>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2,544,601</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76.7%</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______________</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80" w:type="dxa"/>
            <w:vAlign w:val="bottom"/>
            <w:gridSpan w:val="3"/>
          </w:tcPr>
          <w:p>
            <w:pPr>
              <w:spacing w:after="0"/>
              <w:rPr>
                <w:sz w:val="20"/>
                <w:szCs w:val="20"/>
                <w:color w:val="auto"/>
              </w:rPr>
            </w:pPr>
            <w:r>
              <w:rPr>
                <w:rFonts w:ascii="Arial" w:cs="Arial" w:eastAsia="Arial" w:hAnsi="Arial"/>
                <w:sz w:val="18"/>
                <w:szCs w:val="18"/>
                <w:color w:val="auto"/>
              </w:rPr>
              <w:t>*   Less than 1%</w:t>
            </w: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40" w:right="139" w:hanging="315"/>
        <w:spacing w:after="0" w:line="239" w:lineRule="auto"/>
        <w:tabs>
          <w:tab w:leader="none" w:pos="580" w:val="left"/>
        </w:tabs>
        <w:numPr>
          <w:ilvl w:val="0"/>
          <w:numId w:val="68"/>
        </w:numPr>
        <w:rPr>
          <w:rFonts w:ascii="Arial" w:cs="Arial" w:eastAsia="Arial" w:hAnsi="Arial"/>
          <w:sz w:val="30"/>
          <w:szCs w:val="30"/>
          <w:color w:val="auto"/>
          <w:vertAlign w:val="superscript"/>
        </w:rPr>
      </w:pPr>
      <w:r>
        <w:rPr>
          <w:rFonts w:ascii="Arial" w:cs="Arial" w:eastAsia="Arial" w:hAnsi="Arial"/>
          <w:sz w:val="18"/>
          <w:szCs w:val="18"/>
          <w:color w:val="auto"/>
        </w:rPr>
        <w:t>Consists of 367,573 ordinary shares and 1,927,140 Series A-1 Preferred Shares. Fortissimo Capital Fund II (GP), L.P. is a Cayman Island limited partnership, which serves as the general partner of Fortissimo Capital Fund II (Israel), L.P., an Israeli limited partnership: The general partner of Fortissimo Capital Fund II (GP), L.P. is Fortissimo Capital 2 Management (GP) Ltd., a Cayman Islands corporation (“Fortissimo Capital”). Messrs. Eli Blatt, Yuval Cohen, Yoav Hineman and Marc Lesnick are members of the investment committee of Fortissimo Capital and share voting and dispositive power with respect to such shares. The principal address of Fortissimo Capital is 14 Hamelacha St., Park Afek, Rosh Ha’Ayin 48091, Israel.</w:t>
      </w:r>
    </w:p>
    <w:p>
      <w:pPr>
        <w:spacing w:after="0" w:line="6" w:lineRule="exact"/>
        <w:rPr>
          <w:rFonts w:ascii="Arial" w:cs="Arial" w:eastAsia="Arial" w:hAnsi="Arial"/>
          <w:sz w:val="30"/>
          <w:szCs w:val="30"/>
          <w:color w:val="auto"/>
          <w:vertAlign w:val="superscript"/>
        </w:rPr>
      </w:pPr>
    </w:p>
    <w:p>
      <w:pPr>
        <w:ind w:left="580" w:hanging="455"/>
        <w:spacing w:after="0" w:line="187" w:lineRule="auto"/>
        <w:tabs>
          <w:tab w:leader="none" w:pos="580" w:val="left"/>
        </w:tabs>
        <w:numPr>
          <w:ilvl w:val="0"/>
          <w:numId w:val="68"/>
        </w:numPr>
        <w:rPr>
          <w:rFonts w:ascii="Arial" w:cs="Arial" w:eastAsia="Arial" w:hAnsi="Arial"/>
          <w:sz w:val="30"/>
          <w:szCs w:val="30"/>
          <w:color w:val="auto"/>
          <w:vertAlign w:val="superscript"/>
        </w:rPr>
      </w:pPr>
      <w:r>
        <w:rPr>
          <w:rFonts w:ascii="Arial" w:cs="Arial" w:eastAsia="Arial" w:hAnsi="Arial"/>
          <w:sz w:val="18"/>
          <w:szCs w:val="18"/>
          <w:color w:val="auto"/>
        </w:rPr>
        <w:t>The principal address of Mr. Weinshtock is 10 Bertonov, Petach Tikva, Israel.</w:t>
      </w:r>
    </w:p>
    <w:p>
      <w:pPr>
        <w:spacing w:after="0" w:line="30" w:lineRule="exact"/>
        <w:rPr>
          <w:rFonts w:ascii="Arial" w:cs="Arial" w:eastAsia="Arial" w:hAnsi="Arial"/>
          <w:sz w:val="30"/>
          <w:szCs w:val="30"/>
          <w:color w:val="auto"/>
          <w:vertAlign w:val="superscript"/>
        </w:rPr>
      </w:pPr>
    </w:p>
    <w:p>
      <w:pPr>
        <w:ind w:left="580" w:hanging="455"/>
        <w:spacing w:after="0" w:line="186" w:lineRule="auto"/>
        <w:tabs>
          <w:tab w:leader="none" w:pos="580" w:val="left"/>
        </w:tabs>
        <w:numPr>
          <w:ilvl w:val="0"/>
          <w:numId w:val="68"/>
        </w:numPr>
        <w:rPr>
          <w:rFonts w:ascii="Arial" w:cs="Arial" w:eastAsia="Arial" w:hAnsi="Arial"/>
          <w:sz w:val="27"/>
          <w:szCs w:val="27"/>
          <w:color w:val="auto"/>
          <w:vertAlign w:val="superscript"/>
        </w:rPr>
      </w:pPr>
      <w:r>
        <w:rPr>
          <w:rFonts w:ascii="Arial" w:cs="Arial" w:eastAsia="Arial" w:hAnsi="Arial"/>
          <w:sz w:val="17"/>
          <w:szCs w:val="17"/>
          <w:color w:val="auto"/>
        </w:rPr>
        <w:t>The principal address of Mr. Nuriel is 10 Ein Gedi St., Ganei Tikva, Israel.</w:t>
      </w:r>
    </w:p>
    <w:p>
      <w:pPr>
        <w:spacing w:after="0" w:line="29" w:lineRule="exact"/>
        <w:rPr>
          <w:rFonts w:ascii="Arial" w:cs="Arial" w:eastAsia="Arial" w:hAnsi="Arial"/>
          <w:sz w:val="27"/>
          <w:szCs w:val="27"/>
          <w:color w:val="auto"/>
          <w:vertAlign w:val="superscript"/>
        </w:rPr>
      </w:pPr>
    </w:p>
    <w:p>
      <w:pPr>
        <w:ind w:left="440" w:right="119" w:hanging="315"/>
        <w:spacing w:after="0" w:line="212" w:lineRule="auto"/>
        <w:tabs>
          <w:tab w:leader="none" w:pos="580" w:val="left"/>
        </w:tabs>
        <w:numPr>
          <w:ilvl w:val="0"/>
          <w:numId w:val="68"/>
        </w:numPr>
        <w:rPr>
          <w:rFonts w:ascii="Arial" w:cs="Arial" w:eastAsia="Arial" w:hAnsi="Arial"/>
          <w:sz w:val="30"/>
          <w:szCs w:val="30"/>
          <w:color w:val="auto"/>
          <w:vertAlign w:val="superscript"/>
        </w:rPr>
      </w:pPr>
      <w:r>
        <w:rPr>
          <w:rFonts w:ascii="Arial" w:cs="Arial" w:eastAsia="Arial" w:hAnsi="Arial"/>
          <w:sz w:val="18"/>
          <w:szCs w:val="18"/>
          <w:color w:val="auto"/>
        </w:rPr>
        <w:t>The principal address of Yahel (Nur Group) Holdings Ltd., or Yahel, is 5 David Navon St., Magshimim, Israel. Substantially all of the shares of Yahel are held by Zevik Nur. The address of Yahel is Moshav Magshimim 56910, Israel.</w:t>
      </w:r>
    </w:p>
    <w:p>
      <w:pPr>
        <w:spacing w:after="0" w:line="2" w:lineRule="exact"/>
        <w:rPr>
          <w:rFonts w:ascii="Arial" w:cs="Arial" w:eastAsia="Arial" w:hAnsi="Arial"/>
          <w:sz w:val="30"/>
          <w:szCs w:val="30"/>
          <w:color w:val="auto"/>
          <w:vertAlign w:val="superscript"/>
        </w:rPr>
      </w:pPr>
    </w:p>
    <w:p>
      <w:pPr>
        <w:ind w:left="440" w:right="919" w:hanging="315"/>
        <w:spacing w:after="0" w:line="211" w:lineRule="auto"/>
        <w:tabs>
          <w:tab w:leader="none" w:pos="580" w:val="left"/>
        </w:tabs>
        <w:numPr>
          <w:ilvl w:val="0"/>
          <w:numId w:val="68"/>
        </w:numPr>
        <w:rPr>
          <w:rFonts w:ascii="Arial" w:cs="Arial" w:eastAsia="Arial" w:hAnsi="Arial"/>
          <w:sz w:val="30"/>
          <w:szCs w:val="30"/>
          <w:color w:val="auto"/>
          <w:vertAlign w:val="superscript"/>
        </w:rPr>
      </w:pPr>
      <w:r>
        <w:rPr>
          <w:rFonts w:ascii="Arial" w:cs="Arial" w:eastAsia="Arial" w:hAnsi="Arial"/>
          <w:sz w:val="18"/>
          <w:szCs w:val="18"/>
          <w:color w:val="auto"/>
        </w:rPr>
        <w:t>Consists of 226,990 ordinary shares and options to purchase 3,000 ordinary shares exercisable within 60 days of December 31, 2014.</w:t>
      </w:r>
    </w:p>
    <w:p>
      <w:pPr>
        <w:ind w:left="440" w:right="639" w:hanging="315"/>
        <w:spacing w:after="0" w:line="211" w:lineRule="auto"/>
        <w:tabs>
          <w:tab w:leader="none" w:pos="580" w:val="left"/>
        </w:tabs>
        <w:numPr>
          <w:ilvl w:val="0"/>
          <w:numId w:val="68"/>
        </w:numPr>
        <w:rPr>
          <w:rFonts w:ascii="Arial" w:cs="Arial" w:eastAsia="Arial" w:hAnsi="Arial"/>
          <w:sz w:val="30"/>
          <w:szCs w:val="30"/>
          <w:color w:val="auto"/>
          <w:vertAlign w:val="superscript"/>
        </w:rPr>
      </w:pPr>
      <w:r>
        <w:rPr>
          <w:rFonts w:ascii="Arial" w:cs="Arial" w:eastAsia="Arial" w:hAnsi="Arial"/>
          <w:sz w:val="18"/>
          <w:szCs w:val="18"/>
          <w:color w:val="auto"/>
        </w:rPr>
        <w:t>Consists of 2,524,251 ordinary shares and options to purchase 20,350 ordinary shares exercisable within 60 days of December 31, 2014.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7" w:lineRule="exact"/>
        <w:rPr>
          <w:sz w:val="20"/>
          <w:szCs w:val="20"/>
          <w:color w:val="auto"/>
        </w:rPr>
      </w:pPr>
    </w:p>
    <w:p>
      <w:pPr>
        <w:ind w:left="120" w:right="139" w:firstLine="216"/>
        <w:spacing w:after="0" w:line="261"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favorable, or no less favorable than those available from unaﬃliated third parties. Based on our experience in the business sectors in which we operate and the terms of our transactions with unaﬃliated third parties, we believe that all of the transactions described below met this policy standard at the time they occurred. The following is a description of material transactions, or series of related material transactions since January 1, 2012 to which we were or will be a party and in which the other parties included or will include our directors, executive oﬃcers, holders of more than 5% of our voting securities or any member of the immediate family of any of the foregoing persons.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Related Parties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179" w:lineRule="exact"/>
        <w:rPr>
          <w:sz w:val="20"/>
          <w:szCs w:val="20"/>
          <w:color w:val="auto"/>
        </w:rPr>
      </w:pPr>
    </w:p>
    <w:p>
      <w:pPr>
        <w:jc w:val="both"/>
        <w:ind w:left="120" w:right="259" w:firstLine="216"/>
        <w:spacing w:after="0" w:line="282" w:lineRule="auto"/>
        <w:rPr>
          <w:sz w:val="20"/>
          <w:szCs w:val="20"/>
          <w:color w:val="auto"/>
        </w:rPr>
      </w:pPr>
      <w:r>
        <w:rPr>
          <w:rFonts w:ascii="Courier New" w:cs="Courier New" w:eastAsia="Courier New" w:hAnsi="Courier New"/>
          <w:sz w:val="18"/>
          <w:szCs w:val="18"/>
          <w:i w:val="1"/>
          <w:iCs w:val="1"/>
          <w:color w:val="auto"/>
        </w:rPr>
        <w:t xml:space="preserve">Original Rounds of Financing. </w:t>
      </w:r>
      <w:r>
        <w:rPr>
          <w:rFonts w:ascii="Arial" w:cs="Arial" w:eastAsia="Arial" w:hAnsi="Arial"/>
          <w:sz w:val="18"/>
          <w:szCs w:val="18"/>
          <w:color w:val="auto"/>
        </w:rPr>
        <w:t>Since our founding, we have raised capital through equity</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financings. Between 2002 and 2011, we raised capital through sales of our ordinary shares and Series A and A-1 preferred shares.</w:t>
      </w:r>
    </w:p>
    <w:p>
      <w:pPr>
        <w:spacing w:after="0" w:line="97" w:lineRule="exact"/>
        <w:rPr>
          <w:sz w:val="20"/>
          <w:szCs w:val="20"/>
          <w:color w:val="auto"/>
        </w:rPr>
      </w:pPr>
    </w:p>
    <w:p>
      <w:pPr>
        <w:ind w:left="120" w:right="199" w:firstLine="216"/>
        <w:spacing w:after="0" w:line="257" w:lineRule="auto"/>
        <w:rPr>
          <w:sz w:val="20"/>
          <w:szCs w:val="20"/>
          <w:color w:val="auto"/>
        </w:rPr>
      </w:pPr>
      <w:r>
        <w:rPr>
          <w:rFonts w:ascii="Courier New" w:cs="Courier New" w:eastAsia="Courier New" w:hAnsi="Courier New"/>
          <w:sz w:val="18"/>
          <w:szCs w:val="18"/>
          <w:i w:val="1"/>
          <w:iCs w:val="1"/>
          <w:color w:val="auto"/>
        </w:rPr>
        <w:t xml:space="preserve">Series A-1 Financing. </w:t>
      </w:r>
      <w:r>
        <w:rPr>
          <w:rFonts w:ascii="Arial" w:cs="Arial" w:eastAsia="Arial" w:hAnsi="Arial"/>
          <w:sz w:val="18"/>
          <w:szCs w:val="18"/>
          <w:color w:val="auto"/>
        </w:rPr>
        <w:t>In 2011, we sold Series A-1 preferred shares convertible into 602,230</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ordinary shares at a price per underlying preferred share of $8.30243 for an aggregate purchase price of approximately $5 million. Concurrently with this transaction, Fortissimo Capital purchased Series A-1 preferred shares convertible into 1,324,910 ordinary shares from certain of our shareholders at a price per underlying preferred share of $8.30243 for an aggregate purchase price of approximately $11 million (these shares were reclassified as Series A-1 preferred shares immediately prior to this transaction). Each Series A-1 preferred share will convert into one ordinary share upon the closing of this offering. The following table sets forth the number of ordinary shares resulting from conversion upon the closing of this offering of the Series A-1 preferred shares purchased by Fortissimo Capital:</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Ordinary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Resulting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from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6"/>
                <w:szCs w:val="16"/>
                <w:b w:val="1"/>
                <w:bCs w:val="1"/>
                <w:color w:val="auto"/>
              </w:rPr>
              <w:t>Aggregate</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Conversion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of Series 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Purchase</w:t>
            </w: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1 Preferred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Price</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37"/>
              <w:spacing w:after="0" w:line="143" w:lineRule="exact"/>
              <w:rPr>
                <w:sz w:val="20"/>
                <w:szCs w:val="20"/>
                <w:color w:val="auto"/>
              </w:rPr>
            </w:pPr>
            <w:r>
              <w:rPr>
                <w:rFonts w:ascii="Arial" w:cs="Arial" w:eastAsia="Arial" w:hAnsi="Arial"/>
                <w:sz w:val="16"/>
                <w:szCs w:val="16"/>
                <w:b w:val="1"/>
                <w:bCs w:val="1"/>
                <w:color w:val="auto"/>
              </w:rPr>
              <w:t>(in</w:t>
            </w:r>
          </w:p>
        </w:tc>
        <w:tc>
          <w:tcPr>
            <w:tcW w:w="3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thousands)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Fortissimo Capital</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16,000</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1,927,140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66"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We are party to an investors’ rights agreement, dated July 18, 2011, or the Investors’ Rights Agreement, with certain of our shareholders. The Investors’ Rights Agreement provides that certain holders of our ordinary shares and Series A- 1 preferred shares have the right to demand that we file a registration statement or request that their ordinary shares be covered by a registration statement that we are otherwise filing.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 The Investors’ Rights Agreement also includes certain information rights, which will terminate upon the completion of this offering. The registration rights are described in more detail under “Description of Share Capital—Registration Rights.”</w:t>
      </w: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79" w:lineRule="exact"/>
        <w:rPr>
          <w:sz w:val="20"/>
          <w:szCs w:val="20"/>
          <w:color w:val="auto"/>
        </w:rPr>
      </w:pPr>
    </w:p>
    <w:p>
      <w:pPr>
        <w:ind w:left="120" w:right="139" w:firstLine="216"/>
        <w:spacing w:after="0" w:line="260" w:lineRule="auto"/>
        <w:rPr>
          <w:sz w:val="20"/>
          <w:szCs w:val="20"/>
          <w:color w:val="auto"/>
        </w:rPr>
      </w:pPr>
      <w:r>
        <w:rPr>
          <w:rFonts w:ascii="Arial" w:cs="Arial" w:eastAsia="Arial" w:hAnsi="Arial"/>
          <w:sz w:val="18"/>
          <w:szCs w:val="18"/>
          <w:color w:val="auto"/>
        </w:rPr>
        <w:t>We are party to a management services agreement, dated August 11, 2011, pursuant to which our principal shareholder, Fortissimo Capital, assists and advises our management on matters concerning our business and renders other management services and advice as agreed from time to time. In consideration of these management services, we pay to Fortissimo Capital an annual management fee of $120,000 plus the amount by which 5% of our net income, as defined in the management services agreement, exceeds this management fee, up to a maximum of $250,000 per year in the aggregate. In 2012, 2013 and 2014, we recorded expenses for management fees paid to Fortissimo of $175,000, $120,000 and $160,000, respectively. The agreement may be terminated when our board of directors includes less than two directors appointed by</w:t>
      </w:r>
    </w:p>
    <w:p>
      <w:pPr>
        <w:sectPr>
          <w:pgSz w:w="11900" w:h="16838" w:orient="portrait"/>
          <w:cols w:equalWidth="0" w:num="1">
            <w:col w:w="9019"/>
          </w:cols>
          <w:pgMar w:left="1440" w:top="307" w:right="1440" w:bottom="92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920" w:gutter="0" w:footer="0" w:header="0"/>
          <w:type w:val="continuous"/>
        </w:sectPr>
      </w:pPr>
    </w:p>
    <w:bookmarkStart w:id="94" w:name="page95"/>
    <w:bookmarkEnd w:id="94"/>
    <w:p>
      <w:pPr>
        <w:ind w:left="120" w:right="439"/>
        <w:spacing w:after="0" w:line="277" w:lineRule="auto"/>
        <w:rPr>
          <w:sz w:val="20"/>
          <w:szCs w:val="20"/>
          <w:color w:val="auto"/>
        </w:rPr>
      </w:pPr>
      <w:r>
        <w:rPr>
          <w:rFonts w:ascii="Arial" w:cs="Arial" w:eastAsia="Arial" w:hAnsi="Arial"/>
          <w:sz w:val="18"/>
          <w:szCs w:val="18"/>
          <w:color w:val="auto"/>
        </w:rPr>
        <w:t>Fortissimo Capital, and the agreement terminates automatically in the event that Fortissimo Capital holds less than 15% of our issued share capital.</w:t>
      </w:r>
    </w:p>
    <w:p>
      <w:pPr>
        <w:spacing w:after="0" w:line="124" w:lineRule="exact"/>
        <w:rPr>
          <w:sz w:val="20"/>
          <w:szCs w:val="20"/>
          <w:color w:val="auto"/>
        </w:rPr>
      </w:pPr>
    </w:p>
    <w:p>
      <w:pPr>
        <w:jc w:val="both"/>
        <w:ind w:left="120" w:right="299" w:firstLine="216"/>
        <w:spacing w:after="0" w:line="274" w:lineRule="auto"/>
        <w:rPr>
          <w:sz w:val="20"/>
          <w:szCs w:val="20"/>
          <w:color w:val="auto"/>
        </w:rPr>
      </w:pPr>
      <w:r>
        <w:rPr>
          <w:rFonts w:ascii="Arial" w:cs="Arial" w:eastAsia="Arial" w:hAnsi="Arial"/>
          <w:sz w:val="18"/>
          <w:szCs w:val="18"/>
          <w:color w:val="auto"/>
        </w:rPr>
        <w:t>We and Fortissimo Capital have agreed to terminate the management services agreement upon the consummation of this oﬀering. As consideration for Fortissimo Capital’s agreement to</w:t>
      </w:r>
    </w:p>
    <w:p>
      <w:pPr>
        <w:spacing w:after="0" w:line="2" w:lineRule="exact"/>
        <w:rPr>
          <w:sz w:val="20"/>
          <w:szCs w:val="20"/>
          <w:color w:val="auto"/>
        </w:rPr>
      </w:pPr>
    </w:p>
    <w:p>
      <w:pPr>
        <w:jc w:val="both"/>
        <w:ind w:left="120" w:right="279"/>
        <w:spacing w:after="0" w:line="270" w:lineRule="auto"/>
        <w:rPr>
          <w:sz w:val="20"/>
          <w:szCs w:val="20"/>
          <w:color w:val="auto"/>
        </w:rPr>
      </w:pPr>
      <w:r>
        <w:rPr>
          <w:rFonts w:ascii="Arial" w:cs="Arial" w:eastAsia="Arial" w:hAnsi="Arial"/>
          <w:sz w:val="18"/>
          <w:szCs w:val="18"/>
          <w:color w:val="auto"/>
        </w:rPr>
        <w:t>terminate the management services agreement, we will make a one-time payment of $ to Fortissimo Capital. Fortissimo Capital will receive no other compensation from us in connection with this oﬀering or in connection with the management services agreement.</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Appointment</w:t>
      </w:r>
    </w:p>
    <w:p>
      <w:pPr>
        <w:spacing w:after="0" w:line="227" w:lineRule="exact"/>
        <w:rPr>
          <w:sz w:val="20"/>
          <w:szCs w:val="20"/>
          <w:color w:val="auto"/>
        </w:rPr>
      </w:pPr>
    </w:p>
    <w:p>
      <w:pPr>
        <w:ind w:left="120" w:right="699" w:firstLine="216"/>
        <w:spacing w:after="0" w:line="269" w:lineRule="auto"/>
        <w:rPr>
          <w:sz w:val="20"/>
          <w:szCs w:val="20"/>
          <w:color w:val="auto"/>
        </w:rPr>
      </w:pPr>
      <w:r>
        <w:rPr>
          <w:rFonts w:ascii="Arial" w:cs="Arial" w:eastAsia="Arial" w:hAnsi="Arial"/>
          <w:sz w:val="18"/>
          <w:szCs w:val="18"/>
          <w:color w:val="auto"/>
        </w:rPr>
        <w:t>Our current board of directors consists of five directors and will consist of nine directors immediately prior to our listing on the NASDAQ Global Market. Pursuant to our articles of association in eﬀect prior to this oﬀering, certain of our shareholders had rights to appoint members of our board of directors. The following table sets forth the shareholders who are entitled to appoint board members and the number and identities of the members they appointed:</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4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rPr>
              <w:t>Members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vMerge w:val="restart"/>
          </w:tcPr>
          <w:p>
            <w:pPr>
              <w:ind w:left="1880"/>
              <w:spacing w:after="0"/>
              <w:rPr>
                <w:sz w:val="20"/>
                <w:szCs w:val="20"/>
                <w:color w:val="auto"/>
              </w:rPr>
            </w:pPr>
            <w:r>
              <w:rPr>
                <w:rFonts w:ascii="Arial" w:cs="Arial" w:eastAsia="Arial" w:hAnsi="Arial"/>
                <w:sz w:val="16"/>
                <w:szCs w:val="16"/>
                <w:b w:val="1"/>
                <w:bCs w:val="1"/>
                <w:color w:val="auto"/>
              </w:rPr>
              <w:t>Appointing Party</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Members</w:t>
            </w:r>
          </w:p>
        </w:tc>
        <w:tc>
          <w:tcPr>
            <w:tcW w:w="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Appointed</w:t>
            </w:r>
          </w:p>
        </w:tc>
        <w:tc>
          <w:tcPr>
            <w:tcW w:w="100" w:type="dxa"/>
            <w:vAlign w:val="bottom"/>
          </w:tcPr>
          <w:p>
            <w:pPr>
              <w:spacing w:after="0"/>
              <w:rPr>
                <w:sz w:val="22"/>
                <w:szCs w:val="22"/>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Appointed</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320" w:type="dxa"/>
            <w:vAlign w:val="bottom"/>
          </w:tcPr>
          <w:p>
            <w:pPr>
              <w:spacing w:after="0" w:line="142" w:lineRule="exact"/>
              <w:rPr>
                <w:sz w:val="20"/>
                <w:szCs w:val="20"/>
                <w:color w:val="auto"/>
              </w:rPr>
            </w:pPr>
            <w:r>
              <w:rPr>
                <w:rFonts w:ascii="Arial" w:cs="Arial" w:eastAsia="Arial" w:hAnsi="Arial"/>
                <w:sz w:val="16"/>
                <w:szCs w:val="16"/>
                <w:color w:val="auto"/>
              </w:rPr>
              <w:t>Fortissimo Capital</w:t>
            </w:r>
          </w:p>
        </w:tc>
        <w:tc>
          <w:tcPr>
            <w:tcW w:w="100" w:type="dxa"/>
            <w:vAlign w:val="bottom"/>
            <w:vMerge w:val="continue"/>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6"/>
                <w:szCs w:val="16"/>
                <w:color w:val="auto"/>
              </w:rPr>
              <w:t>Four</w:t>
            </w:r>
          </w:p>
        </w:tc>
        <w:tc>
          <w:tcPr>
            <w:tcW w:w="100" w:type="dxa"/>
            <w:vAlign w:val="bottom"/>
            <w:vMerge w:val="continue"/>
          </w:tcPr>
          <w:p>
            <w:pPr>
              <w:spacing w:after="0"/>
              <w:rPr>
                <w:sz w:val="12"/>
                <w:szCs w:val="12"/>
                <w:color w:val="auto"/>
              </w:rPr>
            </w:pPr>
          </w:p>
        </w:tc>
        <w:tc>
          <w:tcPr>
            <w:tcW w:w="1600" w:type="dxa"/>
            <w:vAlign w:val="bottom"/>
          </w:tcPr>
          <w:p>
            <w:pPr>
              <w:spacing w:after="0" w:line="142" w:lineRule="exact"/>
              <w:rPr>
                <w:sz w:val="20"/>
                <w:szCs w:val="20"/>
                <w:color w:val="auto"/>
              </w:rPr>
            </w:pPr>
            <w:r>
              <w:rPr>
                <w:rFonts w:ascii="Arial" w:cs="Arial" w:eastAsia="Arial" w:hAnsi="Arial"/>
                <w:sz w:val="16"/>
                <w:szCs w:val="16"/>
                <w:color w:val="auto"/>
              </w:rPr>
              <w:t>Yuval Cohen, Eli</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Blatt, Yoav</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Hineman and Marc</w:t>
            </w:r>
          </w:p>
        </w:tc>
        <w:tc>
          <w:tcPr>
            <w:tcW w:w="0" w:type="dxa"/>
            <w:vAlign w:val="bottom"/>
          </w:tcPr>
          <w:p>
            <w:pPr>
              <w:spacing w:after="0"/>
              <w:rPr>
                <w:sz w:val="1"/>
                <w:szCs w:val="1"/>
                <w:color w:val="auto"/>
              </w:rPr>
            </w:pPr>
          </w:p>
        </w:tc>
      </w:tr>
      <w:tr>
        <w:trPr>
          <w:trHeight w:val="203"/>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Ofer Ben-Zur, together with other shareholders who are</w:t>
            </w:r>
          </w:p>
        </w:tc>
        <w:tc>
          <w:tcPr>
            <w:tcW w:w="10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One</w:t>
            </w:r>
          </w:p>
        </w:tc>
        <w:tc>
          <w:tcPr>
            <w:tcW w:w="17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Lesnick</w:t>
            </w:r>
          </w:p>
        </w:tc>
        <w:tc>
          <w:tcPr>
            <w:tcW w:w="0" w:type="dxa"/>
            <w:vAlign w:val="bottom"/>
          </w:tcPr>
          <w:p>
            <w:pPr>
              <w:spacing w:after="0"/>
              <w:rPr>
                <w:sz w:val="1"/>
                <w:szCs w:val="1"/>
                <w:color w:val="auto"/>
              </w:rPr>
            </w:pPr>
          </w:p>
        </w:tc>
      </w:tr>
      <w:tr>
        <w:trPr>
          <w:trHeight w:val="203"/>
        </w:trPr>
        <w:tc>
          <w:tcPr>
            <w:tcW w:w="5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7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Ofer Ben-Zur</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not directors, oﬃcers or 5% shareholders provided such</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group holds 9% of our outstanding ordinary shares</w:t>
            </w:r>
          </w:p>
        </w:tc>
        <w:tc>
          <w:tcPr>
            <w:tcW w:w="10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One</w:t>
            </w:r>
          </w:p>
        </w:tc>
        <w:tc>
          <w:tcPr>
            <w:tcW w:w="1740" w:type="dxa"/>
            <w:vAlign w:val="bottom"/>
            <w:gridSpan w:val="3"/>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Gavriel Weinshtock, Yossef Nuriel and Yahel (Nur Group)</w:t>
            </w:r>
          </w:p>
        </w:tc>
        <w:tc>
          <w:tcPr>
            <w:tcW w:w="10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Holdings Ltd. (formerly Yahel Productions K.D.M. and</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Events Ltd.), together with other shareholders who are not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directors, oﬃcers or 5% shareholders provided such group</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340" w:type="dxa"/>
            <w:vAlign w:val="bottom"/>
            <w:gridSpan w:val="2"/>
          </w:tcPr>
          <w:p>
            <w:pPr>
              <w:spacing w:after="0"/>
              <w:rPr>
                <w:sz w:val="20"/>
                <w:szCs w:val="20"/>
                <w:color w:val="auto"/>
              </w:rPr>
            </w:pPr>
            <w:r>
              <w:rPr>
                <w:rFonts w:ascii="Arial" w:cs="Arial" w:eastAsia="Arial" w:hAnsi="Arial"/>
                <w:sz w:val="18"/>
                <w:szCs w:val="18"/>
                <w:color w:val="auto"/>
              </w:rPr>
              <w:t>holds 9% of our outstanding ordinary shares</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 w:right="599" w:firstLine="216"/>
        <w:spacing w:after="0" w:line="284" w:lineRule="auto"/>
        <w:rPr>
          <w:sz w:val="20"/>
          <w:szCs w:val="20"/>
          <w:color w:val="auto"/>
        </w:rPr>
      </w:pPr>
      <w:r>
        <w:rPr>
          <w:rFonts w:ascii="Arial" w:cs="Arial" w:eastAsia="Arial" w:hAnsi="Arial"/>
          <w:sz w:val="18"/>
          <w:szCs w:val="18"/>
          <w:color w:val="auto"/>
        </w:rPr>
        <w:t>All rights to appoint directors will terminate following the adoption of our amended and restated articles of association upon the closing of this oﬀering, although the existing board members will continue to serve until the end of their respective terms absent their earlier resignation or removal.</w:t>
      </w:r>
    </w:p>
    <w:p>
      <w:pPr>
        <w:spacing w:after="0" w:line="344" w:lineRule="exact"/>
        <w:rPr>
          <w:sz w:val="20"/>
          <w:szCs w:val="20"/>
          <w:color w:val="auto"/>
        </w:rPr>
      </w:pPr>
    </w:p>
    <w:p>
      <w:pPr>
        <w:ind w:left="120" w:right="379"/>
        <w:spacing w:after="0" w:line="290" w:lineRule="auto"/>
        <w:rPr>
          <w:sz w:val="20"/>
          <w:szCs w:val="20"/>
          <w:color w:val="auto"/>
        </w:rPr>
      </w:pPr>
      <w:r>
        <w:rPr>
          <w:rFonts w:ascii="Arial" w:cs="Arial" w:eastAsia="Arial" w:hAnsi="Arial"/>
          <w:sz w:val="18"/>
          <w:szCs w:val="18"/>
          <w:b w:val="1"/>
          <w:bCs w:val="1"/>
          <w:color w:val="auto"/>
        </w:rPr>
        <w:t>Agreements and Arrangements with, and Compensation of, Directors and Executive Oﬃcers</w:t>
      </w: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93" w:lineRule="exact"/>
        <w:rPr>
          <w:sz w:val="20"/>
          <w:szCs w:val="20"/>
          <w:color w:val="auto"/>
        </w:rPr>
      </w:pPr>
    </w:p>
    <w:p>
      <w:pPr>
        <w:ind w:left="120" w:right="139" w:firstLine="216"/>
        <w:spacing w:after="0" w:line="265" w:lineRule="auto"/>
        <w:rPr>
          <w:sz w:val="20"/>
          <w:szCs w:val="20"/>
          <w:color w:val="auto"/>
        </w:rPr>
      </w:pPr>
      <w:r>
        <w:rPr>
          <w:rFonts w:ascii="Arial" w:cs="Arial" w:eastAsia="Arial" w:hAnsi="Arial"/>
          <w:sz w:val="18"/>
          <w:szCs w:val="18"/>
          <w:color w:val="auto"/>
        </w:rPr>
        <w:t>We have entered into written employment agreements with each of our executive oﬃcers. These agreements provide for notice periods of varying duration for termination of the agreement by us or by the relevant executive oﬃcer, during which time the executive oﬃcer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193" w:lineRule="exact"/>
        <w:rPr>
          <w:sz w:val="20"/>
          <w:szCs w:val="20"/>
          <w:color w:val="auto"/>
        </w:rPr>
      </w:pPr>
    </w:p>
    <w:p>
      <w:pPr>
        <w:ind w:left="120" w:right="259" w:firstLine="216"/>
        <w:spacing w:after="0" w:line="268" w:lineRule="auto"/>
        <w:rPr>
          <w:sz w:val="20"/>
          <w:szCs w:val="20"/>
          <w:color w:val="auto"/>
        </w:rPr>
      </w:pPr>
      <w:r>
        <w:rPr>
          <w:rFonts w:ascii="Arial" w:cs="Arial" w:eastAsia="Arial" w:hAnsi="Arial"/>
          <w:sz w:val="18"/>
          <w:szCs w:val="18"/>
          <w:color w:val="auto"/>
        </w:rPr>
        <w:t>Since our inception we have granted options to purchase our ordinary shares to our oﬃcers and certain of our directors. Such option agreements may contain acceleration provisions upon certain merger, acquisition, or change of control transactions. We describe our option plans under “Management—Share Incentive Plans”. “ If the relationship between us and an executive oﬃcer or a director is terminated, except for cause (as defined in the option plans), all options that are vested will generally remain exercisable for ninety days after such termination.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120" w:right="179" w:firstLine="216"/>
        <w:spacing w:after="0" w:line="295" w:lineRule="auto"/>
        <w:rPr>
          <w:sz w:val="20"/>
          <w:szCs w:val="20"/>
          <w:color w:val="auto"/>
        </w:rPr>
      </w:pPr>
      <w:r>
        <w:rPr>
          <w:rFonts w:ascii="Arial" w:cs="Arial" w:eastAsia="Arial" w:hAnsi="Arial"/>
          <w:sz w:val="18"/>
          <w:szCs w:val="18"/>
          <w:color w:val="auto"/>
        </w:rPr>
        <w:t>The following table provides information regarding the options to purchase our ordinary shares held by each of our directors and oﬃcers who beneficially owns greater than one percent of our ordinary shares immediately prior to the closing of this oﬀering:</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6"/>
                <w:szCs w:val="16"/>
                <w:b w:val="1"/>
                <w:bCs w:val="1"/>
                <w:color w:val="auto"/>
              </w:rPr>
              <w:t>Exercise</w:t>
            </w: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vMerge w:val="restart"/>
          </w:tcPr>
          <w:p>
            <w:pPr>
              <w:ind w:left="1500"/>
              <w:spacing w:after="0"/>
              <w:rPr>
                <w:sz w:val="20"/>
                <w:szCs w:val="20"/>
                <w:color w:val="auto"/>
              </w:rPr>
            </w:pPr>
            <w:r>
              <w:rPr>
                <w:rFonts w:ascii="Arial" w:cs="Arial" w:eastAsia="Arial" w:hAnsi="Arial"/>
                <w:sz w:val="16"/>
                <w:szCs w:val="16"/>
                <w:b w:val="1"/>
                <w:bCs w:val="1"/>
                <w:color w:val="auto"/>
              </w:rPr>
              <w:t>Name/Title</w:t>
            </w:r>
          </w:p>
        </w:tc>
        <w:tc>
          <w:tcPr>
            <w:tcW w:w="180" w:type="dxa"/>
            <w:vAlign w:val="bottom"/>
            <w:vMerge w:val="restart"/>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Underlying</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Options</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rPr>
              <w:t>Price</w:t>
            </w:r>
          </w:p>
        </w:tc>
        <w:tc>
          <w:tcPr>
            <w:tcW w:w="3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Date</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Ofer Ben-Zur, President and Chief</w:t>
            </w: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March 27,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Oﬃcer and Director</w:t>
            </w:r>
          </w:p>
        </w:tc>
        <w:tc>
          <w:tcPr>
            <w:tcW w:w="1240" w:type="dxa"/>
            <w:vAlign w:val="bottom"/>
            <w:vMerge w:val="continue"/>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4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Indemnification Agreements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20" w:right="119" w:firstLine="216"/>
        <w:spacing w:after="0" w:line="263"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oﬃce holders to the fullest extent permitted by Israeli law. We have entered into indemnification agreements with each of our directors and executive oﬃcers, undertaking to indemnify them to the fullest extent permitted by Israeli law, including with respect to liabilities resulting from a public oﬀering of our shares, to the extent that these liabilities are not covered by insurance. We have also obtained Directors and Oﬃcers insurance for each of our executive oﬃcers and directors. For further information, see “Management— Exculpation, Insurance and Indemnification of Directors and Oﬃcers.”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7" w:lineRule="exact"/>
        <w:rPr>
          <w:sz w:val="20"/>
          <w:szCs w:val="20"/>
          <w:color w:val="auto"/>
        </w:rPr>
      </w:pPr>
    </w:p>
    <w:p>
      <w:pPr>
        <w:ind w:left="120" w:right="179" w:firstLine="216"/>
        <w:spacing w:after="0" w:line="294"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which will be eﬀective upon the completion of this oﬀering are summaries and do not purport to be complete.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7" w:lineRule="exact"/>
        <w:rPr>
          <w:sz w:val="20"/>
          <w:szCs w:val="20"/>
          <w:color w:val="auto"/>
        </w:rPr>
      </w:pPr>
    </w:p>
    <w:p>
      <w:pPr>
        <w:ind w:left="340"/>
        <w:spacing w:after="0"/>
        <w:tabs>
          <w:tab w:leader="none" w:pos="7700" w:val="left"/>
        </w:tabs>
        <w:rPr>
          <w:sz w:val="20"/>
          <w:szCs w:val="20"/>
          <w:color w:val="auto"/>
        </w:rPr>
      </w:pPr>
      <w:r>
        <w:rPr>
          <w:rFonts w:ascii="Arial" w:cs="Arial" w:eastAsia="Arial" w:hAnsi="Arial"/>
          <w:sz w:val="18"/>
          <w:szCs w:val="18"/>
          <w:color w:val="auto"/>
        </w:rPr>
        <w:t>Upon the closing of this oﬀering, our authorized share capital will consist of</w:t>
      </w:r>
      <w:r>
        <w:rPr>
          <w:sz w:val="20"/>
          <w:szCs w:val="20"/>
          <w:color w:val="auto"/>
        </w:rPr>
        <w:tab/>
      </w:r>
      <w:r>
        <w:rPr>
          <w:rFonts w:ascii="Arial" w:cs="Arial" w:eastAsia="Arial" w:hAnsi="Arial"/>
          <w:sz w:val="18"/>
          <w:szCs w:val="18"/>
          <w:color w:val="auto"/>
        </w:rPr>
        <w:t>ordinary</w:t>
      </w:r>
    </w:p>
    <w:p>
      <w:pPr>
        <w:spacing w:after="0" w:line="51" w:lineRule="exact"/>
        <w:rPr>
          <w:sz w:val="20"/>
          <w:szCs w:val="20"/>
          <w:color w:val="auto"/>
        </w:rPr>
      </w:pPr>
    </w:p>
    <w:p>
      <w:pPr>
        <w:ind w:left="120"/>
        <w:spacing w:after="0"/>
        <w:tabs>
          <w:tab w:leader="none" w:pos="4840" w:val="left"/>
        </w:tabs>
        <w:rPr>
          <w:sz w:val="20"/>
          <w:szCs w:val="20"/>
          <w:color w:val="auto"/>
        </w:rPr>
      </w:pPr>
      <w:r>
        <w:rPr>
          <w:rFonts w:ascii="Arial" w:cs="Arial" w:eastAsia="Arial" w:hAnsi="Arial"/>
          <w:sz w:val="18"/>
          <w:szCs w:val="18"/>
          <w:color w:val="auto"/>
        </w:rPr>
        <w:t>shares, par value NIS 0.01 per share, of which</w:t>
      </w:r>
      <w:r>
        <w:rPr>
          <w:sz w:val="20"/>
          <w:szCs w:val="20"/>
          <w:color w:val="auto"/>
        </w:rPr>
        <w:tab/>
      </w:r>
      <w:r>
        <w:rPr>
          <w:rFonts w:ascii="Arial" w:cs="Arial" w:eastAsia="Arial" w:hAnsi="Arial"/>
          <w:sz w:val="18"/>
          <w:szCs w:val="18"/>
          <w:color w:val="auto"/>
        </w:rPr>
        <w:t>shares will be issued and outstanding</w:t>
      </w:r>
    </w:p>
    <w:p>
      <w:pPr>
        <w:spacing w:after="0" w:line="9" w:lineRule="exact"/>
        <w:rPr>
          <w:sz w:val="20"/>
          <w:szCs w:val="20"/>
          <w:color w:val="auto"/>
        </w:rPr>
      </w:pPr>
    </w:p>
    <w:p>
      <w:pPr>
        <w:ind w:left="120" w:right="559"/>
        <w:spacing w:after="0" w:line="265" w:lineRule="auto"/>
        <w:rPr>
          <w:sz w:val="20"/>
          <w:szCs w:val="20"/>
          <w:color w:val="auto"/>
        </w:rPr>
      </w:pPr>
      <w:r>
        <w:rPr>
          <w:rFonts w:ascii="Arial" w:cs="Arial" w:eastAsia="Arial" w:hAnsi="Arial"/>
          <w:sz w:val="18"/>
          <w:szCs w:val="18"/>
          <w:color w:val="auto"/>
        </w:rPr>
        <w:t>(assuming that the underwriters do not exercise their option to purchase additional ordinary shares).</w:t>
      </w:r>
    </w:p>
    <w:p>
      <w:pPr>
        <w:spacing w:after="0" w:line="378" w:lineRule="exact"/>
        <w:rPr>
          <w:sz w:val="20"/>
          <w:szCs w:val="20"/>
          <w:color w:val="auto"/>
        </w:rPr>
      </w:pPr>
    </w:p>
    <w:p>
      <w:pPr>
        <w:ind w:left="120" w:right="419" w:firstLine="216"/>
        <w:spacing w:after="0" w:line="338"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7" w:lineRule="exact"/>
        <w:rPr>
          <w:sz w:val="20"/>
          <w:szCs w:val="20"/>
          <w:color w:val="auto"/>
        </w:rPr>
      </w:pPr>
    </w:p>
    <w:p>
      <w:pPr>
        <w:ind w:left="120" w:right="159" w:firstLine="216"/>
        <w:spacing w:after="0" w:line="338"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amended and restated articles of association is to engage in any lawful activity.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 and Conversion</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Shares</w:t>
      </w:r>
    </w:p>
    <w:p>
      <w:pPr>
        <w:spacing w:after="0" w:line="227" w:lineRule="exact"/>
        <w:rPr>
          <w:sz w:val="20"/>
          <w:szCs w:val="20"/>
          <w:color w:val="auto"/>
        </w:rPr>
      </w:pPr>
    </w:p>
    <w:p>
      <w:pPr>
        <w:ind w:left="120" w:right="179" w:firstLine="216"/>
        <w:spacing w:after="0" w:line="265"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27" w:lineRule="exact"/>
        <w:rPr>
          <w:sz w:val="20"/>
          <w:szCs w:val="20"/>
          <w:color w:val="auto"/>
        </w:rPr>
      </w:pPr>
    </w:p>
    <w:p>
      <w:pPr>
        <w:ind w:left="120" w:right="419" w:firstLine="216"/>
        <w:spacing w:after="0" w:line="27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 that are proposed for election at that meeting, subject to the special approval requirements for external directors described under “Management—Board Practices—External Directors.”</w:t>
      </w:r>
    </w:p>
    <w:p>
      <w:pPr>
        <w:spacing w:after="0" w:line="351"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Under our amended and restated articles of association to be eﬀective upon completion of this oﬀering, our board of directors must consist of not less than five but no more than nine directors, including two external directors as required by the Israeli Companies Law. Pursuant to our amended and restated articles of association,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until they are removed by a vote of 65% of the total voting power of our shareholders at a general meeting of our shareholders or upon the occurrence of certain events, in accordance with the Israeli Companies Law and our articles of association. In addition, our articles of association allow our board of directors to fill vacancies on the board of directors or to appoint new directors up to the maximum number of directors permitted under our articles of association. Such directors serve for a term of oﬃce equal to the remaining period of the term of oﬃce of the directors(s) whose oﬃce(s) have been vacated or in the case of new directors, for a term of oﬃce according to the class to which such director was assigned upon appointment. External directors are elected for an initial term of three years, may be elected for additional terms of three years each under certain circumstances, and may be removed from oﬃce pursuant to the terms of the Israeli Companies Law. See “Management—Board Practices—External Directors.”</w:t>
      </w:r>
    </w:p>
    <w:p>
      <w:pPr>
        <w:sectPr>
          <w:pgSz w:w="11900" w:h="16838" w:orient="portrait"/>
          <w:cols w:equalWidth="0" w:num="1">
            <w:col w:w="9019"/>
          </w:cols>
          <w:pgMar w:left="1440" w:top="3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type w:val="continuous"/>
        </w:sectPr>
      </w:pPr>
    </w:p>
    <w:bookmarkStart w:id="97" w:name="page98"/>
    <w:bookmarkEnd w:id="97"/>
    <w:p>
      <w:pPr>
        <w:ind w:left="120"/>
        <w:spacing w:after="0"/>
        <w:rPr>
          <w:sz w:val="20"/>
          <w:szCs w:val="20"/>
          <w:color w:val="auto"/>
        </w:rPr>
      </w:pPr>
      <w:r>
        <w:rPr>
          <w:rFonts w:ascii="Arial" w:cs="Arial" w:eastAsia="Arial" w:hAnsi="Arial"/>
          <w:sz w:val="18"/>
          <w:szCs w:val="18"/>
          <w:b w:val="1"/>
          <w:bCs w:val="1"/>
          <w:color w:val="auto"/>
        </w:rPr>
        <w:t>Dividend and Liquidation Rights</w:t>
      </w:r>
    </w:p>
    <w:p>
      <w:pPr>
        <w:spacing w:after="0" w:line="213"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99" w:lineRule="exact"/>
        <w:rPr>
          <w:sz w:val="20"/>
          <w:szCs w:val="20"/>
          <w:color w:val="auto"/>
        </w:rPr>
      </w:pPr>
    </w:p>
    <w:p>
      <w:pPr>
        <w:ind w:left="120" w:right="139" w:firstLine="216"/>
        <w:spacing w:after="0" w:line="263" w:lineRule="auto"/>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344" w:lineRule="exact"/>
        <w:rPr>
          <w:sz w:val="20"/>
          <w:szCs w:val="20"/>
          <w:color w:val="auto"/>
        </w:rPr>
      </w:pPr>
    </w:p>
    <w:p>
      <w:pPr>
        <w:ind w:left="120" w:right="139" w:firstLine="216"/>
        <w:spacing w:after="0" w:line="27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aﬀected by the grant of preferential dividend or distribution rights to the holders of a class of shares with preferential rights that may be authorized in the future.</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200" w:lineRule="exact"/>
        <w:rPr>
          <w:sz w:val="20"/>
          <w:szCs w:val="20"/>
          <w:color w:val="auto"/>
        </w:rPr>
      </w:pPr>
    </w:p>
    <w:p>
      <w:pPr>
        <w:ind w:left="120" w:right="199" w:firstLine="216"/>
        <w:spacing w:after="0" w:line="284"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214"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Israeli Companies Law provides that our board of directors is required to convene an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332" w:lineRule="exact"/>
        <w:rPr>
          <w:sz w:val="20"/>
          <w:szCs w:val="20"/>
          <w:color w:val="auto"/>
        </w:rPr>
      </w:pPr>
    </w:p>
    <w:p>
      <w:pPr>
        <w:ind w:left="120" w:right="119" w:firstLine="216"/>
        <w:spacing w:after="0" w:line="265"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21 days prior to the date of the meeting, and in certain circumstances, between 4 and 40 days prior to the date of the meeting. Furthermore, the Israeli Companies Law requires that resolutions regarding the following matters must be passed at a general meeting of our shareholders:</w:t>
      </w:r>
    </w:p>
    <w:p>
      <w:pPr>
        <w:spacing w:after="0" w:line="371" w:lineRule="exact"/>
        <w:rPr>
          <w:sz w:val="20"/>
          <w:szCs w:val="20"/>
          <w:color w:val="auto"/>
        </w:rPr>
      </w:pPr>
    </w:p>
    <w:p>
      <w:pPr>
        <w:ind w:left="620" w:hanging="279"/>
        <w:spacing w:after="0"/>
        <w:tabs>
          <w:tab w:leader="none" w:pos="620" w:val="left"/>
        </w:tabs>
        <w:numPr>
          <w:ilvl w:val="0"/>
          <w:numId w:val="69"/>
        </w:numPr>
        <w:rPr>
          <w:rFonts w:ascii="Arial" w:cs="Arial" w:eastAsia="Arial" w:hAnsi="Arial"/>
          <w:sz w:val="22"/>
          <w:szCs w:val="22"/>
          <w:color w:val="auto"/>
        </w:rPr>
      </w:pPr>
      <w:r>
        <w:rPr>
          <w:rFonts w:ascii="Arial" w:cs="Arial" w:eastAsia="Arial" w:hAnsi="Arial"/>
          <w:sz w:val="18"/>
          <w:szCs w:val="18"/>
          <w:color w:val="auto"/>
        </w:rPr>
        <w:t>amendments to our articles of association;</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9"/>
        </w:numPr>
        <w:rPr>
          <w:rFonts w:ascii="Arial" w:cs="Arial" w:eastAsia="Arial" w:hAnsi="Arial"/>
          <w:sz w:val="22"/>
          <w:szCs w:val="22"/>
          <w:color w:val="auto"/>
        </w:rPr>
      </w:pPr>
      <w:r>
        <w:rPr>
          <w:rFonts w:ascii="Arial" w:cs="Arial" w:eastAsia="Arial" w:hAnsi="Arial"/>
          <w:sz w:val="18"/>
          <w:szCs w:val="18"/>
          <w:color w:val="auto"/>
        </w:rPr>
        <w:t>appointment or termination of our auditors;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9"/>
        </w:numPr>
        <w:rPr>
          <w:rFonts w:ascii="Arial" w:cs="Arial" w:eastAsia="Arial" w:hAnsi="Arial"/>
          <w:sz w:val="22"/>
          <w:szCs w:val="22"/>
          <w:color w:val="auto"/>
        </w:rPr>
      </w:pPr>
      <w:r>
        <w:rPr>
          <w:rFonts w:ascii="Arial" w:cs="Arial" w:eastAsia="Arial" w:hAnsi="Arial"/>
          <w:sz w:val="18"/>
          <w:szCs w:val="18"/>
          <w:color w:val="auto"/>
        </w:rPr>
        <w:t>appointment of external directors;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9"/>
        </w:numPr>
        <w:rPr>
          <w:rFonts w:ascii="Arial" w:cs="Arial" w:eastAsia="Arial" w:hAnsi="Arial"/>
          <w:sz w:val="22"/>
          <w:szCs w:val="22"/>
          <w:color w:val="auto"/>
        </w:rPr>
      </w:pPr>
      <w:r>
        <w:rPr>
          <w:rFonts w:ascii="Arial" w:cs="Arial" w:eastAsia="Arial" w:hAnsi="Arial"/>
          <w:sz w:val="18"/>
          <w:szCs w:val="18"/>
          <w:color w:val="auto"/>
        </w:rPr>
        <w:t>approval of certain related party transactions;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9"/>
        </w:numPr>
        <w:rPr>
          <w:rFonts w:ascii="Arial" w:cs="Arial" w:eastAsia="Arial" w:hAnsi="Arial"/>
          <w:sz w:val="22"/>
          <w:szCs w:val="22"/>
          <w:color w:val="auto"/>
        </w:rPr>
      </w:pPr>
      <w:r>
        <w:rPr>
          <w:rFonts w:ascii="Arial" w:cs="Arial" w:eastAsia="Arial" w:hAnsi="Arial"/>
          <w:sz w:val="18"/>
          <w:szCs w:val="18"/>
          <w:color w:val="auto"/>
        </w:rPr>
        <w:t>increases or reductions of our authorized share capital;</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69"/>
        </w:numPr>
        <w:rPr>
          <w:rFonts w:ascii="Arial" w:cs="Arial" w:eastAsia="Arial" w:hAnsi="Arial"/>
          <w:sz w:val="22"/>
          <w:szCs w:val="22"/>
          <w:color w:val="auto"/>
        </w:rPr>
      </w:pPr>
      <w:r>
        <w:rPr>
          <w:rFonts w:ascii="Arial" w:cs="Arial" w:eastAsia="Arial" w:hAnsi="Arial"/>
          <w:sz w:val="18"/>
          <w:szCs w:val="18"/>
          <w:color w:val="auto"/>
        </w:rPr>
        <w:t>a merger; and</w:t>
      </w:r>
    </w:p>
    <w:p>
      <w:pPr>
        <w:sectPr>
          <w:pgSz w:w="11900" w:h="16838" w:orient="portrait"/>
          <w:cols w:equalWidth="0" w:num="1">
            <w:col w:w="9019"/>
          </w:cols>
          <w:pgMar w:left="1440" w:top="91" w:right="1440"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98" w:name="page99"/>
    <w:bookmarkEnd w:id="98"/>
    <w:p>
      <w:pPr>
        <w:ind w:left="560" w:right="399" w:hanging="219"/>
        <w:spacing w:after="0" w:line="265" w:lineRule="auto"/>
        <w:tabs>
          <w:tab w:leader="none" w:pos="626" w:val="left"/>
        </w:tabs>
        <w:numPr>
          <w:ilvl w:val="0"/>
          <w:numId w:val="70"/>
        </w:numPr>
        <w:rPr>
          <w:rFonts w:ascii="Arial" w:cs="Arial" w:eastAsia="Arial" w:hAnsi="Arial"/>
          <w:sz w:val="22"/>
          <w:szCs w:val="22"/>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28" w:lineRule="exact"/>
        <w:rPr>
          <w:sz w:val="20"/>
          <w:szCs w:val="20"/>
          <w:color w:val="auto"/>
        </w:rPr>
      </w:pPr>
    </w:p>
    <w:p>
      <w:pPr>
        <w:ind w:left="120" w:right="519" w:firstLine="216"/>
        <w:spacing w:after="0" w:line="272" w:lineRule="auto"/>
        <w:rPr>
          <w:sz w:val="20"/>
          <w:szCs w:val="20"/>
          <w:color w:val="auto"/>
        </w:rPr>
      </w:pPr>
      <w:r>
        <w:rPr>
          <w:rFonts w:ascii="Arial" w:cs="Arial" w:eastAsia="Arial" w:hAnsi="Arial"/>
          <w:sz w:val="18"/>
          <w:szCs w:val="18"/>
          <w:color w:val="auto"/>
        </w:rPr>
        <w:t>The Israeli Companies Law requires that a notice of any annual general meeting or special general meeting be provided to shareholders at least 21 days prior to the meeting and if the agenda of the meeting includes the appointment or removal of directors, the approval of transactions with oﬃce holders or interested or related parties, or an approval of a merger, notice must be provided at least 35 days prior to the meeting.</w:t>
      </w:r>
    </w:p>
    <w:p>
      <w:pPr>
        <w:spacing w:after="0" w:line="124" w:lineRule="exact"/>
        <w:rPr>
          <w:sz w:val="20"/>
          <w:szCs w:val="20"/>
          <w:color w:val="auto"/>
        </w:rPr>
      </w:pPr>
    </w:p>
    <w:p>
      <w:pPr>
        <w:jc w:val="center"/>
        <w:ind w:left="120" w:right="539"/>
        <w:spacing w:after="0" w:line="338"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not permitted to take action by way of written consent in lieu of a meeting.</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12"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66" w:lineRule="exact"/>
        <w:rPr>
          <w:sz w:val="20"/>
          <w:szCs w:val="20"/>
          <w:color w:val="auto"/>
        </w:rPr>
      </w:pPr>
    </w:p>
    <w:p>
      <w:pPr>
        <w:ind w:left="120" w:right="199" w:firstLine="216"/>
        <w:spacing w:after="0" w:line="254" w:lineRule="auto"/>
        <w:rPr>
          <w:sz w:val="20"/>
          <w:szCs w:val="20"/>
          <w:color w:val="auto"/>
        </w:rPr>
      </w:pPr>
      <w:r>
        <w:rPr>
          <w:rFonts w:ascii="Arial" w:cs="Arial" w:eastAsia="Arial" w:hAnsi="Arial"/>
          <w:sz w:val="18"/>
          <w:szCs w:val="18"/>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 Disclosure of Personal Interests of Controlling Shareholders and Approval of Certain Transactions” and (iii) approval of certain compensation-related matters require the approval described above under “—Board Committees—Compensation Committee and Compensation Policy.” Under our amended and restated articles of association,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and voting on the resolution.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179" w:lineRule="exact"/>
        <w:rPr>
          <w:sz w:val="20"/>
          <w:szCs w:val="20"/>
          <w:color w:val="auto"/>
        </w:rPr>
      </w:pPr>
    </w:p>
    <w:p>
      <w:pPr>
        <w:ind w:left="120" w:right="159" w:firstLine="216"/>
        <w:spacing w:after="0" w:line="261" w:lineRule="auto"/>
        <w:rPr>
          <w:sz w:val="20"/>
          <w:szCs w:val="20"/>
          <w:color w:val="auto"/>
        </w:rPr>
      </w:pPr>
      <w:r>
        <w:rPr>
          <w:rFonts w:ascii="Arial" w:cs="Arial" w:eastAsia="Arial" w:hAnsi="Arial"/>
          <w:sz w:val="18"/>
          <w:szCs w:val="18"/>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Class Rights</w:t>
      </w:r>
    </w:p>
    <w:p>
      <w:pPr>
        <w:spacing w:after="0" w:line="214" w:lineRule="exact"/>
        <w:rPr>
          <w:sz w:val="20"/>
          <w:szCs w:val="20"/>
          <w:color w:val="auto"/>
        </w:rPr>
      </w:pPr>
    </w:p>
    <w:p>
      <w:pPr>
        <w:ind w:left="120" w:right="419" w:firstLine="216"/>
        <w:spacing w:after="0" w:line="294" w:lineRule="auto"/>
        <w:rPr>
          <w:sz w:val="20"/>
          <w:szCs w:val="20"/>
          <w:color w:val="auto"/>
        </w:rPr>
      </w:pPr>
      <w:r>
        <w:rPr>
          <w:rFonts w:ascii="Arial" w:cs="Arial" w:eastAsia="Arial" w:hAnsi="Arial"/>
          <w:sz w:val="18"/>
          <w:szCs w:val="18"/>
          <w:color w:val="auto"/>
        </w:rPr>
        <w:t>Under the Israeli Companies Law and our amended and restated articles of association, the rights attached to any class of share, such as voting, liquidation and dividend rights, may be amended by adoption of a resolution by the holders of a</w:t>
      </w:r>
    </w:p>
    <w:p>
      <w:pPr>
        <w:sectPr>
          <w:pgSz w:w="11900" w:h="16838" w:orient="portrait"/>
          <w:cols w:equalWidth="0" w:num="1">
            <w:col w:w="9019"/>
          </w:cols>
          <w:pgMar w:left="1440" w:top="322" w:right="1440" w:bottom="826"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2" w:right="1440" w:bottom="826" w:gutter="0" w:footer="0" w:header="0"/>
          <w:type w:val="continuous"/>
        </w:sectPr>
      </w:pPr>
    </w:p>
    <w:bookmarkStart w:id="99" w:name="page100"/>
    <w:bookmarkEnd w:id="99"/>
    <w:p>
      <w:pPr>
        <w:ind w:left="120" w:right="519"/>
        <w:spacing w:after="0" w:line="295" w:lineRule="auto"/>
        <w:rPr>
          <w:sz w:val="20"/>
          <w:szCs w:val="20"/>
          <w:color w:val="auto"/>
        </w:rPr>
      </w:pPr>
      <w:r>
        <w:rPr>
          <w:rFonts w:ascii="Arial" w:cs="Arial" w:eastAsia="Arial" w:hAnsi="Arial"/>
          <w:sz w:val="18"/>
          <w:szCs w:val="18"/>
          <w:color w:val="auto"/>
        </w:rPr>
        <w:t>majority of the shares of that class present at a separate class meeting, or otherwise in accordance with the rights attached to such class of shares, as set forth in our amended and restated articles of association.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00"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8"/>
          <w:szCs w:val="18"/>
          <w:color w:val="auto"/>
        </w:rPr>
        <w:t>We have entered into the Investors’ Rights Agreement with certain of our shareholders. Upon the closing of this offering, holders of a total of 3,176,744 shares of our ordinary shares as of December 31, 2014,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93"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At any time after six months after the closing of this oﬀering or such earlier date as is agreed by the underwriters of this oﬀering, Fortissimo Capital may request that we file a registration statement. Upon receipt of such registration request, we are obligated to use best commercial eﬀorts to file the registration statement, unless in the good faith judgment of our board of directors, such registration would be seriously detrimental to the company and its shareholders, in which event we shall have the right to defer such filing for a period of not more than 60 days after receipt of the request of Fortissimo Capital; provided that such right to delay a request shall be exercised by us no more than once in any 12-month period. In addition, we have the right not to eﬀect or take any action to eﬀect a registration statement during the period that is 90 days before the actual date of filing of a registration statement or during 180-day period following the eﬀective date of a registration statement (other than the registration statement for this oﬀering). We are not obligated to file a registration statement after we have filed two eﬀective registration statements pursuant to these demand provisions. Any other holder of registrable securities has the right to include its registrable securities in an underwritten registration pursuant to a demand registration.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93" w:lineRule="exact"/>
        <w:rPr>
          <w:sz w:val="20"/>
          <w:szCs w:val="20"/>
          <w:color w:val="auto"/>
        </w:rPr>
      </w:pPr>
    </w:p>
    <w:p>
      <w:pPr>
        <w:ind w:left="120" w:right="179" w:firstLine="274"/>
        <w:spacing w:after="0" w:line="279" w:lineRule="auto"/>
        <w:rPr>
          <w:sz w:val="20"/>
          <w:szCs w:val="20"/>
          <w:color w:val="auto"/>
        </w:rPr>
      </w:pPr>
      <w:r>
        <w:rPr>
          <w:rFonts w:ascii="Arial" w:cs="Arial" w:eastAsia="Arial" w:hAnsi="Arial"/>
          <w:sz w:val="18"/>
          <w:szCs w:val="18"/>
          <w:color w:val="auto"/>
        </w:rPr>
        <w:t>If we register any of our ordinary shares in connection with the public offering of such securities, the holders of all registrable securities are entitled to at least 20 days’ notice of the registration and to include all or a portion of their shares in the registration if Fortissimo Capital has included in such registration statement all or part of the registrable securities it holds.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93" w:lineRule="exact"/>
        <w:rPr>
          <w:sz w:val="20"/>
          <w:szCs w:val="20"/>
          <w:color w:val="auto"/>
        </w:rPr>
      </w:pPr>
    </w:p>
    <w:p>
      <w:pPr>
        <w:ind w:left="120" w:right="139" w:firstLine="216"/>
        <w:spacing w:after="0" w:line="254" w:lineRule="auto"/>
        <w:rPr>
          <w:sz w:val="20"/>
          <w:szCs w:val="20"/>
          <w:color w:val="auto"/>
        </w:rPr>
      </w:pPr>
      <w:r>
        <w:rPr>
          <w:rFonts w:ascii="Arial" w:cs="Arial" w:eastAsia="Arial" w:hAnsi="Arial"/>
          <w:sz w:val="18"/>
          <w:szCs w:val="18"/>
          <w:color w:val="auto"/>
        </w:rPr>
        <w:t>In addition, if we become eligible to register any of our shares on Form F-3, Fortissimo Capital may request that we file a registration statement for an oﬀering to be made on a delayed or continuous basis pursuant to Rule 415 under the Securities Act registering the resale from time to time by Fortissimo Capital of registrable shares with a sale price, based on a recent average closing price of the ordinary shares, of at least $500,000, or the Shelf Registration Statement, then we are required, within 30 days of the delivery thereof, to give written notice of such request to all holders of registrable securities, who may elect to join in such request. We are required to use our reasonable eﬀorts to cause the Shelf Registration Statement to be declared eﬀective under the Securities Act within three months after Fortissimo Capital’s initial request and to keep such Shelf Registration Statement continuously eﬀective under the Securities Act until the earliest of (i) two years following the date such registration was declared eﬀective; (ii) the disposition of all registrable securities included in such Shelf Registration Statement; and (iii) the time all registrable securities included in the Shelf Registration Statement may be sold without restriction pursuant to Rule 144. We shall not be required to eﬀect a registration pursuant to a shelf registration if (i) within 10 days of receipt of a written request from Fortissimo Capital, we give notice of our good faith intention to file a registration statement for a public oﬀering within 30 days, provided that we actually file such registration statement within such 30 days and makes reasonable good faith eﬀorts to cause such registration statement to become eﬀective; or (ii) in the good faith judgment of the board of directors, it would be seriously detrimental to us and our shareholders for such registration statement to be eﬀected at such time, in which event we shall have the right to defer such filing for a period of not more than 60 days after receipt of the request of Fortissimo Capital, provided that such right to delay a request shall be exercised by us not more than once in any 12-month period.</w:t>
      </w:r>
    </w:p>
    <w:p>
      <w:pPr>
        <w:sectPr>
          <w:pgSz w:w="11900" w:h="16838" w:orient="portrait"/>
          <w:cols w:equalWidth="0" w:num="1">
            <w:col w:w="9019"/>
          </w:cols>
          <w:pgMar w:left="1440" w:top="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100" w:name="page101"/>
    <w:bookmarkEnd w:id="100"/>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79" w:lineRule="exact"/>
        <w:rPr>
          <w:sz w:val="20"/>
          <w:szCs w:val="20"/>
          <w:color w:val="auto"/>
        </w:rPr>
      </w:pPr>
    </w:p>
    <w:p>
      <w:pPr>
        <w:ind w:left="120" w:right="139" w:firstLine="216"/>
        <w:spacing w:after="0" w:line="265"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under Israeli Law</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179"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200" w:lineRule="exact"/>
        <w:rPr>
          <w:sz w:val="20"/>
          <w:szCs w:val="20"/>
          <w:color w:val="auto"/>
        </w:rPr>
      </w:pPr>
    </w:p>
    <w:p>
      <w:pPr>
        <w:spacing w:after="0" w:line="382" w:lineRule="exact"/>
        <w:rPr>
          <w:sz w:val="20"/>
          <w:szCs w:val="20"/>
          <w:color w:val="auto"/>
        </w:rPr>
      </w:pPr>
    </w:p>
    <w:p>
      <w:pPr>
        <w:ind w:left="120" w:right="219" w:firstLine="216"/>
        <w:spacing w:after="0" w:line="265" w:lineRule="auto"/>
        <w:rPr>
          <w:sz w:val="20"/>
          <w:szCs w:val="20"/>
          <w:color w:val="auto"/>
        </w:rPr>
      </w:pPr>
      <w:r>
        <w:rPr>
          <w:rFonts w:ascii="Arial" w:cs="Arial" w:eastAsia="Arial" w:hAnsi="Arial"/>
          <w:sz w:val="18"/>
          <w:szCs w:val="18"/>
          <w:color w:val="auto"/>
        </w:rPr>
        <w:t>Upon a successful completion of such a full tender oﬀer, any shareholder that was an oﬀeree in such tender oﬀer, whether such shareholder accepted the tender oﬀer or not, may, within six months from the date of acceptance of the tender oﬀer, petition an Israeli court to determine whether the tender oﬀer was for less than fair value and that the fair value should be paid as determined by the court. However, under certain conditions, the oﬀeror may include in the terms of the tender oﬀer that an oﬀeree who accepted the oﬀer will not be entitled to petition the Israeli court as described above.</w:t>
      </w:r>
    </w:p>
    <w:p>
      <w:pPr>
        <w:spacing w:after="0" w:line="357" w:lineRule="exact"/>
        <w:rPr>
          <w:sz w:val="20"/>
          <w:szCs w:val="20"/>
          <w:color w:val="auto"/>
        </w:rPr>
      </w:pPr>
    </w:p>
    <w:p>
      <w:pPr>
        <w:ind w:left="120" w:right="119" w:firstLine="216"/>
        <w:spacing w:after="0" w:line="284" w:lineRule="auto"/>
        <w:rPr>
          <w:sz w:val="20"/>
          <w:szCs w:val="20"/>
          <w:color w:val="auto"/>
        </w:rPr>
      </w:pPr>
      <w:r>
        <w:rPr>
          <w:rFonts w:ascii="Arial" w:cs="Arial" w:eastAsia="Arial" w:hAnsi="Arial"/>
          <w:sz w:val="18"/>
          <w:szCs w:val="18"/>
          <w:color w:val="auto"/>
        </w:rPr>
        <w:t>If a tender oﬀer is not accepted in accordance with the requirements set forth above, the acquirer may not acquire shares from shareholders who accepted the tender oﬀer that will increase its holdings to more than 90% of the company’s issued and outstanding share capital or of the applicable class.</w:t>
      </w: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193" w:lineRule="exact"/>
        <w:rPr>
          <w:sz w:val="20"/>
          <w:szCs w:val="20"/>
          <w:color w:val="auto"/>
        </w:rPr>
      </w:pPr>
    </w:p>
    <w:p>
      <w:pPr>
        <w:ind w:left="120" w:right="139" w:firstLine="216"/>
        <w:spacing w:after="0" w:line="261"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oﬀer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oﬀer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360"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A special tender oﬀer must be extended to all shareholders of a company but the oﬀeror is not required to purchase shares representing more than 5% of the voting power attached to the company’s outstanding shares, regardless of how many shares are tendered by shareholders. A special tender oﬀer may be consummated only if (i) the oﬀeror acquired shares representing at least 5% of the voting power in the company and (ii) the number of shares tendered by shareholders who accept the oﬀer exceeds the number of shares held by shareholders who object to the oﬀer (excluding the purchaser, controlling shareholders, holders of 25% or more of the voting rights in the company or any person having a personal interest in the acceptance of the tender oﬀer, including their relatives and companies under their control). If a special tender oﬀer is accepted, the purchaser or any person or entity controlling it or under common control with the purchaser or such controlling person or entity may not make a subsequent tender oﬀer for the purchase of shares of the target company and may not enter into a merger with the target company for a period of one year from the date of the oﬀer, unless the purchaser or such person or entity undertook to eﬀect such an oﬀer or merger in the initial special tender oﬀer.</w:t>
      </w:r>
    </w:p>
    <w:p>
      <w:pPr>
        <w:sectPr>
          <w:pgSz w:w="11900" w:h="16838" w:orient="portrait"/>
          <w:cols w:equalWidth="0" w:num="1">
            <w:col w:w="9019"/>
          </w:cols>
          <w:pgMar w:left="1440" w:top="125" w:right="1440" w:bottom="1163"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163" w:gutter="0" w:footer="0" w:header="0"/>
          <w:type w:val="continuous"/>
        </w:sectPr>
      </w:pPr>
    </w:p>
    <w:bookmarkStart w:id="101" w:name="page102"/>
    <w:bookmarkEnd w:id="101"/>
    <w:p>
      <w:pPr>
        <w:ind w:left="120"/>
        <w:spacing w:after="0"/>
        <w:rPr>
          <w:sz w:val="20"/>
          <w:szCs w:val="20"/>
          <w:color w:val="auto"/>
        </w:rPr>
      </w:pPr>
      <w:r>
        <w:rPr>
          <w:rFonts w:ascii="Arial" w:cs="Arial" w:eastAsia="Arial" w:hAnsi="Arial"/>
          <w:sz w:val="18"/>
          <w:szCs w:val="18"/>
          <w:b w:val="1"/>
          <w:bCs w:val="1"/>
          <w:i w:val="1"/>
          <w:iCs w:val="1"/>
          <w:color w:val="auto"/>
        </w:rPr>
        <w:t>Merger</w:t>
      </w:r>
    </w:p>
    <w:p>
      <w:pPr>
        <w:spacing w:after="0" w:line="193" w:lineRule="exact"/>
        <w:rPr>
          <w:sz w:val="20"/>
          <w:szCs w:val="20"/>
          <w:color w:val="auto"/>
        </w:rPr>
      </w:pPr>
    </w:p>
    <w:p>
      <w:pPr>
        <w:jc w:val="both"/>
        <w:ind w:left="120" w:right="299" w:firstLine="216"/>
        <w:spacing w:after="0" w:line="279"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18"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Approval of Related Party Transactions under Israeli Law—Disclosure of Personal Interests of Controlling Shareholders and Approval of Certain Transactions.”)</w:t>
      </w:r>
    </w:p>
    <w:p>
      <w:pPr>
        <w:spacing w:after="0" w:line="359" w:lineRule="exact"/>
        <w:rPr>
          <w:sz w:val="20"/>
          <w:szCs w:val="20"/>
          <w:color w:val="auto"/>
        </w:rPr>
      </w:pPr>
    </w:p>
    <w:p>
      <w:pPr>
        <w:ind w:left="120" w:right="219" w:firstLine="216"/>
        <w:spacing w:after="0" w:line="265"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oﬀered to the shareholders of the target company.</w:t>
      </w:r>
    </w:p>
    <w:p>
      <w:pPr>
        <w:spacing w:after="0" w:line="357" w:lineRule="exact"/>
        <w:rPr>
          <w:sz w:val="20"/>
          <w:szCs w:val="20"/>
          <w:color w:val="auto"/>
        </w:rPr>
      </w:pPr>
    </w:p>
    <w:p>
      <w:pPr>
        <w:jc w:val="both"/>
        <w:ind w:left="120" w:right="239" w:firstLine="216"/>
        <w:spacing w:after="0" w:line="27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18" w:lineRule="exact"/>
        <w:rPr>
          <w:sz w:val="20"/>
          <w:szCs w:val="20"/>
          <w:color w:val="auto"/>
        </w:rPr>
      </w:pPr>
    </w:p>
    <w:p>
      <w:pPr>
        <w:ind w:left="120" w:right="199" w:firstLine="216"/>
        <w:spacing w:after="0" w:line="28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193"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The Israeli Companies Law allows us to create and issue shares having rights diﬀerent from those attached to our ordinary shares, including shares providing certain preferred rights with respect to voting, distributions or other matters and shares having preemptive rights. As of the closing of this oﬀering,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227" w:lineRule="exact"/>
        <w:rPr>
          <w:sz w:val="20"/>
          <w:szCs w:val="20"/>
          <w:color w:val="auto"/>
        </w:rPr>
      </w:pPr>
    </w:p>
    <w:p>
      <w:pPr>
        <w:ind w:left="120" w:right="279" w:firstLine="216"/>
        <w:spacing w:after="0" w:line="279"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227" w:lineRule="exact"/>
        <w:rPr>
          <w:sz w:val="20"/>
          <w:szCs w:val="20"/>
          <w:color w:val="auto"/>
        </w:rPr>
      </w:pPr>
    </w:p>
    <w:p>
      <w:pPr>
        <w:ind w:left="120" w:right="339" w:firstLine="216"/>
        <w:spacing w:after="0" w:line="279"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eﬀect of reducing capital, such as the declaration and</w:t>
      </w:r>
    </w:p>
    <w:p>
      <w:pPr>
        <w:sectPr>
          <w:pgSz w:w="11900" w:h="16838" w:orient="portrait"/>
          <w:cols w:equalWidth="0" w:num="1">
            <w:col w:w="9019"/>
          </w:cols>
          <w:pgMar w:left="1440" w:top="12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2" w:name="page103"/>
    <w:bookmarkEnd w:id="102"/>
    <w:p>
      <w:pPr>
        <w:ind w:left="120" w:right="819"/>
        <w:spacing w:after="0" w:line="339" w:lineRule="auto"/>
        <w:rPr>
          <w:sz w:val="20"/>
          <w:szCs w:val="20"/>
          <w:color w:val="auto"/>
        </w:rPr>
      </w:pPr>
      <w:r>
        <w:rPr>
          <w:rFonts w:ascii="Arial" w:cs="Arial" w:eastAsia="Arial" w:hAnsi="Arial"/>
          <w:sz w:val="18"/>
          <w:szCs w:val="18"/>
          <w:color w:val="auto"/>
        </w:rPr>
        <w:t>payment of dividends in the absence of suﬃcient retained earnings or profits, require the approval of both our board of directors and an Israeli court.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ordinary shares is American Stock Transfer &amp; Trust</w:t>
      </w:r>
    </w:p>
    <w:p>
      <w:pPr>
        <w:spacing w:after="0" w:line="65" w:lineRule="exact"/>
        <w:rPr>
          <w:sz w:val="20"/>
          <w:szCs w:val="20"/>
          <w:color w:val="auto"/>
        </w:rPr>
      </w:pPr>
    </w:p>
    <w:p>
      <w:pPr>
        <w:ind w:left="120" w:right="459"/>
        <w:spacing w:after="0" w:line="216" w:lineRule="auto"/>
        <w:rPr>
          <w:sz w:val="20"/>
          <w:szCs w:val="20"/>
          <w:color w:val="auto"/>
        </w:rPr>
      </w:pPr>
      <w:r>
        <w:rPr>
          <w:rFonts w:ascii="Arial" w:cs="Arial" w:eastAsia="Arial" w:hAnsi="Arial"/>
          <w:sz w:val="18"/>
          <w:szCs w:val="18"/>
          <w:color w:val="auto"/>
        </w:rPr>
        <w:t>Company, LLC. Its address is 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Brooklyn, New York 11219, and its telephone number is (800) 937-5449.</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7" w:lineRule="exact"/>
        <w:rPr>
          <w:sz w:val="20"/>
          <w:szCs w:val="20"/>
          <w:color w:val="auto"/>
        </w:rPr>
      </w:pPr>
    </w:p>
    <w:p>
      <w:pPr>
        <w:ind w:left="120" w:right="179" w:firstLine="216"/>
        <w:spacing w:after="0" w:line="338" w:lineRule="auto"/>
        <w:rPr>
          <w:sz w:val="20"/>
          <w:szCs w:val="20"/>
          <w:color w:val="auto"/>
        </w:rPr>
      </w:pPr>
      <w:r>
        <w:rPr>
          <w:rFonts w:ascii="Arial" w:cs="Arial" w:eastAsia="Arial" w:hAnsi="Arial"/>
          <w:sz w:val="18"/>
          <w:szCs w:val="18"/>
          <w:color w:val="auto"/>
        </w:rPr>
        <w:t>We intend to apply to have our ordinary shares listed on the NASDAQ Global Market under the symbol “KRNT”.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7" w:lineRule="exact"/>
        <w:rPr>
          <w:sz w:val="20"/>
          <w:szCs w:val="20"/>
          <w:color w:val="auto"/>
        </w:rPr>
      </w:pPr>
    </w:p>
    <w:p>
      <w:pPr>
        <w:ind w:left="120" w:right="359" w:firstLine="216"/>
        <w:spacing w:after="0" w:line="258" w:lineRule="auto"/>
        <w:rPr>
          <w:sz w:val="20"/>
          <w:szCs w:val="20"/>
          <w:color w:val="auto"/>
        </w:rPr>
      </w:pPr>
      <w:r>
        <w:rPr>
          <w:rFonts w:ascii="Arial" w:cs="Arial" w:eastAsia="Arial" w:hAnsi="Arial"/>
          <w:sz w:val="18"/>
          <w:szCs w:val="18"/>
          <w:color w:val="auto"/>
        </w:rPr>
        <w:t>Prior to this oﬀering, no public market existed for our ordinary shares. Sales of substantial amounts of our ordinary shares, including shares issued upon the exercise of outstanding options in the public market following this oﬀering, or the possibility of these sales occurring, could adversely aﬀect the prevailing market price of our ordinary shares and could impair our future ability to obtain capital, especially through an oﬀering of equity securities. Assuming no exercise of options or warrants outstanding following this oﬀering, we will have an aggregate</w:t>
      </w:r>
    </w:p>
    <w:p>
      <w:pPr>
        <w:spacing w:after="0" w:line="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ordinary shares outstanding upon the completion of this oﬀering. Of these shares,</w:t>
      </w:r>
    </w:p>
    <w:p>
      <w:pPr>
        <w:spacing w:after="0" w:line="9"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ordinary shares sold in this oﬀering will be freely tradable without restriction or further</w:t>
      </w:r>
    </w:p>
    <w:p>
      <w:pPr>
        <w:spacing w:after="0" w:line="9" w:lineRule="exact"/>
        <w:rPr>
          <w:sz w:val="20"/>
          <w:szCs w:val="20"/>
          <w:color w:val="auto"/>
        </w:rPr>
      </w:pPr>
    </w:p>
    <w:p>
      <w:pPr>
        <w:ind w:left="120" w:right="359"/>
        <w:spacing w:after="0" w:line="270" w:lineRule="auto"/>
        <w:rPr>
          <w:sz w:val="20"/>
          <w:szCs w:val="20"/>
          <w:color w:val="auto"/>
        </w:rPr>
      </w:pPr>
      <w:r>
        <w:rPr>
          <w:rFonts w:ascii="Arial" w:cs="Arial" w:eastAsia="Arial" w:hAnsi="Arial"/>
          <w:sz w:val="18"/>
          <w:szCs w:val="18"/>
          <w:color w:val="auto"/>
        </w:rPr>
        <w:t>registration under the Securities Act, unless purchased by “aﬃliates” (as that term is defined under Rule 144 of the Securities Act), who may sell only the volume of shares described below and whose sales would be subject to additional restrictions described below.</w:t>
      </w:r>
    </w:p>
    <w:p>
      <w:pPr>
        <w:spacing w:after="0" w:line="124" w:lineRule="exact"/>
        <w:rPr>
          <w:sz w:val="20"/>
          <w:szCs w:val="20"/>
          <w:color w:val="auto"/>
        </w:rPr>
      </w:pPr>
    </w:p>
    <w:p>
      <w:pPr>
        <w:ind w:left="120" w:right="299" w:firstLine="216"/>
        <w:spacing w:after="0" w:line="265" w:lineRule="auto"/>
        <w:rPr>
          <w:sz w:val="20"/>
          <w:szCs w:val="20"/>
          <w:color w:val="auto"/>
        </w:rPr>
      </w:pPr>
      <w:r>
        <w:rPr>
          <w:rFonts w:ascii="Arial" w:cs="Arial" w:eastAsia="Arial" w:hAnsi="Arial"/>
          <w:sz w:val="18"/>
          <w:szCs w:val="18"/>
          <w:color w:val="auto"/>
        </w:rPr>
        <w:t>The remaining ordinary shares will be held by our existing shareholders and will be deemed to be “restricted securities” (as that phrase is defined under Rule 144 of the Securities Act). Subject to certain contractual restrictions, including the lock-up agreements described below, holders of restricted shares will be entitled to sell those shares in the public market pursuant to an eﬀective registration statement under the Securities Act or if they qualify for an exemption from registration under Rule 144 and Rule 701 under the Securities Act. These rules are summarized below.</w:t>
      </w:r>
    </w:p>
    <w:p>
      <w:pPr>
        <w:spacing w:after="0" w:line="357" w:lineRule="exact"/>
        <w:rPr>
          <w:sz w:val="20"/>
          <w:szCs w:val="20"/>
          <w:color w:val="auto"/>
        </w:rPr>
      </w:pPr>
    </w:p>
    <w:p>
      <w:pPr>
        <w:ind w:left="120" w:right="479" w:firstLine="216"/>
        <w:spacing w:after="0" w:line="312"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restricted securities will be available for sale in the public market as follows: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4520" w:type="dxa"/>
            <w:vAlign w:val="bottom"/>
          </w:tcPr>
          <w:p>
            <w:pPr>
              <w:jc w:val="center"/>
              <w:ind w:left="3479"/>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4520" w:type="dxa"/>
            <w:vAlign w:val="bottom"/>
          </w:tcPr>
          <w:p>
            <w:pPr>
              <w:jc w:val="center"/>
              <w:ind w:left="3459"/>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3960" w:type="dxa"/>
            <w:vAlign w:val="bottom"/>
            <w:vMerge w:val="restart"/>
          </w:tcPr>
          <w:p>
            <w:pPr>
              <w:spacing w:after="0"/>
              <w:rPr>
                <w:sz w:val="20"/>
                <w:szCs w:val="20"/>
                <w:color w:val="auto"/>
              </w:rPr>
            </w:pPr>
            <w:r>
              <w:rPr>
                <w:rFonts w:ascii="Arial" w:cs="Arial" w:eastAsia="Arial" w:hAnsi="Arial"/>
                <w:sz w:val="16"/>
                <w:szCs w:val="16"/>
                <w:b w:val="1"/>
                <w:bCs w:val="1"/>
                <w:color w:val="auto"/>
              </w:rPr>
              <w:t>Date</w:t>
            </w:r>
          </w:p>
        </w:tc>
        <w:tc>
          <w:tcPr>
            <w:tcW w:w="4520" w:type="dxa"/>
            <w:vAlign w:val="bottom"/>
          </w:tcPr>
          <w:p>
            <w:pPr>
              <w:jc w:val="center"/>
              <w:ind w:left="3459"/>
              <w:spacing w:after="0"/>
              <w:rPr>
                <w:sz w:val="20"/>
                <w:szCs w:val="20"/>
                <w:color w:val="auto"/>
              </w:rPr>
            </w:pPr>
            <w:r>
              <w:rPr>
                <w:rFonts w:ascii="Arial" w:cs="Arial" w:eastAsia="Arial" w:hAnsi="Arial"/>
                <w:sz w:val="16"/>
                <w:szCs w:val="16"/>
                <w:b w:val="1"/>
                <w:bCs w:val="1"/>
                <w:color w:val="auto"/>
              </w:rPr>
              <w:t>Eligible for</w:t>
            </w:r>
          </w:p>
        </w:tc>
        <w:tc>
          <w:tcPr>
            <w:tcW w:w="0" w:type="dxa"/>
            <w:vAlign w:val="bottom"/>
          </w:tcPr>
          <w:p>
            <w:pPr>
              <w:spacing w:after="0"/>
              <w:rPr>
                <w:sz w:val="1"/>
                <w:szCs w:val="1"/>
                <w:color w:val="auto"/>
              </w:rPr>
            </w:pPr>
          </w:p>
        </w:tc>
      </w:tr>
      <w:tr>
        <w:trPr>
          <w:trHeight w:val="251"/>
        </w:trPr>
        <w:tc>
          <w:tcPr>
            <w:tcW w:w="3960" w:type="dxa"/>
            <w:vAlign w:val="bottom"/>
            <w:vMerge w:val="continue"/>
          </w:tcPr>
          <w:p>
            <w:pPr>
              <w:spacing w:after="0"/>
              <w:rPr>
                <w:sz w:val="21"/>
                <w:szCs w:val="21"/>
                <w:color w:val="auto"/>
              </w:rPr>
            </w:pPr>
          </w:p>
        </w:tc>
        <w:tc>
          <w:tcPr>
            <w:tcW w:w="4520" w:type="dxa"/>
            <w:vAlign w:val="bottom"/>
          </w:tcPr>
          <w:p>
            <w:pPr>
              <w:jc w:val="center"/>
              <w:ind w:left="3459"/>
              <w:spacing w:after="0"/>
              <w:rPr>
                <w:sz w:val="20"/>
                <w:szCs w:val="20"/>
                <w:color w:val="auto"/>
              </w:rPr>
            </w:pPr>
            <w:r>
              <w:rPr>
                <w:rFonts w:ascii="Arial" w:cs="Arial" w:eastAsia="Arial" w:hAnsi="Arial"/>
                <w:sz w:val="16"/>
                <w:szCs w:val="16"/>
                <w:b w:val="1"/>
                <w:bCs w:val="1"/>
                <w:color w:val="auto"/>
              </w:rPr>
              <w:t>Sale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-13335</wp:posOffset>
            </wp:positionV>
            <wp:extent cx="557403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403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At the date of this prospectus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 to 180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635</wp:posOffset>
            </wp:positionV>
            <wp:extent cx="557403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180 days after the date of this prospectus</w:t>
      </w:r>
    </w:p>
    <w:p>
      <w:pPr>
        <w:spacing w:after="0" w:line="129" w:lineRule="exact"/>
        <w:rPr>
          <w:sz w:val="20"/>
          <w:szCs w:val="20"/>
          <w:color w:val="auto"/>
        </w:rPr>
      </w:pPr>
    </w:p>
    <w:p>
      <w:pPr>
        <w:ind w:left="120" w:right="199" w:firstLine="216"/>
        <w:spacing w:after="0" w:line="294"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7" w:lineRule="exact"/>
        <w:rPr>
          <w:sz w:val="20"/>
          <w:szCs w:val="20"/>
          <w:color w:val="auto"/>
        </w:rPr>
      </w:pPr>
    </w:p>
    <w:p>
      <w:pPr>
        <w:ind w:left="120" w:right="219" w:firstLine="216"/>
        <w:spacing w:after="0" w:line="268" w:lineRule="auto"/>
        <w:rPr>
          <w:sz w:val="20"/>
          <w:szCs w:val="20"/>
          <w:color w:val="auto"/>
        </w:rPr>
      </w:pPr>
      <w:r>
        <w:rPr>
          <w:rFonts w:ascii="Arial" w:cs="Arial" w:eastAsia="Arial" w:hAnsi="Arial"/>
          <w:sz w:val="18"/>
          <w:szCs w:val="18"/>
          <w:color w:val="auto"/>
        </w:rPr>
        <w:t>We, all of our directors and executive oﬃcers and holders of substantially all of our outstanding shares and shares issuable upon the exercise of warrants and vested options, have agreed not to oﬀer, sell, agree to sell, directly or indirectly, or otherwise dispose of any ordinary shares or any securities convertible into or exchangeable for ordinary shares except for the ordinary shares oﬀered in this oﬀering without the prior written consent of Barclays Capital Inc. and Citigroup Global Markets Inc. for a period of 180 days after the date of this prospectus.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227" w:lineRule="exact"/>
        <w:rPr>
          <w:sz w:val="20"/>
          <w:szCs w:val="20"/>
          <w:color w:val="auto"/>
        </w:rPr>
      </w:pPr>
    </w:p>
    <w:p>
      <w:pPr>
        <w:ind w:left="120" w:right="419" w:firstLine="216"/>
        <w:spacing w:after="0" w:line="279" w:lineRule="auto"/>
        <w:rPr>
          <w:sz w:val="20"/>
          <w:szCs w:val="20"/>
          <w:color w:val="auto"/>
        </w:rPr>
      </w:pPr>
      <w:r>
        <w:rPr>
          <w:rFonts w:ascii="Arial" w:cs="Arial" w:eastAsia="Arial" w:hAnsi="Arial"/>
          <w:sz w:val="18"/>
          <w:szCs w:val="18"/>
          <w:color w:val="auto"/>
        </w:rPr>
        <w:t>The ordinary shares that are not being sold in this oﬀering, but which will be outstanding at the time this oﬀering is complete, will be eligible for sale into the public market under the provisions of Rule 144 and Rule 701 (but subject to the further contractual restrictions arising under the lock-up agreements described above).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7" w:lineRule="exact"/>
        <w:rPr>
          <w:sz w:val="20"/>
          <w:szCs w:val="20"/>
          <w:color w:val="auto"/>
        </w:rPr>
      </w:pPr>
    </w:p>
    <w:p>
      <w:pPr>
        <w:ind w:left="120" w:right="379" w:firstLine="216"/>
        <w:spacing w:after="0" w:line="263"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is not deemed to have been an aﬃliate of ours at any time during the three months preceding a sale, and who has beneficially owned restricted securities within the meaning of Rule 144 for at least six months (including any period of consecutive ownership of preceding non-aﬃliated holders) would be entitled to sell those shares, subject only to the availability of current public information about us. A non-aﬃliated person who has beneficially owned restricted securities within the meaning of Rule 144 for at least one year would be entitled to sell those shares without regard to the provisions of Rule 144.</w:t>
      </w:r>
    </w:p>
    <w:p>
      <w:pPr>
        <w:sectPr>
          <w:pgSz w:w="11900" w:h="16838" w:orient="portrait"/>
          <w:cols w:equalWidth="0" w:num="1">
            <w:col w:w="9019"/>
          </w:cols>
          <w:pgMar w:left="1440" w:top="306"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type w:val="continuous"/>
        </w:sectPr>
      </w:pPr>
    </w:p>
    <w:bookmarkStart w:id="104" w:name="page105"/>
    <w:bookmarkEnd w:id="104"/>
    <w:p>
      <w:pPr>
        <w:ind w:left="120" w:right="139" w:firstLine="216"/>
        <w:spacing w:after="0" w:line="265" w:lineRule="auto"/>
        <w:rPr>
          <w:sz w:val="20"/>
          <w:szCs w:val="20"/>
          <w:color w:val="auto"/>
        </w:rPr>
      </w:pPr>
      <w:r>
        <w:rPr>
          <w:rFonts w:ascii="Arial" w:cs="Arial" w:eastAsia="Arial" w:hAnsi="Arial"/>
          <w:sz w:val="18"/>
          <w:szCs w:val="18"/>
          <w:color w:val="auto"/>
        </w:rPr>
        <w:t>A person (or persons whose shares are aggregated) who is deemed to be an aﬃliate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7" w:lineRule="exact"/>
        <w:rPr>
          <w:sz w:val="20"/>
          <w:szCs w:val="20"/>
          <w:color w:val="auto"/>
        </w:rPr>
      </w:pPr>
    </w:p>
    <w:p>
      <w:pPr>
        <w:jc w:val="both"/>
        <w:ind w:left="120" w:right="319" w:firstLine="216"/>
        <w:spacing w:after="0" w:line="294" w:lineRule="auto"/>
        <w:rPr>
          <w:sz w:val="20"/>
          <w:szCs w:val="20"/>
          <w:color w:val="auto"/>
        </w:rPr>
      </w:pPr>
      <w:r>
        <w:rPr>
          <w:rFonts w:ascii="Arial" w:cs="Arial" w:eastAsia="Arial" w:hAnsi="Arial"/>
          <w:sz w:val="18"/>
          <w:szCs w:val="18"/>
          <w:color w:val="auto"/>
        </w:rPr>
        <w:t>In general, under Rule 701, any of our employees, directors, oﬃcers, consultants or advisors who received or purchased ordinary shares from us under our 2004 Plan or 2012 Plan or other written agreement before the closing of this oﬀering is entitled to resell these shares.</w:t>
      </w:r>
    </w:p>
    <w:p>
      <w:pPr>
        <w:spacing w:after="0" w:line="104" w:lineRule="exact"/>
        <w:rPr>
          <w:sz w:val="20"/>
          <w:szCs w:val="20"/>
          <w:color w:val="auto"/>
        </w:rPr>
      </w:pPr>
    </w:p>
    <w:p>
      <w:pPr>
        <w:ind w:left="120" w:right="239" w:firstLine="216"/>
        <w:spacing w:after="0" w:line="268" w:lineRule="auto"/>
        <w:rPr>
          <w:sz w:val="20"/>
          <w:szCs w:val="20"/>
          <w:color w:val="auto"/>
        </w:rPr>
      </w:pPr>
      <w:r>
        <w:rPr>
          <w:rFonts w:ascii="Arial" w:cs="Arial" w:eastAsia="Arial" w:hAnsi="Arial"/>
          <w:sz w:val="18"/>
          <w:szCs w:val="18"/>
          <w:color w:val="auto"/>
        </w:rPr>
        <w:t>The Commission has indicated that Rule 701 will apply to typical share options granted by an issuer before it becomes subject to the reporting requirements of the Exchange Act, along with the shares acquired upon exercise of these options, including exercises after the closing of this oﬀering. Securities issued in reliance on Rule 701 are restricted securities and, subject to the contractual restrictions described above (under “—Lock-Up Agreements”), may be sold beginning 90 days after the closing of this oﬀering in reliance on Rule 144 by:</w:t>
      </w:r>
    </w:p>
    <w:p>
      <w:pPr>
        <w:spacing w:after="0" w:line="139" w:lineRule="exact"/>
        <w:rPr>
          <w:sz w:val="20"/>
          <w:szCs w:val="20"/>
          <w:color w:val="auto"/>
        </w:rPr>
      </w:pPr>
    </w:p>
    <w:p>
      <w:pPr>
        <w:ind w:left="620" w:hanging="279"/>
        <w:spacing w:after="0"/>
        <w:tabs>
          <w:tab w:leader="none" w:pos="620" w:val="left"/>
        </w:tabs>
        <w:numPr>
          <w:ilvl w:val="0"/>
          <w:numId w:val="71"/>
        </w:numPr>
        <w:rPr>
          <w:rFonts w:ascii="Arial" w:cs="Arial" w:eastAsia="Arial" w:hAnsi="Arial"/>
          <w:sz w:val="22"/>
          <w:szCs w:val="22"/>
          <w:color w:val="auto"/>
        </w:rPr>
      </w:pPr>
      <w:r>
        <w:rPr>
          <w:rFonts w:ascii="Arial" w:cs="Arial" w:eastAsia="Arial" w:hAnsi="Arial"/>
          <w:sz w:val="18"/>
          <w:szCs w:val="18"/>
          <w:color w:val="auto"/>
        </w:rPr>
        <w:t>persons other than aﬃliates, without restriction; and</w:t>
      </w:r>
    </w:p>
    <w:p>
      <w:pPr>
        <w:spacing w:after="0" w:line="192" w:lineRule="exact"/>
        <w:rPr>
          <w:rFonts w:ascii="Arial" w:cs="Arial" w:eastAsia="Arial" w:hAnsi="Arial"/>
          <w:sz w:val="22"/>
          <w:szCs w:val="22"/>
          <w:color w:val="auto"/>
        </w:rPr>
      </w:pPr>
    </w:p>
    <w:p>
      <w:pPr>
        <w:ind w:left="560" w:right="239" w:hanging="219"/>
        <w:spacing w:after="0"/>
        <w:tabs>
          <w:tab w:leader="none" w:pos="626" w:val="left"/>
        </w:tabs>
        <w:numPr>
          <w:ilvl w:val="0"/>
          <w:numId w:val="71"/>
        </w:numPr>
        <w:rPr>
          <w:rFonts w:ascii="Arial" w:cs="Arial" w:eastAsia="Arial" w:hAnsi="Arial"/>
          <w:sz w:val="22"/>
          <w:szCs w:val="22"/>
          <w:color w:val="auto"/>
        </w:rPr>
      </w:pPr>
      <w:r>
        <w:rPr>
          <w:rFonts w:ascii="Arial" w:cs="Arial" w:eastAsia="Arial" w:hAnsi="Arial"/>
          <w:sz w:val="18"/>
          <w:szCs w:val="18"/>
          <w:color w:val="auto"/>
        </w:rPr>
        <w:t>aﬃliates, subject to the manner-of-sale, current public information and filing requirements of Rule 144,</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each case, without compliance with the six-month holding period requirement of Rule 144.</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completion of this oﬀering, we intend to file a registration statement on Form S-</w:t>
      </w:r>
    </w:p>
    <w:p>
      <w:pPr>
        <w:spacing w:after="0" w:line="51" w:lineRule="exact"/>
        <w:rPr>
          <w:sz w:val="20"/>
          <w:szCs w:val="20"/>
          <w:color w:val="auto"/>
        </w:rPr>
      </w:pPr>
    </w:p>
    <w:p>
      <w:pPr>
        <w:ind w:left="120" w:right="139"/>
        <w:spacing w:after="0" w:line="280" w:lineRule="auto"/>
        <w:rPr>
          <w:sz w:val="20"/>
          <w:szCs w:val="20"/>
          <w:color w:val="auto"/>
        </w:rPr>
      </w:pPr>
      <w:r>
        <w:rPr>
          <w:rFonts w:ascii="Arial" w:cs="Arial" w:eastAsia="Arial" w:hAnsi="Arial"/>
          <w:sz w:val="18"/>
          <w:szCs w:val="18"/>
          <w:color w:val="auto"/>
        </w:rPr>
        <w:t>8 under the Securities Act to register up to ordinary shares issued or reserved for issuance under the 2004 Plan and 2012 Plan. The registration statement on Form S-8 will become eﬀective automatically upon filing.</w:t>
      </w:r>
    </w:p>
    <w:p>
      <w:pPr>
        <w:spacing w:after="0" w:line="339" w:lineRule="exact"/>
        <w:rPr>
          <w:sz w:val="20"/>
          <w:szCs w:val="20"/>
          <w:color w:val="auto"/>
        </w:rPr>
      </w:pPr>
    </w:p>
    <w:p>
      <w:pPr>
        <w:ind w:left="120" w:right="219" w:firstLine="216"/>
        <w:spacing w:after="0" w:line="274"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lock-up agreements with the underwriters and Rule 144 volume limitations applicable to our aﬃliates, be available for sale in the open market immediately after the 180-day lock-up period expires. See “Management— Share Incentive Plans.”</w:t>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7" w:lineRule="exact"/>
        <w:rPr>
          <w:sz w:val="20"/>
          <w:szCs w:val="20"/>
          <w:color w:val="auto"/>
        </w:rPr>
      </w:pPr>
    </w:p>
    <w:p>
      <w:pPr>
        <w:ind w:left="120" w:right="139" w:firstLine="216"/>
        <w:spacing w:after="0" w:line="261" w:lineRule="auto"/>
        <w:rPr>
          <w:sz w:val="20"/>
          <w:szCs w:val="20"/>
          <w:color w:val="auto"/>
        </w:rPr>
      </w:pPr>
      <w:r>
        <w:rPr>
          <w:rFonts w:ascii="Arial" w:cs="Arial" w:eastAsia="Arial" w:hAnsi="Arial"/>
          <w:sz w:val="18"/>
          <w:szCs w:val="18"/>
          <w:color w:val="auto"/>
        </w:rPr>
        <w:t>Following the completion of this oﬀering, the holders of up to 3,176,744 ordinary shares are entitled to request that we register their ordinary shares under the 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aﬃliates, immediately upon the eﬀectiveness of such registration. See “Description of Share Capital—Registration Rights.” Any sales of securities by these shareholders could have a material adverse eﬀect on the trading price of our ordinary shares.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sectPr>
      </w:pPr>
    </w:p>
    <w:bookmarkStart w:id="105" w:name="page106"/>
    <w:bookmarkEnd w:id="105"/>
    <w:p>
      <w:pPr>
        <w:ind w:left="38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227" w:lineRule="exact"/>
        <w:rPr>
          <w:sz w:val="20"/>
          <w:szCs w:val="20"/>
          <w:color w:val="auto"/>
        </w:rPr>
      </w:pPr>
    </w:p>
    <w:p>
      <w:pPr>
        <w:ind w:left="120" w:right="319" w:firstLine="216"/>
        <w:spacing w:after="0" w:line="338" w:lineRule="auto"/>
        <w:rPr>
          <w:sz w:val="20"/>
          <w:szCs w:val="20"/>
          <w:color w:val="auto"/>
        </w:rPr>
      </w:pPr>
      <w:r>
        <w:rPr>
          <w:rFonts w:ascii="Arial" w:cs="Arial" w:eastAsia="Arial" w:hAnsi="Arial"/>
          <w:sz w:val="18"/>
          <w:szCs w:val="18"/>
          <w:color w:val="auto"/>
        </w:rPr>
        <w:t>The following is a brief summary of the material Israeli tax laws applicable to us, and certain Israeli Government programs that benefit us.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193"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8"/>
          <w:szCs w:val="18"/>
          <w:color w:val="auto"/>
        </w:rPr>
        <w:t>Israeli companies are generally subject to corporate tax. In 2013, the corporate tax rate was 25% of their taxable income. In August 2014 the Israeli Knesset amended the corporate tax rate from 2014 and thereafter to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Industry (Taxes), 5729-1969</w:t>
      </w:r>
    </w:p>
    <w:p>
      <w:pPr>
        <w:spacing w:after="0" w:line="193" w:lineRule="exact"/>
        <w:rPr>
          <w:sz w:val="20"/>
          <w:szCs w:val="20"/>
          <w:color w:val="auto"/>
        </w:rPr>
      </w:pPr>
    </w:p>
    <w:p>
      <w:pPr>
        <w:ind w:left="120" w:right="379" w:firstLine="216"/>
        <w:spacing w:after="0" w:line="284" w:lineRule="auto"/>
        <w:rPr>
          <w:sz w:val="20"/>
          <w:szCs w:val="20"/>
          <w:color w:val="auto"/>
        </w:rPr>
      </w:pPr>
      <w:r>
        <w:rPr>
          <w:rFonts w:ascii="Arial" w:cs="Arial" w:eastAsia="Arial" w:hAnsi="Arial"/>
          <w:sz w:val="18"/>
          <w:szCs w:val="18"/>
          <w:color w:val="auto"/>
        </w:rPr>
        <w:t>The Law for the Encouragement of Industry (Taxes), 5729 -1969, generally referred to as the Industry Encouragement Law, provides several tax benefits for “Industrial Companies.” We currently qualify as an Industrial Company within the meaning of the Industry Encouragement Law.</w:t>
      </w:r>
    </w:p>
    <w:p>
      <w:pPr>
        <w:spacing w:after="0" w:line="346" w:lineRule="exact"/>
        <w:rPr>
          <w:sz w:val="20"/>
          <w:szCs w:val="20"/>
          <w:color w:val="auto"/>
        </w:rPr>
      </w:pPr>
    </w:p>
    <w:p>
      <w:pPr>
        <w:ind w:left="120" w:right="239" w:firstLine="216"/>
        <w:spacing w:after="0" w:line="27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39" w:lineRule="exact"/>
        <w:rPr>
          <w:sz w:val="20"/>
          <w:szCs w:val="20"/>
          <w:color w:val="auto"/>
        </w:rPr>
      </w:pPr>
    </w:p>
    <w:p>
      <w:pPr>
        <w:ind w:left="560" w:right="159" w:hanging="219"/>
        <w:spacing w:after="0" w:line="259" w:lineRule="auto"/>
        <w:tabs>
          <w:tab w:leader="none" w:pos="626" w:val="left"/>
        </w:tabs>
        <w:numPr>
          <w:ilvl w:val="0"/>
          <w:numId w:val="72"/>
        </w:numPr>
        <w:rPr>
          <w:rFonts w:ascii="Arial" w:cs="Arial" w:eastAsia="Arial" w:hAnsi="Arial"/>
          <w:sz w:val="22"/>
          <w:szCs w:val="22"/>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381" w:lineRule="exact"/>
        <w:rPr>
          <w:rFonts w:ascii="Arial" w:cs="Arial" w:eastAsia="Arial" w:hAnsi="Arial"/>
          <w:sz w:val="22"/>
          <w:szCs w:val="22"/>
          <w:color w:val="auto"/>
        </w:rPr>
      </w:pPr>
    </w:p>
    <w:p>
      <w:pPr>
        <w:ind w:left="560" w:right="539" w:hanging="219"/>
        <w:spacing w:after="0" w:line="285" w:lineRule="auto"/>
        <w:tabs>
          <w:tab w:leader="none" w:pos="626" w:val="left"/>
        </w:tabs>
        <w:numPr>
          <w:ilvl w:val="0"/>
          <w:numId w:val="72"/>
        </w:numPr>
        <w:rPr>
          <w:rFonts w:ascii="Arial" w:cs="Arial" w:eastAsia="Arial" w:hAnsi="Arial"/>
          <w:sz w:val="22"/>
          <w:szCs w:val="22"/>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72"/>
        </w:numPr>
        <w:rPr>
          <w:rFonts w:ascii="Arial" w:cs="Arial" w:eastAsia="Arial" w:hAnsi="Arial"/>
          <w:sz w:val="22"/>
          <w:szCs w:val="22"/>
          <w:color w:val="auto"/>
        </w:rPr>
      </w:pPr>
      <w:r>
        <w:rPr>
          <w:rFonts w:ascii="Arial" w:cs="Arial" w:eastAsia="Arial" w:hAnsi="Arial"/>
          <w:sz w:val="18"/>
          <w:szCs w:val="18"/>
          <w:color w:val="auto"/>
        </w:rPr>
        <w:t>expenses related to a public oﬀering are deductible in equal amounts over three years.</w:t>
      </w:r>
    </w:p>
    <w:p>
      <w:pPr>
        <w:spacing w:after="0" w:line="179" w:lineRule="exact"/>
        <w:rPr>
          <w:sz w:val="20"/>
          <w:szCs w:val="20"/>
          <w:color w:val="auto"/>
        </w:rPr>
      </w:pPr>
    </w:p>
    <w:p>
      <w:pPr>
        <w:ind w:left="120" w:right="379" w:firstLine="216"/>
        <w:spacing w:after="0" w:line="338" w:lineRule="auto"/>
        <w:rPr>
          <w:sz w:val="20"/>
          <w:szCs w:val="20"/>
          <w:color w:val="auto"/>
        </w:rPr>
      </w:pPr>
      <w:r>
        <w:rPr>
          <w:rFonts w:ascii="Arial" w:cs="Arial" w:eastAsia="Arial" w:hAnsi="Arial"/>
          <w:sz w:val="18"/>
          <w:szCs w:val="18"/>
          <w:color w:val="auto"/>
        </w:rPr>
        <w:t>There can be no assurance that we will continue to qualify as an Industrial Company or that the benefits described above will be available in the future.</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Capital Investments, 5719-1959</w:t>
      </w:r>
    </w:p>
    <w:p>
      <w:pPr>
        <w:spacing w:after="0" w:line="193" w:lineRule="exact"/>
        <w:rPr>
          <w:sz w:val="20"/>
          <w:szCs w:val="20"/>
          <w:color w:val="auto"/>
        </w:rPr>
      </w:pPr>
    </w:p>
    <w:p>
      <w:pPr>
        <w:jc w:val="both"/>
        <w:ind w:left="120" w:right="359" w:firstLine="216"/>
        <w:spacing w:after="0" w:line="294" w:lineRule="auto"/>
        <w:rPr>
          <w:sz w:val="20"/>
          <w:szCs w:val="20"/>
          <w:color w:val="auto"/>
        </w:rPr>
      </w:pPr>
      <w:r>
        <w:rPr>
          <w:rFonts w:ascii="Arial" w:cs="Arial" w:eastAsia="Arial" w:hAnsi="Arial"/>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04"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ectPr>
          <w:pgSz w:w="11900" w:h="16838" w:orient="portrait"/>
          <w:cols w:equalWidth="0" w:num="1">
            <w:col w:w="9019"/>
          </w:cols>
          <w:pgMar w:left="1440" w:top="30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type w:val="continuous"/>
        </w:sectPr>
      </w:pPr>
    </w:p>
    <w:bookmarkStart w:id="106" w:name="page107"/>
    <w:bookmarkEnd w:id="106"/>
    <w:p>
      <w:pPr>
        <w:ind w:left="120"/>
        <w:spacing w:after="0"/>
        <w:rPr>
          <w:sz w:val="20"/>
          <w:szCs w:val="20"/>
          <w:color w:val="auto"/>
        </w:rPr>
      </w:pPr>
      <w:r>
        <w:rPr>
          <w:rFonts w:ascii="Arial" w:cs="Arial" w:eastAsia="Arial" w:hAnsi="Arial"/>
          <w:sz w:val="18"/>
          <w:szCs w:val="18"/>
          <w:b w:val="1"/>
          <w:bCs w:val="1"/>
          <w:i w:val="1"/>
          <w:iCs w:val="1"/>
          <w:color w:val="auto"/>
        </w:rPr>
        <w:t>Tax Benefits Subsequent to the 2005 Amendment</w:t>
      </w:r>
    </w:p>
    <w:p>
      <w:pPr>
        <w:spacing w:after="0" w:line="193" w:lineRule="exact"/>
        <w:rPr>
          <w:sz w:val="20"/>
          <w:szCs w:val="20"/>
          <w:color w:val="auto"/>
        </w:rPr>
      </w:pPr>
    </w:p>
    <w:p>
      <w:pPr>
        <w:ind w:left="120" w:right="159" w:firstLine="216"/>
        <w:spacing w:after="0" w:line="260" w:lineRule="auto"/>
        <w:rPr>
          <w:sz w:val="20"/>
          <w:szCs w:val="20"/>
          <w:color w:val="auto"/>
        </w:rPr>
      </w:pPr>
      <w:r>
        <w:rPr>
          <w:rFonts w:ascii="Arial" w:cs="Arial" w:eastAsia="Arial" w:hAnsi="Arial"/>
          <w:sz w:val="18"/>
          <w:szCs w:val="18"/>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eﬀective (April 1, 2005) will remain subject to the provisions of the Investment Law as in eﬀect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359"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Instead, a company may claim the tax benefits oﬀered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w:t>
      </w:r>
    </w:p>
    <w:p>
      <w:pPr>
        <w:spacing w:after="0" w:line="359"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to 25%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rate of 25%, or a lower rate in the case of a qualified FIC which is at least 49% owned by non-Israeli residents. Dividends paid out of income attributed to a Benefited Enterprise are generally subject to withholding tax at source at the rate of 15% or such lower rate as may be provided in an applicable tax treaty. The 15% tax rate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an FIC, the 12-year limitation on reduced withholding tax on dividends does not apply.</w:t>
      </w:r>
    </w:p>
    <w:p>
      <w:pPr>
        <w:spacing w:after="0" w:line="200" w:lineRule="exact"/>
        <w:rPr>
          <w:sz w:val="20"/>
          <w:szCs w:val="20"/>
          <w:color w:val="auto"/>
        </w:rPr>
      </w:pPr>
    </w:p>
    <w:p>
      <w:pPr>
        <w:spacing w:after="0" w:line="387" w:lineRule="exact"/>
        <w:rPr>
          <w:sz w:val="20"/>
          <w:szCs w:val="20"/>
          <w:color w:val="auto"/>
        </w:rPr>
      </w:pPr>
    </w:p>
    <w:p>
      <w:pPr>
        <w:ind w:left="120" w:right="119" w:firstLine="216"/>
        <w:spacing w:after="0" w:line="256" w:lineRule="auto"/>
        <w:rPr>
          <w:sz w:val="20"/>
          <w:szCs w:val="20"/>
          <w:color w:val="auto"/>
        </w:rPr>
      </w:pPr>
      <w:r>
        <w:rPr>
          <w:rFonts w:ascii="Arial" w:cs="Arial" w:eastAsia="Arial" w:hAnsi="Arial"/>
          <w:sz w:val="18"/>
          <w:szCs w:val="18"/>
          <w:color w:val="auto"/>
        </w:rPr>
        <w:t>The benefits available to a Benefited Enterprise are subject to the fulfillment of conditions stipulated in the Investment Law and its regulations, which are generally required to derive more than 25% of their business income from export to specific markets with a population of at least 14 million in 2012 (with such export criteria increasing in the future by 1.4% per annum). In order to receive the tax benefits, the amendment states that the company must make an investment which meets all of the conditions that are set out in the amendment for tax benefits and which exceeds a minimum amount specified in the Investment Law. Such investment allows the company to receive a beneficiary enterprise status, and may be made over a period of no more than three years ending at the end of the year in which the company requested to have the tax benefits apply to the beneficiary enterprise. Where the company requests to have the tax benefits apply to an expansion of existing facilities, only the expansion will be considered to be a beneficiary enterprise, and the company's eﬀective tax rate will be the weighted average of the applicable rates. In this case, the minimum investment required in order to qualify as a Benefited Enterprise is required to exceed a certain percentage of the value of the company's production assets before the expansion. If a company does not meet these conditions, it may be required to refund the amount of tax benefits, as adjusted by the Israeli consumer price index, and interest, or other monetary penalties.</w:t>
      </w:r>
    </w:p>
    <w:p>
      <w:pPr>
        <w:spacing w:after="0" w:line="200" w:lineRule="exact"/>
        <w:rPr>
          <w:sz w:val="20"/>
          <w:szCs w:val="20"/>
          <w:color w:val="auto"/>
        </w:rPr>
      </w:pPr>
    </w:p>
    <w:p>
      <w:pPr>
        <w:spacing w:after="0" w:line="378" w:lineRule="exact"/>
        <w:rPr>
          <w:sz w:val="20"/>
          <w:szCs w:val="20"/>
          <w:color w:val="auto"/>
        </w:rPr>
      </w:pPr>
    </w:p>
    <w:p>
      <w:pPr>
        <w:ind w:left="120" w:right="519" w:firstLine="216"/>
        <w:spacing w:after="0" w:line="269" w:lineRule="auto"/>
        <w:rPr>
          <w:sz w:val="20"/>
          <w:szCs w:val="20"/>
          <w:color w:val="auto"/>
        </w:rPr>
      </w:pPr>
      <w:r>
        <w:rPr>
          <w:rFonts w:ascii="Arial" w:cs="Arial" w:eastAsia="Arial" w:hAnsi="Arial"/>
          <w:sz w:val="18"/>
          <w:szCs w:val="18"/>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Digital Technologies Ltd. is subject to the 2011 Amendment (as described below) and thus the tax benefits will not be subject to time limitations.</w:t>
      </w:r>
    </w:p>
    <w:p>
      <w:pPr>
        <w:sectPr>
          <w:pgSz w:w="11900" w:h="16838" w:orient="portrait"/>
          <w:cols w:equalWidth="0" w:num="1">
            <w:col w:w="9019"/>
          </w:cols>
          <w:pgMar w:left="1440" w:top="125" w:right="1440" w:bottom="1096"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096" w:gutter="0" w:footer="0" w:header="0"/>
          <w:type w:val="continuous"/>
        </w:sectPr>
      </w:pPr>
    </w:p>
    <w:bookmarkStart w:id="107" w:name="page108"/>
    <w:bookmarkEnd w:id="107"/>
    <w:p>
      <w:pPr>
        <w:ind w:left="120"/>
        <w:spacing w:after="0"/>
        <w:rPr>
          <w:sz w:val="20"/>
          <w:szCs w:val="20"/>
          <w:color w:val="auto"/>
        </w:rPr>
      </w:pPr>
      <w:r>
        <w:rPr>
          <w:rFonts w:ascii="Arial" w:cs="Arial" w:eastAsia="Arial" w:hAnsi="Arial"/>
          <w:sz w:val="18"/>
          <w:szCs w:val="18"/>
          <w:b w:val="1"/>
          <w:bCs w:val="1"/>
          <w:i w:val="1"/>
          <w:iCs w:val="1"/>
          <w:color w:val="auto"/>
        </w:rPr>
        <w:t>Tax Benefits Under the 2011 Amendment</w:t>
      </w:r>
    </w:p>
    <w:p>
      <w:pPr>
        <w:spacing w:after="0" w:line="193"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 2012, unless the Preferred Enterprise is located in a certain development zone, in which case the rate will be 10%. Such corporate tax rate reduced to 12.5% and 7%, respectively, in 2013 and increased to 16% and 9% in 2014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w:t>
      </w:r>
    </w:p>
    <w:p>
      <w:pPr>
        <w:spacing w:after="0" w:line="200" w:lineRule="exact"/>
        <w:rPr>
          <w:sz w:val="20"/>
          <w:szCs w:val="20"/>
          <w:color w:val="auto"/>
        </w:rPr>
      </w:pPr>
    </w:p>
    <w:p>
      <w:pPr>
        <w:spacing w:after="0" w:line="382" w:lineRule="exact"/>
        <w:rPr>
          <w:sz w:val="20"/>
          <w:szCs w:val="20"/>
          <w:color w:val="auto"/>
        </w:rPr>
      </w:pPr>
    </w:p>
    <w:p>
      <w:pPr>
        <w:ind w:left="120" w:right="199" w:firstLine="216"/>
        <w:spacing w:after="0" w:line="269" w:lineRule="auto"/>
        <w:rPr>
          <w:sz w:val="20"/>
          <w:szCs w:val="20"/>
          <w:color w:val="auto"/>
        </w:rPr>
      </w:pPr>
      <w:r>
        <w:rPr>
          <w:rFonts w:ascii="Arial" w:cs="Arial" w:eastAsia="Arial" w:hAnsi="Arial"/>
          <w:sz w:val="18"/>
          <w:szCs w:val="18"/>
          <w:color w:val="auto"/>
        </w:rPr>
        <w:t>As of 2014, dividends paid out of income attributed to a Preferred Enterprise are generally subject to withholding tax at source at the rate of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353" w:lineRule="exact"/>
        <w:rPr>
          <w:sz w:val="20"/>
          <w:szCs w:val="20"/>
          <w:color w:val="auto"/>
        </w:rPr>
      </w:pPr>
    </w:p>
    <w:p>
      <w:pPr>
        <w:ind w:left="120" w:right="139" w:firstLine="216"/>
        <w:spacing w:after="0" w:line="262" w:lineRule="auto"/>
        <w:rPr>
          <w:sz w:val="20"/>
          <w:szCs w:val="20"/>
          <w:color w:val="auto"/>
        </w:rPr>
      </w:pPr>
      <w:r>
        <w:rPr>
          <w:rFonts w:ascii="Arial" w:cs="Arial" w:eastAsia="Arial" w:hAnsi="Arial"/>
          <w:sz w:val="18"/>
          <w:szCs w:val="18"/>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w:t>
      </w:r>
    </w:p>
    <w:p>
      <w:pPr>
        <w:spacing w:after="0" w:line="3" w:lineRule="exact"/>
        <w:rPr>
          <w:sz w:val="20"/>
          <w:szCs w:val="20"/>
          <w:color w:val="auto"/>
        </w:rPr>
      </w:pPr>
    </w:p>
    <w:p>
      <w:pPr>
        <w:ind w:left="120" w:right="159" w:firstLine="5"/>
        <w:spacing w:after="0" w:line="255" w:lineRule="auto"/>
        <w:tabs>
          <w:tab w:leader="none" w:pos="3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and benefits included in any certificate of approval that was granted to an Approved Enterprise which chose to receive grants and certain tax benefits before the 2011 Amendment became eﬀective will remain subject to the provisions of the Investment Law as in eﬀect on the date of such approval, and subject to certain conditions; (ii) terms and benefits included in any certificate of approval that was granted to an Approved Enterprise which had participated in an alternative benefits track before the 2011 Amendment became eﬀective will remain subject to the provisions of the Investment Law as in eﬀect on the date of such approval, provided that certain conditions are met; and (iii) a Benefited Enterprise can elect to continue to benefit from the benefits provided to it before the 2011 Amendment came into eﬀect, provided that certain conditions are met.</w:t>
      </w:r>
    </w:p>
    <w:p>
      <w:pPr>
        <w:spacing w:after="0" w:line="356" w:lineRule="exact"/>
        <w:rPr>
          <w:sz w:val="20"/>
          <w:szCs w:val="20"/>
          <w:color w:val="auto"/>
        </w:rPr>
      </w:pPr>
    </w:p>
    <w:p>
      <w:pPr>
        <w:jc w:val="both"/>
        <w:ind w:left="120" w:right="479" w:firstLine="216"/>
        <w:spacing w:after="0" w:line="294"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227" w:lineRule="exact"/>
        <w:rPr>
          <w:sz w:val="20"/>
          <w:szCs w:val="20"/>
          <w:color w:val="auto"/>
        </w:rPr>
      </w:pPr>
    </w:p>
    <w:p>
      <w:pPr>
        <w:ind w:left="120" w:right="199" w:firstLine="216"/>
        <w:spacing w:after="0" w:line="265"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Israeli Tax Consequences</w:t>
      </w:r>
    </w:p>
    <w:p>
      <w:pPr>
        <w:spacing w:after="0" w:line="227" w:lineRule="exact"/>
        <w:rPr>
          <w:sz w:val="20"/>
          <w:szCs w:val="20"/>
          <w:color w:val="auto"/>
        </w:rPr>
      </w:pPr>
    </w:p>
    <w:p>
      <w:pPr>
        <w:ind w:left="120" w:right="299" w:firstLine="216"/>
        <w:spacing w:after="0" w:line="258" w:lineRule="auto"/>
        <w:rPr>
          <w:sz w:val="20"/>
          <w:szCs w:val="20"/>
          <w:color w:val="auto"/>
        </w:rPr>
      </w:pPr>
      <w:r>
        <w:rPr>
          <w:rFonts w:ascii="Arial" w:cs="Arial" w:eastAsia="Arial" w:hAnsi="Arial"/>
          <w:sz w:val="18"/>
          <w:szCs w:val="18"/>
          <w:color w:val="auto"/>
        </w:rPr>
        <w:t>This section contains a discussion of material Israeli tax consequences concerning the ownership and disposition of our ordinary shares purchased by investors in this oﬀering.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aﬀect the tax consequences described below.</w:t>
      </w:r>
    </w:p>
    <w:p>
      <w:pPr>
        <w:spacing w:after="0" w:line="3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93" w:lineRule="exact"/>
        <w:rPr>
          <w:sz w:val="20"/>
          <w:szCs w:val="20"/>
          <w:color w:val="auto"/>
        </w:rPr>
      </w:pPr>
    </w:p>
    <w:p>
      <w:pPr>
        <w:ind w:left="120" w:right="139" w:firstLine="216"/>
        <w:spacing w:after="0" w:line="257" w:lineRule="auto"/>
        <w:rPr>
          <w:sz w:val="20"/>
          <w:szCs w:val="20"/>
          <w:color w:val="auto"/>
        </w:rPr>
      </w:pPr>
      <w:r>
        <w:rPr>
          <w:rFonts w:ascii="Courier New" w:cs="Courier New" w:eastAsia="Courier New" w:hAnsi="Courier New"/>
          <w:sz w:val="18"/>
          <w:szCs w:val="18"/>
          <w:i w:val="1"/>
          <w:iCs w:val="1"/>
          <w:color w:val="auto"/>
        </w:rPr>
        <w:t xml:space="preserve">Capital Gains Taxes Applicable to Non-Israeli Resident Shareholders. </w:t>
      </w:r>
      <w:r>
        <w:rPr>
          <w:rFonts w:ascii="Arial" w:cs="Arial" w:eastAsia="Arial" w:hAnsi="Arial"/>
          <w:sz w:val="18"/>
          <w:szCs w:val="18"/>
          <w:color w:val="auto"/>
        </w:rPr>
        <w:t>Generally, a</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non-Israeli resident who derives capital 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25% or more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362" w:lineRule="exact"/>
        <w:rPr>
          <w:sz w:val="20"/>
          <w:szCs w:val="20"/>
          <w:color w:val="auto"/>
        </w:rPr>
      </w:pPr>
    </w:p>
    <w:p>
      <w:pPr>
        <w:ind w:left="120" w:right="139" w:firstLine="216"/>
        <w:spacing w:after="0" w:line="256" w:lineRule="auto"/>
        <w:rPr>
          <w:sz w:val="20"/>
          <w:szCs w:val="20"/>
          <w:color w:val="auto"/>
        </w:rPr>
      </w:pPr>
      <w:r>
        <w:rPr>
          <w:rFonts w:ascii="Arial" w:cs="Arial" w:eastAsia="Arial" w:hAnsi="Arial"/>
          <w:sz w:val="18"/>
          <w:szCs w:val="18"/>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366" w:lineRule="exact"/>
        <w:rPr>
          <w:sz w:val="20"/>
          <w:szCs w:val="20"/>
          <w:color w:val="auto"/>
        </w:rPr>
      </w:pPr>
    </w:p>
    <w:p>
      <w:pPr>
        <w:ind w:left="120" w:right="119" w:firstLine="216"/>
        <w:spacing w:after="0" w:line="260"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200" w:lineRule="exact"/>
        <w:rPr>
          <w:sz w:val="20"/>
          <w:szCs w:val="20"/>
          <w:color w:val="auto"/>
        </w:rPr>
      </w:pPr>
    </w:p>
    <w:p>
      <w:pPr>
        <w:spacing w:after="0" w:line="383" w:lineRule="exact"/>
        <w:rPr>
          <w:sz w:val="20"/>
          <w:szCs w:val="20"/>
          <w:color w:val="auto"/>
        </w:rPr>
      </w:pPr>
    </w:p>
    <w:p>
      <w:pPr>
        <w:ind w:left="120" w:right="199" w:firstLine="216"/>
        <w:spacing w:after="0" w:line="263" w:lineRule="auto"/>
        <w:rPr>
          <w:sz w:val="20"/>
          <w:szCs w:val="20"/>
          <w:color w:val="auto"/>
        </w:rPr>
      </w:pPr>
      <w:r>
        <w:rPr>
          <w:rFonts w:ascii="Arial" w:cs="Arial" w:eastAsia="Arial" w:hAnsi="Arial"/>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w:t>
      </w:r>
    </w:p>
    <w:p>
      <w:pPr>
        <w:sectPr>
          <w:pgSz w:w="11900" w:h="16838" w:orient="portrait"/>
          <w:cols w:equalWidth="0" w:num="1">
            <w:col w:w="9019"/>
          </w:cols>
          <w:pgMar w:left="1440" w:top="307" w:right="1440" w:bottom="0" w:gutter="0" w:footer="0" w:header="0"/>
        </w:sect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0" w:gutter="0" w:footer="0" w:header="0"/>
          <w:type w:val="continuous"/>
        </w:sectPr>
      </w:pPr>
    </w:p>
    <w:bookmarkStart w:id="109" w:name="page110"/>
    <w:bookmarkEnd w:id="109"/>
    <w:p>
      <w:pPr>
        <w:ind w:left="120" w:right="199"/>
        <w:spacing w:after="0" w:line="313" w:lineRule="auto"/>
        <w:rPr>
          <w:sz w:val="20"/>
          <w:szCs w:val="20"/>
          <w:color w:val="auto"/>
        </w:rPr>
      </w:pPr>
      <w:r>
        <w:rPr>
          <w:rFonts w:ascii="Arial" w:cs="Arial" w:eastAsia="Arial" w:hAnsi="Arial"/>
          <w:sz w:val="18"/>
          <w:szCs w:val="18"/>
          <w:color w:val="auto"/>
        </w:rPr>
        <w:t>the tax deferral, a pre-ruling from the Israel Tax Authority might be required only with respect to shareholders which cannot demonstrate that they are exempt from tax on their capital gains from such transaction.</w:t>
      </w:r>
    </w:p>
    <w:p>
      <w:pPr>
        <w:spacing w:after="0" w:line="325" w:lineRule="exact"/>
        <w:rPr>
          <w:sz w:val="20"/>
          <w:szCs w:val="20"/>
          <w:color w:val="auto"/>
        </w:rPr>
      </w:pPr>
    </w:p>
    <w:p>
      <w:pPr>
        <w:ind w:left="120" w:right="179" w:firstLine="216"/>
        <w:spacing w:after="0" w:line="253" w:lineRule="auto"/>
        <w:rPr>
          <w:sz w:val="20"/>
          <w:szCs w:val="20"/>
          <w:color w:val="auto"/>
        </w:rPr>
      </w:pPr>
      <w:r>
        <w:rPr>
          <w:rFonts w:ascii="Courier New" w:cs="Courier New" w:eastAsia="Courier New" w:hAnsi="Courier New"/>
          <w:sz w:val="18"/>
          <w:szCs w:val="18"/>
          <w:i w:val="1"/>
          <w:iCs w:val="1"/>
          <w:color w:val="auto"/>
        </w:rPr>
        <w:t xml:space="preserve">Taxation of Non-Israeli Shareholders on Receipt of Dividends. </w:t>
      </w:r>
      <w:r>
        <w:rPr>
          <w:rFonts w:ascii="Arial" w:cs="Arial" w:eastAsia="Arial" w:hAnsi="Arial"/>
          <w:sz w:val="18"/>
          <w:szCs w:val="18"/>
          <w:color w:val="auto"/>
        </w:rPr>
        <w:t>Non-Israeli residents</w:t>
      </w:r>
      <w:r>
        <w:rPr>
          <w:rFonts w:ascii="Courier New" w:cs="Courier New" w:eastAsia="Courier New" w:hAnsi="Courier New"/>
          <w:sz w:val="18"/>
          <w:szCs w:val="18"/>
          <w:i w:val="1"/>
          <w:iCs w:val="1"/>
          <w:color w:val="auto"/>
        </w:rPr>
        <w:t xml:space="preserve"> </w:t>
      </w:r>
      <w:r>
        <w:rPr>
          <w:rFonts w:ascii="Arial" w:cs="Arial" w:eastAsia="Arial" w:hAnsi="Arial"/>
          <w:sz w:val="18"/>
          <w:szCs w:val="18"/>
          <w:color w:val="auto"/>
        </w:rPr>
        <w:t>are generally subject to Israeli 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oﬃcer,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200" w:lineRule="exact"/>
        <w:rPr>
          <w:sz w:val="20"/>
          <w:szCs w:val="20"/>
          <w:color w:val="auto"/>
        </w:rPr>
      </w:pPr>
    </w:p>
    <w:p>
      <w:pPr>
        <w:spacing w:after="0" w:line="294" w:lineRule="exact"/>
        <w:rPr>
          <w:sz w:val="20"/>
          <w:szCs w:val="20"/>
          <w:color w:val="auto"/>
        </w:rPr>
      </w:pPr>
    </w:p>
    <w:p>
      <w:pPr>
        <w:ind w:left="120" w:right="239" w:firstLine="216"/>
        <w:spacing w:after="0" w:line="258" w:lineRule="auto"/>
        <w:rPr>
          <w:sz w:val="20"/>
          <w:szCs w:val="20"/>
          <w:color w:val="auto"/>
        </w:rPr>
      </w:pPr>
      <w:r>
        <w:rPr>
          <w:rFonts w:ascii="Arial" w:cs="Arial" w:eastAsia="Arial" w:hAnsi="Arial"/>
          <w:sz w:val="18"/>
          <w:szCs w:val="18"/>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280"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258" w:lineRule="exact"/>
        <w:rPr>
          <w:sz w:val="20"/>
          <w:szCs w:val="20"/>
          <w:color w:val="auto"/>
        </w:rPr>
      </w:pPr>
    </w:p>
    <w:p>
      <w:pPr>
        <w:ind w:left="120" w:right="119" w:firstLine="216"/>
        <w:spacing w:after="0" w:line="27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Excess Tax</w:t>
      </w:r>
    </w:p>
    <w:p>
      <w:pPr>
        <w:spacing w:after="0" w:line="139" w:lineRule="exact"/>
        <w:rPr>
          <w:sz w:val="20"/>
          <w:szCs w:val="20"/>
          <w:color w:val="auto"/>
        </w:rPr>
      </w:pPr>
    </w:p>
    <w:p>
      <w:pPr>
        <w:ind w:left="120" w:right="159" w:firstLine="216"/>
        <w:spacing w:after="0" w:line="279" w:lineRule="auto"/>
        <w:rPr>
          <w:sz w:val="20"/>
          <w:szCs w:val="20"/>
          <w:color w:val="auto"/>
        </w:rPr>
      </w:pPr>
      <w:r>
        <w:rPr>
          <w:rFonts w:ascii="Arial" w:cs="Arial" w:eastAsia="Arial" w:hAnsi="Arial"/>
          <w:sz w:val="18"/>
          <w:szCs w:val="18"/>
          <w:color w:val="auto"/>
        </w:rPr>
        <w:t>Individuals who are subject to tax in Israel are also subject to an additional tax at a rate of 2% on annual income exceeding NIS 811,560 for 2014, which amount is linked to the annual change in the Israeli consumer price index, including, but not limited to, dividends, interest and capital gain, subject to the provisions of an applicable tax treaty.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73" w:lineRule="exact"/>
        <w:rPr>
          <w:sz w:val="20"/>
          <w:szCs w:val="20"/>
          <w:color w:val="auto"/>
        </w:rPr>
      </w:pPr>
    </w:p>
    <w:p>
      <w:pPr>
        <w:ind w:left="120" w:right="179" w:firstLine="216"/>
        <w:spacing w:after="0" w:line="268" w:lineRule="auto"/>
        <w:rPr>
          <w:sz w:val="20"/>
          <w:szCs w:val="20"/>
          <w:color w:val="auto"/>
        </w:rPr>
      </w:pPr>
      <w:r>
        <w:rPr>
          <w:rFonts w:ascii="Arial" w:cs="Arial" w:eastAsia="Arial" w:hAnsi="Arial"/>
          <w:sz w:val="18"/>
          <w:szCs w:val="18"/>
          <w:color w:val="auto"/>
        </w:rPr>
        <w:t>The following is a description of the United States federal income tax consequences relating to the ownership and disposition of our ordinary shares by a U.S. Holder (as defined below). This description addresses only the United States federal income tax consequences to U.S. Holders that are initial purchasers of our ordinary shares pursuant to the oﬀering and that will hold such ordinary shares as capital assets. This description does not address tax considerations applicable to U.S. Holders that may be subject to special tax rules, including, without limitation:</w:t>
      </w:r>
    </w:p>
    <w:p>
      <w:pPr>
        <w:spacing w:after="0" w:line="45" w:lineRule="exact"/>
        <w:rPr>
          <w:sz w:val="20"/>
          <w:szCs w:val="20"/>
          <w:color w:val="auto"/>
        </w:rPr>
      </w:pPr>
    </w:p>
    <w:p>
      <w:pPr>
        <w:ind w:left="620" w:hanging="279"/>
        <w:spacing w:after="0"/>
        <w:tabs>
          <w:tab w:leader="none" w:pos="620" w:val="left"/>
        </w:tabs>
        <w:numPr>
          <w:ilvl w:val="0"/>
          <w:numId w:val="74"/>
        </w:numPr>
        <w:rPr>
          <w:rFonts w:ascii="Arial" w:cs="Arial" w:eastAsia="Arial" w:hAnsi="Arial"/>
          <w:sz w:val="22"/>
          <w:szCs w:val="22"/>
          <w:color w:val="auto"/>
        </w:rPr>
      </w:pPr>
      <w:r>
        <w:rPr>
          <w:rFonts w:ascii="Arial" w:cs="Arial" w:eastAsia="Arial" w:hAnsi="Arial"/>
          <w:sz w:val="18"/>
          <w:szCs w:val="18"/>
          <w:color w:val="auto"/>
        </w:rPr>
        <w:t>banks, financial institutions or insurance companies;</w:t>
      </w:r>
    </w:p>
    <w:p>
      <w:pPr>
        <w:sectPr>
          <w:pgSz w:w="11900" w:h="16838" w:orient="portrait"/>
          <w:cols w:equalWidth="0" w:num="1">
            <w:col w:w="9019"/>
          </w:cols>
          <w:pgMar w:left="1440" w:top="91" w:right="1440" w:bottom="866" w:gutter="0" w:footer="0" w:header="0"/>
        </w:sectPr>
      </w:pP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866" w:gutter="0" w:footer="0" w:header="0"/>
          <w:type w:val="continuous"/>
        </w:sectPr>
      </w:pPr>
    </w:p>
    <w:bookmarkStart w:id="110" w:name="page111"/>
    <w:bookmarkEnd w:id="110"/>
    <w:p>
      <w:pPr>
        <w:ind w:left="620" w:hanging="279"/>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18"/>
          <w:szCs w:val="18"/>
          <w:color w:val="auto"/>
        </w:rPr>
        <w:t>real estate investment trusts, regulated investment companies or grantor trusts;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18"/>
          <w:szCs w:val="18"/>
          <w:color w:val="auto"/>
        </w:rPr>
        <w:t>brokers, dealers or traders in securities, commodities or currencies;</w:t>
      </w:r>
    </w:p>
    <w:p>
      <w:pPr>
        <w:spacing w:after="0" w:line="192" w:lineRule="exact"/>
        <w:rPr>
          <w:rFonts w:ascii="Arial" w:cs="Arial" w:eastAsia="Arial" w:hAnsi="Arial"/>
          <w:sz w:val="22"/>
          <w:szCs w:val="22"/>
          <w:color w:val="auto"/>
        </w:rPr>
      </w:pPr>
    </w:p>
    <w:p>
      <w:pPr>
        <w:ind w:left="560" w:right="219" w:hanging="219"/>
        <w:spacing w:after="0" w:line="285" w:lineRule="auto"/>
        <w:tabs>
          <w:tab w:leader="none" w:pos="626" w:val="left"/>
        </w:tabs>
        <w:numPr>
          <w:ilvl w:val="0"/>
          <w:numId w:val="75"/>
        </w:numPr>
        <w:rPr>
          <w:rFonts w:ascii="Arial" w:cs="Arial" w:eastAsia="Arial" w:hAnsi="Arial"/>
          <w:sz w:val="22"/>
          <w:szCs w:val="22"/>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18"/>
          <w:szCs w:val="18"/>
          <w:color w:val="auto"/>
        </w:rPr>
        <w:t>certain former citizens or long-term residents of the United States;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18"/>
          <w:szCs w:val="18"/>
          <w:color w:val="auto"/>
        </w:rPr>
        <w:t>persons that received our shares as compensation for the performance of services;</w:t>
      </w:r>
    </w:p>
    <w:p>
      <w:pPr>
        <w:spacing w:after="0" w:line="192" w:lineRule="exact"/>
        <w:rPr>
          <w:rFonts w:ascii="Arial" w:cs="Arial" w:eastAsia="Arial" w:hAnsi="Arial"/>
          <w:sz w:val="22"/>
          <w:szCs w:val="22"/>
          <w:color w:val="auto"/>
        </w:rPr>
      </w:pPr>
    </w:p>
    <w:p>
      <w:pPr>
        <w:ind w:left="560" w:right="699" w:hanging="219"/>
        <w:spacing w:after="0" w:line="285" w:lineRule="auto"/>
        <w:tabs>
          <w:tab w:leader="none" w:pos="626" w:val="left"/>
        </w:tabs>
        <w:numPr>
          <w:ilvl w:val="0"/>
          <w:numId w:val="75"/>
        </w:numPr>
        <w:rPr>
          <w:rFonts w:ascii="Arial" w:cs="Arial" w:eastAsia="Arial" w:hAnsi="Arial"/>
          <w:sz w:val="22"/>
          <w:szCs w:val="22"/>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15" w:lineRule="exact"/>
        <w:rPr>
          <w:rFonts w:ascii="Arial" w:cs="Arial" w:eastAsia="Arial" w:hAnsi="Arial"/>
          <w:sz w:val="22"/>
          <w:szCs w:val="22"/>
          <w:color w:val="auto"/>
        </w:rPr>
      </w:pPr>
    </w:p>
    <w:p>
      <w:pPr>
        <w:ind w:left="560" w:right="339" w:hanging="219"/>
        <w:spacing w:after="0" w:line="259" w:lineRule="auto"/>
        <w:tabs>
          <w:tab w:leader="none" w:pos="626" w:val="left"/>
        </w:tabs>
        <w:numPr>
          <w:ilvl w:val="0"/>
          <w:numId w:val="75"/>
        </w:numPr>
        <w:rPr>
          <w:rFonts w:ascii="Arial" w:cs="Arial" w:eastAsia="Arial" w:hAnsi="Arial"/>
          <w:sz w:val="22"/>
          <w:szCs w:val="22"/>
          <w:color w:val="auto"/>
        </w:rPr>
      </w:pPr>
      <w:r>
        <w:rPr>
          <w:rFonts w:ascii="Arial" w:cs="Arial" w:eastAsia="Arial" w:hAnsi="Arial"/>
          <w:sz w:val="18"/>
          <w:szCs w:val="18"/>
          <w:color w:val="auto"/>
        </w:rPr>
        <w:t>partnerships (including entities classified as partnerships for United State federal income tax purposes) or other pass-through entities, or holders that will hold our shares through such an entity;</w:t>
      </w:r>
    </w:p>
    <w:p>
      <w:pPr>
        <w:spacing w:after="0" w:line="381" w:lineRule="exact"/>
        <w:rPr>
          <w:rFonts w:ascii="Arial" w:cs="Arial" w:eastAsia="Arial" w:hAnsi="Arial"/>
          <w:sz w:val="22"/>
          <w:szCs w:val="22"/>
          <w:color w:val="auto"/>
        </w:rPr>
      </w:pPr>
    </w:p>
    <w:p>
      <w:pPr>
        <w:ind w:left="620" w:hanging="279"/>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18"/>
          <w:szCs w:val="18"/>
          <w:color w:val="auto"/>
        </w:rPr>
        <w:t>S corporations;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18"/>
          <w:szCs w:val="18"/>
          <w:color w:val="auto"/>
        </w:rPr>
        <w:t>holders that acquire ordinary shares as a result of holding or owning our preferred shares;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75"/>
        </w:numPr>
        <w:rPr>
          <w:rFonts w:ascii="Arial" w:cs="Arial" w:eastAsia="Arial" w:hAnsi="Arial"/>
          <w:sz w:val="22"/>
          <w:szCs w:val="22"/>
          <w:color w:val="auto"/>
        </w:rPr>
      </w:pPr>
      <w:r>
        <w:rPr>
          <w:rFonts w:ascii="Arial" w:cs="Arial" w:eastAsia="Arial" w:hAnsi="Arial"/>
          <w:sz w:val="18"/>
          <w:szCs w:val="18"/>
          <w:color w:val="auto"/>
        </w:rPr>
        <w:t>U.S. holders whose “functional currency” is not the U.S. Dollar; or</w:t>
      </w:r>
    </w:p>
    <w:p>
      <w:pPr>
        <w:spacing w:after="0" w:line="192" w:lineRule="exact"/>
        <w:rPr>
          <w:rFonts w:ascii="Arial" w:cs="Arial" w:eastAsia="Arial" w:hAnsi="Arial"/>
          <w:sz w:val="22"/>
          <w:szCs w:val="22"/>
          <w:color w:val="auto"/>
        </w:rPr>
      </w:pPr>
    </w:p>
    <w:p>
      <w:pPr>
        <w:ind w:left="560" w:right="579" w:hanging="219"/>
        <w:spacing w:after="0" w:line="285" w:lineRule="auto"/>
        <w:tabs>
          <w:tab w:leader="none" w:pos="626" w:val="left"/>
        </w:tabs>
        <w:numPr>
          <w:ilvl w:val="0"/>
          <w:numId w:val="75"/>
        </w:numPr>
        <w:rPr>
          <w:rFonts w:ascii="Arial" w:cs="Arial" w:eastAsia="Arial" w:hAnsi="Arial"/>
          <w:sz w:val="22"/>
          <w:szCs w:val="22"/>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102" w:lineRule="exact"/>
        <w:rPr>
          <w:sz w:val="20"/>
          <w:szCs w:val="20"/>
          <w:color w:val="auto"/>
        </w:rPr>
      </w:pPr>
    </w:p>
    <w:p>
      <w:pPr>
        <w:ind w:left="120" w:right="339" w:firstLine="216"/>
        <w:spacing w:after="0" w:line="294" w:lineRule="auto"/>
        <w:rPr>
          <w:sz w:val="20"/>
          <w:szCs w:val="20"/>
          <w:color w:val="auto"/>
        </w:rPr>
      </w:pPr>
      <w:r>
        <w:rPr>
          <w:rFonts w:ascii="Arial" w:cs="Arial" w:eastAsia="Arial" w:hAnsi="Arial"/>
          <w:sz w:val="18"/>
          <w:szCs w:val="18"/>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04" w:lineRule="exact"/>
        <w:rPr>
          <w:sz w:val="20"/>
          <w:szCs w:val="20"/>
          <w:color w:val="auto"/>
        </w:rPr>
      </w:pPr>
    </w:p>
    <w:p>
      <w:pPr>
        <w:ind w:left="120" w:right="159" w:firstLine="216"/>
        <w:spacing w:after="0" w:line="261" w:lineRule="auto"/>
        <w:rPr>
          <w:sz w:val="20"/>
          <w:szCs w:val="20"/>
          <w:color w:val="auto"/>
        </w:rPr>
      </w:pPr>
      <w:r>
        <w:rPr>
          <w:rFonts w:ascii="Arial" w:cs="Arial" w:eastAsia="Arial" w:hAnsi="Arial"/>
          <w:sz w:val="18"/>
          <w:szCs w:val="18"/>
          <w:color w:val="auto"/>
        </w:rPr>
        <w:t>This description is based on the Code, existing, proposed and temporary United States Treasury Regulations and judicial and administrative interpretations thereof, in each case as in eﬀect and available on the date hereof. All of the foregoing is subject to change, which change could apply retroactively and could aﬀect the tax consequences described below. There can be no assurances that the U.S. Internal Revenue Service, or IRS, will not take a diﬀerent position concerning the tax consequences of the ownership and disposition of our ordinary shares or that such a position would not be sustained. Holders should consult their own tax advisors concerning the U.S. federal, state, local and foreign tax consequences of owning and disposing of our ordinary shares in their particular circumstances.</w:t>
      </w:r>
    </w:p>
    <w:p>
      <w:pPr>
        <w:spacing w:after="0" w:line="360" w:lineRule="exact"/>
        <w:rPr>
          <w:sz w:val="20"/>
          <w:szCs w:val="20"/>
          <w:color w:val="auto"/>
        </w:rPr>
      </w:pPr>
    </w:p>
    <w:p>
      <w:pPr>
        <w:ind w:left="120" w:right="399" w:firstLine="216"/>
        <w:spacing w:after="0" w:line="338" w:lineRule="auto"/>
        <w:rPr>
          <w:sz w:val="20"/>
          <w:szCs w:val="20"/>
          <w:color w:val="auto"/>
        </w:rPr>
      </w:pPr>
      <w:r>
        <w:rPr>
          <w:rFonts w:ascii="Arial" w:cs="Arial" w:eastAsia="Arial" w:hAnsi="Arial"/>
          <w:sz w:val="18"/>
          <w:szCs w:val="18"/>
          <w:color w:val="auto"/>
        </w:rPr>
        <w:t>For purposes of this description, a “U.S. Holder” is a beneficial owner of our ordinary shares that, for United States federal income tax purposes, is:</w:t>
      </w:r>
    </w:p>
    <w:p>
      <w:pPr>
        <w:spacing w:after="0" w:line="79" w:lineRule="exact"/>
        <w:rPr>
          <w:sz w:val="20"/>
          <w:szCs w:val="20"/>
          <w:color w:val="auto"/>
        </w:rPr>
      </w:pPr>
    </w:p>
    <w:p>
      <w:pPr>
        <w:ind w:left="620" w:hanging="279"/>
        <w:spacing w:after="0"/>
        <w:tabs>
          <w:tab w:leader="none" w:pos="620" w:val="left"/>
        </w:tabs>
        <w:numPr>
          <w:ilvl w:val="0"/>
          <w:numId w:val="76"/>
        </w:numPr>
        <w:rPr>
          <w:rFonts w:ascii="Arial" w:cs="Arial" w:eastAsia="Arial" w:hAnsi="Arial"/>
          <w:sz w:val="22"/>
          <w:szCs w:val="22"/>
          <w:color w:val="auto"/>
        </w:rPr>
      </w:pPr>
      <w:r>
        <w:rPr>
          <w:rFonts w:ascii="Arial" w:cs="Arial" w:eastAsia="Arial" w:hAnsi="Arial"/>
          <w:sz w:val="18"/>
          <w:szCs w:val="18"/>
          <w:color w:val="auto"/>
        </w:rPr>
        <w:t>a citizen or individual resident of the United States;</w:t>
      </w:r>
    </w:p>
    <w:p>
      <w:pPr>
        <w:spacing w:after="0" w:line="192" w:lineRule="exact"/>
        <w:rPr>
          <w:rFonts w:ascii="Arial" w:cs="Arial" w:eastAsia="Arial" w:hAnsi="Arial"/>
          <w:sz w:val="22"/>
          <w:szCs w:val="22"/>
          <w:color w:val="auto"/>
        </w:rPr>
      </w:pPr>
    </w:p>
    <w:p>
      <w:pPr>
        <w:ind w:left="560" w:right="399" w:hanging="219"/>
        <w:spacing w:after="0" w:line="285" w:lineRule="auto"/>
        <w:tabs>
          <w:tab w:leader="none" w:pos="626" w:val="left"/>
        </w:tabs>
        <w:numPr>
          <w:ilvl w:val="0"/>
          <w:numId w:val="76"/>
        </w:numPr>
        <w:rPr>
          <w:rFonts w:ascii="Arial" w:cs="Arial" w:eastAsia="Arial" w:hAnsi="Arial"/>
          <w:sz w:val="22"/>
          <w:szCs w:val="22"/>
          <w:color w:val="auto"/>
        </w:rPr>
      </w:pPr>
      <w:r>
        <w:rPr>
          <w:rFonts w:ascii="Arial" w:cs="Arial" w:eastAsia="Arial" w:hAnsi="Arial"/>
          <w:sz w:val="18"/>
          <w:szCs w:val="18"/>
          <w:color w:val="auto"/>
        </w:rPr>
        <w:t>a corporation created or organized in or under the laws of the United States or any state thereof, including the District of Columbia;</w:t>
      </w:r>
    </w:p>
    <w:p>
      <w:pPr>
        <w:spacing w:after="0" w:line="115" w:lineRule="exact"/>
        <w:rPr>
          <w:rFonts w:ascii="Arial" w:cs="Arial" w:eastAsia="Arial" w:hAnsi="Arial"/>
          <w:sz w:val="22"/>
          <w:szCs w:val="22"/>
          <w:color w:val="auto"/>
        </w:rPr>
      </w:pPr>
    </w:p>
    <w:p>
      <w:pPr>
        <w:ind w:left="560" w:right="1039" w:hanging="219"/>
        <w:spacing w:after="0" w:line="285" w:lineRule="auto"/>
        <w:tabs>
          <w:tab w:leader="none" w:pos="626" w:val="left"/>
        </w:tabs>
        <w:numPr>
          <w:ilvl w:val="0"/>
          <w:numId w:val="76"/>
        </w:numPr>
        <w:rPr>
          <w:rFonts w:ascii="Arial" w:cs="Arial" w:eastAsia="Arial" w:hAnsi="Arial"/>
          <w:sz w:val="22"/>
          <w:szCs w:val="22"/>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5" w:lineRule="exact"/>
        <w:rPr>
          <w:rFonts w:ascii="Arial" w:cs="Arial" w:eastAsia="Arial" w:hAnsi="Arial"/>
          <w:sz w:val="22"/>
          <w:szCs w:val="22"/>
          <w:color w:val="auto"/>
        </w:rPr>
      </w:pPr>
    </w:p>
    <w:p>
      <w:pPr>
        <w:ind w:left="560" w:right="159" w:hanging="219"/>
        <w:spacing w:after="0" w:line="260" w:lineRule="auto"/>
        <w:tabs>
          <w:tab w:leader="none" w:pos="626" w:val="left"/>
        </w:tabs>
        <w:numPr>
          <w:ilvl w:val="0"/>
          <w:numId w:val="76"/>
        </w:numPr>
        <w:rPr>
          <w:rFonts w:ascii="Arial" w:cs="Arial" w:eastAsia="Arial" w:hAnsi="Arial"/>
          <w:sz w:val="22"/>
          <w:szCs w:val="22"/>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34"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8"/>
          <w:szCs w:val="18"/>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ectPr>
          <w:pgSz w:w="11900" w:h="16838" w:orient="portrait"/>
          <w:cols w:equalWidth="0" w:num="1">
            <w:col w:w="9019"/>
          </w:cols>
          <w:pgMar w:left="1440" w:top="322" w:right="1440" w:bottom="144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type w:val="continuous"/>
        </w:sectPr>
      </w:pPr>
    </w:p>
    <w:bookmarkStart w:id="111" w:name="page112"/>
    <w:bookmarkEnd w:id="111"/>
    <w:p>
      <w:pPr>
        <w:ind w:left="120" w:right="299"/>
        <w:spacing w:after="0" w:line="339"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owning and disposing of our ordinary shares.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93"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200" w:lineRule="exact"/>
        <w:rPr>
          <w:sz w:val="20"/>
          <w:szCs w:val="20"/>
          <w:color w:val="auto"/>
        </w:rPr>
      </w:pPr>
    </w:p>
    <w:p>
      <w:pPr>
        <w:spacing w:after="0" w:line="342" w:lineRule="exact"/>
        <w:rPr>
          <w:sz w:val="20"/>
          <w:szCs w:val="20"/>
          <w:color w:val="auto"/>
        </w:rPr>
      </w:pPr>
    </w:p>
    <w:p>
      <w:pPr>
        <w:ind w:left="120" w:right="159" w:firstLine="216"/>
        <w:spacing w:after="0" w:line="260" w:lineRule="auto"/>
        <w:rPr>
          <w:sz w:val="20"/>
          <w:szCs w:val="20"/>
          <w:color w:val="auto"/>
        </w:rPr>
      </w:pPr>
      <w:r>
        <w:rPr>
          <w:rFonts w:ascii="Arial" w:cs="Arial" w:eastAsia="Arial" w:hAnsi="Arial"/>
          <w:sz w:val="18"/>
          <w:szCs w:val="18"/>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if the company</w:t>
      </w:r>
    </w:p>
    <w:p>
      <w:pPr>
        <w:spacing w:after="0" w:line="1" w:lineRule="exact"/>
        <w:rPr>
          <w:sz w:val="20"/>
          <w:szCs w:val="20"/>
          <w:color w:val="auto"/>
        </w:rPr>
      </w:pPr>
    </w:p>
    <w:p>
      <w:pPr>
        <w:ind w:left="120" w:right="159" w:firstLine="5"/>
        <w:spacing w:after="0" w:line="253" w:lineRule="auto"/>
        <w:tabs>
          <w:tab w:leader="none" w:pos="3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eligible for the benefits of a comprehensive income tax treaty with the United States that the IRS has approved for the purposes of the qualified dividend rules, and (ii) was not, in the year prior to the year in which the dividend was paid, and is not, in the year in which the dividend is paid, a PFIC, for U.S. federal income tax purposes. The Convention between the Government of the United States of America and the Government of the State of Israel for the “Avoidance of Double Taxation and the Prevention of Fiscal Evasion with respect to Taxes on Income” together with the related Protocol (the “Treaty”) has been approved for the purposes of the qualified dividend rules. However, if the company is classified as a PFIC, for U.S. federal income tax purposes, for the current taxable year or any subsequent taxable year, the company will not be treated as a qualified foreign corporation for these purposes in those taxable years in which we are classified as a PFIC, and, thus, a non-corporate recipient of dividend income will not be eligible for the preferential rates of taxation. Although no assurances can be given, we believe that we will be treated as a qualified foreign corporation for these purposes for any taxable year in which such dividend was paid provided that we are not classified as a PFIC in the last year prior to the year in which such dividend is paid and the year in which such dividend is paid.</w:t>
      </w:r>
    </w:p>
    <w:p>
      <w:pPr>
        <w:spacing w:after="0" w:line="200" w:lineRule="exact"/>
        <w:rPr>
          <w:sz w:val="20"/>
          <w:szCs w:val="20"/>
          <w:color w:val="auto"/>
        </w:rPr>
      </w:pPr>
    </w:p>
    <w:p>
      <w:pPr>
        <w:spacing w:after="0" w:line="350" w:lineRule="exact"/>
        <w:rPr>
          <w:sz w:val="20"/>
          <w:szCs w:val="20"/>
          <w:color w:val="auto"/>
        </w:rPr>
      </w:pPr>
    </w:p>
    <w:p>
      <w:pPr>
        <w:ind w:left="120" w:right="139" w:firstLine="216"/>
        <w:spacing w:after="0" w:line="258" w:lineRule="auto"/>
        <w:rPr>
          <w:sz w:val="20"/>
          <w:szCs w:val="20"/>
          <w:color w:val="auto"/>
        </w:rPr>
      </w:pPr>
      <w:r>
        <w:rPr>
          <w:rFonts w:ascii="Arial" w:cs="Arial" w:eastAsia="Arial" w:hAnsi="Arial"/>
          <w:sz w:val="18"/>
          <w:szCs w:val="18"/>
          <w:color w:val="auto"/>
        </w:rPr>
        <w:t>The amount of any dividend paid in a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321"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taking into account Treaty benefits,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w:t>
      </w:r>
    </w:p>
    <w:p>
      <w:pPr>
        <w:spacing w:after="0" w:line="319" w:lineRule="exact"/>
        <w:rPr>
          <w:sz w:val="20"/>
          <w:szCs w:val="20"/>
          <w:color w:val="auto"/>
        </w:rPr>
      </w:pPr>
    </w:p>
    <w:p>
      <w:pPr>
        <w:ind w:left="120" w:right="639" w:firstLine="216"/>
        <w:spacing w:after="0" w:line="338" w:lineRule="auto"/>
        <w:rPr>
          <w:sz w:val="20"/>
          <w:szCs w:val="20"/>
          <w:color w:val="auto"/>
        </w:rPr>
      </w:pPr>
      <w:r>
        <w:rPr>
          <w:rFonts w:ascii="Arial" w:cs="Arial" w:eastAsia="Arial" w:hAnsi="Arial"/>
          <w:sz w:val="18"/>
          <w:szCs w:val="18"/>
          <w:color w:val="auto"/>
        </w:rPr>
        <w:t>U.S. Holders should consult their tax advisers regarding the availability of the foreign tax credit in their particular circumstances.</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193" w:lineRule="exact"/>
        <w:rPr>
          <w:sz w:val="20"/>
          <w:szCs w:val="20"/>
          <w:color w:val="auto"/>
        </w:rPr>
      </w:pPr>
    </w:p>
    <w:p>
      <w:pPr>
        <w:ind w:left="120" w:right="179" w:firstLine="216"/>
        <w:spacing w:after="0" w:line="294" w:lineRule="auto"/>
        <w:rPr>
          <w:sz w:val="20"/>
          <w:szCs w:val="20"/>
          <w:color w:val="auto"/>
        </w:rPr>
      </w:pPr>
      <w:r>
        <w:rPr>
          <w:rFonts w:ascii="Arial" w:cs="Arial" w:eastAsia="Arial" w:hAnsi="Arial"/>
          <w:sz w:val="18"/>
          <w:szCs w:val="18"/>
          <w:color w:val="auto"/>
        </w:rPr>
        <w:t>Subject to the discussion below under “Passive Foreign Investment Company Considerations,” a U.S. Holder generally will recognize gain or loss, for U.S. federal income tax purposes, on the sale, exchange or other taxable disposition of our</w:t>
      </w:r>
    </w:p>
    <w:p>
      <w:pPr>
        <w:sectPr>
          <w:pgSz w:w="11900" w:h="16838" w:orient="portrait"/>
          <w:cols w:equalWidth="0" w:num="1">
            <w:col w:w="9019"/>
          </w:cols>
          <w:pgMar w:left="1440" w:top="92" w:right="1440" w:bottom="407" w:gutter="0" w:footer="0" w:header="0"/>
        </w:sectPr>
      </w:pP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407" w:gutter="0" w:footer="0" w:header="0"/>
          <w:type w:val="continuous"/>
        </w:sectPr>
      </w:pPr>
    </w:p>
    <w:bookmarkStart w:id="112" w:name="page113"/>
    <w:bookmarkEnd w:id="112"/>
    <w:p>
      <w:pPr>
        <w:ind w:left="120" w:right="139"/>
        <w:spacing w:after="0" w:line="259" w:lineRule="auto"/>
        <w:rPr>
          <w:sz w:val="20"/>
          <w:szCs w:val="20"/>
          <w:color w:val="auto"/>
        </w:rPr>
      </w:pPr>
      <w:r>
        <w:rPr>
          <w:rFonts w:ascii="Arial" w:cs="Arial" w:eastAsia="Arial" w:hAnsi="Arial"/>
          <w:sz w:val="18"/>
          <w:szCs w:val="18"/>
          <w:color w:val="auto"/>
        </w:rPr>
        <w:t>ordinary shares, in an amount equal to the diﬀerence, if any, between the amount realized on such sale, exchange or other taxable disposition and the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Except as discussed below with respect to foreign currency gain or loss, if you are a non-corporate U.S. Holder, long-term capital gain from the sale, exchange or other taxable disposition of ordinary shares is generally eligible for a preferential rate of taxation applicable to capital gains.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360" w:lineRule="exact"/>
        <w:rPr>
          <w:sz w:val="20"/>
          <w:szCs w:val="20"/>
          <w:color w:val="auto"/>
        </w:rPr>
      </w:pPr>
    </w:p>
    <w:p>
      <w:pPr>
        <w:ind w:left="120" w:right="139" w:firstLine="216"/>
        <w:spacing w:after="0" w:line="266" w:lineRule="auto"/>
        <w:rPr>
          <w:sz w:val="20"/>
          <w:szCs w:val="20"/>
          <w:color w:val="auto"/>
        </w:rPr>
      </w:pPr>
      <w:r>
        <w:rPr>
          <w:rFonts w:ascii="Arial" w:cs="Arial" w:eastAsia="Arial" w:hAnsi="Arial"/>
          <w:sz w:val="18"/>
          <w:szCs w:val="18"/>
          <w:color w:val="auto"/>
        </w:rPr>
        <w:t>A U.S. Holder’s initial tax basis in the ordinary shares will generally be the U.S. dollar value of the purchase price of our ordinary shares on the date of purchase. The amount realized on a sale or other disposition of ordinary shares, for an amount in foreign currency, will be the</w:t>
      </w:r>
    </w:p>
    <w:p>
      <w:pPr>
        <w:spacing w:after="0" w:line="2" w:lineRule="exact"/>
        <w:rPr>
          <w:sz w:val="20"/>
          <w:szCs w:val="20"/>
          <w:color w:val="auto"/>
        </w:rPr>
      </w:pPr>
    </w:p>
    <w:p>
      <w:pPr>
        <w:ind w:left="120" w:right="159"/>
        <w:spacing w:after="0" w:line="256" w:lineRule="auto"/>
        <w:rPr>
          <w:sz w:val="20"/>
          <w:szCs w:val="20"/>
          <w:color w:val="auto"/>
        </w:rPr>
      </w:pPr>
      <w:r>
        <w:rPr>
          <w:rFonts w:ascii="Arial" w:cs="Arial" w:eastAsia="Arial" w:hAnsi="Arial"/>
          <w:sz w:val="18"/>
          <w:szCs w:val="18"/>
          <w:color w:val="auto"/>
        </w:rPr>
        <w:t>U.S. dollar value of this amount on the date of sale or disposition. 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93" w:lineRule="exact"/>
        <w:rPr>
          <w:sz w:val="20"/>
          <w:szCs w:val="20"/>
          <w:color w:val="auto"/>
        </w:rPr>
      </w:pPr>
    </w:p>
    <w:p>
      <w:pPr>
        <w:ind w:left="120" w:right="199" w:firstLine="216"/>
        <w:spacing w:after="0" w:line="27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8" w:lineRule="exact"/>
        <w:rPr>
          <w:sz w:val="20"/>
          <w:szCs w:val="20"/>
          <w:color w:val="auto"/>
        </w:rPr>
      </w:pPr>
    </w:p>
    <w:p>
      <w:pPr>
        <w:ind w:left="120" w:right="199" w:firstLine="216"/>
        <w:spacing w:after="0" w:line="29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17" w:lineRule="exact"/>
        <w:rPr>
          <w:sz w:val="20"/>
          <w:szCs w:val="20"/>
          <w:color w:val="auto"/>
        </w:rPr>
      </w:pPr>
    </w:p>
    <w:p>
      <w:pPr>
        <w:ind w:left="620" w:hanging="279"/>
        <w:spacing w:after="0"/>
        <w:tabs>
          <w:tab w:leader="none" w:pos="620" w:val="left"/>
        </w:tabs>
        <w:numPr>
          <w:ilvl w:val="0"/>
          <w:numId w:val="78"/>
        </w:numPr>
        <w:rPr>
          <w:rFonts w:ascii="Arial" w:cs="Arial" w:eastAsia="Arial" w:hAnsi="Arial"/>
          <w:sz w:val="22"/>
          <w:szCs w:val="22"/>
          <w:color w:val="auto"/>
        </w:rPr>
      </w:pPr>
      <w:r>
        <w:rPr>
          <w:rFonts w:ascii="Arial" w:cs="Arial" w:eastAsia="Arial" w:hAnsi="Arial"/>
          <w:sz w:val="18"/>
          <w:szCs w:val="18"/>
          <w:color w:val="auto"/>
        </w:rPr>
        <w:t>at least 75% of its gross income is “passive income”; or</w:t>
      </w:r>
    </w:p>
    <w:p>
      <w:pPr>
        <w:spacing w:after="0" w:line="192" w:lineRule="exact"/>
        <w:rPr>
          <w:rFonts w:ascii="Arial" w:cs="Arial" w:eastAsia="Arial" w:hAnsi="Arial"/>
          <w:sz w:val="22"/>
          <w:szCs w:val="22"/>
          <w:color w:val="auto"/>
        </w:rPr>
      </w:pPr>
    </w:p>
    <w:p>
      <w:pPr>
        <w:ind w:left="560" w:right="239" w:hanging="219"/>
        <w:spacing w:after="0" w:line="256" w:lineRule="auto"/>
        <w:tabs>
          <w:tab w:leader="none" w:pos="626" w:val="left"/>
        </w:tabs>
        <w:numPr>
          <w:ilvl w:val="0"/>
          <w:numId w:val="78"/>
        </w:numPr>
        <w:rPr>
          <w:rFonts w:ascii="Arial" w:cs="Arial" w:eastAsia="Arial" w:hAnsi="Arial"/>
          <w:sz w:val="22"/>
          <w:szCs w:val="22"/>
          <w:color w:val="auto"/>
        </w:rPr>
      </w:pPr>
      <w:r>
        <w:rPr>
          <w:rFonts w:ascii="Arial" w:cs="Arial" w:eastAsia="Arial" w:hAnsi="Arial"/>
          <w:sz w:val="18"/>
          <w:szCs w:val="18"/>
          <w:color w:val="auto"/>
        </w:rPr>
        <w:t>at least 50% of the average quarterly value of its total gross assets (which, assuming we were a non-publicly traded controlled foreign corporation, or CFC, for the year being tested may be measured by the adjusted tax basis of our assets or, if we were a publicly traded CFC or not a CFC, the total value of our assets may be measured in part by the market value of our ordinary shares, which is subject to change) is attributable to assets that produce “passive income” or are held for the production of passive income.</w:t>
      </w:r>
    </w:p>
    <w:p>
      <w:pPr>
        <w:spacing w:after="0" w:line="139"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359" w:lineRule="exact"/>
        <w:rPr>
          <w:sz w:val="20"/>
          <w:szCs w:val="20"/>
          <w:color w:val="auto"/>
        </w:rPr>
      </w:pPr>
    </w:p>
    <w:p>
      <w:pPr>
        <w:ind w:left="120" w:right="159" w:firstLine="216"/>
        <w:spacing w:after="0" w:line="260" w:lineRule="auto"/>
        <w:rPr>
          <w:sz w:val="20"/>
          <w:szCs w:val="20"/>
          <w:color w:val="auto"/>
        </w:rPr>
      </w:pPr>
      <w:r>
        <w:rPr>
          <w:rFonts w:ascii="Arial" w:cs="Arial" w:eastAsia="Arial" w:hAnsi="Arial"/>
          <w:sz w:val="18"/>
          <w:szCs w:val="18"/>
          <w:color w:val="auto"/>
        </w:rPr>
        <w:t>Based on certain estimates of our gross income and gross assets, our intended use of the proceeds of this oﬀering, and the nature of our business, we do not expect that we will be classified as a PFIC for the taxable year ending December 31, 2015. However, because PFIC status is based on our income, assets and activities for the entire taxable year, it is not possible to determine whether we will be characterized as a PFIC for the 2015 taxable year until after the close of the year. Moreover, we must determine our PFIC status annually based on tests which are factual in nature, and our status in future years will depend on our income, assets and activities in those years. In addition, our status as a PFIC may depend on how quickly we utilize the cash proceeds from this oﬀering in our business. There can be no assurance that we will not be considered a PFIC for any taxable year.</w:t>
      </w:r>
    </w:p>
    <w:p>
      <w:pPr>
        <w:sectPr>
          <w:pgSz w:w="11900" w:h="16838" w:orient="portrait"/>
          <w:cols w:equalWidth="0" w:num="1">
            <w:col w:w="9019"/>
          </w:cols>
          <w:pgMar w:left="1440" w:top="91" w:right="1440" w:bottom="1440" w:gutter="0" w:footer="0" w:header="0"/>
        </w:sect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113" w:name="page114"/>
    <w:bookmarkEnd w:id="113"/>
    <w:p>
      <w:pPr>
        <w:ind w:left="120" w:right="319" w:firstLine="216"/>
        <w:spacing w:after="0" w:line="272"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125" w:lineRule="exact"/>
        <w:rPr>
          <w:sz w:val="20"/>
          <w:szCs w:val="20"/>
          <w:color w:val="auto"/>
        </w:rPr>
      </w:pPr>
    </w:p>
    <w:p>
      <w:pPr>
        <w:ind w:left="120" w:right="119" w:firstLine="216"/>
        <w:spacing w:after="0" w:line="256" w:lineRule="auto"/>
        <w:rPr>
          <w:sz w:val="20"/>
          <w:szCs w:val="20"/>
          <w:color w:val="auto"/>
        </w:rPr>
      </w:pPr>
      <w:r>
        <w:rPr>
          <w:rFonts w:ascii="Arial" w:cs="Arial" w:eastAsia="Arial" w:hAnsi="Arial"/>
          <w:sz w:val="18"/>
          <w:szCs w:val="18"/>
          <w:color w:val="auto"/>
        </w:rPr>
        <w:t>If we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eﬀect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200" w:lineRule="exact"/>
        <w:rPr>
          <w:sz w:val="20"/>
          <w:szCs w:val="20"/>
          <w:color w:val="auto"/>
        </w:rPr>
      </w:pPr>
    </w:p>
    <w:p>
      <w:pPr>
        <w:spacing w:after="0" w:line="378" w:lineRule="exact"/>
        <w:rPr>
          <w:sz w:val="20"/>
          <w:szCs w:val="20"/>
          <w:color w:val="auto"/>
        </w:rPr>
      </w:pPr>
    </w:p>
    <w:p>
      <w:pPr>
        <w:ind w:left="120" w:right="119" w:firstLine="216"/>
        <w:spacing w:after="0" w:line="272"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24"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suﬃcient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200" w:lineRule="exact"/>
        <w:rPr>
          <w:sz w:val="20"/>
          <w:szCs w:val="20"/>
          <w:color w:val="auto"/>
        </w:rPr>
      </w:pPr>
    </w:p>
    <w:p>
      <w:pPr>
        <w:spacing w:after="0" w:line="376" w:lineRule="exact"/>
        <w:rPr>
          <w:sz w:val="20"/>
          <w:szCs w:val="20"/>
          <w:color w:val="auto"/>
        </w:rPr>
      </w:pPr>
    </w:p>
    <w:p>
      <w:pPr>
        <w:ind w:left="120" w:right="139" w:firstLine="216"/>
        <w:spacing w:after="0" w:line="256" w:lineRule="auto"/>
        <w:rPr>
          <w:sz w:val="20"/>
          <w:szCs w:val="20"/>
          <w:color w:val="auto"/>
        </w:rPr>
      </w:pPr>
      <w:r>
        <w:rPr>
          <w:rFonts w:ascii="Arial" w:cs="Arial" w:eastAsia="Arial" w:hAnsi="Arial"/>
          <w:sz w:val="18"/>
          <w:szCs w:val="18"/>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200" w:lineRule="exact"/>
        <w:rPr>
          <w:sz w:val="20"/>
          <w:szCs w:val="20"/>
          <w:color w:val="auto"/>
        </w:rPr>
      </w:pPr>
    </w:p>
    <w:p>
      <w:pPr>
        <w:spacing w:after="0" w:line="382" w:lineRule="exact"/>
        <w:rPr>
          <w:sz w:val="20"/>
          <w:szCs w:val="20"/>
          <w:color w:val="auto"/>
        </w:rPr>
      </w:pPr>
    </w:p>
    <w:p>
      <w:pPr>
        <w:ind w:left="120" w:right="299" w:firstLine="216"/>
        <w:spacing w:after="0" w:line="269"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ectPr>
          <w:pgSz w:w="11900" w:h="16838" w:orient="portrait"/>
          <w:cols w:equalWidth="0" w:num="1">
            <w:col w:w="9019"/>
          </w:cols>
          <w:pgMar w:left="1440" w:top="91" w:right="1440" w:bottom="88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880" w:gutter="0" w:footer="0" w:header="0"/>
          <w:type w:val="continuous"/>
        </w:sectPr>
      </w:pPr>
    </w:p>
    <w:bookmarkStart w:id="114" w:name="page115"/>
    <w:bookmarkEnd w:id="114"/>
    <w:p>
      <w:pPr>
        <w:ind w:left="120" w:right="819" w:firstLine="216"/>
        <w:spacing w:after="0" w:line="339" w:lineRule="auto"/>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w:t>
      </w:r>
    </w:p>
    <w:p>
      <w:pPr>
        <w:spacing w:after="0" w:line="193"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8"/>
          <w:szCs w:val="18"/>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93"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193"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8"/>
          <w:szCs w:val="18"/>
          <w:color w:val="auto"/>
        </w:rPr>
        <w:t>Certain U.S. Holders who are 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7" w:lineRule="exact"/>
        <w:rPr>
          <w:sz w:val="20"/>
          <w:szCs w:val="20"/>
          <w:color w:val="auto"/>
        </w:rPr>
      </w:pPr>
    </w:p>
    <w:p>
      <w:pPr>
        <w:ind w:left="120" w:right="219" w:firstLine="216"/>
        <w:spacing w:after="0" w:line="274" w:lineRule="auto"/>
        <w:rPr>
          <w:sz w:val="20"/>
          <w:szCs w:val="20"/>
          <w:color w:val="auto"/>
        </w:rPr>
      </w:pPr>
      <w:r>
        <w:rPr>
          <w:rFonts w:ascii="Arial" w:cs="Arial" w:eastAsia="Arial" w:hAnsi="Arial"/>
          <w:sz w:val="18"/>
          <w:szCs w:val="18"/>
          <w:color w:val="auto"/>
        </w:rPr>
        <w:t>Barclays Capital Inc. and Citigroup Global Markets Inc. are acting as representatives of the underwriters and joint book-running managers of this oﬀering.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358" w:lineRule="exact"/>
        <w:rPr>
          <w:sz w:val="20"/>
          <w:szCs w:val="20"/>
          <w:color w:val="auto"/>
        </w:rPr>
      </w:pPr>
    </w:p>
    <w:tbl>
      <w:tblPr>
        <w:tblLayout w:type="fixed"/>
        <w:tblInd w:w="140" w:type="dxa"/>
        <w:tblCellMar>
          <w:top w:w="0" w:type="dxa"/>
          <w:left w:w="0" w:type="dxa"/>
          <w:bottom w:w="0" w:type="dxa"/>
          <w:right w:w="0" w:type="dxa"/>
        </w:tblCellMar>
      </w:tblPr>
      <w:tr>
        <w:trPr>
          <w:trHeight w:val="189"/>
        </w:trPr>
        <w:tc>
          <w:tcPr>
            <w:tcW w:w="71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Underwriters</w:t>
            </w:r>
          </w:p>
        </w:tc>
        <w:tc>
          <w:tcPr>
            <w:tcW w:w="180" w:type="dxa"/>
            <w:vAlign w:val="bottom"/>
            <w:vMerge w:val="restart"/>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-109220</wp:posOffset>
            </wp:positionV>
            <wp:extent cx="557403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635</wp:posOffset>
            </wp:positionV>
            <wp:extent cx="557403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635</wp:posOffset>
            </wp:positionV>
            <wp:extent cx="557403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635</wp:posOffset>
            </wp:positionV>
            <wp:extent cx="557403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146050</wp:posOffset>
            </wp:positionV>
            <wp:extent cx="7804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163195</wp:posOffset>
            </wp:positionV>
            <wp:extent cx="7804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635</wp:posOffset>
            </wp:positionV>
            <wp:extent cx="7804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79" w:lineRule="exact"/>
        <w:rPr>
          <w:sz w:val="20"/>
          <w:szCs w:val="20"/>
          <w:color w:val="auto"/>
        </w:rPr>
      </w:pPr>
    </w:p>
    <w:p>
      <w:pPr>
        <w:jc w:val="both"/>
        <w:ind w:left="120" w:right="359" w:firstLine="216"/>
        <w:spacing w:after="0" w:line="312"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313" w:lineRule="exact"/>
        <w:rPr>
          <w:sz w:val="20"/>
          <w:szCs w:val="20"/>
          <w:color w:val="auto"/>
        </w:rPr>
      </w:pPr>
    </w:p>
    <w:p>
      <w:pPr>
        <w:ind w:left="560" w:right="259" w:hanging="219"/>
        <w:spacing w:after="0" w:line="265" w:lineRule="auto"/>
        <w:tabs>
          <w:tab w:leader="none" w:pos="626" w:val="left"/>
        </w:tabs>
        <w:numPr>
          <w:ilvl w:val="0"/>
          <w:numId w:val="79"/>
        </w:numPr>
        <w:rPr>
          <w:rFonts w:ascii="Arial" w:cs="Arial" w:eastAsia="Arial" w:hAnsi="Arial"/>
          <w:sz w:val="22"/>
          <w:szCs w:val="22"/>
          <w:color w:val="auto"/>
        </w:rPr>
      </w:pPr>
      <w:r>
        <w:rPr>
          <w:rFonts w:ascii="Arial" w:cs="Arial" w:eastAsia="Arial" w:hAnsi="Arial"/>
          <w:sz w:val="18"/>
          <w:szCs w:val="18"/>
          <w:color w:val="auto"/>
        </w:rPr>
        <w:t>the obligation to purchase all of the ordinary shares oﬀered hereby (other than those ordinary shares covered by their option to purchase additional shares as described below), if any of the shares are purchased;</w:t>
      </w:r>
    </w:p>
    <w:p>
      <w:pPr>
        <w:spacing w:after="0" w:line="100" w:lineRule="exact"/>
        <w:rPr>
          <w:rFonts w:ascii="Arial" w:cs="Arial" w:eastAsia="Arial" w:hAnsi="Arial"/>
          <w:sz w:val="22"/>
          <w:szCs w:val="22"/>
          <w:color w:val="auto"/>
        </w:rPr>
      </w:pPr>
    </w:p>
    <w:p>
      <w:pPr>
        <w:ind w:left="620" w:hanging="279"/>
        <w:spacing w:after="0"/>
        <w:tabs>
          <w:tab w:leader="none" w:pos="620" w:val="left"/>
        </w:tabs>
        <w:numPr>
          <w:ilvl w:val="0"/>
          <w:numId w:val="79"/>
        </w:numPr>
        <w:rPr>
          <w:rFonts w:ascii="Arial" w:cs="Arial" w:eastAsia="Arial" w:hAnsi="Arial"/>
          <w:sz w:val="22"/>
          <w:szCs w:val="22"/>
          <w:color w:val="auto"/>
        </w:rPr>
      </w:pPr>
      <w:r>
        <w:rPr>
          <w:rFonts w:ascii="Arial" w:cs="Arial" w:eastAsia="Arial" w:hAnsi="Arial"/>
          <w:sz w:val="18"/>
          <w:szCs w:val="18"/>
          <w:color w:val="auto"/>
        </w:rPr>
        <w:t>the representations and warranties made by us to the underwriters are true;</w:t>
      </w:r>
    </w:p>
    <w:p>
      <w:pPr>
        <w:spacing w:after="0" w:line="152" w:lineRule="exact"/>
        <w:rPr>
          <w:rFonts w:ascii="Arial" w:cs="Arial" w:eastAsia="Arial" w:hAnsi="Arial"/>
          <w:sz w:val="22"/>
          <w:szCs w:val="22"/>
          <w:color w:val="auto"/>
        </w:rPr>
      </w:pPr>
    </w:p>
    <w:p>
      <w:pPr>
        <w:ind w:left="620" w:hanging="279"/>
        <w:spacing w:after="0"/>
        <w:tabs>
          <w:tab w:leader="none" w:pos="620" w:val="left"/>
        </w:tabs>
        <w:numPr>
          <w:ilvl w:val="0"/>
          <w:numId w:val="79"/>
        </w:numPr>
        <w:rPr>
          <w:rFonts w:ascii="Arial" w:cs="Arial" w:eastAsia="Arial" w:hAnsi="Arial"/>
          <w:sz w:val="22"/>
          <w:szCs w:val="22"/>
          <w:color w:val="auto"/>
        </w:rPr>
      </w:pPr>
      <w:r>
        <w:rPr>
          <w:rFonts w:ascii="Arial" w:cs="Arial" w:eastAsia="Arial" w:hAnsi="Arial"/>
          <w:sz w:val="18"/>
          <w:szCs w:val="18"/>
          <w:color w:val="auto"/>
        </w:rPr>
        <w:t>there is no material change in our business or the financial markets; and</w:t>
      </w:r>
    </w:p>
    <w:p>
      <w:pPr>
        <w:spacing w:after="0" w:line="165" w:lineRule="exact"/>
        <w:rPr>
          <w:rFonts w:ascii="Arial" w:cs="Arial" w:eastAsia="Arial" w:hAnsi="Arial"/>
          <w:sz w:val="22"/>
          <w:szCs w:val="22"/>
          <w:color w:val="auto"/>
        </w:rPr>
      </w:pPr>
    </w:p>
    <w:p>
      <w:pPr>
        <w:ind w:left="620" w:hanging="279"/>
        <w:spacing w:after="0"/>
        <w:tabs>
          <w:tab w:leader="none" w:pos="620" w:val="left"/>
        </w:tabs>
        <w:numPr>
          <w:ilvl w:val="0"/>
          <w:numId w:val="79"/>
        </w:numPr>
        <w:rPr>
          <w:rFonts w:ascii="Arial" w:cs="Arial" w:eastAsia="Arial" w:hAnsi="Arial"/>
          <w:sz w:val="22"/>
          <w:szCs w:val="22"/>
          <w:color w:val="auto"/>
        </w:rPr>
      </w:pPr>
      <w:r>
        <w:rPr>
          <w:rFonts w:ascii="Arial" w:cs="Arial" w:eastAsia="Arial" w:hAnsi="Arial"/>
          <w:sz w:val="18"/>
          <w:szCs w:val="18"/>
          <w:color w:val="auto"/>
        </w:rPr>
        <w:t>we deliver customary closing documents to the underwriters.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227" w:lineRule="exact"/>
        <w:rPr>
          <w:sz w:val="20"/>
          <w:szCs w:val="20"/>
          <w:color w:val="auto"/>
        </w:rPr>
      </w:pPr>
    </w:p>
    <w:p>
      <w:pPr>
        <w:ind w:left="120" w:right="319" w:firstLine="216"/>
        <w:spacing w:after="0" w:line="274"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diﬀerence between the initial price to the public and the amount the underwriters pay to us for the ordinary shares.</w:t>
      </w: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40" w:type="dxa"/>
            <w:vAlign w:val="bottom"/>
            <w:vMerge w:val="restart"/>
          </w:tcPr>
          <w:p>
            <w:pPr>
              <w:jc w:val="right"/>
              <w:ind w:right="14"/>
              <w:spacing w:after="0"/>
              <w:rPr>
                <w:sz w:val="20"/>
                <w:szCs w:val="20"/>
                <w:color w:val="auto"/>
              </w:rPr>
            </w:pPr>
            <w:r>
              <w:rPr>
                <w:rFonts w:ascii="Arial" w:cs="Arial" w:eastAsia="Arial" w:hAnsi="Arial"/>
                <w:sz w:val="16"/>
                <w:szCs w:val="16"/>
                <w:b w:val="1"/>
                <w:bCs w:val="1"/>
                <w:color w:val="auto"/>
              </w:rPr>
              <w:t>No Exercise</w:t>
            </w:r>
          </w:p>
        </w:tc>
        <w:tc>
          <w:tcPr>
            <w:tcW w:w="3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Full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24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34"/>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36"/>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3700" w:type="dxa"/>
            <w:vAlign w:val="bottom"/>
            <w:gridSpan w:val="2"/>
          </w:tcPr>
          <w:p>
            <w:pPr>
              <w:jc w:val="right"/>
              <w:ind w:right="103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right="179" w:firstLine="216"/>
        <w:spacing w:after="0" w:line="266" w:lineRule="auto"/>
        <w:rPr>
          <w:sz w:val="20"/>
          <w:szCs w:val="20"/>
          <w:color w:val="auto"/>
        </w:rPr>
      </w:pPr>
      <w:r>
        <w:rPr>
          <w:rFonts w:ascii="Arial" w:cs="Arial" w:eastAsia="Arial" w:hAnsi="Arial"/>
          <w:sz w:val="18"/>
          <w:szCs w:val="18"/>
          <w:color w:val="auto"/>
        </w:rPr>
        <w:t>The representatives have advised us that the underwriters propose to oﬀer the ordinary shares directly to the public at the public oﬀering price set forth on the cover of this prospectus and to selected dealers, which may include the underwriters, at such oﬀering price less a selling</w:t>
      </w:r>
    </w:p>
    <w:p>
      <w:pPr>
        <w:spacing w:after="0" w:line="2" w:lineRule="exact"/>
        <w:rPr>
          <w:sz w:val="20"/>
          <w:szCs w:val="20"/>
          <w:color w:val="auto"/>
        </w:rPr>
      </w:pPr>
    </w:p>
    <w:p>
      <w:pPr>
        <w:ind w:left="120" w:right="239"/>
        <w:spacing w:after="0" w:line="290" w:lineRule="auto"/>
        <w:rPr>
          <w:sz w:val="20"/>
          <w:szCs w:val="20"/>
          <w:color w:val="auto"/>
        </w:rPr>
      </w:pPr>
      <w:r>
        <w:rPr>
          <w:rFonts w:ascii="Arial" w:cs="Arial" w:eastAsia="Arial" w:hAnsi="Arial"/>
          <w:sz w:val="18"/>
          <w:szCs w:val="18"/>
          <w:color w:val="auto"/>
        </w:rPr>
        <w:t>concession not in excess of $ per share. After the oﬀering, the representatives may change the oﬀering price and other selling terms.</w:t>
      </w:r>
    </w:p>
    <w:p>
      <w:pPr>
        <w:spacing w:after="0" w:line="66" w:lineRule="exact"/>
        <w:rPr>
          <w:sz w:val="20"/>
          <w:szCs w:val="20"/>
          <w:color w:val="auto"/>
        </w:rPr>
      </w:pPr>
    </w:p>
    <w:p>
      <w:pPr>
        <w:ind w:left="120" w:right="659" w:firstLine="216"/>
        <w:spacing w:after="0" w:line="338" w:lineRule="auto"/>
        <w:rPr>
          <w:sz w:val="20"/>
          <w:szCs w:val="20"/>
          <w:color w:val="auto"/>
        </w:rPr>
      </w:pPr>
      <w:r>
        <w:rPr>
          <w:rFonts w:ascii="Arial" w:cs="Arial" w:eastAsia="Arial" w:hAnsi="Arial"/>
          <w:sz w:val="18"/>
          <w:szCs w:val="18"/>
          <w:color w:val="auto"/>
        </w:rPr>
        <w:t>The expenses of the oﬀering that are payable by us are estimated to be approximately $ (excluding underwriting discounts and commissions).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7" w:lineRule="exact"/>
        <w:rPr>
          <w:sz w:val="20"/>
          <w:szCs w:val="20"/>
          <w:color w:val="auto"/>
        </w:rPr>
      </w:pPr>
    </w:p>
    <w:p>
      <w:pPr>
        <w:ind w:left="120" w:right="599" w:firstLine="216"/>
        <w:spacing w:after="0" w:line="274"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from time to time, in whole or in part, up to an aggregate of</w:t>
      </w:r>
    </w:p>
    <w:p>
      <w:pPr>
        <w:spacing w:after="0" w:line="2" w:lineRule="exact"/>
        <w:rPr>
          <w:sz w:val="20"/>
          <w:szCs w:val="20"/>
          <w:color w:val="auto"/>
        </w:rPr>
      </w:pPr>
    </w:p>
    <w:p>
      <w:pPr>
        <w:ind w:left="120" w:right="159"/>
        <w:spacing w:after="0" w:line="261" w:lineRule="auto"/>
        <w:rPr>
          <w:sz w:val="20"/>
          <w:szCs w:val="20"/>
          <w:color w:val="auto"/>
        </w:rPr>
      </w:pPr>
      <w:r>
        <w:rPr>
          <w:rFonts w:ascii="Arial" w:cs="Arial" w:eastAsia="Arial" w:hAnsi="Arial"/>
          <w:sz w:val="18"/>
          <w:szCs w:val="18"/>
          <w:color w:val="auto"/>
        </w:rPr>
        <w:t>shares from us at the public oﬀering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oﬀering as indicated in the table at the beginning of this Underwriting Section.</w:t>
      </w:r>
    </w:p>
    <w:p>
      <w:pPr>
        <w:sectPr>
          <w:pgSz w:w="11900" w:h="16838" w:orient="portrait"/>
          <w:cols w:equalWidth="0" w:num="1">
            <w:col w:w="9019"/>
          </w:cols>
          <w:pgMar w:left="1440" w:top="307" w:right="1440" w:bottom="1440" w:gutter="0" w:footer="0" w:header="0"/>
        </w:sect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type w:val="continuous"/>
        </w:sectPr>
      </w:pPr>
    </w:p>
    <w:bookmarkStart w:id="116" w:name="page117"/>
    <w:bookmarkEnd w:id="116"/>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6" w:lineRule="exact"/>
        <w:rPr>
          <w:sz w:val="20"/>
          <w:szCs w:val="20"/>
          <w:color w:val="auto"/>
        </w:rPr>
      </w:pPr>
    </w:p>
    <w:p>
      <w:pPr>
        <w:ind w:left="120" w:right="159" w:firstLine="216"/>
        <w:spacing w:after="0" w:line="254" w:lineRule="auto"/>
        <w:rPr>
          <w:sz w:val="20"/>
          <w:szCs w:val="20"/>
          <w:color w:val="auto"/>
        </w:rPr>
      </w:pPr>
      <w:r>
        <w:rPr>
          <w:rFonts w:ascii="Arial" w:cs="Arial" w:eastAsia="Arial" w:hAnsi="Arial"/>
          <w:sz w:val="18"/>
          <w:szCs w:val="18"/>
          <w:color w:val="auto"/>
        </w:rPr>
        <w:t>We, all of our directors and executive oﬃcers and holders of substantially all of our outstanding shares and shares issuable upon the exercise of warrants and vested options, have agreed that, for a period of 180 days after the date of this prospectus subject to certain limited exceptions, including those described below, we and they will not directly or indirectly, without the prior written consent of each of Barclays Capital Inc. and Citigroup Global Markets Inc., (1) oﬀer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warrants) or securities convertible into or exercisable or exchangeable for ordinary shares (other than, with respect to us, ordinary shares issued pursuant to employee benefit plans, qualified share option plans, or other employee compensation plans existing on the date of this prospectus), or sell or grant options, rights or warrants with respect to any ordinary shares or securities convertible into or exchangeable for ordinary shares (other than, with respect to us, the grant of options pursuant to option plans existing on the date of this prospectus),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 At least three business days before the eﬀectiveness of any release or waiver of any of the restrictions described above with respect to any of our oﬃcers or directors, Barclays Capital Inc. and Citigroup Global Markets Inc. will notify us of the impending release or waiver and we have agreed to announce the impending release or waiver by press release through a major news service at least two business days before the eﬀective date of the release or waiver, except where the release or waiver is eﬀected solely to permit a transfer of ordinary shares that is not for consideration and where the transferee has agreed in writing to be bound by the same terms as the lock-up agreements described above to the extent and for the duration that such terms remain in eﬀect at the time of transfer.</w:t>
      </w: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Oﬀering Price Determination</w:t>
      </w:r>
    </w:p>
    <w:p>
      <w:pPr>
        <w:spacing w:after="0" w:line="227" w:lineRule="exact"/>
        <w:rPr>
          <w:sz w:val="20"/>
          <w:szCs w:val="20"/>
          <w:color w:val="auto"/>
        </w:rPr>
      </w:pPr>
    </w:p>
    <w:p>
      <w:pPr>
        <w:ind w:left="120" w:right="119" w:firstLine="216"/>
        <w:spacing w:after="0" w:line="294" w:lineRule="auto"/>
        <w:rPr>
          <w:sz w:val="20"/>
          <w:szCs w:val="20"/>
          <w:color w:val="auto"/>
        </w:rPr>
      </w:pPr>
      <w:r>
        <w:rPr>
          <w:rFonts w:ascii="Arial" w:cs="Arial" w:eastAsia="Arial" w:hAnsi="Arial"/>
          <w:sz w:val="18"/>
          <w:szCs w:val="18"/>
          <w:color w:val="auto"/>
        </w:rPr>
        <w:t>Prior to this oﬀering, there has been no public market for our ordinary shares. The initial public oﬀering price was negotiated between the representatives and us. In determining the initial public oﬀering price of our ordinary shares, the representatives considered:</w:t>
      </w:r>
    </w:p>
    <w:p>
      <w:pPr>
        <w:spacing w:after="0" w:line="117" w:lineRule="exact"/>
        <w:rPr>
          <w:sz w:val="20"/>
          <w:szCs w:val="20"/>
          <w:color w:val="auto"/>
        </w:rPr>
      </w:pPr>
    </w:p>
    <w:p>
      <w:pPr>
        <w:ind w:left="620" w:hanging="279"/>
        <w:spacing w:after="0"/>
        <w:tabs>
          <w:tab w:leader="none" w:pos="620"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history and prospects for the industry in which we compete;</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80"/>
        </w:numPr>
        <w:rPr>
          <w:rFonts w:ascii="Arial" w:cs="Arial" w:eastAsia="Arial" w:hAnsi="Arial"/>
          <w:sz w:val="22"/>
          <w:szCs w:val="22"/>
          <w:color w:val="auto"/>
        </w:rPr>
      </w:pPr>
      <w:r>
        <w:rPr>
          <w:rFonts w:ascii="Arial" w:cs="Arial" w:eastAsia="Arial" w:hAnsi="Arial"/>
          <w:sz w:val="18"/>
          <w:szCs w:val="18"/>
          <w:color w:val="auto"/>
        </w:rPr>
        <w:t>our financial information;</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ability of our management and our business potential and earning prospects;</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prevailing securities markets at the time of this oﬀering; and</w:t>
      </w:r>
    </w:p>
    <w:p>
      <w:pPr>
        <w:spacing w:after="0" w:line="192" w:lineRule="exact"/>
        <w:rPr>
          <w:rFonts w:ascii="Arial" w:cs="Arial" w:eastAsia="Arial" w:hAnsi="Arial"/>
          <w:sz w:val="22"/>
          <w:szCs w:val="22"/>
          <w:color w:val="auto"/>
        </w:rPr>
      </w:pPr>
    </w:p>
    <w:p>
      <w:pPr>
        <w:ind w:left="560" w:right="799" w:hanging="219"/>
        <w:spacing w:after="0" w:line="285" w:lineRule="auto"/>
        <w:tabs>
          <w:tab w:leader="none" w:pos="626"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227" w:lineRule="exact"/>
        <w:rPr>
          <w:sz w:val="20"/>
          <w:szCs w:val="20"/>
          <w:color w:val="auto"/>
        </w:rPr>
      </w:pPr>
    </w:p>
    <w:p>
      <w:pPr>
        <w:jc w:val="both"/>
        <w:ind w:left="120" w:right="339" w:firstLine="216"/>
        <w:spacing w:after="0" w:line="29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ectPr>
          <w:pgSz w:w="11900" w:h="16838" w:orient="portrait"/>
          <w:cols w:equalWidth="0" w:num="1">
            <w:col w:w="9019"/>
          </w:cols>
          <w:pgMar w:left="1440" w:top="91" w:right="1440" w:bottom="1440" w:gutter="0" w:footer="0" w:header="0"/>
        </w:sectPr>
      </w:pP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117" w:name="page118"/>
    <w:bookmarkEnd w:id="117"/>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6" w:lineRule="exact"/>
        <w:rPr>
          <w:sz w:val="20"/>
          <w:szCs w:val="20"/>
          <w:color w:val="auto"/>
        </w:rPr>
      </w:pPr>
    </w:p>
    <w:p>
      <w:pPr>
        <w:ind w:left="120" w:right="119" w:firstLine="216"/>
        <w:spacing w:after="0" w:line="284"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359" w:lineRule="exact"/>
        <w:rPr>
          <w:sz w:val="20"/>
          <w:szCs w:val="20"/>
          <w:color w:val="auto"/>
        </w:rPr>
      </w:pPr>
    </w:p>
    <w:p>
      <w:pPr>
        <w:ind w:left="560" w:right="619" w:hanging="219"/>
        <w:spacing w:after="0" w:line="285" w:lineRule="auto"/>
        <w:tabs>
          <w:tab w:leader="none" w:pos="626" w:val="left"/>
        </w:tabs>
        <w:numPr>
          <w:ilvl w:val="0"/>
          <w:numId w:val="81"/>
        </w:numPr>
        <w:rPr>
          <w:rFonts w:ascii="Arial" w:cs="Arial" w:eastAsia="Arial" w:hAnsi="Arial"/>
          <w:sz w:val="22"/>
          <w:szCs w:val="22"/>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15" w:lineRule="exact"/>
        <w:rPr>
          <w:rFonts w:ascii="Arial" w:cs="Arial" w:eastAsia="Arial" w:hAnsi="Arial"/>
          <w:sz w:val="22"/>
          <w:szCs w:val="22"/>
          <w:color w:val="auto"/>
        </w:rPr>
      </w:pPr>
    </w:p>
    <w:p>
      <w:pPr>
        <w:ind w:left="560" w:right="119" w:hanging="219"/>
        <w:spacing w:after="0" w:line="252" w:lineRule="auto"/>
        <w:tabs>
          <w:tab w:leader="none" w:pos="626" w:val="left"/>
        </w:tabs>
        <w:numPr>
          <w:ilvl w:val="0"/>
          <w:numId w:val="81"/>
        </w:numPr>
        <w:rPr>
          <w:rFonts w:ascii="Arial" w:cs="Arial" w:eastAsia="Arial" w:hAnsi="Arial"/>
          <w:sz w:val="22"/>
          <w:szCs w:val="22"/>
          <w:color w:val="auto"/>
        </w:rPr>
      </w:pPr>
      <w:r>
        <w:rPr>
          <w:rFonts w:ascii="Arial" w:cs="Arial" w:eastAsia="Arial" w:hAnsi="Arial"/>
          <w:sz w:val="18"/>
          <w:szCs w:val="18"/>
          <w:color w:val="auto"/>
        </w:rPr>
        <w:t>A short position involves a sale by the underwriters of shares in excess of the number of shares the underwriters are obligated to purchase in the oﬀering,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aﬀect investors who purchase in the oﬀering.</w:t>
      </w:r>
    </w:p>
    <w:p>
      <w:pPr>
        <w:spacing w:after="0" w:line="200" w:lineRule="exact"/>
        <w:rPr>
          <w:rFonts w:ascii="Arial" w:cs="Arial" w:eastAsia="Arial" w:hAnsi="Arial"/>
          <w:sz w:val="22"/>
          <w:szCs w:val="22"/>
          <w:color w:val="auto"/>
        </w:rPr>
      </w:pPr>
    </w:p>
    <w:p>
      <w:pPr>
        <w:spacing w:after="0" w:line="395" w:lineRule="exact"/>
        <w:rPr>
          <w:rFonts w:ascii="Arial" w:cs="Arial" w:eastAsia="Arial" w:hAnsi="Arial"/>
          <w:sz w:val="22"/>
          <w:szCs w:val="22"/>
          <w:color w:val="auto"/>
        </w:rPr>
      </w:pPr>
    </w:p>
    <w:p>
      <w:pPr>
        <w:ind w:left="560" w:right="699" w:hanging="219"/>
        <w:spacing w:after="0" w:line="259" w:lineRule="auto"/>
        <w:tabs>
          <w:tab w:leader="none" w:pos="626" w:val="left"/>
        </w:tabs>
        <w:numPr>
          <w:ilvl w:val="0"/>
          <w:numId w:val="81"/>
        </w:numPr>
        <w:rPr>
          <w:rFonts w:ascii="Arial" w:cs="Arial" w:eastAsia="Arial" w:hAnsi="Arial"/>
          <w:sz w:val="22"/>
          <w:szCs w:val="22"/>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381" w:lineRule="exact"/>
        <w:rPr>
          <w:rFonts w:ascii="Arial" w:cs="Arial" w:eastAsia="Arial" w:hAnsi="Arial"/>
          <w:sz w:val="22"/>
          <w:szCs w:val="22"/>
          <w:color w:val="auto"/>
        </w:rPr>
      </w:pPr>
    </w:p>
    <w:p>
      <w:pPr>
        <w:ind w:left="560" w:right="239" w:hanging="219"/>
        <w:spacing w:after="0" w:line="265" w:lineRule="auto"/>
        <w:tabs>
          <w:tab w:leader="none" w:pos="626" w:val="left"/>
        </w:tabs>
        <w:numPr>
          <w:ilvl w:val="0"/>
          <w:numId w:val="81"/>
        </w:numPr>
        <w:rPr>
          <w:rFonts w:ascii="Arial" w:cs="Arial" w:eastAsia="Arial" w:hAnsi="Arial"/>
          <w:sz w:val="22"/>
          <w:szCs w:val="22"/>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128"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8"/>
          <w:szCs w:val="18"/>
          <w:color w:val="auto"/>
        </w:rPr>
        <w:t>These stabilizing transactions, syndicate covering transactions and penalty bids may have the eﬀect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eﬀected on the NASDAQ Global Market or otherwise and, if commenced, may be discontinued at any time.</w:t>
      </w:r>
    </w:p>
    <w:p>
      <w:pPr>
        <w:spacing w:after="0" w:line="353" w:lineRule="exact"/>
        <w:rPr>
          <w:sz w:val="20"/>
          <w:szCs w:val="20"/>
          <w:color w:val="auto"/>
        </w:rPr>
      </w:pPr>
    </w:p>
    <w:p>
      <w:pPr>
        <w:ind w:left="120" w:right="279" w:firstLine="216"/>
        <w:spacing w:after="0" w:line="272"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eﬀect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7" w:lineRule="exact"/>
        <w:rPr>
          <w:sz w:val="20"/>
          <w:szCs w:val="20"/>
          <w:color w:val="auto"/>
        </w:rPr>
      </w:pPr>
    </w:p>
    <w:p>
      <w:pPr>
        <w:ind w:left="120" w:right="179" w:firstLine="216"/>
        <w:spacing w:after="0" w:line="338" w:lineRule="auto"/>
        <w:rPr>
          <w:sz w:val="20"/>
          <w:szCs w:val="20"/>
          <w:color w:val="auto"/>
        </w:rPr>
      </w:pPr>
      <w:r>
        <w:rPr>
          <w:rFonts w:ascii="Arial" w:cs="Arial" w:eastAsia="Arial" w:hAnsi="Arial"/>
          <w:sz w:val="18"/>
          <w:szCs w:val="18"/>
          <w:color w:val="auto"/>
        </w:rPr>
        <w:t>We intend to apply to have the ordinary shares listed on the NASDAQ Global Market under the symbol “KRNT.”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227" w:lineRule="exact"/>
        <w:rPr>
          <w:sz w:val="20"/>
          <w:szCs w:val="20"/>
          <w:color w:val="auto"/>
        </w:rPr>
      </w:pPr>
    </w:p>
    <w:p>
      <w:pPr>
        <w:jc w:val="both"/>
        <w:ind w:left="120" w:right="139" w:firstLine="216"/>
        <w:spacing w:after="0" w:line="294" w:lineRule="auto"/>
        <w:rPr>
          <w:sz w:val="20"/>
          <w:szCs w:val="20"/>
          <w:color w:val="auto"/>
        </w:rPr>
      </w:pPr>
      <w:r>
        <w:rPr>
          <w:rFonts w:ascii="Arial" w:cs="Arial" w:eastAsia="Arial" w:hAnsi="Arial"/>
          <w:sz w:val="18"/>
          <w:szCs w:val="18"/>
          <w:color w:val="auto"/>
        </w:rPr>
        <w:t>If you purchase ordinary shares oﬀered in this prospectus outside the United States, you may be required to pay stamp taxes and other charges under the laws and practices of the country of purchase, in addition to the oﬀering price listed on the cover page of this prospectus.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7" w:lineRule="exact"/>
        <w:rPr>
          <w:sz w:val="20"/>
          <w:szCs w:val="20"/>
          <w:color w:val="auto"/>
        </w:rPr>
      </w:pPr>
    </w:p>
    <w:p>
      <w:pPr>
        <w:ind w:left="120" w:right="199" w:firstLine="216"/>
        <w:spacing w:after="0" w:line="294" w:lineRule="auto"/>
        <w:rPr>
          <w:sz w:val="20"/>
          <w:szCs w:val="20"/>
          <w:color w:val="auto"/>
        </w:rPr>
      </w:pPr>
      <w:r>
        <w:rPr>
          <w:rFonts w:ascii="Arial" w:cs="Arial" w:eastAsia="Arial" w:hAnsi="Arial"/>
          <w:sz w:val="18"/>
          <w:szCs w:val="18"/>
          <w:color w:val="auto"/>
        </w:rPr>
        <w:t>The underwriters and certain of their aﬃliates are full service financial institutions engaged in various activities, which may include securities trading, commercial and investment banking, financial advisory, investment management, investment</w:t>
      </w:r>
    </w:p>
    <w:p>
      <w:pPr>
        <w:sectPr>
          <w:pgSz w:w="11900" w:h="16838" w:orient="portrait"/>
          <w:cols w:equalWidth="0" w:num="1">
            <w:col w:w="9019"/>
          </w:cols>
          <w:pgMar w:left="1440" w:top="91" w:right="1440" w:bottom="1440" w:gutter="0" w:footer="0" w:header="0"/>
        </w:sectPr>
      </w:pP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118" w:name="page119"/>
    <w:bookmarkEnd w:id="118"/>
    <w:p>
      <w:pPr>
        <w:ind w:left="120" w:right="479"/>
        <w:spacing w:after="0" w:line="280" w:lineRule="auto"/>
        <w:rPr>
          <w:sz w:val="20"/>
          <w:szCs w:val="20"/>
          <w:color w:val="auto"/>
        </w:rPr>
      </w:pPr>
      <w:r>
        <w:rPr>
          <w:rFonts w:ascii="Arial" w:cs="Arial" w:eastAsia="Arial" w:hAnsi="Arial"/>
          <w:sz w:val="18"/>
          <w:szCs w:val="18"/>
          <w:color w:val="auto"/>
        </w:rPr>
        <w:t>research, principal investment, hedging, financing and brokerage activities. The underwriters and certain of their aﬃliates may in the future perform various commercial and investment banking and financial advisory services for the issuer and its aﬃliates, for which they may receive customary fees and expenses.</w:t>
      </w:r>
    </w:p>
    <w:p>
      <w:pPr>
        <w:spacing w:after="0" w:line="115" w:lineRule="exact"/>
        <w:rPr>
          <w:sz w:val="20"/>
          <w:szCs w:val="20"/>
          <w:color w:val="auto"/>
        </w:rPr>
      </w:pPr>
    </w:p>
    <w:p>
      <w:pPr>
        <w:ind w:left="120" w:right="159" w:firstLine="216"/>
        <w:spacing w:after="0" w:line="25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aﬃliates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aﬃliates. If the underwriters or their aﬃliates have a lending relationship with us, the underwriters or their aﬃliates may hedge, their credit exposure to us consistent with their customary risk management policies. Typically, the underwriters and their aﬃliates would hedge such exposure by entering into transactions which consist of either the purchase of credit default swaps or the creation of short positions in our securities or the securities of our aﬃliates, including potentially the ordinary shares oﬀered hereby. Any such credit default swaps or short positions could adversely aﬀect future trading prices of the ordinary shares oﬀered hereby. The underwriters and certain of their aﬃliates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7" w:lineRule="exact"/>
        <w:rPr>
          <w:sz w:val="20"/>
          <w:szCs w:val="20"/>
          <w:color w:val="auto"/>
        </w:rPr>
      </w:pPr>
    </w:p>
    <w:p>
      <w:pPr>
        <w:ind w:left="120" w:right="219" w:firstLine="216"/>
        <w:spacing w:after="0" w:line="274" w:lineRule="auto"/>
        <w:rPr>
          <w:sz w:val="20"/>
          <w:szCs w:val="20"/>
          <w:color w:val="auto"/>
        </w:rPr>
      </w:pPr>
      <w:r>
        <w:rPr>
          <w:rFonts w:ascii="Arial" w:cs="Arial" w:eastAsia="Arial" w:hAnsi="Arial"/>
          <w:sz w:val="18"/>
          <w:szCs w:val="18"/>
          <w:color w:val="auto"/>
        </w:rPr>
        <w:t>This prospectus does not constitute an oﬀer to sell to, or a solicitation of an oﬀer to buy from, anyone in any country or jurisdiction (i) in which such an oﬀer or solicitation is not authorized,</w:t>
      </w:r>
    </w:p>
    <w:p>
      <w:pPr>
        <w:spacing w:after="0" w:line="2" w:lineRule="exact"/>
        <w:rPr>
          <w:sz w:val="20"/>
          <w:szCs w:val="20"/>
          <w:color w:val="auto"/>
        </w:rPr>
      </w:pPr>
    </w:p>
    <w:p>
      <w:pPr>
        <w:ind w:left="120" w:right="199" w:firstLine="5"/>
        <w:spacing w:after="0" w:line="254" w:lineRule="auto"/>
        <w:tabs>
          <w:tab w:leader="none" w:pos="4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which any person making such oﬀer or solicitation is not qualified to do so or (iii) in which any such oﬀer or solicitation would otherwise be unlawful. No action has been taken that would, or is intended to, permit a public oﬀer of the ordinary shares or possession or distribution of this prospectus or any other oﬀering or publicity material relating to the ordinary shares in any country or jurisdiction (other than the United States) where any such action for that purpose is required. Accordingly, each underwriter has undertaken that it will not, directly or indirectly, oﬀer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oﬀers and sales of ordinary shares by it will be made on the same terms.</w:t>
      </w: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93" w:lineRule="exact"/>
        <w:rPr>
          <w:sz w:val="20"/>
          <w:szCs w:val="20"/>
          <w:color w:val="auto"/>
        </w:rPr>
      </w:pPr>
    </w:p>
    <w:p>
      <w:pPr>
        <w:ind w:left="120" w:right="219" w:firstLine="216"/>
        <w:spacing w:after="0" w:line="26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oﬀer to the public of any ordinary shares which are the subject of the oﬀering contemplated herein may not be made in that Relevant Member State, except that an oﬀer to the public in that Relevant Member State of any ordinary shares may be made at any time under the following exemptions under the Prospectus Directive, if they have been implemented in that Relevant Member State:</w:t>
      </w:r>
    </w:p>
    <w:p>
      <w:pPr>
        <w:spacing w:after="0" w:line="139" w:lineRule="exact"/>
        <w:rPr>
          <w:sz w:val="20"/>
          <w:szCs w:val="20"/>
          <w:color w:val="auto"/>
        </w:rPr>
      </w:pPr>
    </w:p>
    <w:p>
      <w:pPr>
        <w:ind w:left="620" w:hanging="279"/>
        <w:spacing w:after="0"/>
        <w:tabs>
          <w:tab w:leader="none" w:pos="620" w:val="left"/>
        </w:tabs>
        <w:numPr>
          <w:ilvl w:val="0"/>
          <w:numId w:val="83"/>
        </w:numPr>
        <w:rPr>
          <w:rFonts w:ascii="Arial" w:cs="Arial" w:eastAsia="Arial" w:hAnsi="Arial"/>
          <w:sz w:val="22"/>
          <w:szCs w:val="22"/>
          <w:color w:val="auto"/>
        </w:rPr>
      </w:pPr>
      <w:r>
        <w:rPr>
          <w:rFonts w:ascii="Arial" w:cs="Arial" w:eastAsia="Arial" w:hAnsi="Arial"/>
          <w:sz w:val="18"/>
          <w:szCs w:val="18"/>
          <w:color w:val="auto"/>
        </w:rPr>
        <w:t>to legal entities which are qualified investors as defined under the Prospectus Directive;</w:t>
      </w:r>
    </w:p>
    <w:p>
      <w:pPr>
        <w:spacing w:after="0" w:line="192" w:lineRule="exact"/>
        <w:rPr>
          <w:rFonts w:ascii="Arial" w:cs="Arial" w:eastAsia="Arial" w:hAnsi="Arial"/>
          <w:sz w:val="22"/>
          <w:szCs w:val="22"/>
          <w:color w:val="auto"/>
        </w:rPr>
      </w:pPr>
    </w:p>
    <w:p>
      <w:pPr>
        <w:ind w:left="560" w:right="119" w:hanging="219"/>
        <w:spacing w:after="0" w:line="255" w:lineRule="auto"/>
        <w:tabs>
          <w:tab w:leader="none" w:pos="626" w:val="left"/>
        </w:tabs>
        <w:numPr>
          <w:ilvl w:val="0"/>
          <w:numId w:val="83"/>
        </w:numPr>
        <w:rPr>
          <w:rFonts w:ascii="Arial" w:cs="Arial" w:eastAsia="Arial" w:hAnsi="Arial"/>
          <w:sz w:val="22"/>
          <w:szCs w:val="22"/>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oﬀer; or</w:t>
      </w:r>
    </w:p>
    <w:p>
      <w:pPr>
        <w:spacing w:after="0" w:line="381" w:lineRule="exact"/>
        <w:rPr>
          <w:rFonts w:ascii="Arial" w:cs="Arial" w:eastAsia="Arial" w:hAnsi="Arial"/>
          <w:sz w:val="22"/>
          <w:szCs w:val="22"/>
          <w:color w:val="auto"/>
        </w:rPr>
      </w:pPr>
    </w:p>
    <w:p>
      <w:pPr>
        <w:ind w:left="620" w:hanging="279"/>
        <w:spacing w:after="0"/>
        <w:tabs>
          <w:tab w:leader="none" w:pos="620" w:val="left"/>
        </w:tabs>
        <w:numPr>
          <w:ilvl w:val="0"/>
          <w:numId w:val="83"/>
        </w:numPr>
        <w:rPr>
          <w:rFonts w:ascii="Arial" w:cs="Arial" w:eastAsia="Arial" w:hAnsi="Arial"/>
          <w:sz w:val="22"/>
          <w:szCs w:val="22"/>
          <w:color w:val="auto"/>
        </w:rPr>
      </w:pPr>
      <w:r>
        <w:rPr>
          <w:rFonts w:ascii="Arial" w:cs="Arial" w:eastAsia="Arial" w:hAnsi="Arial"/>
          <w:sz w:val="18"/>
          <w:szCs w:val="18"/>
          <w:color w:val="auto"/>
        </w:rPr>
        <w:t>in any other circumstances falling within Article 3(2) of the Prospectus Directive,</w:t>
      </w:r>
    </w:p>
    <w:p>
      <w:pPr>
        <w:spacing w:after="0" w:line="179" w:lineRule="exact"/>
        <w:rPr>
          <w:sz w:val="20"/>
          <w:szCs w:val="20"/>
          <w:color w:val="auto"/>
        </w:rPr>
      </w:pPr>
    </w:p>
    <w:p>
      <w:pPr>
        <w:ind w:left="120" w:right="739" w:firstLine="216"/>
        <w:spacing w:after="0" w:line="294" w:lineRule="auto"/>
        <w:rPr>
          <w:sz w:val="20"/>
          <w:szCs w:val="20"/>
          <w:color w:val="auto"/>
        </w:rPr>
      </w:pPr>
      <w:r>
        <w:rPr>
          <w:rFonts w:ascii="Arial" w:cs="Arial" w:eastAsia="Arial" w:hAnsi="Arial"/>
          <w:sz w:val="18"/>
          <w:szCs w:val="18"/>
          <w:color w:val="auto"/>
        </w:rPr>
        <w:t>provided that no such oﬀer of ordinary shares shall result in a requirement for us or any underwriter to publish a prospectus pursuant to Article 3 of the Prospectus Directive or supplement a prospectus pursuant to Article 16 of the Prospectus Directive.</w:t>
      </w:r>
    </w:p>
    <w:p>
      <w:pPr>
        <w:sectPr>
          <w:pgSz w:w="11900" w:h="16838" w:orient="portrait"/>
          <w:cols w:equalWidth="0" w:num="1">
            <w:col w:w="9019"/>
          </w:cols>
          <w:pgMar w:left="1440" w:top="91" w:right="1440" w:bottom="1440" w:gutter="0" w:footer="0" w:header="0"/>
        </w:sectPr>
      </w:pP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119" w:name="page120"/>
    <w:bookmarkEnd w:id="119"/>
    <w:p>
      <w:pPr>
        <w:jc w:val="center"/>
        <w:ind w:right="119"/>
        <w:spacing w:after="0"/>
        <w:rPr>
          <w:sz w:val="20"/>
          <w:szCs w:val="20"/>
          <w:color w:val="auto"/>
        </w:rPr>
      </w:pPr>
      <w:r>
        <w:rPr>
          <w:rFonts w:ascii="Arial" w:cs="Arial" w:eastAsia="Arial" w:hAnsi="Arial"/>
          <w:sz w:val="18"/>
          <w:szCs w:val="18"/>
          <w:color w:val="auto"/>
        </w:rPr>
        <w:t>Each person in a Relevant Member State who receives any communication in respect of, or</w:t>
      </w:r>
    </w:p>
    <w:p>
      <w:pPr>
        <w:spacing w:after="0" w:line="50" w:lineRule="exact"/>
        <w:rPr>
          <w:sz w:val="20"/>
          <w:szCs w:val="20"/>
          <w:color w:val="auto"/>
        </w:rPr>
      </w:pPr>
    </w:p>
    <w:p>
      <w:pPr>
        <w:ind w:left="120" w:right="239"/>
        <w:spacing w:after="0" w:line="290" w:lineRule="auto"/>
        <w:rPr>
          <w:sz w:val="20"/>
          <w:szCs w:val="20"/>
          <w:color w:val="auto"/>
        </w:rPr>
      </w:pPr>
      <w:r>
        <w:rPr>
          <w:rFonts w:ascii="Arial" w:cs="Arial" w:eastAsia="Arial" w:hAnsi="Arial"/>
          <w:sz w:val="18"/>
          <w:szCs w:val="18"/>
          <w:color w:val="auto"/>
        </w:rPr>
        <w:t>who acquires any ordinary shares under, the oﬀers contemplated here in this prospectus will be deemed to have represented, warranted and agreed to and with each underwriter and us that:</w:t>
      </w:r>
    </w:p>
    <w:p>
      <w:pPr>
        <w:spacing w:after="0" w:line="120" w:lineRule="exact"/>
        <w:rPr>
          <w:sz w:val="20"/>
          <w:szCs w:val="20"/>
          <w:color w:val="auto"/>
        </w:rPr>
      </w:pPr>
    </w:p>
    <w:p>
      <w:pPr>
        <w:ind w:left="620" w:hanging="279"/>
        <w:spacing w:after="0"/>
        <w:tabs>
          <w:tab w:leader="none" w:pos="620" w:val="left"/>
        </w:tabs>
        <w:numPr>
          <w:ilvl w:val="0"/>
          <w:numId w:val="84"/>
        </w:numPr>
        <w:rPr>
          <w:rFonts w:ascii="Arial" w:cs="Arial" w:eastAsia="Arial" w:hAnsi="Arial"/>
          <w:sz w:val="22"/>
          <w:szCs w:val="22"/>
          <w:color w:val="auto"/>
        </w:rPr>
      </w:pPr>
      <w:r>
        <w:rPr>
          <w:rFonts w:ascii="Arial" w:cs="Arial" w:eastAsia="Arial" w:hAnsi="Arial"/>
          <w:sz w:val="18"/>
          <w:szCs w:val="18"/>
          <w:color w:val="auto"/>
        </w:rPr>
        <w:t>it is a qualified investor as defined under the Prospectus Directive; and</w:t>
      </w:r>
    </w:p>
    <w:p>
      <w:pPr>
        <w:spacing w:after="0" w:line="192" w:lineRule="exact"/>
        <w:rPr>
          <w:rFonts w:ascii="Arial" w:cs="Arial" w:eastAsia="Arial" w:hAnsi="Arial"/>
          <w:sz w:val="22"/>
          <w:szCs w:val="22"/>
          <w:color w:val="auto"/>
        </w:rPr>
      </w:pPr>
    </w:p>
    <w:p>
      <w:pPr>
        <w:ind w:left="560" w:right="139" w:hanging="219"/>
        <w:spacing w:after="0" w:line="253" w:lineRule="auto"/>
        <w:tabs>
          <w:tab w:leader="none" w:pos="626" w:val="left"/>
        </w:tabs>
        <w:numPr>
          <w:ilvl w:val="0"/>
          <w:numId w:val="84"/>
        </w:numPr>
        <w:rPr>
          <w:rFonts w:ascii="Arial" w:cs="Arial" w:eastAsia="Arial" w:hAnsi="Arial"/>
          <w:sz w:val="22"/>
          <w:szCs w:val="22"/>
          <w:color w:val="auto"/>
        </w:rPr>
      </w:pPr>
      <w:r>
        <w:rPr>
          <w:rFonts w:ascii="Arial" w:cs="Arial" w:eastAsia="Arial" w:hAnsi="Arial"/>
          <w:sz w:val="18"/>
          <w:szCs w:val="18"/>
          <w:color w:val="auto"/>
        </w:rPr>
        <w:t>in the case of any ordinary shares acquired by it as a financial intermediary, as that term is used in Article 3(2) of the Prospectus Directive, (i) the ordinary shares acquired by it in the oﬀering have not been acquired on behalf of, nor have they been acquired with a view to their oﬀer or resale to, persons in any Relevant Member State other than qualified investors, as that term is defined in the Prospectus Directive, or in the circumstances in which the prior consent of the representatives of the underwriters has been given to the oﬀer or resale or (ii) where ordinary shares have been acquired by it on behalf of persons in any Relevant Member State other than qualified investors, the oﬀer of such ordinary shares to it is not treated under the Prospectus Directive as having been made to such persons.</w:t>
      </w:r>
    </w:p>
    <w:p>
      <w:pPr>
        <w:spacing w:after="0" w:line="367" w:lineRule="exact"/>
        <w:rPr>
          <w:sz w:val="20"/>
          <w:szCs w:val="20"/>
          <w:color w:val="auto"/>
        </w:rPr>
      </w:pPr>
    </w:p>
    <w:p>
      <w:pPr>
        <w:ind w:left="120" w:right="259" w:firstLine="216"/>
        <w:spacing w:after="0" w:line="260" w:lineRule="auto"/>
        <w:rPr>
          <w:sz w:val="20"/>
          <w:szCs w:val="20"/>
          <w:color w:val="auto"/>
        </w:rPr>
      </w:pPr>
      <w:r>
        <w:rPr>
          <w:rFonts w:ascii="Arial" w:cs="Arial" w:eastAsia="Arial" w:hAnsi="Arial"/>
          <w:sz w:val="18"/>
          <w:szCs w:val="18"/>
          <w:color w:val="auto"/>
        </w:rPr>
        <w:t>For the purposes of this representation and the provision above, the expression an “oﬀer of ordinary shares to the public” in relation to any ordinary shares in any Relevant Member State means the communication in any form and by any means of suﬃcient information on the terms of the oﬀer and any ordinary shares to be oﬀered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93" w:lineRule="exact"/>
        <w:rPr>
          <w:sz w:val="20"/>
          <w:szCs w:val="20"/>
          <w:color w:val="auto"/>
        </w:rPr>
      </w:pPr>
    </w:p>
    <w:p>
      <w:pPr>
        <w:ind w:left="120" w:right="179" w:firstLine="216"/>
        <w:spacing w:after="0" w:line="265" w:lineRule="auto"/>
        <w:rPr>
          <w:sz w:val="20"/>
          <w:szCs w:val="20"/>
          <w:color w:val="auto"/>
        </w:rPr>
      </w:pPr>
      <w:r>
        <w:rPr>
          <w:rFonts w:ascii="Arial" w:cs="Arial" w:eastAsia="Arial" w:hAnsi="Arial"/>
          <w:sz w:val="18"/>
          <w:szCs w:val="18"/>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93" w:lineRule="exact"/>
        <w:rPr>
          <w:sz w:val="20"/>
          <w:szCs w:val="20"/>
          <w:color w:val="auto"/>
        </w:rPr>
      </w:pPr>
    </w:p>
    <w:p>
      <w:pPr>
        <w:ind w:left="120" w:right="279" w:firstLine="216"/>
        <w:spacing w:after="0" w:line="260" w:lineRule="auto"/>
        <w:rPr>
          <w:sz w:val="20"/>
          <w:szCs w:val="20"/>
          <w:color w:val="auto"/>
        </w:rPr>
      </w:pPr>
      <w:r>
        <w:rPr>
          <w:rFonts w:ascii="Arial" w:cs="Arial" w:eastAsia="Arial" w:hAnsi="Arial"/>
          <w:sz w:val="18"/>
          <w:szCs w:val="18"/>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172" w:lineRule="exact"/>
        <w:rPr>
          <w:sz w:val="20"/>
          <w:szCs w:val="20"/>
          <w:color w:val="auto"/>
        </w:rPr>
      </w:pPr>
    </w:p>
    <w:p>
      <w:pPr>
        <w:ind w:left="120" w:right="139" w:firstLine="216"/>
        <w:spacing w:after="0" w:line="284" w:lineRule="auto"/>
        <w:rPr>
          <w:sz w:val="20"/>
          <w:szCs w:val="20"/>
          <w:color w:val="auto"/>
        </w:rPr>
      </w:pPr>
      <w:r>
        <w:rPr>
          <w:rFonts w:ascii="Arial" w:cs="Arial" w:eastAsia="Arial" w:hAnsi="Arial"/>
          <w:sz w:val="18"/>
          <w:szCs w:val="18"/>
          <w:color w:val="auto"/>
        </w:rPr>
        <w:t>The following table sets forth all expenses to be paid by us, other than estimated underwriting discounts and commissions, in connection with this oﬀering. All amounts shown are estimates except for the Securities and Exchange Commission registration fee, NASDAQ listing fee and FINRA filing fee:</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 to</w:t>
            </w:r>
          </w:p>
        </w:tc>
      </w:tr>
      <w:tr>
        <w:trPr>
          <w:trHeight w:val="229"/>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be Paid</w:t>
            </w: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13,363</w:t>
            </w: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FINRA filing fee</w:t>
            </w:r>
          </w:p>
        </w:tc>
        <w:tc>
          <w:tcPr>
            <w:tcW w:w="2300" w:type="dxa"/>
            <w:vAlign w:val="bottom"/>
            <w:gridSpan w:val="2"/>
          </w:tcPr>
          <w:p>
            <w:pPr>
              <w:ind w:left="21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fees and expenses</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0" w:lineRule="exact"/>
        <w:rPr>
          <w:sz w:val="20"/>
          <w:szCs w:val="20"/>
          <w:color w:val="auto"/>
        </w:rPr>
      </w:pPr>
    </w:p>
    <w:p>
      <w:pPr>
        <w:ind w:left="120" w:right="299" w:firstLine="216"/>
        <w:spacing w:after="0" w:line="268" w:lineRule="auto"/>
        <w:rPr>
          <w:sz w:val="20"/>
          <w:szCs w:val="20"/>
          <w:color w:val="auto"/>
        </w:rPr>
      </w:pPr>
      <w:r>
        <w:rPr>
          <w:rFonts w:ascii="Arial" w:cs="Arial" w:eastAsia="Arial" w:hAnsi="Arial"/>
          <w:sz w:val="18"/>
          <w:szCs w:val="18"/>
          <w:color w:val="auto"/>
        </w:rPr>
        <w:t>The consolidated financial statements of Kornit Digital Ltd. at December 31, 2013 and 2014, and for each of the three years in the period ended December 31, 2014, appearing in this Prospectus and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7" w:lineRule="exact"/>
        <w:rPr>
          <w:sz w:val="20"/>
          <w:szCs w:val="20"/>
          <w:color w:val="auto"/>
        </w:rPr>
      </w:pPr>
    </w:p>
    <w:p>
      <w:pPr>
        <w:ind w:left="120" w:right="179" w:firstLine="216"/>
        <w:spacing w:after="0" w:line="265" w:lineRule="auto"/>
        <w:rPr>
          <w:sz w:val="20"/>
          <w:szCs w:val="20"/>
          <w:color w:val="auto"/>
        </w:rPr>
      </w:pPr>
      <w:r>
        <w:rPr>
          <w:rFonts w:ascii="Arial" w:cs="Arial" w:eastAsia="Arial" w:hAnsi="Arial"/>
          <w:sz w:val="18"/>
          <w:szCs w:val="18"/>
          <w:color w:val="auto"/>
        </w:rPr>
        <w:t>The validity of the ordinary shares being oﬀered by this prospectus and other legal matters concerning this oﬀering relating to Israeli law will be passed upon for us by Meitar Liquornik Geva Leshem Tal, Ramat Gan, Israel. Certain legal matters in connection with this oﬀering relating to U.S. law will be passed upon for us by White &amp; Case LLP, New York, New York. Certain legal matters in connection with this oﬀering will be passed upon for the underwriters by Gross, Kleinhendler, Hodak, Halevy, Greenberg &amp; Co., Tel Aviv, Israel, with respect to Israeli law, and by Skadden, Arps, Slate, Meagher &amp; Flom LLP, New York, New York, with respect to U.S.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73" w:lineRule="exact"/>
        <w:rPr>
          <w:sz w:val="20"/>
          <w:szCs w:val="20"/>
          <w:color w:val="auto"/>
        </w:rPr>
      </w:pPr>
    </w:p>
    <w:p>
      <w:pPr>
        <w:ind w:left="120" w:right="119" w:firstLine="216"/>
        <w:spacing w:after="0" w:line="26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oﬃcers and the Israeli experts named in this registration statement, substantially all of whom reside outside of the United States, may be diﬃcult to obtain within the United States. Furthermore, because substantially all of our assets and substantially all of our directors and oﬃcers are located outside of the United States, any judgment obtained in the United States against us or any of our directors and oﬃcers may be diﬃcult to collect within the United States.</w:t>
      </w:r>
    </w:p>
    <w:p>
      <w:pPr>
        <w:spacing w:after="0" w:line="290" w:lineRule="exact"/>
        <w:rPr>
          <w:sz w:val="20"/>
          <w:szCs w:val="20"/>
          <w:color w:val="auto"/>
        </w:rPr>
      </w:pPr>
    </w:p>
    <w:p>
      <w:pPr>
        <w:ind w:left="120" w:right="119" w:firstLine="216"/>
        <w:spacing w:after="0" w:line="263" w:lineRule="auto"/>
        <w:rPr>
          <w:sz w:val="20"/>
          <w:szCs w:val="20"/>
          <w:color w:val="auto"/>
        </w:rPr>
      </w:pPr>
      <w:r>
        <w:rPr>
          <w:rFonts w:ascii="Arial" w:cs="Arial" w:eastAsia="Arial" w:hAnsi="Arial"/>
          <w:sz w:val="18"/>
          <w:szCs w:val="18"/>
          <w:color w:val="auto"/>
        </w:rPr>
        <w:t>We have been informed by our legal counsel in Israel, Meitar Liquornik Geva Leshem Tal, that it may be diﬃcult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276" w:lineRule="exact"/>
        <w:rPr>
          <w:sz w:val="20"/>
          <w:szCs w:val="20"/>
          <w:color w:val="auto"/>
        </w:rPr>
      </w:pPr>
    </w:p>
    <w:p>
      <w:pPr>
        <w:ind w:left="120" w:right="199" w:firstLine="216"/>
        <w:spacing w:after="0" w:line="265" w:lineRule="auto"/>
        <w:rPr>
          <w:sz w:val="20"/>
          <w:szCs w:val="20"/>
          <w:color w:val="auto"/>
        </w:rPr>
      </w:pPr>
      <w:r>
        <w:rPr>
          <w:rFonts w:ascii="Arial" w:cs="Arial" w:eastAsia="Arial" w:hAnsi="Arial"/>
          <w:sz w:val="18"/>
          <w:szCs w:val="18"/>
          <w:color w:val="auto"/>
        </w:rPr>
        <w:t>We have irrevocably appointed Kornit Digital North America Inc., as our agent to receive service of process in any action against us in any United States federal or state court arising out of this oﬀering or any purchase or sale of securities in connection with this oﬀering. Subject to specified time limitations and legal procedures, Israeli courts may enforce a U.S.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75" w:lineRule="exact"/>
        <w:rPr>
          <w:sz w:val="20"/>
          <w:szCs w:val="20"/>
          <w:color w:val="auto"/>
        </w:rPr>
      </w:pPr>
    </w:p>
    <w:p>
      <w:pPr>
        <w:ind w:left="560" w:right="219" w:hanging="219"/>
        <w:spacing w:after="0" w:line="265" w:lineRule="auto"/>
        <w:tabs>
          <w:tab w:leader="none" w:pos="626" w:val="left"/>
        </w:tabs>
        <w:numPr>
          <w:ilvl w:val="0"/>
          <w:numId w:val="85"/>
        </w:numPr>
        <w:rPr>
          <w:rFonts w:ascii="Arial" w:cs="Arial" w:eastAsia="Arial" w:hAnsi="Arial"/>
          <w:sz w:val="22"/>
          <w:szCs w:val="22"/>
          <w:color w:val="auto"/>
        </w:rPr>
      </w:pPr>
      <w:r>
        <w:rPr>
          <w:rFonts w:ascii="Arial" w:cs="Arial" w:eastAsia="Arial" w:hAnsi="Arial"/>
          <w:sz w:val="18"/>
          <w:szCs w:val="18"/>
          <w:color w:val="auto"/>
        </w:rPr>
        <w:t>the judgment was obtained after due process before a court of competent jurisdiction, according to the laws of the state in which the judgment was given and the rules of private international law currently prevailing in Israel;</w:t>
      </w:r>
    </w:p>
    <w:p>
      <w:pPr>
        <w:sectPr>
          <w:pgSz w:w="11900" w:h="16838" w:orient="portrait"/>
          <w:cols w:equalWidth="0" w:num="1">
            <w:col w:w="9019"/>
          </w:cols>
          <w:pgMar w:left="1440" w:top="91" w:right="1440" w:bottom="1440" w:gutter="0" w:footer="0" w:header="0"/>
        </w:sectPr>
      </w:pP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type w:val="continuous"/>
        </w:sectPr>
      </w:pPr>
    </w:p>
    <w:bookmarkStart w:id="121" w:name="page122"/>
    <w:bookmarkEnd w:id="121"/>
    <w:p>
      <w:pPr>
        <w:ind w:left="620" w:hanging="279"/>
        <w:spacing w:after="0"/>
        <w:tabs>
          <w:tab w:leader="none" w:pos="620" w:val="left"/>
        </w:tabs>
        <w:numPr>
          <w:ilvl w:val="0"/>
          <w:numId w:val="86"/>
        </w:numPr>
        <w:rPr>
          <w:rFonts w:ascii="Arial" w:cs="Arial" w:eastAsia="Arial" w:hAnsi="Arial"/>
          <w:sz w:val="22"/>
          <w:szCs w:val="22"/>
          <w:color w:val="auto"/>
        </w:rPr>
      </w:pPr>
      <w:r>
        <w:rPr>
          <w:rFonts w:ascii="Arial" w:cs="Arial" w:eastAsia="Arial" w:hAnsi="Arial"/>
          <w:sz w:val="18"/>
          <w:szCs w:val="18"/>
          <w:color w:val="auto"/>
        </w:rPr>
        <w:t>the judgment may no longer be appealed;</w:t>
      </w:r>
    </w:p>
    <w:p>
      <w:pPr>
        <w:spacing w:after="0" w:line="138" w:lineRule="exact"/>
        <w:rPr>
          <w:rFonts w:ascii="Arial" w:cs="Arial" w:eastAsia="Arial" w:hAnsi="Arial"/>
          <w:sz w:val="22"/>
          <w:szCs w:val="22"/>
          <w:color w:val="auto"/>
        </w:rPr>
      </w:pPr>
    </w:p>
    <w:p>
      <w:pPr>
        <w:ind w:left="560" w:right="379" w:hanging="219"/>
        <w:spacing w:after="0" w:line="285" w:lineRule="auto"/>
        <w:tabs>
          <w:tab w:leader="none" w:pos="626" w:val="left"/>
        </w:tabs>
        <w:numPr>
          <w:ilvl w:val="0"/>
          <w:numId w:val="86"/>
        </w:numPr>
        <w:rPr>
          <w:rFonts w:ascii="Arial" w:cs="Arial" w:eastAsia="Arial" w:hAnsi="Arial"/>
          <w:sz w:val="22"/>
          <w:szCs w:val="22"/>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61" w:lineRule="exact"/>
        <w:rPr>
          <w:rFonts w:ascii="Arial" w:cs="Arial" w:eastAsia="Arial" w:hAnsi="Arial"/>
          <w:sz w:val="22"/>
          <w:szCs w:val="22"/>
          <w:color w:val="auto"/>
        </w:rPr>
      </w:pPr>
    </w:p>
    <w:p>
      <w:pPr>
        <w:ind w:left="560" w:right="459" w:hanging="219"/>
        <w:spacing w:after="0" w:line="285" w:lineRule="auto"/>
        <w:tabs>
          <w:tab w:leader="none" w:pos="626" w:val="left"/>
        </w:tabs>
        <w:numPr>
          <w:ilvl w:val="0"/>
          <w:numId w:val="86"/>
        </w:numPr>
        <w:rPr>
          <w:rFonts w:ascii="Arial" w:cs="Arial" w:eastAsia="Arial" w:hAnsi="Arial"/>
          <w:sz w:val="22"/>
          <w:szCs w:val="22"/>
          <w:color w:val="auto"/>
        </w:rPr>
      </w:pPr>
      <w:r>
        <w:rPr>
          <w:rFonts w:ascii="Arial" w:cs="Arial" w:eastAsia="Arial" w:hAnsi="Arial"/>
          <w:sz w:val="18"/>
          <w:szCs w:val="18"/>
          <w:color w:val="auto"/>
        </w:rPr>
        <w:t>adequate service of process has been eﬀected and the defendant has had a reasonable opportunity to be heard and to present his or her evidence;</w:t>
      </w:r>
    </w:p>
    <w:p>
      <w:pPr>
        <w:spacing w:after="0" w:line="61" w:lineRule="exact"/>
        <w:rPr>
          <w:rFonts w:ascii="Arial" w:cs="Arial" w:eastAsia="Arial" w:hAnsi="Arial"/>
          <w:sz w:val="22"/>
          <w:szCs w:val="22"/>
          <w:color w:val="auto"/>
        </w:rPr>
      </w:pPr>
    </w:p>
    <w:p>
      <w:pPr>
        <w:ind w:left="560" w:right="599" w:hanging="219"/>
        <w:spacing w:after="0" w:line="259" w:lineRule="auto"/>
        <w:tabs>
          <w:tab w:leader="none" w:pos="626" w:val="left"/>
        </w:tabs>
        <w:numPr>
          <w:ilvl w:val="0"/>
          <w:numId w:val="86"/>
        </w:numPr>
        <w:rPr>
          <w:rFonts w:ascii="Arial" w:cs="Arial" w:eastAsia="Arial" w:hAnsi="Arial"/>
          <w:sz w:val="22"/>
          <w:szCs w:val="22"/>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327" w:lineRule="exact"/>
        <w:rPr>
          <w:rFonts w:ascii="Arial" w:cs="Arial" w:eastAsia="Arial" w:hAnsi="Arial"/>
          <w:sz w:val="22"/>
          <w:szCs w:val="22"/>
          <w:color w:val="auto"/>
        </w:rPr>
      </w:pPr>
    </w:p>
    <w:p>
      <w:pPr>
        <w:ind w:left="560" w:right="139" w:hanging="219"/>
        <w:spacing w:after="0" w:line="285" w:lineRule="auto"/>
        <w:tabs>
          <w:tab w:leader="none" w:pos="626" w:val="left"/>
        </w:tabs>
        <w:numPr>
          <w:ilvl w:val="0"/>
          <w:numId w:val="86"/>
        </w:numPr>
        <w:rPr>
          <w:rFonts w:ascii="Arial" w:cs="Arial" w:eastAsia="Arial" w:hAnsi="Arial"/>
          <w:sz w:val="22"/>
          <w:szCs w:val="22"/>
          <w:color w:val="auto"/>
        </w:rPr>
      </w:pPr>
      <w:r>
        <w:rPr>
          <w:rFonts w:ascii="Arial" w:cs="Arial" w:eastAsia="Arial" w:hAnsi="Arial"/>
          <w:sz w:val="18"/>
          <w:szCs w:val="18"/>
          <w:color w:val="auto"/>
        </w:rPr>
        <w:t>the judgment was not obtained by fraud and do not conflict with any other valid judgments in the same matter between the same parties;</w:t>
      </w:r>
    </w:p>
    <w:p>
      <w:pPr>
        <w:spacing w:after="0" w:line="61" w:lineRule="exact"/>
        <w:rPr>
          <w:rFonts w:ascii="Arial" w:cs="Arial" w:eastAsia="Arial" w:hAnsi="Arial"/>
          <w:sz w:val="22"/>
          <w:szCs w:val="22"/>
          <w:color w:val="auto"/>
        </w:rPr>
      </w:pPr>
    </w:p>
    <w:p>
      <w:pPr>
        <w:ind w:left="560" w:right="279" w:hanging="219"/>
        <w:spacing w:after="0" w:line="285" w:lineRule="auto"/>
        <w:tabs>
          <w:tab w:leader="none" w:pos="626" w:val="left"/>
        </w:tabs>
        <w:numPr>
          <w:ilvl w:val="0"/>
          <w:numId w:val="86"/>
        </w:numPr>
        <w:rPr>
          <w:rFonts w:ascii="Arial" w:cs="Arial" w:eastAsia="Arial" w:hAnsi="Arial"/>
          <w:sz w:val="22"/>
          <w:szCs w:val="22"/>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61" w:lineRule="exact"/>
        <w:rPr>
          <w:rFonts w:ascii="Arial" w:cs="Arial" w:eastAsia="Arial" w:hAnsi="Arial"/>
          <w:sz w:val="22"/>
          <w:szCs w:val="22"/>
          <w:color w:val="auto"/>
        </w:rPr>
      </w:pPr>
    </w:p>
    <w:p>
      <w:pPr>
        <w:ind w:left="560" w:right="219" w:hanging="219"/>
        <w:spacing w:after="0" w:line="285" w:lineRule="auto"/>
        <w:tabs>
          <w:tab w:leader="none" w:pos="626" w:val="left"/>
        </w:tabs>
        <w:numPr>
          <w:ilvl w:val="0"/>
          <w:numId w:val="86"/>
        </w:numPr>
        <w:rPr>
          <w:rFonts w:ascii="Arial" w:cs="Arial" w:eastAsia="Arial" w:hAnsi="Arial"/>
          <w:sz w:val="22"/>
          <w:szCs w:val="22"/>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2" w:lineRule="exact"/>
        <w:rPr>
          <w:sz w:val="20"/>
          <w:szCs w:val="20"/>
          <w:color w:val="auto"/>
        </w:rPr>
      </w:pPr>
    </w:p>
    <w:p>
      <w:pPr>
        <w:ind w:left="120" w:right="199" w:firstLine="216"/>
        <w:spacing w:after="0" w:line="261"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7" w:lineRule="exact"/>
        <w:rPr>
          <w:sz w:val="20"/>
          <w:szCs w:val="20"/>
          <w:color w:val="auto"/>
        </w:rPr>
      </w:pPr>
    </w:p>
    <w:p>
      <w:pPr>
        <w:ind w:left="120" w:right="239" w:firstLine="216"/>
        <w:spacing w:after="0" w:line="261" w:lineRule="auto"/>
        <w:rPr>
          <w:sz w:val="20"/>
          <w:szCs w:val="20"/>
          <w:color w:val="auto"/>
        </w:rPr>
      </w:pPr>
      <w:r>
        <w:rPr>
          <w:rFonts w:ascii="Arial" w:cs="Arial" w:eastAsia="Arial" w:hAnsi="Arial"/>
          <w:sz w:val="18"/>
          <w:szCs w:val="18"/>
          <w:color w:val="auto"/>
        </w:rPr>
        <w:t>We have filed with the Commission a registration statement on Form F-1 under the Securities Act relating to this oﬀering of our ordinary shares. This prospectus does not contain all of the information contained in the registration statement. The rules and regulations of the Commission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360" w:lineRule="exact"/>
        <w:rPr>
          <w:sz w:val="20"/>
          <w:szCs w:val="20"/>
          <w:color w:val="auto"/>
        </w:rPr>
      </w:pPr>
    </w:p>
    <w:p>
      <w:pPr>
        <w:ind w:left="120" w:right="219" w:firstLine="216"/>
        <w:spacing w:after="0" w:line="261"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Commission without charge at the Commission’s public reference room at 100 F Street, N.E., Room 1580, Washington, DC 20549. You may also obtain copies of the documents at prescribed rates by writing to the Public Reference Section of the Commission at 100 F Street, N.E., Room 1580, Washington, DC 20549. Please call the Commission at 1-800-SEC-0330 for further information on the public reference room. The Commission also maintains an Internet website that contains reports and other information regarding issuers that file electronically with the Commission. Our filings with the Commission are also available to the public through the Commission’s website at http://www.sec.gov.</w:t>
      </w:r>
    </w:p>
    <w:p>
      <w:pPr>
        <w:spacing w:after="0" w:line="360" w:lineRule="exact"/>
        <w:rPr>
          <w:sz w:val="20"/>
          <w:szCs w:val="20"/>
          <w:color w:val="auto"/>
        </w:rPr>
      </w:pPr>
    </w:p>
    <w:p>
      <w:pPr>
        <w:ind w:left="120" w:right="199" w:firstLine="216"/>
        <w:spacing w:after="0" w:line="256" w:lineRule="auto"/>
        <w:rPr>
          <w:sz w:val="20"/>
          <w:szCs w:val="20"/>
          <w:color w:val="auto"/>
        </w:rPr>
      </w:pPr>
      <w:r>
        <w:rPr>
          <w:rFonts w:ascii="Arial" w:cs="Arial" w:eastAsia="Arial" w:hAnsi="Arial"/>
          <w:sz w:val="18"/>
          <w:szCs w:val="18"/>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Commission as frequently or as promptly as U.S. companies whose securities are registered under the Exchange Act. However, we will file with the Commission, within 120 days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ectPr>
          <w:pgSz w:w="11900" w:h="16838" w:orient="portrait"/>
          <w:cols w:equalWidth="0" w:num="1">
            <w:col w:w="9019"/>
          </w:cols>
          <w:pgMar w:left="1440" w:top="282" w:right="1440" w:bottom="934" w:gutter="0" w:footer="0" w:header="0"/>
        </w:sect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82" w:right="1440" w:bottom="934"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60" w:type="dxa"/>
            <w:vAlign w:val="bottom"/>
            <w:tcBorders>
              <w:top w:val="single" w:sz="8" w:color="CCEEFF"/>
            </w:tcBorders>
            <w:gridSpan w:val="13"/>
            <w:shd w:val="clear" w:color="auto" w:fill="CCEEFF"/>
          </w:tcPr>
          <w:p>
            <w:pPr>
              <w:spacing w:after="0" w:line="170" w:lineRule="exact"/>
              <w:rPr>
                <w:rFonts w:ascii="Arial" w:cs="Arial" w:eastAsia="Arial" w:hAnsi="Arial"/>
                <w:sz w:val="18"/>
                <w:szCs w:val="18"/>
                <w:color w:val="auto"/>
              </w:rPr>
            </w:pPr>
            <w:hyperlink w:anchor="page124">
              <w:r>
                <w:rPr>
                  <w:rFonts w:ascii="Arial" w:cs="Arial" w:eastAsia="Arial" w:hAnsi="Arial"/>
                  <w:sz w:val="18"/>
                  <w:szCs w:val="18"/>
                  <w:color w:val="auto"/>
                </w:rPr>
                <w:t>REPORT OF INDEPENDENT REGISTERED PUBLIC ACCOUNTING FIRM</w:t>
              </w:r>
            </w:hyperlink>
          </w:p>
        </w:tc>
        <w:tc>
          <w:tcPr>
            <w:tcW w:w="1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F-2</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5860" w:type="dxa"/>
            <w:vAlign w:val="bottom"/>
            <w:tcBorders>
              <w:bottom w:val="single" w:sz="8" w:color="auto"/>
            </w:tcBorders>
            <w:gridSpan w:val="7"/>
            <w:shd w:val="clear" w:color="auto" w:fill="CCEEFF"/>
          </w:tcPr>
          <w:p>
            <w:pPr>
              <w:spacing w:after="0" w:line="176" w:lineRule="exact"/>
              <w:rPr>
                <w:rFonts w:ascii="Arial" w:cs="Arial" w:eastAsia="Arial" w:hAnsi="Arial"/>
                <w:sz w:val="18"/>
                <w:szCs w:val="18"/>
                <w:color w:val="auto"/>
              </w:rPr>
            </w:pPr>
            <w:hyperlink w:anchor="page125">
              <w:r>
                <w:rPr>
                  <w:rFonts w:ascii="Arial" w:cs="Arial" w:eastAsia="Arial" w:hAnsi="Arial"/>
                  <w:sz w:val="18"/>
                  <w:szCs w:val="18"/>
                  <w:color w:val="auto"/>
                </w:rPr>
                <w:t>Consolidated Balance Sheets as of December 31, 2013 and 2014</w:t>
              </w:r>
            </w:hyperlink>
          </w:p>
        </w:tc>
        <w:tc>
          <w:tcPr>
            <w:tcW w:w="1500" w:type="dxa"/>
            <w:vAlign w:val="bottom"/>
            <w:tcBorders>
              <w:bottom w:val="single" w:sz="8" w:color="CCEEFF"/>
            </w:tcBorders>
            <w:gridSpan w:val="6"/>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gridSpan w:val="13"/>
          </w:tcPr>
          <w:p>
            <w:pPr>
              <w:spacing w:after="0" w:line="163" w:lineRule="exact"/>
              <w:rPr>
                <w:rFonts w:ascii="Arial" w:cs="Arial" w:eastAsia="Arial" w:hAnsi="Arial"/>
                <w:sz w:val="18"/>
                <w:szCs w:val="18"/>
                <w:color w:val="auto"/>
              </w:rPr>
            </w:pPr>
            <w:hyperlink w:anchor="page127">
              <w:r>
                <w:rPr>
                  <w:rFonts w:ascii="Arial" w:cs="Arial" w:eastAsia="Arial" w:hAnsi="Arial"/>
                  <w:sz w:val="18"/>
                  <w:szCs w:val="18"/>
                  <w:color w:val="auto"/>
                </w:rPr>
                <w:t>Consolidated Statements of Income for the years ended December 31, 2012,</w:t>
              </w:r>
            </w:hyperlink>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740" w:type="dxa"/>
            <w:vAlign w:val="bottom"/>
            <w:tcBorders>
              <w:top w:val="single" w:sz="8" w:color="auto"/>
            </w:tcBorders>
            <w:gridSpan w:val="11"/>
          </w:tcPr>
          <w:p>
            <w:pPr>
              <w:spacing w:after="0" w:line="182" w:lineRule="exact"/>
              <w:rPr>
                <w:rFonts w:ascii="Arial" w:cs="Arial" w:eastAsia="Arial" w:hAnsi="Arial"/>
                <w:sz w:val="18"/>
                <w:szCs w:val="18"/>
                <w:color w:val="auto"/>
              </w:rPr>
            </w:pPr>
            <w:hyperlink w:anchor="page127">
              <w:r>
                <w:rPr>
                  <w:rFonts w:ascii="Arial" w:cs="Arial" w:eastAsia="Arial" w:hAnsi="Arial"/>
                  <w:sz w:val="18"/>
                  <w:szCs w:val="18"/>
                  <w:color w:val="auto"/>
                </w:rPr>
                <w:t>2013 and 2014</w:t>
              </w:r>
            </w:hyperlink>
          </w:p>
        </w:tc>
        <w:tc>
          <w:tcPr>
            <w:tcW w:w="4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shd w:val="clear" w:color="auto" w:fill="CCEEFF"/>
          </w:tcPr>
          <w:p>
            <w:pPr>
              <w:spacing w:after="0" w:line="176" w:lineRule="exact"/>
              <w:rPr>
                <w:rFonts w:ascii="Arial" w:cs="Arial" w:eastAsia="Arial" w:hAnsi="Arial"/>
                <w:sz w:val="18"/>
                <w:szCs w:val="18"/>
                <w:color w:val="auto"/>
              </w:rPr>
            </w:pPr>
            <w:hyperlink w:anchor="page128">
              <w:r>
                <w:rPr>
                  <w:rFonts w:ascii="Arial" w:cs="Arial" w:eastAsia="Arial" w:hAnsi="Arial"/>
                  <w:sz w:val="18"/>
                  <w:szCs w:val="18"/>
                  <w:color w:val="auto"/>
                </w:rPr>
                <w:t>Consolidated Statements of Comprehensive Income for the years ended</w:t>
              </w:r>
            </w:hyperlink>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180" w:type="dxa"/>
            <w:vAlign w:val="bottom"/>
            <w:tcBorders>
              <w:top w:val="single" w:sz="8" w:color="auto"/>
            </w:tcBorders>
            <w:gridSpan w:val="8"/>
            <w:shd w:val="clear" w:color="auto" w:fill="CCEEFF"/>
          </w:tcPr>
          <w:p>
            <w:pPr>
              <w:spacing w:after="0" w:line="182" w:lineRule="exact"/>
              <w:rPr>
                <w:rFonts w:ascii="Arial" w:cs="Arial" w:eastAsia="Arial" w:hAnsi="Arial"/>
                <w:sz w:val="18"/>
                <w:szCs w:val="18"/>
                <w:color w:val="auto"/>
              </w:rPr>
            </w:pPr>
            <w:hyperlink w:anchor="page128">
              <w:r>
                <w:rPr>
                  <w:rFonts w:ascii="Arial" w:cs="Arial" w:eastAsia="Arial" w:hAnsi="Arial"/>
                  <w:sz w:val="18"/>
                  <w:szCs w:val="18"/>
                  <w:color w:val="auto"/>
                </w:rPr>
                <w:t>December 31, 2012, 2013 and 2014</w:t>
              </w:r>
            </w:hyperlink>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gridSpan w:val="2"/>
            <w:shd w:val="clear" w:color="auto" w:fill="CCEEFF"/>
          </w:tcPr>
          <w:p>
            <w:pPr>
              <w:spacing w:after="0"/>
              <w:rPr>
                <w:sz w:val="15"/>
                <w:szCs w:val="15"/>
                <w:color w:val="auto"/>
              </w:rPr>
            </w:pPr>
          </w:p>
        </w:tc>
        <w:tc>
          <w:tcPr>
            <w:tcW w:w="1400" w:type="dxa"/>
            <w:vAlign w:val="bottom"/>
            <w:tcBorders>
              <w:top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tcPr>
          <w:p>
            <w:pPr>
              <w:spacing w:after="0" w:line="176" w:lineRule="exact"/>
              <w:rPr>
                <w:rFonts w:ascii="Arial" w:cs="Arial" w:eastAsia="Arial" w:hAnsi="Arial"/>
                <w:sz w:val="18"/>
                <w:szCs w:val="18"/>
                <w:color w:val="auto"/>
              </w:rPr>
            </w:pPr>
            <w:hyperlink w:anchor="page129">
              <w:r>
                <w:rPr>
                  <w:rFonts w:ascii="Arial" w:cs="Arial" w:eastAsia="Arial" w:hAnsi="Arial"/>
                  <w:sz w:val="18"/>
                  <w:szCs w:val="18"/>
                  <w:color w:val="auto"/>
                </w:rPr>
                <w:t>Consolidated Statements of Changes in Shareholders’ Equity for the years</w:t>
              </w:r>
            </w:hyperlink>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0"/>
        </w:trPr>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900" w:type="dxa"/>
            <w:vAlign w:val="bottom"/>
            <w:tcBorders>
              <w:top w:val="single" w:sz="8" w:color="auto"/>
              <w:bottom w:val="single" w:sz="8" w:color="auto"/>
            </w:tcBorders>
            <w:gridSpan w:val="5"/>
          </w:tcPr>
          <w:p>
            <w:pPr>
              <w:spacing w:after="0" w:line="182" w:lineRule="exact"/>
              <w:rPr>
                <w:rFonts w:ascii="Arial" w:cs="Arial" w:eastAsia="Arial" w:hAnsi="Arial"/>
                <w:sz w:val="18"/>
                <w:szCs w:val="18"/>
                <w:color w:val="auto"/>
              </w:rPr>
            </w:pPr>
            <w:hyperlink w:anchor="page129">
              <w:r>
                <w:rPr>
                  <w:rFonts w:ascii="Arial" w:cs="Arial" w:eastAsia="Arial" w:hAnsi="Arial"/>
                  <w:sz w:val="18"/>
                  <w:szCs w:val="18"/>
                  <w:color w:val="auto"/>
                </w:rPr>
                <w:t>ended December 31, 2012, 2013 and 2014</w:t>
              </w:r>
            </w:hyperlink>
          </w:p>
        </w:tc>
        <w:tc>
          <w:tcPr>
            <w:tcW w:w="2580" w:type="dxa"/>
            <w:vAlign w:val="bottom"/>
            <w:tcBorders>
              <w:top w:val="single" w:sz="8" w:color="auto"/>
            </w:tcBorders>
            <w:gridSpan w:val="4"/>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60" w:type="dxa"/>
            <w:vAlign w:val="bottom"/>
            <w:gridSpan w:val="13"/>
            <w:shd w:val="clear" w:color="auto" w:fill="CCEEFF"/>
          </w:tcPr>
          <w:p>
            <w:pPr>
              <w:spacing w:after="0" w:line="176" w:lineRule="exact"/>
              <w:rPr>
                <w:rFonts w:ascii="Arial" w:cs="Arial" w:eastAsia="Arial" w:hAnsi="Arial"/>
                <w:sz w:val="18"/>
                <w:szCs w:val="18"/>
                <w:color w:val="auto"/>
              </w:rPr>
            </w:pPr>
            <w:hyperlink w:anchor="page130">
              <w:r>
                <w:rPr>
                  <w:rFonts w:ascii="Arial" w:cs="Arial" w:eastAsia="Arial" w:hAnsi="Arial"/>
                  <w:sz w:val="18"/>
                  <w:szCs w:val="18"/>
                  <w:color w:val="auto"/>
                </w:rPr>
                <w:t>Consolidated Statements of Cash Flows for the years ended December 31,</w:t>
              </w:r>
            </w:hyperlink>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520" w:type="dxa"/>
            <w:vAlign w:val="bottom"/>
            <w:tcBorders>
              <w:top w:val="single" w:sz="8" w:color="auto"/>
            </w:tcBorders>
            <w:gridSpan w:val="10"/>
            <w:shd w:val="clear" w:color="auto" w:fill="CCEEFF"/>
          </w:tcPr>
          <w:p>
            <w:pPr>
              <w:spacing w:after="0" w:line="182" w:lineRule="exact"/>
              <w:rPr>
                <w:rFonts w:ascii="Arial" w:cs="Arial" w:eastAsia="Arial" w:hAnsi="Arial"/>
                <w:sz w:val="18"/>
                <w:szCs w:val="18"/>
                <w:color w:val="auto"/>
              </w:rPr>
            </w:pPr>
            <w:hyperlink w:anchor="page130">
              <w:r>
                <w:rPr>
                  <w:rFonts w:ascii="Arial" w:cs="Arial" w:eastAsia="Arial" w:hAnsi="Arial"/>
                  <w:sz w:val="18"/>
                  <w:szCs w:val="18"/>
                  <w:color w:val="auto"/>
                </w:rPr>
                <w:t>2012, 2013 and 2014</w:t>
              </w:r>
            </w:hyperlink>
          </w:p>
        </w:tc>
        <w:tc>
          <w:tcPr>
            <w:tcW w:w="640" w:type="dxa"/>
            <w:vAlign w:val="bottom"/>
            <w:tcBorders>
              <w:top w:val="single" w:sz="8" w:color="CCEEFF"/>
            </w:tcBorders>
            <w:gridSpan w:val="2"/>
            <w:shd w:val="clear" w:color="auto" w:fill="CCEEFF"/>
          </w:tcPr>
          <w:p>
            <w:pPr>
              <w:spacing w:after="0"/>
              <w:rPr>
                <w:sz w:val="15"/>
                <w:szCs w:val="15"/>
                <w:color w:val="auto"/>
              </w:rPr>
            </w:pPr>
          </w:p>
        </w:tc>
        <w:tc>
          <w:tcPr>
            <w:tcW w:w="1400" w:type="dxa"/>
            <w:vAlign w:val="bottom"/>
            <w:tcBorders>
              <w:top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tcPr>
          <w:p>
            <w:pPr>
              <w:spacing w:after="0" w:line="176" w:lineRule="exact"/>
              <w:rPr>
                <w:rFonts w:ascii="Arial" w:cs="Arial" w:eastAsia="Arial" w:hAnsi="Arial"/>
                <w:sz w:val="18"/>
                <w:szCs w:val="18"/>
                <w:color w:val="auto"/>
              </w:rPr>
            </w:pPr>
            <w:hyperlink w:anchor="page132">
              <w:r>
                <w:rPr>
                  <w:rFonts w:ascii="Arial" w:cs="Arial" w:eastAsia="Arial" w:hAnsi="Arial"/>
                  <w:sz w:val="18"/>
                  <w:szCs w:val="18"/>
                  <w:color w:val="auto"/>
                </w:rPr>
                <w:t>Notes to Consolidated Financial Statements</w:t>
              </w:r>
            </w:hyperlink>
          </w:p>
        </w:tc>
        <w:tc>
          <w:tcPr>
            <w:tcW w:w="14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18"/>
        </w:trPr>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color w:val="auto"/>
              </w:rPr>
              <w:t>F-1</w:t>
            </w: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07" w:right="1440"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226060</wp:posOffset>
            </wp:positionV>
            <wp:extent cx="840740" cy="9690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840740" cy="9690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7" w:lineRule="exact"/>
        <w:rPr>
          <w:sz w:val="20"/>
          <w:szCs w:val="20"/>
          <w:color w:val="auto"/>
        </w:rPr>
      </w:pPr>
    </w:p>
    <w:p>
      <w:pPr>
        <w:ind w:left="120" w:right="279" w:firstLine="216"/>
        <w:spacing w:after="0" w:line="269" w:lineRule="auto"/>
        <w:rPr>
          <w:sz w:val="20"/>
          <w:szCs w:val="20"/>
          <w:color w:val="auto"/>
        </w:rPr>
      </w:pPr>
      <w:r>
        <w:rPr>
          <w:rFonts w:ascii="Arial" w:cs="Arial" w:eastAsia="Arial" w:hAnsi="Arial"/>
          <w:sz w:val="18"/>
          <w:szCs w:val="18"/>
          <w:color w:val="auto"/>
        </w:rPr>
        <w:t>We have audited the accompanying consolidated balance sheets of Kornit Digital Ltd. and its subsidiaries (the “Company”) as of December 31, 2013 and 2014, and the related consolidated statements of income, comprehensive income, shareholders’ equity and cash flows for each of the three years in the period ended December 31, 2014. These consolidated financial statements are the responsibility of the Company’s management. Our responsibility is to express an opinion on these financial statements based on our audits.</w:t>
      </w:r>
    </w:p>
    <w:p>
      <w:pPr>
        <w:spacing w:after="0" w:line="353" w:lineRule="exact"/>
        <w:rPr>
          <w:sz w:val="20"/>
          <w:szCs w:val="20"/>
          <w:color w:val="auto"/>
        </w:rPr>
      </w:pPr>
    </w:p>
    <w:p>
      <w:pPr>
        <w:ind w:left="120" w:right="119" w:firstLine="216"/>
        <w:spacing w:after="0" w:line="25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eﬀectiveness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61" w:lineRule="exact"/>
        <w:rPr>
          <w:sz w:val="20"/>
          <w:szCs w:val="20"/>
          <w:color w:val="auto"/>
        </w:rPr>
      </w:pPr>
    </w:p>
    <w:p>
      <w:pPr>
        <w:ind w:left="120" w:right="119" w:firstLine="216"/>
        <w:spacing w:after="0" w:line="27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and its subsidiaries at December 31, 2013 and 2014, and the consolidated results of their operations and their cash flows for each of the three years in the period ended December 31, 2014, in conformity with U.S. generally accepted accounting principles.</w:t>
      </w:r>
    </w:p>
    <w:p>
      <w:pPr>
        <w:spacing w:after="0" w:line="200" w:lineRule="exact"/>
        <w:rPr>
          <w:sz w:val="20"/>
          <w:szCs w:val="20"/>
          <w:color w:val="auto"/>
        </w:rPr>
      </w:pPr>
    </w:p>
    <w:p>
      <w:pPr>
        <w:spacing w:after="0" w:line="232"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2980" w:type="dxa"/>
            <w:vAlign w:val="bottom"/>
          </w:tcPr>
          <w:p>
            <w:pPr>
              <w:spacing w:after="0"/>
              <w:rPr>
                <w:sz w:val="24"/>
                <w:szCs w:val="24"/>
                <w:color w:val="auto"/>
              </w:rPr>
            </w:pPr>
          </w:p>
        </w:tc>
        <w:tc>
          <w:tcPr>
            <w:tcW w:w="5780" w:type="dxa"/>
            <w:vAlign w:val="bottom"/>
          </w:tcPr>
          <w:p>
            <w:pPr>
              <w:jc w:val="center"/>
              <w:ind w:left="1094"/>
              <w:spacing w:after="0"/>
              <w:rPr>
                <w:sz w:val="20"/>
                <w:szCs w:val="20"/>
                <w:color w:val="auto"/>
              </w:rPr>
            </w:pPr>
            <w:r>
              <w:rPr>
                <w:rFonts w:ascii="Arial" w:cs="Arial" w:eastAsia="Arial" w:hAnsi="Arial"/>
                <w:sz w:val="18"/>
                <w:szCs w:val="18"/>
                <w:color w:val="auto"/>
              </w:rPr>
              <w:t>/s/ Kost Forer Gabbay &amp; Kasierer</w:t>
            </w:r>
          </w:p>
        </w:tc>
      </w:tr>
      <w:tr>
        <w:trPr>
          <w:trHeight w:val="324"/>
        </w:trPr>
        <w:tc>
          <w:tcPr>
            <w:tcW w:w="2980" w:type="dxa"/>
            <w:vAlign w:val="bottom"/>
          </w:tcPr>
          <w:p>
            <w:pPr>
              <w:ind w:left="40"/>
              <w:spacing w:after="0"/>
              <w:rPr>
                <w:sz w:val="20"/>
                <w:szCs w:val="20"/>
                <w:color w:val="auto"/>
              </w:rPr>
            </w:pPr>
            <w:r>
              <w:rPr>
                <w:rFonts w:ascii="Arial" w:cs="Arial" w:eastAsia="Arial" w:hAnsi="Arial"/>
                <w:sz w:val="18"/>
                <w:szCs w:val="18"/>
                <w:color w:val="auto"/>
              </w:rPr>
              <w:t>Tel-Aviv, Israel</w:t>
            </w:r>
          </w:p>
        </w:tc>
        <w:tc>
          <w:tcPr>
            <w:tcW w:w="5780" w:type="dxa"/>
            <w:vAlign w:val="bottom"/>
          </w:tcPr>
          <w:p>
            <w:pPr>
              <w:jc w:val="center"/>
              <w:ind w:left="1094"/>
              <w:spacing w:after="0"/>
              <w:rPr>
                <w:sz w:val="20"/>
                <w:szCs w:val="20"/>
                <w:color w:val="auto"/>
              </w:rPr>
            </w:pPr>
            <w:r>
              <w:rPr>
                <w:rFonts w:ascii="Arial" w:cs="Arial" w:eastAsia="Arial" w:hAnsi="Arial"/>
                <w:sz w:val="18"/>
                <w:szCs w:val="18"/>
                <w:b w:val="1"/>
                <w:bCs w:val="1"/>
                <w:color w:val="auto"/>
              </w:rPr>
              <w:t>KOST FORER GABBAY &amp; KASIERER</w:t>
            </w:r>
          </w:p>
        </w:tc>
      </w:tr>
      <w:tr>
        <w:trPr>
          <w:trHeight w:val="324"/>
        </w:trPr>
        <w:tc>
          <w:tcPr>
            <w:tcW w:w="2980" w:type="dxa"/>
            <w:vAlign w:val="bottom"/>
          </w:tcPr>
          <w:p>
            <w:pPr>
              <w:ind w:left="40"/>
              <w:spacing w:after="0"/>
              <w:rPr>
                <w:sz w:val="20"/>
                <w:szCs w:val="20"/>
                <w:color w:val="auto"/>
              </w:rPr>
            </w:pPr>
            <w:r>
              <w:rPr>
                <w:rFonts w:ascii="Arial" w:cs="Arial" w:eastAsia="Arial" w:hAnsi="Arial"/>
                <w:sz w:val="18"/>
                <w:szCs w:val="18"/>
                <w:color w:val="auto"/>
              </w:rPr>
              <w:t>February 25, 2015</w:t>
            </w:r>
          </w:p>
        </w:tc>
        <w:tc>
          <w:tcPr>
            <w:tcW w:w="5780" w:type="dxa"/>
            <w:vAlign w:val="bottom"/>
          </w:tcPr>
          <w:p>
            <w:pPr>
              <w:jc w:val="center"/>
              <w:ind w:left="1094"/>
              <w:spacing w:after="0"/>
              <w:rPr>
                <w:sz w:val="20"/>
                <w:szCs w:val="20"/>
                <w:color w:val="auto"/>
              </w:rPr>
            </w:pPr>
            <w:r>
              <w:rPr>
                <w:rFonts w:ascii="Arial" w:cs="Arial" w:eastAsia="Arial" w:hAnsi="Arial"/>
                <w:sz w:val="18"/>
                <w:szCs w:val="18"/>
                <w:color w:val="auto"/>
              </w:rPr>
              <w:t>A Member of Ernst &amp; Young Global</w:t>
            </w:r>
          </w:p>
        </w:tc>
      </w:tr>
      <w:tr>
        <w:trPr>
          <w:trHeight w:val="345"/>
        </w:trPr>
        <w:tc>
          <w:tcPr>
            <w:tcW w:w="29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F-2</w:t>
            </w:r>
          </w:p>
        </w:tc>
      </w:tr>
    </w:tbl>
    <w:p>
      <w:pPr>
        <w:sectPr>
          <w:pgSz w:w="11900" w:h="16838" w:orient="portrait"/>
          <w:cols w:equalWidth="0" w:num="1">
            <w:col w:w="9019"/>
          </w:cols>
          <w:pgMar w:left="1440" w:top="1440" w:right="1440" w:bottom="1440" w:gutter="0" w:footer="0" w:header="0"/>
        </w:sectPr>
      </w:pPr>
    </w:p>
    <w:bookmarkStart w:id="124" w:name="page125"/>
    <w:bookmarkEnd w:id="12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5,329</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Trade receivables, net</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Other accounts receivable and prepaid expenses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Inventories</w:t>
            </w:r>
          </w:p>
        </w:tc>
        <w:tc>
          <w:tcPr>
            <w:tcW w:w="1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4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6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27,283</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28,524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Severance pay fund</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issuance costs</w:t>
            </w:r>
          </w:p>
        </w:tc>
        <w:tc>
          <w:tcPr>
            <w:tcW w:w="1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long-term assets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4,344</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20" w:type="dxa"/>
            <w:vAlign w:val="bottom"/>
            <w:gridSpan w:val="6"/>
          </w:tcPr>
          <w:p>
            <w:pPr>
              <w:spacing w:after="0"/>
              <w:rPr>
                <w:sz w:val="20"/>
                <w:szCs w:val="20"/>
                <w:color w:val="auto"/>
              </w:rPr>
            </w:pPr>
            <w:r>
              <w:rPr>
                <w:rFonts w:ascii="Arial" w:cs="Arial" w:eastAsia="Arial" w:hAnsi="Arial"/>
                <w:sz w:val="18"/>
                <w:szCs w:val="18"/>
                <w:color w:val="auto"/>
                <w:w w:val="96"/>
              </w:rPr>
              <w:t>The accompanying notes are an integral part of the consolidated financial statements.</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4"/>
                <w:szCs w:val="14"/>
                <w:color w:val="auto"/>
              </w:rPr>
              <w:t>F-3</w:t>
            </w: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25" w:name="page126"/>
    <w:bookmarkEnd w:id="12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Liabilities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Equity as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89"/>
              </w:rPr>
              <w:t>2014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Trade payables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7,225</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5,901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Deferred revenues and advances from customers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14,402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Ordinary shares of NIS 0.01 par value – Authorized: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89"/>
              </w:rPr>
              <w:t>4,020,280 shares at December 31, 2013 and 2014; Issued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0"/>
              </w:rPr>
              <w:t>and Outstanding: 1,366,310 shares and 1,369,310 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2"/>
              </w:rPr>
              <w:t>at December 31, 2013 and 2014, respectively; 3,296,450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4"/>
              </w:rPr>
              <w:t>shares issued and outstanding pro forma (unaudited) at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December 31, 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Preferred A-1 shares of NIS 0.01 par value – Authorized:</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9"/>
              </w:rPr>
              <w:t>1,927,220 shares at December 31, 2013 and 2014; Issued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and Outstanding: 1,927,140 shares at December 31, 2013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and 2014; 0 shares issued and outstanding pro forma</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(unaudited) at December 31, 2014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4"/>
          </w:tcPr>
          <w:p>
            <w:pPr>
              <w:ind w:left="200"/>
              <w:spacing w:after="0" w:line="176" w:lineRule="exact"/>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15,608</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19,351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19,351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gridSpan w:val="4"/>
          </w:tcPr>
          <w:p>
            <w:pPr>
              <w:ind w:left="200"/>
              <w:spacing w:after="0" w:line="189" w:lineRule="exact"/>
              <w:rPr>
                <w:sz w:val="20"/>
                <w:szCs w:val="20"/>
                <w:color w:val="auto"/>
              </w:rPr>
            </w:pPr>
            <w:r>
              <w:rPr>
                <w:rFonts w:ascii="Arial" w:cs="Arial" w:eastAsia="Arial" w:hAnsi="Arial"/>
                <w:sz w:val="18"/>
                <w:szCs w:val="18"/>
                <w:color w:val="auto"/>
              </w:rPr>
              <w:t>Total liabilities and shareholders’ equity</w:t>
            </w:r>
          </w:p>
        </w:tc>
        <w:tc>
          <w:tcPr>
            <w:tcW w:w="3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31,627</w:t>
            </w:r>
          </w:p>
        </w:tc>
        <w:tc>
          <w:tcPr>
            <w:tcW w:w="64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34,714</w:t>
            </w:r>
          </w:p>
        </w:tc>
        <w:tc>
          <w:tcPr>
            <w:tcW w:w="18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34,714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20" w:type="dxa"/>
            <w:vAlign w:val="bottom"/>
            <w:gridSpan w:val="10"/>
          </w:tcPr>
          <w:p>
            <w:pPr>
              <w:spacing w:after="0"/>
              <w:rPr>
                <w:sz w:val="20"/>
                <w:szCs w:val="20"/>
                <w:color w:val="auto"/>
              </w:rPr>
            </w:pPr>
            <w:r>
              <w:rPr>
                <w:rFonts w:ascii="Arial" w:cs="Arial" w:eastAsia="Arial" w:hAnsi="Arial"/>
                <w:sz w:val="18"/>
                <w:szCs w:val="18"/>
                <w:color w:val="auto"/>
                <w:w w:val="93"/>
              </w:rPr>
              <w:t>The accompanying notes are an integral part of the consolidated financial statements.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ind w:left="3720"/>
              <w:spacing w:after="0"/>
              <w:rPr>
                <w:sz w:val="20"/>
                <w:szCs w:val="20"/>
                <w:color w:val="auto"/>
              </w:rPr>
            </w:pPr>
            <w:r>
              <w:rPr>
                <w:rFonts w:ascii="Arial" w:cs="Arial" w:eastAsia="Arial" w:hAnsi="Arial"/>
                <w:sz w:val="14"/>
                <w:szCs w:val="14"/>
                <w:color w:val="auto"/>
              </w:rPr>
              <w:t>F-4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26" w:name="page127"/>
    <w:bookmarkEnd w:id="12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18,455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25,357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Taxes on income</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0.83</w:t>
            </w:r>
          </w:p>
        </w:tc>
        <w:tc>
          <w:tcPr>
            <w:tcW w:w="34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Basic pro forma net earnings per ordinary share</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vMerge w:val="restart"/>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(unaudited)</w:t>
            </w:r>
          </w:p>
        </w:tc>
        <w:tc>
          <w:tcPr>
            <w:tcW w:w="3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w w:val="98"/>
              </w:rPr>
              <w:t>Diluted pro forma net earnings per ordinary share</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vMerge w:val="restart"/>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7" w:name="page128"/>
    <w:bookmarkEnd w:id="12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439"/>
        <w:spacing w:after="0" w:line="298" w:lineRule="auto"/>
        <w:rPr>
          <w:sz w:val="20"/>
          <w:szCs w:val="20"/>
          <w:color w:val="auto"/>
        </w:rPr>
      </w:pPr>
      <w:r>
        <w:rPr>
          <w:rFonts w:ascii="Arial" w:cs="Arial" w:eastAsia="Arial" w:hAnsi="Arial"/>
          <w:sz w:val="18"/>
          <w:szCs w:val="18"/>
          <w:b w:val="1"/>
          <w:bCs w:val="1"/>
          <w:color w:val="auto"/>
        </w:rPr>
        <w:t>CONSOLIDATED STATEMENTS OF COMPREHENSIVE INCOME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Year ended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9"/>
              </w:rPr>
              <w:t>Net change in accumulated comprehensive income (loss)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3"/>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40" w:type="dxa"/>
            <w:vAlign w:val="bottom"/>
            <w:gridSpan w:val="8"/>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F-6</w:t>
            </w: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28" w:name="page129"/>
    <w:bookmarkEnd w:id="12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20" w:type="dxa"/>
            <w:vAlign w:val="bottom"/>
            <w:gridSpan w:val="4"/>
          </w:tcPr>
          <w:p>
            <w:pPr>
              <w:ind w:left="140"/>
              <w:spacing w:after="0"/>
              <w:rPr>
                <w:sz w:val="20"/>
                <w:szCs w:val="20"/>
                <w:color w:val="auto"/>
              </w:rPr>
            </w:pPr>
            <w:r>
              <w:rPr>
                <w:rFonts w:ascii="Arial" w:cs="Arial" w:eastAsia="Arial" w:hAnsi="Arial"/>
                <w:sz w:val="13"/>
                <w:szCs w:val="13"/>
                <w:b w:val="1"/>
                <w:bCs w:val="1"/>
                <w:color w:val="auto"/>
              </w:rPr>
              <w:t>Preferred A-1 shares</w:t>
            </w:r>
          </w:p>
        </w:tc>
        <w:tc>
          <w:tcPr>
            <w:tcW w:w="208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Ordinary shares</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Accumulated</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2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Other</w:t>
            </w:r>
          </w:p>
        </w:tc>
        <w:tc>
          <w:tcPr>
            <w:tcW w:w="1160" w:type="dxa"/>
            <w:vAlign w:val="bottom"/>
            <w:tcBorders>
              <w:top w:val="single" w:sz="8" w:color="auto"/>
            </w:tcBorders>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rPr>
              <w:t>Number of</w:t>
            </w: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rPr>
              <w:t>Number of</w:t>
            </w: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rPr>
              <w:t>Additional</w:t>
            </w:r>
          </w:p>
        </w:tc>
        <w:tc>
          <w:tcPr>
            <w:tcW w:w="1380" w:type="dxa"/>
            <w:vAlign w:val="bottom"/>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rPr>
              <w:t>other</w:t>
            </w:r>
          </w:p>
        </w:tc>
        <w:tc>
          <w:tcPr>
            <w:tcW w:w="9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180" w:type="dxa"/>
            <w:vAlign w:val="bottom"/>
            <w:gridSpan w:val="2"/>
          </w:tcPr>
          <w:p>
            <w:pPr>
              <w:jc w:val="center"/>
              <w:ind w:right="120"/>
              <w:spacing w:after="0" w:line="11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comprehensive</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w:t>
            </w: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paid in</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comprehensive</w:t>
            </w:r>
          </w:p>
        </w:tc>
        <w:tc>
          <w:tcPr>
            <w:tcW w:w="94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74"/>
        </w:trPr>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outstanding</w:t>
            </w:r>
          </w:p>
        </w:tc>
        <w:tc>
          <w:tcPr>
            <w:tcW w:w="860" w:type="dxa"/>
            <w:vAlign w:val="bottom"/>
            <w:gridSpan w:val="2"/>
            <w:vMerge w:val="continue"/>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outstanding</w:t>
            </w:r>
          </w:p>
        </w:tc>
        <w:tc>
          <w:tcPr>
            <w:tcW w:w="920" w:type="dxa"/>
            <w:vAlign w:val="bottom"/>
            <w:gridSpan w:val="2"/>
            <w:vMerge w:val="continue"/>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capital</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income</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rPr>
              <w:t>Balance at</w:t>
            </w: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December 31,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1,927,140</w:t>
            </w:r>
          </w:p>
        </w:tc>
        <w:tc>
          <w:tcPr>
            <w:tcW w:w="2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1,366,310</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11,710</w:t>
            </w:r>
          </w:p>
        </w:tc>
        <w:tc>
          <w:tcPr>
            <w:tcW w:w="2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11,920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2011</w:t>
            </w:r>
          </w:p>
        </w:tc>
        <w:tc>
          <w:tcPr>
            <w:tcW w:w="9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2,314</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00" w:type="dxa"/>
            <w:vAlign w:val="bottom"/>
          </w:tcPr>
          <w:p>
            <w:pPr>
              <w:spacing w:after="0" w:line="123" w:lineRule="exact"/>
              <w:rPr>
                <w:sz w:val="20"/>
                <w:szCs w:val="20"/>
                <w:color w:val="auto"/>
              </w:rPr>
            </w:pPr>
            <w:r>
              <w:rPr>
                <w:rFonts w:ascii="Arial" w:cs="Arial" w:eastAsia="Arial" w:hAnsi="Arial"/>
                <w:sz w:val="13"/>
                <w:szCs w:val="13"/>
                <w:color w:val="auto"/>
              </w:rPr>
              <w:t>Share-based</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77</w:t>
            </w:r>
          </w:p>
        </w:tc>
        <w:tc>
          <w:tcPr>
            <w:tcW w:w="240" w:type="dxa"/>
            <w:vAlign w:val="bottom"/>
          </w:tcPr>
          <w:p>
            <w:pPr>
              <w:spacing w:after="0"/>
              <w:rPr>
                <w:sz w:val="10"/>
                <w:szCs w:val="10"/>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11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300" w:type="dxa"/>
            <w:vAlign w:val="bottom"/>
          </w:tcPr>
          <w:p>
            <w:pPr>
              <w:spacing w:after="0" w:line="123" w:lineRule="exact"/>
              <w:rPr>
                <w:sz w:val="20"/>
                <w:szCs w:val="20"/>
                <w:color w:val="auto"/>
              </w:rPr>
            </w:pPr>
            <w:r>
              <w:rPr>
                <w:rFonts w:ascii="Arial" w:cs="Arial" w:eastAsia="Arial" w:hAnsi="Arial"/>
                <w:sz w:val="13"/>
                <w:szCs w:val="13"/>
                <w:color w:val="auto"/>
              </w:rPr>
              <w:t>Balance at</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ind w:left="200"/>
              <w:spacing w:after="0"/>
              <w:rPr>
                <w:sz w:val="20"/>
                <w:szCs w:val="20"/>
                <w:color w:val="auto"/>
              </w:rPr>
            </w:pPr>
            <w:r>
              <w:rPr>
                <w:rFonts w:ascii="Arial" w:cs="Arial" w:eastAsia="Arial" w:hAnsi="Arial"/>
                <w:sz w:val="13"/>
                <w:szCs w:val="13"/>
                <w:color w:val="auto"/>
              </w:rPr>
              <w:t>December 31,</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1,927,140</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1,366,310</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11,787</w:t>
            </w:r>
          </w:p>
        </w:tc>
        <w:tc>
          <w:tcPr>
            <w:tcW w:w="240" w:type="dxa"/>
            <w:vAlign w:val="bottom"/>
          </w:tcPr>
          <w:p>
            <w:pPr>
              <w:spacing w:after="0"/>
              <w:rPr>
                <w:sz w:val="12"/>
                <w:szCs w:val="12"/>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2,516</w:t>
            </w:r>
          </w:p>
        </w:tc>
        <w:tc>
          <w:tcPr>
            <w:tcW w:w="2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14,311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20" w:type="dxa"/>
            <w:vAlign w:val="bottom"/>
            <w:gridSpan w:val="2"/>
          </w:tcPr>
          <w:p>
            <w:pPr>
              <w:ind w:left="220"/>
              <w:spacing w:after="0"/>
              <w:rPr>
                <w:sz w:val="20"/>
                <w:szCs w:val="20"/>
                <w:color w:val="auto"/>
              </w:rPr>
            </w:pPr>
            <w:r>
              <w:rPr>
                <w:rFonts w:ascii="Arial" w:cs="Arial" w:eastAsia="Arial" w:hAnsi="Arial"/>
                <w:sz w:val="13"/>
                <w:szCs w:val="13"/>
                <w:color w:val="auto"/>
              </w:rPr>
              <w:t>2012</w:t>
            </w: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1,134</w:t>
            </w:r>
          </w:p>
        </w:tc>
        <w:tc>
          <w:tcPr>
            <w:tcW w:w="2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1,134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0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rPr>
              <w:t>Share-based</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24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compensation</w:t>
            </w:r>
          </w:p>
        </w:tc>
        <w:tc>
          <w:tcPr>
            <w:tcW w:w="116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00" w:type="dxa"/>
            <w:vAlign w:val="bottom"/>
          </w:tcPr>
          <w:p>
            <w:pPr>
              <w:spacing w:after="0" w:line="123" w:lineRule="exact"/>
              <w:rPr>
                <w:sz w:val="20"/>
                <w:szCs w:val="20"/>
                <w:color w:val="auto"/>
              </w:rPr>
            </w:pPr>
            <w:r>
              <w:rPr>
                <w:rFonts w:ascii="Arial" w:cs="Arial" w:eastAsia="Arial" w:hAnsi="Arial"/>
                <w:sz w:val="13"/>
                <w:szCs w:val="13"/>
                <w:color w:val="auto"/>
              </w:rPr>
              <w:t>Other</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ind w:left="200"/>
              <w:spacing w:after="0"/>
              <w:rPr>
                <w:sz w:val="20"/>
                <w:szCs w:val="20"/>
                <w:color w:val="auto"/>
              </w:rPr>
            </w:pPr>
            <w:r>
              <w:rPr>
                <w:rFonts w:ascii="Arial" w:cs="Arial" w:eastAsia="Arial" w:hAnsi="Arial"/>
                <w:sz w:val="13"/>
                <w:szCs w:val="13"/>
                <w:color w:val="auto"/>
              </w:rPr>
              <w:t>comprehensive</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tcPr>
          <w:p>
            <w:pPr>
              <w:ind w:left="200"/>
              <w:spacing w:after="0"/>
              <w:rPr>
                <w:sz w:val="20"/>
                <w:szCs w:val="20"/>
                <w:color w:val="auto"/>
              </w:rPr>
            </w:pPr>
            <w:r>
              <w:rPr>
                <w:rFonts w:ascii="Arial" w:cs="Arial" w:eastAsia="Arial" w:hAnsi="Arial"/>
                <w:sz w:val="13"/>
                <w:szCs w:val="13"/>
                <w:color w:val="auto"/>
              </w:rPr>
              <w:t>income</w:t>
            </w:r>
          </w:p>
        </w:tc>
        <w:tc>
          <w:tcPr>
            <w:tcW w:w="11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300" w:type="dxa"/>
            <w:vAlign w:val="bottom"/>
          </w:tcPr>
          <w:p>
            <w:pPr>
              <w:spacing w:after="0" w:line="123" w:lineRule="exact"/>
              <w:rPr>
                <w:sz w:val="20"/>
                <w:szCs w:val="20"/>
                <w:color w:val="auto"/>
              </w:rPr>
            </w:pPr>
            <w:r>
              <w:rPr>
                <w:rFonts w:ascii="Arial" w:cs="Arial" w:eastAsia="Arial" w:hAnsi="Arial"/>
                <w:sz w:val="13"/>
                <w:szCs w:val="13"/>
                <w:color w:val="auto"/>
              </w:rPr>
              <w:t>Balance at</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ind w:left="200"/>
              <w:spacing w:after="0"/>
              <w:rPr>
                <w:sz w:val="20"/>
                <w:szCs w:val="20"/>
                <w:color w:val="auto"/>
              </w:rPr>
            </w:pPr>
            <w:r>
              <w:rPr>
                <w:rFonts w:ascii="Arial" w:cs="Arial" w:eastAsia="Arial" w:hAnsi="Arial"/>
                <w:sz w:val="13"/>
                <w:szCs w:val="13"/>
                <w:color w:val="auto"/>
              </w:rPr>
              <w:t>December 31,</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1,927,140</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1,366,310</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11,913</w:t>
            </w:r>
          </w:p>
        </w:tc>
        <w:tc>
          <w:tcPr>
            <w:tcW w:w="2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2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3,650</w:t>
            </w:r>
          </w:p>
        </w:tc>
        <w:tc>
          <w:tcPr>
            <w:tcW w:w="2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15,608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20" w:type="dxa"/>
            <w:vAlign w:val="bottom"/>
            <w:gridSpan w:val="2"/>
          </w:tcPr>
          <w:p>
            <w:pPr>
              <w:ind w:left="220"/>
              <w:spacing w:after="0"/>
              <w:rPr>
                <w:sz w:val="20"/>
                <w:szCs w:val="20"/>
                <w:color w:val="auto"/>
              </w:rPr>
            </w:pPr>
            <w:r>
              <w:rPr>
                <w:rFonts w:ascii="Arial" w:cs="Arial" w:eastAsia="Arial" w:hAnsi="Arial"/>
                <w:sz w:val="13"/>
                <w:szCs w:val="13"/>
                <w:color w:val="auto"/>
              </w:rPr>
              <w:t>2013</w:t>
            </w: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3,023</w:t>
            </w:r>
          </w:p>
        </w:tc>
        <w:tc>
          <w:tcPr>
            <w:tcW w:w="2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0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rPr>
              <w:t>Exercise of</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00" w:type="dxa"/>
            <w:vAlign w:val="bottom"/>
          </w:tcPr>
          <w:p>
            <w:pPr>
              <w:spacing w:after="0" w:line="123" w:lineRule="exact"/>
              <w:rPr>
                <w:sz w:val="20"/>
                <w:szCs w:val="20"/>
                <w:color w:val="auto"/>
              </w:rPr>
            </w:pPr>
            <w:r>
              <w:rPr>
                <w:rFonts w:ascii="Arial" w:cs="Arial" w:eastAsia="Arial" w:hAnsi="Arial"/>
                <w:sz w:val="13"/>
                <w:szCs w:val="13"/>
                <w:color w:val="auto"/>
              </w:rPr>
              <w:t>Share-based</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897</w:t>
            </w:r>
          </w:p>
        </w:tc>
        <w:tc>
          <w:tcPr>
            <w:tcW w:w="240" w:type="dxa"/>
            <w:vAlign w:val="bottom"/>
          </w:tcPr>
          <w:p>
            <w:pPr>
              <w:spacing w:after="0"/>
              <w:rPr>
                <w:sz w:val="10"/>
                <w:szCs w:val="10"/>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897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11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0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rPr>
              <w:t>Other</w:t>
            </w: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comprehensive</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(183)</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116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rPr>
              <w:t>Balance at</w:t>
            </w: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December 31,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1,927,140</w:t>
            </w:r>
          </w:p>
        </w:tc>
        <w:tc>
          <w:tcPr>
            <w:tcW w:w="2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1,369,310</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12,816</w:t>
            </w:r>
          </w:p>
        </w:tc>
        <w:tc>
          <w:tcPr>
            <w:tcW w:w="2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(146)</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6,673</w:t>
            </w: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19,351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2014</w:t>
            </w:r>
          </w:p>
        </w:tc>
        <w:tc>
          <w:tcPr>
            <w:tcW w:w="92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an amount lower than $1.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0080"/>
          </w:cols>
          <w:pgMar w:left="1440" w:top="121" w:right="379" w:bottom="1440" w:gutter="0" w:footer="0" w:header="0"/>
        </w:sectPr>
      </w:pPr>
    </w:p>
    <w:bookmarkStart w:id="129" w:name="page130"/>
    <w:bookmarkEnd w:id="12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gridSpan w:val="4"/>
            <w:shd w:val="clear" w:color="auto" w:fill="CCEEFF"/>
          </w:tcPr>
          <w:p>
            <w:pPr>
              <w:spacing w:after="0" w:line="176" w:lineRule="exact"/>
              <w:rPr>
                <w:sz w:val="20"/>
                <w:szCs w:val="20"/>
                <w:color w:val="auto"/>
              </w:rPr>
            </w:pPr>
            <w:r>
              <w:rPr>
                <w:rFonts w:ascii="Arial" w:cs="Arial" w:eastAsia="Arial" w:hAnsi="Arial"/>
                <w:sz w:val="16"/>
                <w:szCs w:val="16"/>
                <w:color w:val="auto"/>
              </w:rPr>
              <w:t>Cash flows used in operating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gridSpan w:val="4"/>
          </w:tcPr>
          <w:p>
            <w:pPr>
              <w:spacing w:after="0"/>
              <w:rPr>
                <w:sz w:val="20"/>
                <w:szCs w:val="20"/>
                <w:color w:val="auto"/>
              </w:rPr>
            </w:pPr>
            <w:r>
              <w:rPr>
                <w:rFonts w:ascii="Arial" w:cs="Arial" w:eastAsia="Arial" w:hAnsi="Arial"/>
                <w:sz w:val="16"/>
                <w:szCs w:val="16"/>
                <w:color w:val="auto"/>
                <w:w w:val="94"/>
              </w:rPr>
              <w:t>Adjustments to reconcile net income to net cash provided by</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gridSpan w:val="4"/>
          </w:tcPr>
          <w:p>
            <w:pPr>
              <w:ind w:left="200"/>
              <w:spacing w:after="0"/>
              <w:rPr>
                <w:sz w:val="20"/>
                <w:szCs w:val="20"/>
                <w:color w:val="auto"/>
              </w:rPr>
            </w:pPr>
            <w:r>
              <w:rPr>
                <w:rFonts w:ascii="Arial" w:cs="Arial" w:eastAsia="Arial" w:hAnsi="Arial"/>
                <w:sz w:val="16"/>
                <w:szCs w:val="16"/>
                <w:color w:val="auto"/>
              </w:rPr>
              <w:t>(used in) operating activities: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(decrease) in accrued severance pay,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Changes in deferred income taxes,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trade receivables,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Decrease (increase) in other accounts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inventories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Increase (decrease) in trade payables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3"/>
              </w:rPr>
              <w:t>Increase (decrease) in deferred revenues and advances from</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(1,119)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customers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Increase in employees and payroll accruals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other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w w:val="93"/>
              </w:rPr>
              <w:t>Increase (decrease) in other payables and accrued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Interest on short-term bank deposit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Gain from sale of property and equipment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Foreign currency re-measurement gain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gridSpan w:val="4"/>
            <w:shd w:val="clear" w:color="auto" w:fill="CCEEFF"/>
          </w:tcPr>
          <w:p>
            <w:pPr>
              <w:spacing w:after="0" w:line="176" w:lineRule="exact"/>
              <w:rPr>
                <w:sz w:val="20"/>
                <w:szCs w:val="20"/>
                <w:color w:val="auto"/>
              </w:rPr>
            </w:pPr>
            <w:r>
              <w:rPr>
                <w:rFonts w:ascii="Arial" w:cs="Arial" w:eastAsia="Arial" w:hAnsi="Arial"/>
                <w:sz w:val="16"/>
                <w:szCs w:val="16"/>
                <w:color w:val="auto"/>
              </w:rPr>
              <w:t>Cash flows used in investing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auto"/>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Purchase of intangible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(327</w:t>
            </w: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(investment in) bank deposits,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Proceeds from sale of property and equipment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(3,121)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80" w:type="dxa"/>
            <w:vAlign w:val="bottom"/>
            <w:gridSpan w:val="5"/>
          </w:tcPr>
          <w:p>
            <w:pPr>
              <w:spacing w:after="0" w:line="176" w:lineRule="exact"/>
              <w:rPr>
                <w:sz w:val="20"/>
                <w:szCs w:val="20"/>
                <w:color w:val="auto"/>
              </w:rPr>
            </w:pPr>
            <w:r>
              <w:rPr>
                <w:rFonts w:ascii="Arial" w:cs="Arial" w:eastAsia="Arial" w:hAnsi="Arial"/>
                <w:sz w:val="16"/>
                <w:szCs w:val="16"/>
                <w:color w:val="auto"/>
              </w:rPr>
              <w:t>Cash flows used in financing activities: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Payment of deferred issuance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6"/>
              </w:rPr>
              <w:t>Foreign currency translation adjustments on cash and cash</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equivalents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6"/>
                <w:szCs w:val="16"/>
                <w:color w:val="auto"/>
              </w:rPr>
              <w:t>Increase (decrease) in cash and cash equivalents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(4,163)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year</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gridSpan w:val="4"/>
            <w:shd w:val="clear" w:color="auto" w:fill="CCEEFF"/>
          </w:tcPr>
          <w:p>
            <w:pPr>
              <w:spacing w:after="0" w:line="176" w:lineRule="exact"/>
              <w:rPr>
                <w:sz w:val="20"/>
                <w:szCs w:val="20"/>
                <w:color w:val="auto"/>
              </w:rPr>
            </w:pPr>
            <w:r>
              <w:rPr>
                <w:rFonts w:ascii="Arial" w:cs="Arial" w:eastAsia="Arial" w:hAnsi="Arial"/>
                <w:sz w:val="16"/>
                <w:szCs w:val="16"/>
                <w:color w:val="auto"/>
              </w:rPr>
              <w:t>Supplemental disclosure of cash flow information:</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paid during the year for income taxes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121"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0" w:name="page131"/>
    <w:bookmarkEnd w:id="13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Year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 Non-cash investing and financing activities: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Purchase of property and equipment on credit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760" w:type="dxa"/>
            <w:vAlign w:val="bottom"/>
            <w:tcBorders>
              <w:top w:val="single" w:sz="8" w:color="CCEEFF"/>
              <w:bottom w:val="single" w:sz="8" w:color="CCEEFF"/>
            </w:tcBorders>
            <w:gridSpan w:val="2"/>
            <w:vMerge w:val="restart"/>
          </w:tcPr>
          <w:p>
            <w:pPr>
              <w:ind w:left="80"/>
              <w:spacing w:after="0" w:line="195" w:lineRule="exact"/>
              <w:rPr>
                <w:sz w:val="20"/>
                <w:szCs w:val="20"/>
                <w:color w:val="auto"/>
              </w:rPr>
            </w:pPr>
            <w:r>
              <w:rPr>
                <w:rFonts w:ascii="Arial" w:cs="Arial" w:eastAsia="Arial" w:hAnsi="Arial"/>
                <w:sz w:val="18"/>
                <w:szCs w:val="18"/>
                <w:color w:val="auto"/>
                <w:w w:val="95"/>
              </w:rPr>
              <w:t>Inventory transferred to be used as property and</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42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3"/>
                <w:szCs w:val="13"/>
                <w:color w:val="auto"/>
              </w:rPr>
            </w:pPr>
          </w:p>
        </w:tc>
        <w:tc>
          <w:tcPr>
            <w:tcW w:w="240" w:type="dxa"/>
            <w:vAlign w:val="bottom"/>
            <w:vMerge w:val="restart"/>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gridSpan w:val="2"/>
          </w:tcPr>
          <w:p>
            <w:pPr>
              <w:ind w:left="80"/>
              <w:spacing w:after="0"/>
              <w:rPr>
                <w:sz w:val="20"/>
                <w:szCs w:val="20"/>
                <w:color w:val="auto"/>
              </w:rPr>
            </w:pPr>
            <w:r>
              <w:rPr>
                <w:rFonts w:ascii="Arial" w:cs="Arial" w:eastAsia="Arial" w:hAnsi="Arial"/>
                <w:sz w:val="18"/>
                <w:szCs w:val="18"/>
                <w:color w:val="auto"/>
              </w:rPr>
              <w:t>equipment</w:t>
            </w:r>
          </w:p>
        </w:tc>
        <w:tc>
          <w:tcPr>
            <w:tcW w:w="42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3760" w:type="dxa"/>
            <w:vAlign w:val="bottom"/>
            <w:tcBorders>
              <w:top w:val="single" w:sz="8" w:color="CCEEFF"/>
            </w:tcBorders>
            <w:gridSpan w:val="2"/>
            <w:vMerge w:val="restart"/>
            <w:shd w:val="clear" w:color="auto" w:fill="CCEEFF"/>
          </w:tcPr>
          <w:p>
            <w:pPr>
              <w:ind w:left="80"/>
              <w:spacing w:after="0" w:line="176" w:lineRule="exact"/>
              <w:rPr>
                <w:sz w:val="20"/>
                <w:szCs w:val="20"/>
                <w:color w:val="auto"/>
              </w:rPr>
            </w:pPr>
            <w:r>
              <w:rPr>
                <w:rFonts w:ascii="Arial" w:cs="Arial" w:eastAsia="Arial" w:hAnsi="Arial"/>
                <w:sz w:val="18"/>
                <w:szCs w:val="18"/>
                <w:color w:val="auto"/>
                <w:w w:val="92"/>
              </w:rPr>
              <w:t>Property and equipment transferred to be used as</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3760" w:type="dxa"/>
            <w:vAlign w:val="bottom"/>
            <w:gridSpan w:val="2"/>
            <w:vMerge w:val="continue"/>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4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480" w:type="dxa"/>
            <w:vAlign w:val="bottom"/>
            <w:tcBorders>
              <w:right w:val="single" w:sz="8" w:color="CCEEFF"/>
            </w:tcBorders>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gridSpan w:val="2"/>
            <w:vMerge w:val="restart"/>
          </w:tcPr>
          <w:p>
            <w:pPr>
              <w:ind w:left="80"/>
              <w:spacing w:after="0"/>
              <w:rPr>
                <w:sz w:val="20"/>
                <w:szCs w:val="20"/>
                <w:color w:val="auto"/>
              </w:rPr>
            </w:pPr>
            <w:r>
              <w:rPr>
                <w:rFonts w:ascii="Arial" w:cs="Arial" w:eastAsia="Arial" w:hAnsi="Arial"/>
                <w:sz w:val="18"/>
                <w:szCs w:val="18"/>
                <w:color w:val="auto"/>
              </w:rPr>
              <w:t>Issuance expenses on credit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1" w:name="page132"/>
    <w:bookmarkEnd w:id="13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1520" w:right="199" w:hanging="369"/>
        <w:spacing w:after="0" w:line="257" w:lineRule="auto"/>
        <w:tabs>
          <w:tab w:leader="none" w:pos="15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 and its subsidiaries’ solutions are based on their proprietary digital textile printing systems, ink and other consumables, associated software and value added services.</w:t>
      </w:r>
    </w:p>
    <w:p>
      <w:pPr>
        <w:spacing w:after="0" w:line="188" w:lineRule="exact"/>
        <w:rPr>
          <w:rFonts w:ascii="Arial" w:cs="Arial" w:eastAsia="Arial" w:hAnsi="Arial"/>
          <w:sz w:val="18"/>
          <w:szCs w:val="18"/>
          <w:color w:val="auto"/>
        </w:rPr>
      </w:pPr>
    </w:p>
    <w:p>
      <w:pPr>
        <w:jc w:val="both"/>
        <w:ind w:left="1520" w:right="359" w:hanging="369"/>
        <w:spacing w:after="0" w:line="312" w:lineRule="auto"/>
        <w:tabs>
          <w:tab w:leader="none" w:pos="147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has established wholly-owned subsidiaries in Israel, the United States, Germany and Hong-Kong. The Company’s subsidiaries are engaged primarily in sales, and marketing, except for the Israeli subsidiary which is engaged primarily in research and development and manufacturing.</w:t>
      </w:r>
    </w:p>
    <w:p>
      <w:pPr>
        <w:spacing w:after="0" w:line="146" w:lineRule="exact"/>
        <w:rPr>
          <w:rFonts w:ascii="Arial" w:cs="Arial" w:eastAsia="Arial" w:hAnsi="Arial"/>
          <w:sz w:val="16"/>
          <w:szCs w:val="16"/>
          <w:color w:val="auto"/>
        </w:rPr>
      </w:pPr>
    </w:p>
    <w:p>
      <w:pPr>
        <w:ind w:left="1520" w:right="139" w:hanging="369"/>
        <w:spacing w:after="0" w:line="297" w:lineRule="auto"/>
        <w:tabs>
          <w:tab w:leader="none" w:pos="150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depends on two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160" w:right="919"/>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520" w:hanging="36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1520" w:right="159"/>
        <w:spacing w:after="0" w:line="255"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9" w:lineRule="exact"/>
        <w:rPr>
          <w:rFonts w:ascii="Arial" w:cs="Arial" w:eastAsia="Arial" w:hAnsi="Arial"/>
          <w:sz w:val="18"/>
          <w:szCs w:val="18"/>
          <w:color w:val="auto"/>
        </w:rPr>
      </w:pPr>
    </w:p>
    <w:p>
      <w:pPr>
        <w:ind w:left="1520" w:right="239"/>
        <w:spacing w:after="0" w:line="255" w:lineRule="auto"/>
        <w:rPr>
          <w:rFonts w:ascii="Arial" w:cs="Arial" w:eastAsia="Arial" w:hAnsi="Arial"/>
          <w:sz w:val="18"/>
          <w:szCs w:val="18"/>
          <w:color w:val="auto"/>
        </w:rPr>
      </w:pPr>
      <w:r>
        <w:rPr>
          <w:rFonts w:ascii="Arial" w:cs="Arial" w:eastAsia="Arial" w:hAnsi="Arial"/>
          <w:sz w:val="18"/>
          <w:szCs w:val="18"/>
          <w:color w:val="auto"/>
        </w:rPr>
        <w:t>On an ongoing basis, the Company’s management evaluates estimates, including those related to fair value and useful life of intangible assets,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193" w:lineRule="exact"/>
        <w:rPr>
          <w:rFonts w:ascii="Arial" w:cs="Arial" w:eastAsia="Arial" w:hAnsi="Arial"/>
          <w:sz w:val="18"/>
          <w:szCs w:val="18"/>
          <w:color w:val="auto"/>
        </w:rPr>
      </w:pPr>
    </w:p>
    <w:p>
      <w:pPr>
        <w:ind w:left="1480" w:hanging="329"/>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25" w:lineRule="exact"/>
        <w:rPr>
          <w:sz w:val="20"/>
          <w:szCs w:val="20"/>
          <w:color w:val="auto"/>
        </w:rPr>
      </w:pPr>
    </w:p>
    <w:p>
      <w:pPr>
        <w:ind w:left="1520" w:right="179"/>
        <w:spacing w:after="0" w:line="288" w:lineRule="auto"/>
        <w:rPr>
          <w:sz w:val="20"/>
          <w:szCs w:val="20"/>
          <w:color w:val="auto"/>
        </w:rPr>
      </w:pPr>
      <w:r>
        <w:rPr>
          <w:rFonts w:ascii="Arial" w:cs="Arial" w:eastAsia="Arial" w:hAnsi="Arial"/>
          <w:sz w:val="16"/>
          <w:szCs w:val="16"/>
          <w:color w:val="auto"/>
        </w:rPr>
        <w:t>A majority of the revenues of the Company and its subsidiaries are denominated in U.S. dollars (“dollar” or “dollars”). The Company’s management believes that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(expense) in the period in which the currency exchange rates 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2" w:name="page133"/>
    <w:bookmarkEnd w:id="13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right="159"/>
        <w:spacing w:after="0" w:line="273" w:lineRule="auto"/>
        <w:rPr>
          <w:sz w:val="20"/>
          <w:szCs w:val="20"/>
          <w:color w:val="auto"/>
        </w:rPr>
      </w:pPr>
      <w:r>
        <w:rPr>
          <w:rFonts w:ascii="Arial" w:cs="Arial" w:eastAsia="Arial" w:hAnsi="Arial"/>
          <w:sz w:val="17"/>
          <w:szCs w:val="17"/>
          <w:color w:val="auto"/>
        </w:rPr>
        <w:t>For the Company’s subsidiary in Germany whose functional currency starting 2013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78" w:lineRule="exact"/>
        <w:rPr>
          <w:sz w:val="20"/>
          <w:szCs w:val="20"/>
          <w:color w:val="auto"/>
        </w:rPr>
      </w:pPr>
    </w:p>
    <w:p>
      <w:pPr>
        <w:ind w:left="1520" w:hanging="36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Unaudited pro forma shareholders equity:</w:t>
      </w:r>
    </w:p>
    <w:p>
      <w:pPr>
        <w:spacing w:after="0" w:line="225" w:lineRule="exact"/>
        <w:rPr>
          <w:rFonts w:ascii="Arial" w:cs="Arial" w:eastAsia="Arial" w:hAnsi="Arial"/>
          <w:sz w:val="18"/>
          <w:szCs w:val="18"/>
          <w:color w:val="auto"/>
        </w:rPr>
      </w:pPr>
    </w:p>
    <w:p>
      <w:pPr>
        <w:ind w:left="1520" w:right="119"/>
        <w:spacing w:after="0" w:line="254" w:lineRule="auto"/>
        <w:rPr>
          <w:rFonts w:ascii="Arial" w:cs="Arial" w:eastAsia="Arial" w:hAnsi="Arial"/>
          <w:sz w:val="18"/>
          <w:szCs w:val="18"/>
          <w:color w:val="auto"/>
        </w:rPr>
      </w:pPr>
      <w:r>
        <w:rPr>
          <w:rFonts w:ascii="Arial" w:cs="Arial" w:eastAsia="Arial" w:hAnsi="Arial"/>
          <w:sz w:val="18"/>
          <w:szCs w:val="18"/>
          <w:color w:val="auto"/>
        </w:rPr>
        <w:t>The Company’s board of directors has authorized the filing of a Registration Statement with the U.S. Securities and Exchange Commission to register the Company’s ordinary shares for sale to the public. Upon the closing of the Company’s proposed Initial Public Offering (the “IPO”), subject to satisfying the requirement of a Qualified IPO which is defined as an IPO that results in at least $30,000 of proceeds to the Company, all of the authorized, issued, and outstanding preferred shares of the Company will be automatically converted into ordinary shares. Unaudited pro forma shareholders’ equity as of December 31, 2014, as adjusted for the assumed conversion of such shares is disclosed in the balance sheet.</w:t>
      </w:r>
    </w:p>
    <w:p>
      <w:pPr>
        <w:spacing w:after="0" w:line="192" w:lineRule="exact"/>
        <w:rPr>
          <w:rFonts w:ascii="Arial" w:cs="Arial" w:eastAsia="Arial" w:hAnsi="Arial"/>
          <w:sz w:val="18"/>
          <w:szCs w:val="18"/>
          <w:color w:val="auto"/>
        </w:rPr>
      </w:pPr>
    </w:p>
    <w:p>
      <w:pPr>
        <w:ind w:left="1480" w:hanging="329"/>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left="1520" w:right="379"/>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81" w:lineRule="exact"/>
        <w:rPr>
          <w:sz w:val="20"/>
          <w:szCs w:val="20"/>
          <w:color w:val="auto"/>
        </w:rPr>
      </w:pPr>
    </w:p>
    <w:p>
      <w:pPr>
        <w:ind w:left="1520" w:hanging="36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20" w:right="439"/>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00" w:hanging="349"/>
        <w:spacing w:after="0"/>
        <w:tabs>
          <w:tab w:leader="none" w:pos="1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Short-term deposits:</w:t>
      </w:r>
    </w:p>
    <w:p>
      <w:pPr>
        <w:spacing w:after="0" w:line="225" w:lineRule="exact"/>
        <w:rPr>
          <w:sz w:val="20"/>
          <w:szCs w:val="20"/>
          <w:color w:val="auto"/>
        </w:rPr>
      </w:pPr>
    </w:p>
    <w:p>
      <w:pPr>
        <w:ind w:left="1520" w:right="259"/>
        <w:spacing w:after="0" w:line="264" w:lineRule="auto"/>
        <w:rPr>
          <w:sz w:val="20"/>
          <w:szCs w:val="20"/>
          <w:color w:val="auto"/>
        </w:rPr>
      </w:pPr>
      <w:r>
        <w:rPr>
          <w:rFonts w:ascii="Arial" w:cs="Arial" w:eastAsia="Arial" w:hAnsi="Arial"/>
          <w:sz w:val="18"/>
          <w:szCs w:val="18"/>
          <w:color w:val="auto"/>
        </w:rPr>
        <w:t>Short-term bank deposits are deposits with an original maturity of more than three months but less than one year from the date of acquisition. The deposits are presented at their cost including accrued interest.</w:t>
      </w:r>
    </w:p>
    <w:p>
      <w:pPr>
        <w:spacing w:after="0" w:line="181" w:lineRule="exact"/>
        <w:rPr>
          <w:sz w:val="20"/>
          <w:szCs w:val="20"/>
          <w:color w:val="auto"/>
        </w:rPr>
      </w:pPr>
    </w:p>
    <w:p>
      <w:pPr>
        <w:ind w:left="1480" w:hanging="329"/>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left="1520" w:right="159"/>
        <w:spacing w:after="0" w:line="279" w:lineRule="auto"/>
        <w:rPr>
          <w:sz w:val="20"/>
          <w:szCs w:val="20"/>
          <w:color w:val="auto"/>
        </w:rPr>
      </w:pPr>
      <w:r>
        <w:rPr>
          <w:rFonts w:ascii="Arial" w:cs="Arial" w:eastAsia="Arial" w:hAnsi="Arial"/>
          <w:sz w:val="17"/>
          <w:szCs w:val="17"/>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3" w:name="page134"/>
    <w:bookmarkEnd w:id="13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Cost of inventories is determined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Raw and packing materials — on the basis of weighted average cost.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Finished goods — on the basis of average costs of materials, and other direct manufacturing cost.</w:t>
      </w:r>
    </w:p>
    <w:p>
      <w:pPr>
        <w:spacing w:after="0" w:line="237" w:lineRule="exact"/>
        <w:rPr>
          <w:sz w:val="20"/>
          <w:szCs w:val="20"/>
          <w:color w:val="auto"/>
        </w:rPr>
      </w:pPr>
    </w:p>
    <w:p>
      <w:pPr>
        <w:ind w:left="1520" w:right="579"/>
        <w:spacing w:after="0" w:line="308" w:lineRule="auto"/>
        <w:rPr>
          <w:sz w:val="20"/>
          <w:szCs w:val="20"/>
          <w:color w:val="auto"/>
        </w:rPr>
      </w:pPr>
      <w:r>
        <w:rPr>
          <w:rFonts w:ascii="Arial" w:cs="Arial" w:eastAsia="Arial" w:hAnsi="Arial"/>
          <w:sz w:val="17"/>
          <w:szCs w:val="17"/>
          <w:color w:val="auto"/>
        </w:rPr>
        <w:t>Inventory write off have been provided to cover risks arising from dead and slow moving items, technological obsolescence and excess inventories according to revenue forecasts.</w:t>
      </w:r>
    </w:p>
    <w:p>
      <w:pPr>
        <w:spacing w:after="0" w:line="147" w:lineRule="exact"/>
        <w:rPr>
          <w:sz w:val="20"/>
          <w:szCs w:val="20"/>
          <w:color w:val="auto"/>
        </w:rPr>
      </w:pPr>
    </w:p>
    <w:p>
      <w:pPr>
        <w:ind w:left="1520" w:right="499"/>
        <w:spacing w:after="0" w:line="277" w:lineRule="auto"/>
        <w:rPr>
          <w:sz w:val="20"/>
          <w:szCs w:val="20"/>
          <w:color w:val="auto"/>
        </w:rPr>
      </w:pPr>
      <w:r>
        <w:rPr>
          <w:rFonts w:ascii="Arial" w:cs="Arial" w:eastAsia="Arial" w:hAnsi="Arial"/>
          <w:sz w:val="18"/>
          <w:szCs w:val="18"/>
          <w:color w:val="auto"/>
        </w:rPr>
        <w:t>During the years ended 2012, 2013 and 2014 the Company recorded inventory write off in a total amount of $129, $369 and $287, respectively.</w:t>
      </w:r>
    </w:p>
    <w:p>
      <w:pPr>
        <w:spacing w:after="0" w:line="170" w:lineRule="exact"/>
        <w:rPr>
          <w:sz w:val="20"/>
          <w:szCs w:val="20"/>
          <w:color w:val="auto"/>
        </w:rPr>
      </w:pPr>
    </w:p>
    <w:p>
      <w:pPr>
        <w:ind w:left="1520" w:hanging="369"/>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rFonts w:ascii="Arial" w:cs="Arial" w:eastAsia="Arial" w:hAnsi="Arial"/>
          <w:sz w:val="18"/>
          <w:szCs w:val="18"/>
          <w:color w:val="auto"/>
        </w:rPr>
      </w:pPr>
    </w:p>
    <w:p>
      <w:pPr>
        <w:jc w:val="both"/>
        <w:ind w:left="1520" w:right="279"/>
        <w:spacing w:after="0" w:line="312" w:lineRule="auto"/>
        <w:rPr>
          <w:rFonts w:ascii="Arial" w:cs="Arial" w:eastAsia="Arial" w:hAnsi="Arial"/>
          <w:sz w:val="18"/>
          <w:szCs w:val="18"/>
          <w:color w:val="auto"/>
        </w:rPr>
      </w:pPr>
      <w:r>
        <w:rPr>
          <w:rFonts w:ascii="Arial" w:cs="Arial" w:eastAsia="Arial" w:hAnsi="Arial"/>
          <w:sz w:val="16"/>
          <w:szCs w:val="16"/>
          <w:color w:val="auto"/>
        </w:rPr>
        <w:t>Property and equipment are measured at cost, including directly attributable costs, less accumulated depreciation and amortization and accumulated impairment losses. Depreciation and amortization is calculated on a straight-line basis over the useful life of the assets at annual rates as follows:</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7 –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860" w:right="219" w:hanging="286"/>
        <w:spacing w:after="0" w:line="264" w:lineRule="auto"/>
        <w:tabs>
          <w:tab w:leader="none" w:pos="1874" w:val="left"/>
        </w:tabs>
        <w:numPr>
          <w:ilvl w:val="1"/>
          <w:numId w:val="93"/>
        </w:numPr>
        <w:rPr>
          <w:rFonts w:ascii="Arial" w:cs="Arial" w:eastAsia="Arial" w:hAnsi="Arial"/>
          <w:sz w:val="18"/>
          <w:szCs w:val="18"/>
          <w:color w:val="auto"/>
        </w:rPr>
      </w:pPr>
      <w:r>
        <w:rPr>
          <w:rFonts w:ascii="Arial" w:cs="Arial" w:eastAsia="Arial" w:hAnsi="Arial"/>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81" w:lineRule="exact"/>
        <w:rPr>
          <w:rFonts w:ascii="Arial" w:cs="Arial" w:eastAsia="Arial" w:hAnsi="Arial"/>
          <w:sz w:val="18"/>
          <w:szCs w:val="18"/>
          <w:color w:val="auto"/>
        </w:rPr>
      </w:pPr>
    </w:p>
    <w:p>
      <w:pPr>
        <w:ind w:left="1520" w:hanging="36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Impairment of long lived assets and intangible assets subject to amortization:</w:t>
      </w:r>
    </w:p>
    <w:p>
      <w:pPr>
        <w:spacing w:after="0" w:line="225" w:lineRule="exact"/>
        <w:rPr>
          <w:rFonts w:ascii="Arial" w:cs="Arial" w:eastAsia="Arial" w:hAnsi="Arial"/>
          <w:sz w:val="18"/>
          <w:szCs w:val="18"/>
          <w:color w:val="auto"/>
        </w:rPr>
      </w:pPr>
    </w:p>
    <w:p>
      <w:pPr>
        <w:ind w:left="1520" w:right="119"/>
        <w:spacing w:after="0" w:line="291" w:lineRule="auto"/>
        <w:rPr>
          <w:rFonts w:ascii="Arial" w:cs="Arial" w:eastAsia="Arial" w:hAnsi="Arial"/>
          <w:sz w:val="18"/>
          <w:szCs w:val="18"/>
          <w:color w:val="auto"/>
        </w:rPr>
      </w:pPr>
      <w:r>
        <w:rPr>
          <w:rFonts w:ascii="Arial" w:cs="Arial" w:eastAsia="Arial" w:hAnsi="Arial"/>
          <w:sz w:val="16"/>
          <w:szCs w:val="16"/>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6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During the years ended 2012, 2013 and 2014 no impairment losses were recorded.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4" w:name="page135"/>
    <w:bookmarkEnd w:id="13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36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520" w:right="359"/>
        <w:spacing w:after="0" w:line="264" w:lineRule="auto"/>
        <w:rPr>
          <w:rFonts w:ascii="Arial" w:cs="Arial" w:eastAsia="Arial" w:hAnsi="Arial"/>
          <w:sz w:val="18"/>
          <w:szCs w:val="18"/>
          <w:color w:val="auto"/>
        </w:rPr>
      </w:pPr>
      <w:r>
        <w:rPr>
          <w:rFonts w:ascii="Arial" w:cs="Arial" w:eastAsia="Arial" w:hAnsi="Arial"/>
          <w:sz w:val="18"/>
          <w:szCs w:val="18"/>
          <w:color w:val="auto"/>
        </w:rPr>
        <w:t>The Company generates revenues from the sale of its systems, inks and consumable products and from services to its products. The Company generates revenues from sale of its products directly to end-users and indirectly through independent distributors.</w:t>
      </w:r>
    </w:p>
    <w:p>
      <w:pPr>
        <w:spacing w:after="0" w:line="181" w:lineRule="exact"/>
        <w:rPr>
          <w:rFonts w:ascii="Arial" w:cs="Arial" w:eastAsia="Arial" w:hAnsi="Arial"/>
          <w:sz w:val="18"/>
          <w:szCs w:val="18"/>
          <w:color w:val="auto"/>
        </w:rPr>
      </w:pPr>
    </w:p>
    <w:p>
      <w:pPr>
        <w:ind w:left="1520" w:right="139"/>
        <w:spacing w:after="0" w:line="259" w:lineRule="auto"/>
        <w:rPr>
          <w:rFonts w:ascii="Arial" w:cs="Arial" w:eastAsia="Arial" w:hAnsi="Arial"/>
          <w:sz w:val="18"/>
          <w:szCs w:val="18"/>
          <w:color w:val="auto"/>
        </w:rPr>
      </w:pPr>
      <w:r>
        <w:rPr>
          <w:rFonts w:ascii="Arial" w:cs="Arial" w:eastAsia="Arial" w:hAnsi="Arial"/>
          <w:sz w:val="18"/>
          <w:szCs w:val="18"/>
          <w:color w:val="auto"/>
        </w:rPr>
        <w:t>Revenues from printer sales are recognized in accordance with ASC No. 605, “Revenue Recognition” upon installation, provided that the collection of the resulting receivable is probable, there is persuasive evidence of an arrangement, no significant obligations in respect of installation remain and the price is fixed or determinable.</w:t>
      </w:r>
    </w:p>
    <w:p>
      <w:pPr>
        <w:spacing w:after="0" w:line="186" w:lineRule="exact"/>
        <w:rPr>
          <w:rFonts w:ascii="Arial" w:cs="Arial" w:eastAsia="Arial" w:hAnsi="Arial"/>
          <w:sz w:val="18"/>
          <w:szCs w:val="18"/>
          <w:color w:val="auto"/>
        </w:rPr>
      </w:pPr>
    </w:p>
    <w:p>
      <w:pPr>
        <w:ind w:left="1520" w:right="139"/>
        <w:spacing w:after="0" w:line="276" w:lineRule="auto"/>
        <w:rPr>
          <w:rFonts w:ascii="Arial" w:cs="Arial" w:eastAsia="Arial" w:hAnsi="Arial"/>
          <w:sz w:val="18"/>
          <w:szCs w:val="18"/>
          <w:color w:val="auto"/>
        </w:rPr>
      </w:pPr>
      <w:r>
        <w:rPr>
          <w:rFonts w:ascii="Arial" w:cs="Arial" w:eastAsia="Arial" w:hAnsi="Arial"/>
          <w:sz w:val="17"/>
          <w:szCs w:val="17"/>
          <w:color w:val="auto"/>
        </w:rPr>
        <w:t>Revenues from selling these products to independent distributors who do not install the systems are deferred until the Company’s products are installed in the customers’ premises by the Company’s service and support teams, provided that all other revenue recognition criteria are met. Revenues from selling products to independent distributors who install these systems are recognized upon delivery, provided that all other revenue recognition criteria are met.</w:t>
      </w:r>
    </w:p>
    <w:p>
      <w:pPr>
        <w:spacing w:after="0" w:line="172" w:lineRule="exact"/>
        <w:rPr>
          <w:rFonts w:ascii="Arial" w:cs="Arial" w:eastAsia="Arial" w:hAnsi="Arial"/>
          <w:sz w:val="18"/>
          <w:szCs w:val="18"/>
          <w:color w:val="auto"/>
        </w:rPr>
      </w:pPr>
    </w:p>
    <w:p>
      <w:pPr>
        <w:ind w:left="1520" w:right="199"/>
        <w:spacing w:after="0" w:line="290" w:lineRule="auto"/>
        <w:rPr>
          <w:rFonts w:ascii="Arial" w:cs="Arial" w:eastAsia="Arial" w:hAnsi="Arial"/>
          <w:sz w:val="18"/>
          <w:szCs w:val="18"/>
          <w:color w:val="auto"/>
        </w:rPr>
      </w:pPr>
      <w:r>
        <w:rPr>
          <w:rFonts w:ascii="Arial" w:cs="Arial" w:eastAsia="Arial" w:hAnsi="Arial"/>
          <w:sz w:val="16"/>
          <w:szCs w:val="16"/>
          <w:color w:val="auto"/>
        </w:rPr>
        <w:t>In respect of sale of products, installation of the systems and training, the Company considers the element in the arrangement to be a single unit of accounting. In accordance with ASC 605, the Company has concluded that its arrangements are generally consistent with the indicators suggesting that installation and training are essential to the functionality of the systems. Therefore, the Company recognizes revenue for the systems only upon installation and training when installation and training are the Company’s responsibility. When the installation and training are not being performed by the Company, the Company would recognize the revenues upon delivery in accordance with the agreed-upon delivery terms once all other revenue recognition criteria have been met.</w:t>
      </w:r>
    </w:p>
    <w:p>
      <w:pPr>
        <w:spacing w:after="0" w:line="166" w:lineRule="exact"/>
        <w:rPr>
          <w:rFonts w:ascii="Arial" w:cs="Arial" w:eastAsia="Arial" w:hAnsi="Arial"/>
          <w:sz w:val="18"/>
          <w:szCs w:val="18"/>
          <w:color w:val="auto"/>
        </w:rPr>
      </w:pPr>
    </w:p>
    <w:p>
      <w:pPr>
        <w:ind w:left="1520" w:right="219"/>
        <w:spacing w:after="0" w:line="259" w:lineRule="auto"/>
        <w:rPr>
          <w:rFonts w:ascii="Arial" w:cs="Arial" w:eastAsia="Arial" w:hAnsi="Arial"/>
          <w:sz w:val="18"/>
          <w:szCs w:val="18"/>
          <w:color w:val="auto"/>
        </w:rPr>
      </w:pPr>
      <w:r>
        <w:rPr>
          <w:rFonts w:ascii="Arial" w:cs="Arial" w:eastAsia="Arial" w:hAnsi="Arial"/>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86" w:lineRule="exact"/>
        <w:rPr>
          <w:rFonts w:ascii="Arial" w:cs="Arial" w:eastAsia="Arial" w:hAnsi="Arial"/>
          <w:sz w:val="18"/>
          <w:szCs w:val="18"/>
          <w:color w:val="auto"/>
        </w:rPr>
      </w:pPr>
    </w:p>
    <w:p>
      <w:pPr>
        <w:ind w:left="1520" w:right="279"/>
        <w:spacing w:after="0" w:line="342" w:lineRule="auto"/>
        <w:rPr>
          <w:rFonts w:ascii="Arial" w:cs="Arial" w:eastAsia="Arial" w:hAnsi="Arial"/>
          <w:sz w:val="18"/>
          <w:szCs w:val="18"/>
          <w:color w:val="auto"/>
        </w:rPr>
      </w:pPr>
      <w:r>
        <w:rPr>
          <w:rFonts w:ascii="Arial" w:cs="Arial" w:eastAsia="Arial" w:hAnsi="Arial"/>
          <w:sz w:val="16"/>
          <w:szCs w:val="16"/>
          <w:color w:val="auto"/>
        </w:rPr>
        <w:t>Revenues from ink and other consumable products when sold separately from systems are generally recognized upon shipment assuming all other revenue recognition criteria have been met.</w:t>
      </w:r>
    </w:p>
    <w:p>
      <w:pPr>
        <w:spacing w:after="0" w:line="123" w:lineRule="exact"/>
        <w:rPr>
          <w:rFonts w:ascii="Arial" w:cs="Arial" w:eastAsia="Arial" w:hAnsi="Arial"/>
          <w:sz w:val="18"/>
          <w:szCs w:val="18"/>
          <w:color w:val="auto"/>
        </w:rPr>
      </w:pPr>
    </w:p>
    <w:p>
      <w:pPr>
        <w:ind w:left="1520" w:right="159"/>
        <w:spacing w:after="0" w:line="257" w:lineRule="auto"/>
        <w:rPr>
          <w:rFonts w:ascii="Arial" w:cs="Arial" w:eastAsia="Arial" w:hAnsi="Arial"/>
          <w:sz w:val="18"/>
          <w:szCs w:val="18"/>
          <w:color w:val="auto"/>
        </w:rPr>
      </w:pPr>
      <w:r>
        <w:rPr>
          <w:rFonts w:ascii="Arial" w:cs="Arial" w:eastAsia="Arial" w:hAnsi="Arial"/>
          <w:sz w:val="18"/>
          <w:szCs w:val="18"/>
          <w:color w:val="auto"/>
        </w:rPr>
        <w:t>Although, in general, the Company does not grant rights of return, there are certain instances where such rights are granted. The Company maintains a provision for returns in accordance with ASC 605, which is estimated, based primarily on historical experience as well as management judgment, and is recorded as reduction in revenue. Such provision amounted to $84 and $348 as of December 31, 2013 and 2014, respectively.</w:t>
      </w:r>
    </w:p>
    <w:p>
      <w:pPr>
        <w:spacing w:after="0" w:line="188" w:lineRule="exact"/>
        <w:rPr>
          <w:rFonts w:ascii="Arial" w:cs="Arial" w:eastAsia="Arial" w:hAnsi="Arial"/>
          <w:sz w:val="18"/>
          <w:szCs w:val="18"/>
          <w:color w:val="auto"/>
        </w:rPr>
      </w:pPr>
    </w:p>
    <w:p>
      <w:pPr>
        <w:ind w:left="1520" w:right="539"/>
        <w:spacing w:after="0" w:line="277" w:lineRule="auto"/>
        <w:rPr>
          <w:rFonts w:ascii="Arial" w:cs="Arial" w:eastAsia="Arial" w:hAnsi="Arial"/>
          <w:sz w:val="18"/>
          <w:szCs w:val="18"/>
          <w:color w:val="auto"/>
        </w:rPr>
      </w:pPr>
      <w:r>
        <w:rPr>
          <w:rFonts w:ascii="Arial" w:cs="Arial" w:eastAsia="Arial" w:hAnsi="Arial"/>
          <w:sz w:val="18"/>
          <w:szCs w:val="18"/>
          <w:color w:val="auto"/>
        </w:rPr>
        <w:t>Deferred revenue includes amounts received from customers for which revenue has not yet been recognized.</w:t>
      </w:r>
    </w:p>
    <w:p>
      <w:pPr>
        <w:spacing w:after="0" w:line="170" w:lineRule="exact"/>
        <w:rPr>
          <w:sz w:val="20"/>
          <w:szCs w:val="20"/>
          <w:color w:val="auto"/>
        </w:rPr>
      </w:pPr>
    </w:p>
    <w:p>
      <w:pPr>
        <w:ind w:left="1520" w:right="359"/>
        <w:spacing w:after="0" w:line="308" w:lineRule="auto"/>
        <w:rPr>
          <w:sz w:val="20"/>
          <w:szCs w:val="20"/>
          <w:color w:val="auto"/>
        </w:rPr>
      </w:pPr>
      <w:r>
        <w:rPr>
          <w:rFonts w:ascii="Arial" w:cs="Arial" w:eastAsia="Arial" w:hAnsi="Arial"/>
          <w:sz w:val="17"/>
          <w:szCs w:val="17"/>
          <w:color w:val="auto"/>
        </w:rPr>
        <w:t>In cases where the Company trades-in old systems as part of sales of new systems, the fair value of the old systems is recorded as inventory, provided that such value can be determined.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5" w:name="page136"/>
    <w:bookmarkEnd w:id="13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36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ind w:left="1520" w:right="359"/>
        <w:spacing w:after="0" w:line="312" w:lineRule="auto"/>
        <w:rPr>
          <w:rFonts w:ascii="Arial" w:cs="Arial" w:eastAsia="Arial" w:hAnsi="Arial"/>
          <w:sz w:val="18"/>
          <w:szCs w:val="18"/>
          <w:color w:val="auto"/>
        </w:rPr>
      </w:pPr>
      <w:r>
        <w:rPr>
          <w:rFonts w:ascii="Arial" w:cs="Arial" w:eastAsia="Arial" w:hAnsi="Arial"/>
          <w:sz w:val="16"/>
          <w:szCs w:val="16"/>
          <w:color w:val="auto"/>
        </w:rPr>
        <w:t>Shipping and handling fees charged to the Company’s customers are recognized as revenue in the period shipped and the related costs for providing these services are recorded as a cost of revenues. Revenues from shipping in 2012, 2013 and 2014 were $617, $681 and $931, respectively.</w:t>
      </w:r>
    </w:p>
    <w:p>
      <w:pPr>
        <w:spacing w:after="0" w:line="146" w:lineRule="exact"/>
        <w:rPr>
          <w:rFonts w:ascii="Arial" w:cs="Arial" w:eastAsia="Arial" w:hAnsi="Arial"/>
          <w:sz w:val="18"/>
          <w:szCs w:val="18"/>
          <w:color w:val="auto"/>
        </w:rPr>
      </w:pPr>
    </w:p>
    <w:p>
      <w:pPr>
        <w:ind w:left="1520" w:hanging="36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1520" w:right="239"/>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printers and ink production, employees’ salaries and related costs, allocated overhead expenses, import taxes and royalties.</w:t>
      </w:r>
    </w:p>
    <w:p>
      <w:pPr>
        <w:spacing w:after="0" w:line="170" w:lineRule="exact"/>
        <w:rPr>
          <w:rFonts w:ascii="Arial" w:cs="Arial" w:eastAsia="Arial" w:hAnsi="Arial"/>
          <w:sz w:val="18"/>
          <w:szCs w:val="18"/>
          <w:color w:val="auto"/>
        </w:rPr>
      </w:pPr>
    </w:p>
    <w:p>
      <w:pPr>
        <w:ind w:left="1500" w:hanging="349"/>
        <w:spacing w:after="0"/>
        <w:tabs>
          <w:tab w:leader="none" w:pos="1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25" w:lineRule="exact"/>
        <w:rPr>
          <w:sz w:val="20"/>
          <w:szCs w:val="20"/>
          <w:color w:val="auto"/>
        </w:rPr>
      </w:pPr>
    </w:p>
    <w:p>
      <w:pPr>
        <w:ind w:left="1520" w:right="279"/>
        <w:spacing w:after="0" w:line="255" w:lineRule="auto"/>
        <w:rPr>
          <w:sz w:val="20"/>
          <w:szCs w:val="20"/>
          <w:color w:val="auto"/>
        </w:rPr>
      </w:pPr>
      <w:r>
        <w:rPr>
          <w:rFonts w:ascii="Arial" w:cs="Arial" w:eastAsia="Arial" w:hAnsi="Arial"/>
          <w:sz w:val="18"/>
          <w:szCs w:val="18"/>
          <w:color w:val="auto"/>
        </w:rPr>
        <w:t>The Company generally provides a one year warranty for all of its systems.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followings are the changes in the liability for product warranty from January 1, 2013 to</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December 31, 2014:</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 issued during the year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124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Reduction for payments and costs to satisfy claims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hanging="369"/>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Research and development expenses are charged to the statement of income, as incurred.</w:t>
      </w:r>
    </w:p>
    <w:p>
      <w:pPr>
        <w:spacing w:after="0" w:line="225" w:lineRule="exact"/>
        <w:rPr>
          <w:rFonts w:ascii="Arial" w:cs="Arial" w:eastAsia="Arial" w:hAnsi="Arial"/>
          <w:sz w:val="18"/>
          <w:szCs w:val="18"/>
          <w:color w:val="auto"/>
        </w:rPr>
      </w:pPr>
    </w:p>
    <w:p>
      <w:pPr>
        <w:ind w:left="1480" w:hanging="329"/>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The Company accounts for share-based compensation in accordance with ASC No. 718, “Compensation</w:t>
      </w:r>
    </w:p>
    <w:p>
      <w:pPr>
        <w:spacing w:after="0" w:line="58" w:lineRule="exact"/>
        <w:rPr>
          <w:sz w:val="20"/>
          <w:szCs w:val="20"/>
          <w:color w:val="auto"/>
        </w:rPr>
      </w:pPr>
    </w:p>
    <w:p>
      <w:pPr>
        <w:ind w:left="1520" w:right="199"/>
        <w:spacing w:after="0" w:line="252" w:lineRule="auto"/>
        <w:rPr>
          <w:sz w:val="20"/>
          <w:szCs w:val="20"/>
          <w:color w:val="auto"/>
        </w:rPr>
      </w:pPr>
      <w:r>
        <w:rPr>
          <w:rFonts w:ascii="Arial" w:cs="Arial" w:eastAsia="Arial" w:hAnsi="Arial"/>
          <w:sz w:val="18"/>
          <w:szCs w:val="18"/>
          <w:color w:val="auto"/>
        </w:rPr>
        <w:t>— Stock Compensation”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operations. ASC No. 718 requires forfeitures to be estimated at the time of the grant and revised in subsequent periods if actual forfeitures differ from those estimates.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6" w:name="page137"/>
    <w:bookmarkEnd w:id="13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right="299"/>
        <w:spacing w:after="0" w:line="264" w:lineRule="auto"/>
        <w:rPr>
          <w:sz w:val="20"/>
          <w:szCs w:val="20"/>
          <w:color w:val="auto"/>
        </w:rPr>
      </w:pPr>
      <w:r>
        <w:rPr>
          <w:rFonts w:ascii="Arial" w:cs="Arial" w:eastAsia="Arial" w:hAnsi="Arial"/>
          <w:sz w:val="18"/>
          <w:szCs w:val="18"/>
          <w:color w:val="auto"/>
        </w:rPr>
        <w:t>The Company selected the binomial option pricing model as the most appropriate fair value method for its share-based compensation awards with the following assumptions for the years ended December 31, 2012, 2013 and 2014:</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Year ended</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40" w:type="dxa"/>
            <w:vAlign w:val="bottom"/>
            <w:gridSpan w:val="2"/>
          </w:tcPr>
          <w:p>
            <w:pPr>
              <w:jc w:val="right"/>
              <w:ind w:right="310"/>
              <w:spacing w:after="0" w:line="183" w:lineRule="exact"/>
              <w:rPr>
                <w:sz w:val="20"/>
                <w:szCs w:val="20"/>
                <w:color w:val="auto"/>
              </w:rPr>
            </w:pPr>
            <w:r>
              <w:rPr>
                <w:rFonts w:ascii="Arial" w:cs="Arial" w:eastAsia="Arial" w:hAnsi="Arial"/>
                <w:sz w:val="16"/>
                <w:szCs w:val="16"/>
                <w:b w:val="1"/>
                <w:bCs w:val="1"/>
                <w:color w:val="auto"/>
              </w:rPr>
              <w:t>2012</w:t>
            </w:r>
          </w:p>
        </w:tc>
        <w:tc>
          <w:tcPr>
            <w:tcW w:w="1580" w:type="dxa"/>
            <w:vAlign w:val="bottom"/>
            <w:gridSpan w:val="3"/>
          </w:tcPr>
          <w:p>
            <w:pPr>
              <w:jc w:val="center"/>
              <w:ind w:left="234"/>
              <w:spacing w:after="0" w:line="183" w:lineRule="exact"/>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5"/>
                <w:szCs w:val="15"/>
                <w:color w:val="auto"/>
              </w:rPr>
            </w:pPr>
          </w:p>
        </w:tc>
        <w:tc>
          <w:tcPr>
            <w:tcW w:w="1240" w:type="dxa"/>
            <w:vAlign w:val="bottom"/>
          </w:tcPr>
          <w:p>
            <w:pPr>
              <w:jc w:val="right"/>
              <w:ind w:right="312"/>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3.5</w:t>
            </w:r>
          </w:p>
        </w:tc>
        <w:tc>
          <w:tcPr>
            <w:tcW w:w="3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9"/>
              </w:rPr>
              <w:t>3.0 – 10.0</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 –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ind w:left="20"/>
              <w:spacing w:after="0"/>
              <w:rPr>
                <w:sz w:val="20"/>
                <w:szCs w:val="20"/>
                <w:color w:val="auto"/>
              </w:rPr>
            </w:pPr>
            <w:r>
              <w:rPr>
                <w:rFonts w:ascii="Arial" w:cs="Arial" w:eastAsia="Arial" w:hAnsi="Arial"/>
                <w:sz w:val="18"/>
                <w:szCs w:val="18"/>
                <w:color w:val="auto"/>
                <w:w w:val="99"/>
              </w:rPr>
              <w:t>– 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 2.5%</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0.1% – 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55%</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50% – 55%</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gridSpan w:val="2"/>
          </w:tcPr>
          <w:p>
            <w:pPr>
              <w:jc w:val="right"/>
              <w:ind w:right="330"/>
              <w:spacing w:after="0"/>
              <w:rPr>
                <w:sz w:val="20"/>
                <w:szCs w:val="20"/>
                <w:color w:val="auto"/>
              </w:rPr>
            </w:pPr>
            <w:r>
              <w:rPr>
                <w:rFonts w:ascii="Arial" w:cs="Arial" w:eastAsia="Arial" w:hAnsi="Arial"/>
                <w:sz w:val="18"/>
                <w:szCs w:val="18"/>
                <w:color w:val="auto"/>
              </w:rPr>
              <w:t>0%</w:t>
            </w:r>
          </w:p>
        </w:tc>
        <w:tc>
          <w:tcPr>
            <w:tcW w:w="1580" w:type="dxa"/>
            <w:vAlign w:val="bottom"/>
            <w:gridSpan w:val="3"/>
          </w:tcPr>
          <w:p>
            <w:pPr>
              <w:jc w:val="right"/>
              <w:ind w:right="33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c>
          <w:tcPr>
            <w:tcW w:w="1240" w:type="dxa"/>
            <w:vAlign w:val="bottom"/>
          </w:tcPr>
          <w:p>
            <w:pPr>
              <w:jc w:val="center"/>
              <w:ind w:left="72"/>
              <w:spacing w:after="0"/>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20" w:right="159"/>
        <w:spacing w:after="0" w:line="270" w:lineRule="auto"/>
        <w:rPr>
          <w:sz w:val="20"/>
          <w:szCs w:val="20"/>
          <w:color w:val="auto"/>
        </w:rPr>
      </w:pPr>
      <w:r>
        <w:rPr>
          <w:rFonts w:ascii="Arial" w:cs="Arial" w:eastAsia="Arial" w:hAnsi="Arial"/>
          <w:sz w:val="17"/>
          <w:szCs w:val="17"/>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 The forfeiture rates are based the activity status of the options granted between the years 2004 and 2014.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78" w:lineRule="exact"/>
        <w:rPr>
          <w:sz w:val="20"/>
          <w:szCs w:val="20"/>
          <w:color w:val="auto"/>
        </w:rPr>
      </w:pPr>
    </w:p>
    <w:p>
      <w:pPr>
        <w:ind w:left="1520" w:right="439"/>
        <w:spacing w:after="0" w:line="277" w:lineRule="auto"/>
        <w:rPr>
          <w:sz w:val="20"/>
          <w:szCs w:val="20"/>
          <w:color w:val="auto"/>
        </w:rPr>
      </w:pPr>
      <w:r>
        <w:rPr>
          <w:rFonts w:ascii="Arial" w:cs="Arial" w:eastAsia="Arial" w:hAnsi="Arial"/>
          <w:sz w:val="18"/>
          <w:szCs w:val="18"/>
          <w:color w:val="auto"/>
        </w:rPr>
        <w:t>The following table sets forth the total share based expense included in the consolidated statements of income, for the years ended December 31, 2012, 2013 and 2014:</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2012</w:t>
            </w:r>
          </w:p>
        </w:tc>
        <w:tc>
          <w:tcPr>
            <w:tcW w:w="3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3"/>
              <w:spacing w:after="0" w:line="183" w:lineRule="exact"/>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160" w:type="dxa"/>
            <w:vAlign w:val="bottom"/>
            <w:gridSpan w:val="2"/>
            <w:shd w:val="clear" w:color="auto" w:fill="CCEEFF"/>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Total share-based compensation expense</w:t>
            </w:r>
          </w:p>
        </w:tc>
        <w:tc>
          <w:tcPr>
            <w:tcW w:w="1160" w:type="dxa"/>
            <w:vAlign w:val="bottom"/>
            <w:gridSpan w:val="2"/>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340" w:type="dxa"/>
            <w:vAlign w:val="bottom"/>
          </w:tcPr>
          <w:p>
            <w:pPr>
              <w:spacing w:after="0"/>
              <w:rPr>
                <w:sz w:val="19"/>
                <w:szCs w:val="19"/>
                <w:color w:val="auto"/>
              </w:rPr>
            </w:pP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480" w:hanging="329"/>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225" w:lineRule="exact"/>
        <w:rPr>
          <w:sz w:val="20"/>
          <w:szCs w:val="20"/>
          <w:color w:val="auto"/>
        </w:rPr>
      </w:pPr>
    </w:p>
    <w:p>
      <w:pPr>
        <w:ind w:left="1520" w:right="339"/>
        <w:spacing w:after="0" w:line="277" w:lineRule="auto"/>
        <w:rPr>
          <w:sz w:val="20"/>
          <w:szCs w:val="20"/>
          <w:color w:val="auto"/>
        </w:rPr>
      </w:pPr>
      <w:r>
        <w:rPr>
          <w:rFonts w:ascii="Arial" w:cs="Arial" w:eastAsia="Arial" w:hAnsi="Arial"/>
          <w:sz w:val="18"/>
          <w:szCs w:val="18"/>
          <w:color w:val="auto"/>
        </w:rPr>
        <w:t>Advertising costs are charged to operations as incurred and were $206, $501 and $437 for the years ended December 31, 2012, 2013 and 2014,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7" w:name="page138"/>
    <w:bookmarkEnd w:id="13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ind w:left="1520" w:right="219"/>
        <w:spacing w:after="0" w:line="291" w:lineRule="auto"/>
        <w:rPr>
          <w:sz w:val="20"/>
          <w:szCs w:val="20"/>
          <w:color w:val="auto"/>
        </w:rPr>
      </w:pPr>
      <w:r>
        <w:rPr>
          <w:rFonts w:ascii="Arial" w:cs="Arial" w:eastAsia="Arial" w:hAnsi="Arial"/>
          <w:sz w:val="16"/>
          <w:szCs w:val="16"/>
          <w:color w:val="auto"/>
        </w:rPr>
        <w:t>The Company accounts for income taxes in accordance with ASC No. 740, “Income Taxes”.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and its subsidiaries provide a valuation allowance, if necessary, to reduce deferred tax assets to their estimated realizable value if it is more likely than not that a portion or all of the deferred tax assets will not be realized.</w:t>
      </w:r>
    </w:p>
    <w:p>
      <w:pPr>
        <w:spacing w:after="0" w:line="194" w:lineRule="exact"/>
        <w:rPr>
          <w:sz w:val="20"/>
          <w:szCs w:val="20"/>
          <w:color w:val="auto"/>
        </w:rPr>
      </w:pPr>
    </w:p>
    <w:p>
      <w:pPr>
        <w:jc w:val="both"/>
        <w:ind w:left="1520" w:right="199"/>
        <w:spacing w:after="0" w:line="312" w:lineRule="auto"/>
        <w:rPr>
          <w:sz w:val="20"/>
          <w:szCs w:val="20"/>
          <w:color w:val="auto"/>
        </w:rPr>
      </w:pPr>
      <w:r>
        <w:rPr>
          <w:rFonts w:ascii="Arial" w:cs="Arial" w:eastAsia="Arial" w:hAnsi="Arial"/>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60" w:lineRule="exact"/>
        <w:rPr>
          <w:sz w:val="20"/>
          <w:szCs w:val="20"/>
          <w:color w:val="auto"/>
        </w:rPr>
      </w:pPr>
    </w:p>
    <w:p>
      <w:pPr>
        <w:ind w:left="1520" w:right="179"/>
        <w:spacing w:after="0" w:line="291" w:lineRule="auto"/>
        <w:rPr>
          <w:sz w:val="20"/>
          <w:szCs w:val="20"/>
          <w:color w:val="auto"/>
        </w:rPr>
      </w:pPr>
      <w:r>
        <w:rPr>
          <w:rFonts w:ascii="Arial" w:cs="Arial" w:eastAsia="Arial" w:hAnsi="Arial"/>
          <w:sz w:val="16"/>
          <w:szCs w:val="16"/>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penalty, if any related to unrecognized tax benefits in its taxes on income.</w:t>
      </w:r>
    </w:p>
    <w:p>
      <w:pPr>
        <w:spacing w:after="0" w:line="181" w:lineRule="exact"/>
        <w:rPr>
          <w:sz w:val="20"/>
          <w:szCs w:val="20"/>
          <w:color w:val="auto"/>
        </w:rPr>
      </w:pPr>
    </w:p>
    <w:p>
      <w:pPr>
        <w:ind w:left="1520" w:hanging="369"/>
        <w:spacing w:after="0"/>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52" w:lineRule="exact"/>
        <w:rPr>
          <w:rFonts w:ascii="Arial" w:cs="Arial" w:eastAsia="Arial" w:hAnsi="Arial"/>
          <w:sz w:val="18"/>
          <w:szCs w:val="18"/>
          <w:color w:val="auto"/>
        </w:rPr>
      </w:pPr>
    </w:p>
    <w:p>
      <w:pPr>
        <w:ind w:left="1520" w:right="359"/>
        <w:spacing w:after="0" w:line="342" w:lineRule="auto"/>
        <w:rPr>
          <w:rFonts w:ascii="Arial" w:cs="Arial" w:eastAsia="Arial" w:hAnsi="Arial"/>
          <w:sz w:val="18"/>
          <w:szCs w:val="18"/>
          <w:color w:val="auto"/>
        </w:rPr>
      </w:pPr>
      <w:r>
        <w:rPr>
          <w:rFonts w:ascii="Arial" w:cs="Arial" w:eastAsia="Arial" w:hAnsi="Arial"/>
          <w:sz w:val="16"/>
          <w:szCs w:val="16"/>
          <w:color w:val="auto"/>
        </w:rPr>
        <w:t>Financial instruments that potentially subject the Company and its subsidiaries to concentrations of credit risk consist principally of cash and cash equivalents, bank deposits and trade receivables.</w:t>
      </w:r>
    </w:p>
    <w:p>
      <w:pPr>
        <w:spacing w:after="0" w:line="137" w:lineRule="exact"/>
        <w:rPr>
          <w:rFonts w:ascii="Arial" w:cs="Arial" w:eastAsia="Arial" w:hAnsi="Arial"/>
          <w:sz w:val="18"/>
          <w:szCs w:val="18"/>
          <w:color w:val="auto"/>
        </w:rPr>
      </w:pPr>
    </w:p>
    <w:p>
      <w:pPr>
        <w:ind w:left="1520" w:right="259"/>
        <w:spacing w:after="0" w:line="264"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and bank deposits are invested in major banks in Israel. Generally, these cash equivalents may be redeemed upon demand and, therefore management believes that it bears a lower risk.</w:t>
      </w:r>
    </w:p>
    <w:p>
      <w:pPr>
        <w:spacing w:after="0" w:line="194" w:lineRule="exact"/>
        <w:rPr>
          <w:rFonts w:ascii="Arial" w:cs="Arial" w:eastAsia="Arial" w:hAnsi="Arial"/>
          <w:sz w:val="18"/>
          <w:szCs w:val="18"/>
          <w:color w:val="auto"/>
        </w:rPr>
      </w:pPr>
    </w:p>
    <w:p>
      <w:pPr>
        <w:ind w:left="1520" w:right="119"/>
        <w:spacing w:after="0" w:line="272" w:lineRule="auto"/>
        <w:rPr>
          <w:rFonts w:ascii="Arial" w:cs="Arial" w:eastAsia="Arial" w:hAnsi="Arial"/>
          <w:sz w:val="18"/>
          <w:szCs w:val="18"/>
          <w:color w:val="auto"/>
        </w:rPr>
      </w:pPr>
      <w:r>
        <w:rPr>
          <w:rFonts w:ascii="Arial" w:cs="Arial" w:eastAsia="Arial" w:hAnsi="Arial"/>
          <w:sz w:val="17"/>
          <w:szCs w:val="17"/>
          <w:color w:val="auto"/>
        </w:rPr>
        <w:t>The trade receivables of the Company and its subsidiaries are mainly derived from sales to customers located primarily in the United States, Europe, the Middle East, Africa and Asia Pacific. The Company performs ongoing credit evaluations of its customers. An allowance for doubtful accounts is determined with respect to those amounts that the Company has determined to be doubtful of collection. In certain circumstances, the Company may require from its customers letters of credit, other collateral or additional guarantees. In the years ended December 31, 2012, 2013 and 2014, the Company has not experienced any significant write offs.</w:t>
      </w:r>
    </w:p>
    <w:p>
      <w:pPr>
        <w:spacing w:after="0" w:line="204" w:lineRule="exact"/>
        <w:rPr>
          <w:rFonts w:ascii="Arial" w:cs="Arial" w:eastAsia="Arial" w:hAnsi="Arial"/>
          <w:sz w:val="18"/>
          <w:szCs w:val="18"/>
          <w:color w:val="auto"/>
        </w:rPr>
      </w:pPr>
    </w:p>
    <w:p>
      <w:pPr>
        <w:ind w:left="1500" w:hanging="349"/>
        <w:spacing w:after="0"/>
        <w:tabs>
          <w:tab w:leader="none" w:pos="1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39" w:lineRule="exact"/>
        <w:rPr>
          <w:sz w:val="20"/>
          <w:szCs w:val="20"/>
          <w:color w:val="auto"/>
        </w:rPr>
      </w:pPr>
    </w:p>
    <w:p>
      <w:pPr>
        <w:ind w:left="1520" w:right="379"/>
        <w:spacing w:after="0" w:line="257" w:lineRule="auto"/>
        <w:rPr>
          <w:sz w:val="20"/>
          <w:szCs w:val="20"/>
          <w:color w:val="auto"/>
        </w:rPr>
      </w:pPr>
      <w:r>
        <w:rPr>
          <w:rFonts w:ascii="Arial" w:cs="Arial" w:eastAsia="Arial" w:hAnsi="Arial"/>
          <w:sz w:val="18"/>
          <w:szCs w:val="18"/>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8" w:name="page139"/>
    <w:bookmarkEnd w:id="13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right="259"/>
        <w:spacing w:after="0" w:line="342" w:lineRule="auto"/>
        <w:rPr>
          <w:sz w:val="20"/>
          <w:szCs w:val="20"/>
          <w:color w:val="auto"/>
        </w:rPr>
      </w:pPr>
      <w:r>
        <w:rPr>
          <w:rFonts w:ascii="Arial" w:cs="Arial" w:eastAsia="Arial" w:hAnsi="Arial"/>
          <w:sz w:val="16"/>
          <w:szCs w:val="16"/>
          <w:color w:val="auto"/>
        </w:rPr>
        <w:t>severance liabilities in respect of those employees. Neither severance pay liability nor severance pay fund under Section 14 for such employees is recorded on the Company’s balance sheet.</w:t>
      </w:r>
    </w:p>
    <w:p>
      <w:pPr>
        <w:spacing w:after="0" w:line="137" w:lineRule="exact"/>
        <w:rPr>
          <w:sz w:val="20"/>
          <w:szCs w:val="20"/>
          <w:color w:val="auto"/>
        </w:rPr>
      </w:pPr>
    </w:p>
    <w:p>
      <w:pPr>
        <w:ind w:left="1520" w:right="159"/>
        <w:spacing w:after="0" w:line="272" w:lineRule="auto"/>
        <w:rPr>
          <w:sz w:val="20"/>
          <w:szCs w:val="20"/>
          <w:color w:val="auto"/>
        </w:rPr>
      </w:pPr>
      <w:r>
        <w:rPr>
          <w:rFonts w:ascii="Arial" w:cs="Arial" w:eastAsia="Arial" w:hAnsi="Arial"/>
          <w:sz w:val="17"/>
          <w:szCs w:val="17"/>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205" w:lineRule="exact"/>
        <w:rPr>
          <w:sz w:val="20"/>
          <w:szCs w:val="20"/>
          <w:color w:val="auto"/>
        </w:rPr>
      </w:pPr>
    </w:p>
    <w:p>
      <w:pPr>
        <w:ind w:left="1520" w:right="299"/>
        <w:spacing w:after="0" w:line="264"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95" w:lineRule="exact"/>
        <w:rPr>
          <w:sz w:val="20"/>
          <w:szCs w:val="20"/>
          <w:color w:val="auto"/>
        </w:rPr>
      </w:pPr>
    </w:p>
    <w:p>
      <w:pPr>
        <w:ind w:left="1520" w:right="159"/>
        <w:spacing w:after="0" w:line="277" w:lineRule="auto"/>
        <w:rPr>
          <w:sz w:val="20"/>
          <w:szCs w:val="20"/>
          <w:color w:val="auto"/>
        </w:rPr>
      </w:pPr>
      <w:r>
        <w:rPr>
          <w:rFonts w:ascii="Arial" w:cs="Arial" w:eastAsia="Arial" w:hAnsi="Arial"/>
          <w:sz w:val="18"/>
          <w:szCs w:val="18"/>
          <w:color w:val="auto"/>
        </w:rPr>
        <w:t>Severance pay expenses for the years ended December 31, 2012, 2013 and 2014 were $569, $620 and $1,015, respectively.</w:t>
      </w:r>
    </w:p>
    <w:p>
      <w:pPr>
        <w:spacing w:after="0" w:line="184" w:lineRule="exact"/>
        <w:rPr>
          <w:sz w:val="20"/>
          <w:szCs w:val="20"/>
          <w:color w:val="auto"/>
        </w:rPr>
      </w:pPr>
    </w:p>
    <w:p>
      <w:pPr>
        <w:ind w:left="1520" w:hanging="36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52" w:lineRule="exact"/>
        <w:rPr>
          <w:rFonts w:ascii="Arial" w:cs="Arial" w:eastAsia="Arial" w:hAnsi="Arial"/>
          <w:sz w:val="18"/>
          <w:szCs w:val="18"/>
          <w:color w:val="auto"/>
        </w:rPr>
      </w:pPr>
    </w:p>
    <w:p>
      <w:pPr>
        <w:ind w:left="1520" w:right="239"/>
        <w:spacing w:after="0" w:line="312" w:lineRule="auto"/>
        <w:rPr>
          <w:rFonts w:ascii="Arial" w:cs="Arial" w:eastAsia="Arial" w:hAnsi="Arial"/>
          <w:sz w:val="18"/>
          <w:szCs w:val="18"/>
          <w:color w:val="auto"/>
        </w:rPr>
      </w:pPr>
      <w:r>
        <w:rPr>
          <w:rFonts w:ascii="Arial" w:cs="Arial" w:eastAsia="Arial" w:hAnsi="Arial"/>
          <w:sz w:val="16"/>
          <w:szCs w:val="16"/>
          <w:color w:val="auto"/>
        </w:rPr>
        <w:t>The financial instruments of the Company consist mainly of cash and cash equivalents, short term deposits, trade receivables, trade and other accounts payable and accrued expenses. Due to the short-term nature of such financial instruments, their fair value approximates their carrying value.</w:t>
      </w:r>
    </w:p>
    <w:p>
      <w:pPr>
        <w:spacing w:after="0" w:line="160" w:lineRule="exact"/>
        <w:rPr>
          <w:rFonts w:ascii="Arial" w:cs="Arial" w:eastAsia="Arial" w:hAnsi="Arial"/>
          <w:sz w:val="18"/>
          <w:szCs w:val="18"/>
          <w:color w:val="auto"/>
        </w:rPr>
      </w:pPr>
    </w:p>
    <w:p>
      <w:pPr>
        <w:ind w:left="1520" w:hanging="36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38" w:lineRule="exact"/>
        <w:rPr>
          <w:rFonts w:ascii="Arial" w:cs="Arial" w:eastAsia="Arial" w:hAnsi="Arial"/>
          <w:sz w:val="18"/>
          <w:szCs w:val="18"/>
          <w:color w:val="auto"/>
        </w:rPr>
      </w:pPr>
    </w:p>
    <w:p>
      <w:pPr>
        <w:ind w:left="1520" w:right="359"/>
        <w:spacing w:after="0" w:line="255" w:lineRule="auto"/>
        <w:rPr>
          <w:rFonts w:ascii="Arial" w:cs="Arial" w:eastAsia="Arial" w:hAnsi="Arial"/>
          <w:sz w:val="18"/>
          <w:szCs w:val="18"/>
          <w:color w:val="auto"/>
        </w:rPr>
      </w:pPr>
      <w:r>
        <w:rPr>
          <w:rFonts w:ascii="Arial" w:cs="Arial" w:eastAsia="Arial" w:hAnsi="Arial"/>
          <w:sz w:val="18"/>
          <w:szCs w:val="18"/>
          <w:color w:val="auto"/>
        </w:rPr>
        <w:t>The Company accounts for comprehensive income in accordance with ASC No. 220, “Comprehensive Income.” This statement establishes standards for the reporting and display of comprehensive income and its components in a full set of general purpose financial statements. Comprehensive income generally represents all changes in shareholders’ equity during the period except those resulting from investments by, or distributions to, shareholders. The Company determined that its only item of other comprehensive income relates to foreign currency translation differences.</w:t>
      </w:r>
    </w:p>
    <w:p>
      <w:pPr>
        <w:spacing w:after="0" w:line="212"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18"/>
          <w:szCs w:val="18"/>
          <w:color w:val="auto"/>
        </w:rPr>
        <w:t>v</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Basic and diluted net income per share:</w:t>
      </w:r>
    </w:p>
    <w:p>
      <w:pPr>
        <w:spacing w:after="0" w:line="243" w:lineRule="exact"/>
        <w:rPr>
          <w:sz w:val="20"/>
          <w:szCs w:val="20"/>
          <w:color w:val="auto"/>
        </w:rPr>
      </w:pPr>
    </w:p>
    <w:p>
      <w:pPr>
        <w:ind w:left="1520" w:right="359"/>
        <w:spacing w:after="0" w:line="257" w:lineRule="auto"/>
        <w:rPr>
          <w:sz w:val="20"/>
          <w:szCs w:val="20"/>
          <w:color w:val="auto"/>
        </w:rPr>
      </w:pPr>
      <w:r>
        <w:rPr>
          <w:rFonts w:ascii="Arial" w:cs="Arial" w:eastAsia="Arial" w:hAnsi="Arial"/>
          <w:sz w:val="18"/>
          <w:szCs w:val="18"/>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202" w:lineRule="exact"/>
        <w:rPr>
          <w:sz w:val="20"/>
          <w:szCs w:val="20"/>
          <w:color w:val="auto"/>
        </w:rPr>
      </w:pPr>
    </w:p>
    <w:p>
      <w:pPr>
        <w:jc w:val="both"/>
        <w:ind w:left="1520" w:right="419"/>
        <w:spacing w:after="0" w:line="279" w:lineRule="auto"/>
        <w:rPr>
          <w:sz w:val="20"/>
          <w:szCs w:val="20"/>
          <w:color w:val="auto"/>
        </w:rPr>
      </w:pPr>
      <w:r>
        <w:rPr>
          <w:rFonts w:ascii="Arial" w:cs="Arial" w:eastAsia="Arial" w:hAnsi="Arial"/>
          <w:sz w:val="17"/>
          <w:szCs w:val="17"/>
          <w:color w:val="auto"/>
        </w:rPr>
        <w:t>For the year ended December 31, 2012, 21,000 outstanding options have been excluded from the calculation of diluted net income per share since their effect was anti-dilutive. For the years ended December 31, 2013 and 2014 all outstanding options have been included at the calculation of the diluted earnings per share since their effect was dilutive.</w:t>
      </w:r>
    </w:p>
    <w:p>
      <w:pPr>
        <w:spacing w:after="0" w:line="198" w:lineRule="exact"/>
        <w:rPr>
          <w:sz w:val="20"/>
          <w:szCs w:val="20"/>
          <w:color w:val="auto"/>
        </w:rPr>
      </w:pPr>
    </w:p>
    <w:p>
      <w:pPr>
        <w:ind w:left="1520" w:right="319"/>
        <w:spacing w:after="0" w:line="286" w:lineRule="auto"/>
        <w:rPr>
          <w:sz w:val="20"/>
          <w:szCs w:val="20"/>
          <w:color w:val="auto"/>
        </w:rPr>
      </w:pPr>
      <w:r>
        <w:rPr>
          <w:rFonts w:ascii="Arial" w:cs="Arial" w:eastAsia="Arial" w:hAnsi="Arial"/>
          <w:sz w:val="17"/>
          <w:szCs w:val="17"/>
          <w:color w:val="auto"/>
        </w:rPr>
        <w:t>Basic and diluted pro forma net income per share (unaudited), as presented in the statements of income, has been calculated as described above and also gives effect to the automatic conversion of all series of preferred shares that will occur upon closing of the IPO.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369"/>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Impact of recently issued accounting standard not yet adopted:</w:t>
      </w:r>
    </w:p>
    <w:p>
      <w:pPr>
        <w:spacing w:after="0" w:line="238" w:lineRule="exact"/>
        <w:rPr>
          <w:rFonts w:ascii="Arial" w:cs="Arial" w:eastAsia="Arial" w:hAnsi="Arial"/>
          <w:sz w:val="18"/>
          <w:szCs w:val="18"/>
          <w:color w:val="auto"/>
        </w:rPr>
      </w:pPr>
    </w:p>
    <w:p>
      <w:pPr>
        <w:ind w:left="1520" w:right="179"/>
        <w:spacing w:after="0" w:line="290" w:lineRule="auto"/>
        <w:rPr>
          <w:rFonts w:ascii="Arial" w:cs="Arial" w:eastAsia="Arial" w:hAnsi="Arial"/>
          <w:sz w:val="18"/>
          <w:szCs w:val="18"/>
          <w:color w:val="auto"/>
        </w:rPr>
      </w:pPr>
      <w:r>
        <w:rPr>
          <w:rFonts w:ascii="Arial" w:cs="Arial" w:eastAsia="Arial" w:hAnsi="Arial"/>
          <w:sz w:val="16"/>
          <w:szCs w:val="16"/>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The Company is currently in the process of evaluating the impact of the adoption of ASU 2014-09 on its consolidated financial statements.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OTHER ACCOUNTS RECEIVABLE AND PREPAID EXPENSES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Prepaid expenses</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1,708</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2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products (*)</w:t>
            </w:r>
          </w:p>
        </w:tc>
        <w:tc>
          <w:tcPr>
            <w:tcW w:w="1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11,967</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719" w:hanging="324"/>
        <w:spacing w:after="0" w:line="308" w:lineRule="auto"/>
        <w:tabs>
          <w:tab w:leader="none" w:pos="151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Includes amounts of $897 and $647 for 2013 and 2014, respectively, with respect to inventory delivered to customers but for which revenue criteria have not been met yet.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PROPERTY AND EQUIPMENT, NET</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160" w:right="519"/>
        <w:spacing w:after="0" w:line="277" w:lineRule="auto"/>
        <w:rPr>
          <w:sz w:val="20"/>
          <w:szCs w:val="20"/>
          <w:color w:val="auto"/>
        </w:rPr>
      </w:pPr>
      <w:r>
        <w:rPr>
          <w:rFonts w:ascii="Arial" w:cs="Arial" w:eastAsia="Arial" w:hAnsi="Arial"/>
          <w:sz w:val="18"/>
          <w:szCs w:val="18"/>
          <w:color w:val="auto"/>
        </w:rPr>
        <w:t>Depreciation expenses for the years ended December 31, 2012, 2013 and 2014 were $750, $1,071 and $1,226, respectively.</w:t>
      </w:r>
    </w:p>
    <w:p>
      <w:pPr>
        <w:spacing w:after="0" w:line="116" w:lineRule="exact"/>
        <w:rPr>
          <w:sz w:val="20"/>
          <w:szCs w:val="20"/>
          <w:color w:val="auto"/>
        </w:rPr>
      </w:pPr>
    </w:p>
    <w:p>
      <w:pPr>
        <w:ind w:left="1160" w:right="279"/>
        <w:spacing w:after="0" w:line="264" w:lineRule="auto"/>
        <w:rPr>
          <w:sz w:val="20"/>
          <w:szCs w:val="20"/>
          <w:color w:val="auto"/>
        </w:rPr>
      </w:pPr>
      <w:r>
        <w:rPr>
          <w:rFonts w:ascii="Arial" w:cs="Arial" w:eastAsia="Arial" w:hAnsi="Arial"/>
          <w:sz w:val="18"/>
          <w:szCs w:val="18"/>
          <w:color w:val="auto"/>
        </w:rPr>
        <w:t>During the years ended December 31, 2012 and 2013 and 2014, the Company recorded a reduction of $0, $140 and $168, respectively to the cost and accumulated depreciation of fully depreciated equipment no longer in use.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INTANGIBLE ASSETS, NET</w:t>
      </w:r>
    </w:p>
    <w:p>
      <w:pPr>
        <w:spacing w:after="0" w:line="229" w:lineRule="exact"/>
        <w:rPr>
          <w:sz w:val="20"/>
          <w:szCs w:val="20"/>
          <w:color w:val="auto"/>
        </w:rPr>
      </w:pPr>
    </w:p>
    <w:p>
      <w:pPr>
        <w:ind w:left="1160" w:right="159"/>
        <w:spacing w:after="0" w:line="290" w:lineRule="auto"/>
        <w:rPr>
          <w:sz w:val="20"/>
          <w:szCs w:val="20"/>
          <w:color w:val="auto"/>
        </w:rPr>
      </w:pPr>
      <w:r>
        <w:rPr>
          <w:rFonts w:ascii="Arial" w:cs="Arial" w:eastAsia="Arial" w:hAnsi="Arial"/>
          <w:sz w:val="16"/>
          <w:szCs w:val="16"/>
          <w:color w:val="auto"/>
        </w:rPr>
        <w:t>On May 24, 2010, the Company entered into a license agreement with a third party (the “agreement”). According to the agreement, the third party granted the Company a license to use its digital R2R printer and any and all related intellectual property including, among others, copying, manufacturing, distributing, marketing, engineering, further development and development of related products (the “license”) in order to allow the Company to develop a new version of a printer (the “new product”). The Company owns all the rights to the new product (as well as all the respective intellectual property rights) and the third party has no rights thereto. The license is non-cancelable. According to the agreement, the Company is obligated to pay royalties on sales of the new product up to a maximum agreed upon amount.</w:t>
      </w:r>
    </w:p>
    <w:p>
      <w:pPr>
        <w:spacing w:after="0" w:line="139" w:lineRule="exact"/>
        <w:rPr>
          <w:sz w:val="20"/>
          <w:szCs w:val="20"/>
          <w:color w:val="auto"/>
        </w:rPr>
      </w:pPr>
    </w:p>
    <w:p>
      <w:pPr>
        <w:ind w:left="1160" w:right="199"/>
        <w:spacing w:after="0" w:line="264" w:lineRule="auto"/>
        <w:rPr>
          <w:sz w:val="20"/>
          <w:szCs w:val="20"/>
          <w:color w:val="auto"/>
        </w:rPr>
      </w:pPr>
      <w:r>
        <w:rPr>
          <w:rFonts w:ascii="Arial" w:cs="Arial" w:eastAsia="Arial" w:hAnsi="Arial"/>
          <w:sz w:val="18"/>
          <w:szCs w:val="18"/>
          <w:color w:val="auto"/>
        </w:rPr>
        <w:t>On April 22, 2013, the Company signed an amendment to the agreement pursuant to which the Company paid $327 and shall no longer have any obligations or undertakings to make any future payments to the third party.</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Acquired technology</w:t>
            </w:r>
          </w:p>
        </w:tc>
        <w:tc>
          <w:tcPr>
            <w:tcW w:w="1240" w:type="dxa"/>
            <w:vAlign w:val="bottom"/>
          </w:tcPr>
          <w:p>
            <w:pPr>
              <w:jc w:val="right"/>
              <w:spacing w:after="0"/>
              <w:rPr>
                <w:sz w:val="20"/>
                <w:szCs w:val="20"/>
                <w:color w:val="auto"/>
              </w:rPr>
            </w:pPr>
            <w:r>
              <w:rPr>
                <w:rFonts w:ascii="Arial" w:cs="Arial" w:eastAsia="Arial" w:hAnsi="Arial"/>
                <w:sz w:val="18"/>
                <w:szCs w:val="18"/>
                <w:color w:val="auto"/>
              </w:rPr>
              <w:t>4.86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839"/>
              <w:spacing w:after="0"/>
              <w:rPr>
                <w:sz w:val="20"/>
                <w:szCs w:val="20"/>
                <w:color w:val="auto"/>
              </w:rPr>
            </w:pPr>
            <w:r>
              <w:rPr>
                <w:rFonts w:ascii="Arial" w:cs="Arial" w:eastAsia="Arial" w:hAnsi="Arial"/>
                <w:sz w:val="14"/>
                <w:szCs w:val="14"/>
                <w:color w:val="auto"/>
              </w:rPr>
              <w:t>F-19</w:t>
            </w: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41" w:name="page142"/>
    <w:bookmarkEnd w:id="14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INTANGIBLE ASSETS, NET (Cont.)</w:t>
      </w:r>
    </w:p>
    <w:p>
      <w:pPr>
        <w:spacing w:after="0" w:line="229" w:lineRule="exact"/>
        <w:rPr>
          <w:sz w:val="20"/>
          <w:szCs w:val="20"/>
          <w:color w:val="auto"/>
        </w:rPr>
      </w:pPr>
    </w:p>
    <w:p>
      <w:pPr>
        <w:ind w:left="1160" w:right="359"/>
        <w:spacing w:after="0" w:line="277" w:lineRule="auto"/>
        <w:rPr>
          <w:sz w:val="20"/>
          <w:szCs w:val="20"/>
          <w:color w:val="auto"/>
        </w:rPr>
      </w:pPr>
      <w:r>
        <w:rPr>
          <w:rFonts w:ascii="Arial" w:cs="Arial" w:eastAsia="Arial" w:hAnsi="Arial"/>
          <w:sz w:val="18"/>
          <w:szCs w:val="18"/>
          <w:color w:val="auto"/>
        </w:rPr>
        <w:t>Amortization expenses for the years ended December 31, 2012, 2013 and 2014 were $36, $97 and $126, respectively.</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40" w:type="dxa"/>
            <w:vAlign w:val="bottom"/>
          </w:tcPr>
          <w:p>
            <w:pPr>
              <w:ind w:left="1020"/>
              <w:spacing w:after="0"/>
              <w:rPr>
                <w:sz w:val="20"/>
                <w:szCs w:val="20"/>
                <w:color w:val="auto"/>
              </w:rPr>
            </w:pPr>
            <w:r>
              <w:rPr>
                <w:rFonts w:ascii="Arial" w:cs="Arial" w:eastAsia="Arial" w:hAnsi="Arial"/>
                <w:sz w:val="18"/>
                <w:szCs w:val="18"/>
                <w:color w:val="auto"/>
              </w:rPr>
              <w:t>Future amortization expenses for the years ending:</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4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OTHER PAYABLES AND ACCRUED EXPENSES</w:t>
            </w: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114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1,725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Warranty provision</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2,985</w:t>
            </w:r>
          </w:p>
        </w:tc>
        <w:tc>
          <w:tcPr>
            <w:tcW w:w="16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COMMITMENTS AND CONTINGENT LIABILITIES</w:t>
            </w: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440" w:type="dxa"/>
            <w:vAlign w:val="bottom"/>
          </w:tcPr>
          <w:p>
            <w:pPr>
              <w:ind w:left="1020"/>
              <w:spacing w:after="0"/>
              <w:rPr>
                <w:sz w:val="20"/>
                <w:szCs w:val="20"/>
                <w:color w:val="auto"/>
              </w:rPr>
            </w:pPr>
            <w:r>
              <w:rPr>
                <w:rFonts w:ascii="Arial" w:cs="Arial" w:eastAsia="Arial" w:hAnsi="Arial"/>
                <w:sz w:val="18"/>
                <w:szCs w:val="18"/>
                <w:color w:val="auto"/>
              </w:rPr>
              <w:t>a.   Lease commitments: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520" w:right="259"/>
        <w:spacing w:after="0" w:line="312" w:lineRule="auto"/>
        <w:rPr>
          <w:sz w:val="20"/>
          <w:szCs w:val="20"/>
          <w:color w:val="auto"/>
        </w:rPr>
      </w:pPr>
      <w:r>
        <w:rPr>
          <w:rFonts w:ascii="Arial" w:cs="Arial" w:eastAsia="Arial" w:hAnsi="Arial"/>
          <w:sz w:val="16"/>
          <w:szCs w:val="16"/>
          <w:color w:val="auto"/>
        </w:rPr>
        <w:t>The Company leases facilities and vehicles under operating leases that expire on various dates through 2018. Aggregate minimum lease and rental payments under non-cancelable operating leases as of December 31, 2014, are (in the aggregate) and for each succeeding fiscal year below:</w:t>
      </w:r>
    </w:p>
    <w:p>
      <w:pPr>
        <w:spacing w:after="0" w:line="8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jc w:val="right"/>
              <w:ind w:right="6930"/>
              <w:spacing w:after="0"/>
              <w:rPr>
                <w:sz w:val="20"/>
                <w:szCs w:val="20"/>
                <w:color w:val="auto"/>
              </w:rPr>
            </w:pPr>
            <w:r>
              <w:rPr>
                <w:rFonts w:ascii="Arial" w:cs="Arial" w:eastAsia="Arial" w:hAnsi="Arial"/>
                <w:sz w:val="18"/>
                <w:szCs w:val="18"/>
                <w:color w:val="auto"/>
                <w:w w:val="79"/>
              </w:rPr>
              <w:t>2015</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jc w:val="right"/>
              <w:ind w:right="6930"/>
              <w:spacing w:after="0"/>
              <w:rPr>
                <w:sz w:val="20"/>
                <w:szCs w:val="20"/>
                <w:color w:val="auto"/>
              </w:rPr>
            </w:pPr>
            <w:r>
              <w:rPr>
                <w:rFonts w:ascii="Arial" w:cs="Arial" w:eastAsia="Arial" w:hAnsi="Arial"/>
                <w:sz w:val="18"/>
                <w:szCs w:val="18"/>
                <w:color w:val="auto"/>
                <w:w w:val="79"/>
              </w:rPr>
              <w:t>2016</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jc w:val="right"/>
              <w:ind w:right="6930"/>
              <w:spacing w:after="0"/>
              <w:rPr>
                <w:sz w:val="20"/>
                <w:szCs w:val="20"/>
                <w:color w:val="auto"/>
              </w:rPr>
            </w:pPr>
            <w:r>
              <w:rPr>
                <w:rFonts w:ascii="Arial" w:cs="Arial" w:eastAsia="Arial" w:hAnsi="Arial"/>
                <w:sz w:val="18"/>
                <w:szCs w:val="18"/>
                <w:color w:val="auto"/>
                <w:w w:val="79"/>
              </w:rPr>
              <w:t>2017</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jc w:val="right"/>
              <w:ind w:right="6930"/>
              <w:spacing w:after="0"/>
              <w:rPr>
                <w:sz w:val="20"/>
                <w:szCs w:val="20"/>
                <w:color w:val="auto"/>
              </w:rPr>
            </w:pPr>
            <w:r>
              <w:rPr>
                <w:rFonts w:ascii="Arial" w:cs="Arial" w:eastAsia="Arial" w:hAnsi="Arial"/>
                <w:sz w:val="18"/>
                <w:szCs w:val="18"/>
                <w:color w:val="auto"/>
                <w:w w:val="79"/>
              </w:rPr>
              <w:t>2018</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right="379"/>
        <w:spacing w:after="0" w:line="277" w:lineRule="auto"/>
        <w:rPr>
          <w:sz w:val="20"/>
          <w:szCs w:val="20"/>
          <w:color w:val="auto"/>
        </w:rPr>
      </w:pPr>
      <w:r>
        <w:rPr>
          <w:rFonts w:ascii="Arial" w:cs="Arial" w:eastAsia="Arial" w:hAnsi="Arial"/>
          <w:sz w:val="18"/>
          <w:szCs w:val="18"/>
          <w:color w:val="auto"/>
        </w:rPr>
        <w:t>Total rent expenses for the years ended December 31, 2012, 2013 and 2014 were $891, $1,080 and $1,203, respectively.</w:t>
      </w:r>
    </w:p>
    <w:p>
      <w:pPr>
        <w:spacing w:after="0" w:line="116" w:lineRule="exact"/>
        <w:rPr>
          <w:sz w:val="20"/>
          <w:szCs w:val="20"/>
          <w:color w:val="auto"/>
        </w:rPr>
      </w:pPr>
    </w:p>
    <w:p>
      <w:pPr>
        <w:ind w:left="1480" w:hanging="329"/>
        <w:spacing w:after="0"/>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Charges:</w:t>
      </w:r>
    </w:p>
    <w:p>
      <w:pPr>
        <w:spacing w:after="0" w:line="144" w:lineRule="exact"/>
        <w:rPr>
          <w:sz w:val="20"/>
          <w:szCs w:val="20"/>
          <w:color w:val="auto"/>
        </w:rPr>
      </w:pPr>
    </w:p>
    <w:p>
      <w:pPr>
        <w:ind w:left="1520" w:right="119"/>
        <w:spacing w:after="0" w:line="255" w:lineRule="auto"/>
        <w:rPr>
          <w:sz w:val="20"/>
          <w:szCs w:val="20"/>
          <w:color w:val="auto"/>
        </w:rPr>
      </w:pPr>
      <w:r>
        <w:rPr>
          <w:rFonts w:ascii="Arial" w:cs="Arial" w:eastAsia="Arial" w:hAnsi="Arial"/>
          <w:sz w:val="18"/>
          <w:szCs w:val="18"/>
          <w:color w:val="auto"/>
        </w:rPr>
        <w:t>During 2012, the Company obtained lines of credit for total borrowings of up to $2,000 from two Israeli banks. The lines of credit carry interest rates varying between the Bank of Israel’s interest rate plus 1.5% (“Israeli Prime Rate”) plus 3% to 3.5%. Under the agreements, the Company is obligated to satisfy the following covenants for so long as any borrowings are outstanding under the credit line: (a) the Company is required to maintain a 30% ratio of total shareholders’ equity to total assets on a consolidated basis;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2" w:name="page143"/>
    <w:bookmarkEnd w:id="14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COMMITMENTS AND CONTINGENT LIABILITIES (Cont.)</w:t>
      </w:r>
    </w:p>
    <w:p>
      <w:pPr>
        <w:spacing w:after="0" w:line="229" w:lineRule="exact"/>
        <w:rPr>
          <w:sz w:val="20"/>
          <w:szCs w:val="20"/>
          <w:color w:val="auto"/>
        </w:rPr>
      </w:pPr>
    </w:p>
    <w:p>
      <w:pPr>
        <w:ind w:left="1520" w:right="259" w:firstLine="9"/>
        <w:spacing w:after="0" w:line="264" w:lineRule="auto"/>
        <w:tabs>
          <w:tab w:leader="none" w:pos="17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the end of each fiscal quarter, the Company is required to maintain a minimum of $1,000 cash and cash equivalents on a consolidated basis. A $1,000 line of credit was terminated in October 2014.</w:t>
      </w:r>
    </w:p>
    <w:p>
      <w:pPr>
        <w:spacing w:after="0" w:line="114" w:lineRule="exact"/>
        <w:rPr>
          <w:sz w:val="20"/>
          <w:szCs w:val="20"/>
          <w:color w:val="auto"/>
        </w:rPr>
      </w:pPr>
    </w:p>
    <w:p>
      <w:pPr>
        <w:ind w:left="1520" w:right="359"/>
        <w:spacing w:after="0" w:line="257" w:lineRule="auto"/>
        <w:rPr>
          <w:sz w:val="20"/>
          <w:szCs w:val="20"/>
          <w:color w:val="auto"/>
        </w:rPr>
      </w:pPr>
      <w:r>
        <w:rPr>
          <w:rFonts w:ascii="Arial" w:cs="Arial" w:eastAsia="Arial" w:hAnsi="Arial"/>
          <w:sz w:val="18"/>
          <w:szCs w:val="18"/>
          <w:color w:val="auto"/>
        </w:rPr>
        <w:t>In November 2014, the Company entered into an additional line of credit with an Israeli bank for borrowings of up to $2,000. Borrowings under the line of credit line bear interest at a rate of the Israeli Prime Rate plus 0.45%. Under the agreement, for so long as any borrowings are outstanding under the line of credit, the Company is obligated to maintain a 30% ratio of total shareholders’ equity to total assets.</w:t>
      </w:r>
    </w:p>
    <w:p>
      <w:pPr>
        <w:spacing w:after="0" w:line="107" w:lineRule="exact"/>
        <w:rPr>
          <w:sz w:val="20"/>
          <w:szCs w:val="20"/>
          <w:color w:val="auto"/>
        </w:rPr>
      </w:pPr>
    </w:p>
    <w:p>
      <w:pPr>
        <w:ind w:left="1520" w:right="319"/>
        <w:spacing w:after="0" w:line="264" w:lineRule="auto"/>
        <w:rPr>
          <w:sz w:val="20"/>
          <w:szCs w:val="20"/>
          <w:color w:val="auto"/>
        </w:rPr>
      </w:pPr>
      <w:r>
        <w:rPr>
          <w:rFonts w:ascii="Arial" w:cs="Arial" w:eastAsia="Arial" w:hAnsi="Arial"/>
          <w:sz w:val="18"/>
          <w:szCs w:val="18"/>
          <w:color w:val="auto"/>
        </w:rPr>
        <w:t>As of the date of these financial statements, the Company does not have any borrowings under the lines of credit. The Company is in compliance with the financial covenants contained in the lines of credit.</w:t>
      </w:r>
    </w:p>
    <w:p>
      <w:pPr>
        <w:spacing w:after="0" w:line="154" w:lineRule="exact"/>
        <w:rPr>
          <w:sz w:val="20"/>
          <w:szCs w:val="20"/>
          <w:color w:val="auto"/>
        </w:rPr>
      </w:pPr>
    </w:p>
    <w:p>
      <w:pPr>
        <w:ind w:left="1520" w:hanging="369"/>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144" w:lineRule="exact"/>
        <w:rPr>
          <w:rFonts w:ascii="Arial" w:cs="Arial" w:eastAsia="Arial" w:hAnsi="Arial"/>
          <w:sz w:val="18"/>
          <w:szCs w:val="18"/>
          <w:color w:val="auto"/>
        </w:rPr>
      </w:pPr>
    </w:p>
    <w:p>
      <w:pPr>
        <w:ind w:left="1520" w:right="599"/>
        <w:spacing w:after="0" w:line="277" w:lineRule="auto"/>
        <w:rPr>
          <w:rFonts w:ascii="Arial" w:cs="Arial" w:eastAsia="Arial" w:hAnsi="Arial"/>
          <w:sz w:val="18"/>
          <w:szCs w:val="18"/>
          <w:color w:val="auto"/>
        </w:rPr>
      </w:pPr>
      <w:r>
        <w:rPr>
          <w:rFonts w:ascii="Arial" w:cs="Arial" w:eastAsia="Arial" w:hAnsi="Arial"/>
          <w:sz w:val="18"/>
          <w:szCs w:val="18"/>
          <w:color w:val="auto"/>
        </w:rPr>
        <w:t>The Company estimates that at December 31, 2014, it had $8,859 of purchase commitments for inventory from vendors.</w:t>
      </w:r>
    </w:p>
    <w:p>
      <w:pPr>
        <w:spacing w:after="0" w:line="143" w:lineRule="exact"/>
        <w:rPr>
          <w:rFonts w:ascii="Arial" w:cs="Arial" w:eastAsia="Arial" w:hAnsi="Arial"/>
          <w:sz w:val="18"/>
          <w:szCs w:val="18"/>
          <w:color w:val="auto"/>
        </w:rPr>
      </w:pPr>
    </w:p>
    <w:p>
      <w:pPr>
        <w:ind w:left="1480" w:hanging="329"/>
        <w:spacing w:after="0"/>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44" w:lineRule="exact"/>
        <w:rPr>
          <w:sz w:val="20"/>
          <w:szCs w:val="20"/>
          <w:color w:val="auto"/>
        </w:rPr>
      </w:pPr>
    </w:p>
    <w:p>
      <w:pPr>
        <w:ind w:left="1520" w:right="139"/>
        <w:spacing w:after="0" w:line="259"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33" w:lineRule="exact"/>
        <w:rPr>
          <w:sz w:val="20"/>
          <w:szCs w:val="20"/>
          <w:color w:val="auto"/>
        </w:rPr>
      </w:pPr>
    </w:p>
    <w:p>
      <w:pPr>
        <w:ind w:left="1520" w:hanging="369"/>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157" w:lineRule="exact"/>
        <w:rPr>
          <w:rFonts w:ascii="Arial" w:cs="Arial" w:eastAsia="Arial" w:hAnsi="Arial"/>
          <w:sz w:val="18"/>
          <w:szCs w:val="18"/>
          <w:color w:val="auto"/>
        </w:rPr>
      </w:pPr>
    </w:p>
    <w:p>
      <w:pPr>
        <w:ind w:left="1860" w:right="339" w:hanging="385"/>
        <w:spacing w:after="0" w:line="286" w:lineRule="auto"/>
        <w:tabs>
          <w:tab w:leader="none" w:pos="1853" w:val="left"/>
        </w:tabs>
        <w:numPr>
          <w:ilvl w:val="1"/>
          <w:numId w:val="107"/>
        </w:numPr>
        <w:rPr>
          <w:rFonts w:ascii="Arial" w:cs="Arial" w:eastAsia="Arial" w:hAnsi="Arial"/>
          <w:sz w:val="17"/>
          <w:szCs w:val="17"/>
          <w:color w:val="auto"/>
        </w:rPr>
      </w:pPr>
      <w:r>
        <w:rPr>
          <w:rFonts w:ascii="Arial" w:cs="Arial" w:eastAsia="Arial" w:hAnsi="Arial"/>
          <w:sz w:val="17"/>
          <w:szCs w:val="17"/>
          <w:color w:val="auto"/>
        </w:rPr>
        <w:t>Under the Company’s agreement for purchasing print heads and other products, which was amended in 2014, the Company is obligated to pay royalties at a rate set forth in the agreement up to an agreed maximum amount of the Company’s annual ink revenues.</w:t>
      </w:r>
    </w:p>
    <w:p>
      <w:pPr>
        <w:spacing w:after="0" w:line="98" w:lineRule="exact"/>
        <w:rPr>
          <w:sz w:val="20"/>
          <w:szCs w:val="20"/>
          <w:color w:val="auto"/>
        </w:rPr>
      </w:pPr>
    </w:p>
    <w:p>
      <w:pPr>
        <w:ind w:left="1860" w:right="419" w:hanging="34"/>
        <w:spacing w:after="0" w:line="277" w:lineRule="auto"/>
        <w:rPr>
          <w:sz w:val="20"/>
          <w:szCs w:val="20"/>
          <w:color w:val="auto"/>
        </w:rPr>
      </w:pPr>
      <w:r>
        <w:rPr>
          <w:rFonts w:ascii="Arial" w:cs="Arial" w:eastAsia="Arial" w:hAnsi="Arial"/>
          <w:sz w:val="18"/>
          <w:szCs w:val="18"/>
          <w:color w:val="auto"/>
        </w:rPr>
        <w:t>Royalty expenses for the years ended December 31, 2012, 2013 and 2014 were $648, $563 and $590, respectively.</w:t>
      </w:r>
    </w:p>
    <w:p>
      <w:pPr>
        <w:spacing w:after="0" w:line="76" w:lineRule="exact"/>
        <w:rPr>
          <w:sz w:val="20"/>
          <w:szCs w:val="20"/>
          <w:color w:val="auto"/>
        </w:rPr>
      </w:pPr>
    </w:p>
    <w:p>
      <w:pPr>
        <w:ind w:left="1860" w:right="339" w:hanging="385"/>
        <w:spacing w:after="0" w:line="273" w:lineRule="auto"/>
        <w:tabs>
          <w:tab w:leader="none" w:pos="185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Company received research and development grants from the Office of the Chief Scientist (the “OCS”). In consideration for the research and development grants received from the OCS, the Company has undertaken to pay royalties as a percentage of revenues from products developed from research and development projects financed. The royalty rate is 3.5%. If the Company does not generate sales of products developed with funds provided by the OCS, the Company is not obligated to pay royalties or repay the grants.</w:t>
      </w:r>
    </w:p>
    <w:p>
      <w:pPr>
        <w:spacing w:after="0" w:line="83" w:lineRule="exact"/>
        <w:rPr>
          <w:rFonts w:ascii="Arial" w:cs="Arial" w:eastAsia="Arial" w:hAnsi="Arial"/>
          <w:sz w:val="17"/>
          <w:szCs w:val="17"/>
          <w:color w:val="auto"/>
        </w:rPr>
      </w:pPr>
    </w:p>
    <w:p>
      <w:pPr>
        <w:jc w:val="both"/>
        <w:ind w:left="1860" w:right="279"/>
        <w:spacing w:after="0" w:line="264" w:lineRule="auto"/>
        <w:rPr>
          <w:rFonts w:ascii="Arial" w:cs="Arial" w:eastAsia="Arial" w:hAnsi="Arial"/>
          <w:sz w:val="17"/>
          <w:szCs w:val="17"/>
          <w:color w:val="auto"/>
        </w:rPr>
      </w:pPr>
      <w:r>
        <w:rPr>
          <w:rFonts w:ascii="Arial" w:cs="Arial" w:eastAsia="Arial" w:hAnsi="Arial"/>
          <w:sz w:val="18"/>
          <w:szCs w:val="18"/>
          <w:color w:val="auto"/>
        </w:rPr>
        <w:t>Royalties are payable from the time of commencement of sales of all of these products until the cumulative amount of the royalties paid equals 100% of the dollar-linked amounts of the grants received, and bears interest at the LIBOR rate.</w:t>
      </w:r>
    </w:p>
    <w:p>
      <w:pPr>
        <w:spacing w:after="0" w:line="100" w:lineRule="exact"/>
        <w:rPr>
          <w:rFonts w:ascii="Arial" w:cs="Arial" w:eastAsia="Arial" w:hAnsi="Arial"/>
          <w:sz w:val="17"/>
          <w:szCs w:val="17"/>
          <w:color w:val="auto"/>
        </w:rPr>
      </w:pPr>
    </w:p>
    <w:p>
      <w:pPr>
        <w:ind w:left="1860" w:right="179"/>
        <w:spacing w:after="0" w:line="297" w:lineRule="auto"/>
        <w:rPr>
          <w:rFonts w:ascii="Arial" w:cs="Arial" w:eastAsia="Arial" w:hAnsi="Arial"/>
          <w:sz w:val="17"/>
          <w:szCs w:val="17"/>
          <w:color w:val="auto"/>
        </w:rPr>
      </w:pPr>
      <w:r>
        <w:rPr>
          <w:rFonts w:ascii="Arial" w:cs="Arial" w:eastAsia="Arial" w:hAnsi="Arial"/>
          <w:sz w:val="16"/>
          <w:szCs w:val="16"/>
          <w:color w:val="auto"/>
        </w:rPr>
        <w:t>The total research and development grants that the Company has received from the OCS as of December 31, 2014 were $168. The accumulated interest as of December 31, 2014 was $7. As of December 31, 2014, there were no accumulated royalties paid to the OCS. Accordingly the Company’s total commitment with respect to royalty-bearing participation received or accrued, net of royalties paid or accrued, amounted to $175 as of December 31, 2014.</w:t>
      </w:r>
    </w:p>
    <w:p>
      <w:pPr>
        <w:spacing w:after="0" w:line="63" w:lineRule="exact"/>
        <w:rPr>
          <w:rFonts w:ascii="Arial" w:cs="Arial" w:eastAsia="Arial" w:hAnsi="Arial"/>
          <w:sz w:val="17"/>
          <w:szCs w:val="17"/>
          <w:color w:val="auto"/>
        </w:rPr>
      </w:pPr>
    </w:p>
    <w:p>
      <w:pPr>
        <w:ind w:left="1860" w:right="659"/>
        <w:spacing w:after="0" w:line="277" w:lineRule="auto"/>
        <w:rPr>
          <w:rFonts w:ascii="Arial" w:cs="Arial" w:eastAsia="Arial" w:hAnsi="Arial"/>
          <w:sz w:val="17"/>
          <w:szCs w:val="17"/>
          <w:color w:val="auto"/>
        </w:rPr>
      </w:pPr>
      <w:r>
        <w:rPr>
          <w:rFonts w:ascii="Arial" w:cs="Arial" w:eastAsia="Arial" w:hAnsi="Arial"/>
          <w:sz w:val="18"/>
          <w:szCs w:val="18"/>
          <w:color w:val="auto"/>
        </w:rPr>
        <w:t>As of December 31, 2014, no revenues had been generated under this project, therefore no royalties had been paid or accrued.</w:t>
      </w:r>
    </w:p>
    <w:p>
      <w:pPr>
        <w:spacing w:after="0" w:line="116" w:lineRule="exact"/>
        <w:rPr>
          <w:rFonts w:ascii="Arial" w:cs="Arial" w:eastAsia="Arial" w:hAnsi="Arial"/>
          <w:sz w:val="17"/>
          <w:szCs w:val="17"/>
          <w:color w:val="auto"/>
        </w:rPr>
      </w:pPr>
    </w:p>
    <w:p>
      <w:pPr>
        <w:ind w:left="1500" w:hanging="349"/>
        <w:spacing w:after="0"/>
        <w:tabs>
          <w:tab w:leader="none" w:pos="1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left="1520" w:right="319"/>
        <w:spacing w:after="0" w:line="277" w:lineRule="auto"/>
        <w:rPr>
          <w:sz w:val="20"/>
          <w:szCs w:val="20"/>
          <w:color w:val="auto"/>
        </w:rPr>
      </w:pPr>
      <w:r>
        <w:rPr>
          <w:rFonts w:ascii="Arial" w:cs="Arial" w:eastAsia="Arial" w:hAnsi="Arial"/>
          <w:sz w:val="18"/>
          <w:szCs w:val="18"/>
          <w:color w:val="auto"/>
        </w:rPr>
        <w:t>As of December 31, 2014, the Company provided two bank guarantees of $216 in the aggregate for its rented facilities.</w:t>
      </w:r>
    </w:p>
    <w:p>
      <w:pPr>
        <w:sectPr>
          <w:pgSz w:w="11900" w:h="16838" w:orient="portrait"/>
          <w:cols w:equalWidth="0" w:num="1">
            <w:col w:w="9019"/>
          </w:cols>
          <w:pgMar w:left="1440" w:top="121" w:right="1440" w:bottom="1440" w:gutter="0" w:footer="0" w:header="0"/>
        </w:sectPr>
      </w:pP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43" w:name="page144"/>
    <w:bookmarkEnd w:id="14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SHAREHOLDERS’ EQUITY</w:t>
      </w:r>
    </w:p>
    <w:p>
      <w:pPr>
        <w:spacing w:after="0" w:line="229" w:lineRule="exact"/>
        <w:rPr>
          <w:sz w:val="20"/>
          <w:szCs w:val="20"/>
          <w:color w:val="auto"/>
        </w:rPr>
      </w:pPr>
    </w:p>
    <w:p>
      <w:pPr>
        <w:ind w:left="1520" w:right="6139" w:hanging="369"/>
        <w:spacing w:after="0" w:line="563" w:lineRule="auto"/>
        <w:tabs>
          <w:tab w:leader="none" w:pos="150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Company’s shares: Ordinary shares:</w:t>
      </w:r>
    </w:p>
    <w:p>
      <w:pPr>
        <w:spacing w:after="0" w:line="1" w:lineRule="exact"/>
        <w:rPr>
          <w:rFonts w:ascii="Arial" w:cs="Arial" w:eastAsia="Arial" w:hAnsi="Arial"/>
          <w:sz w:val="16"/>
          <w:szCs w:val="16"/>
          <w:color w:val="auto"/>
        </w:rPr>
      </w:pPr>
    </w:p>
    <w:p>
      <w:pPr>
        <w:ind w:left="1520" w:right="259"/>
        <w:spacing w:after="0" w:line="257" w:lineRule="auto"/>
        <w:rPr>
          <w:rFonts w:ascii="Arial" w:cs="Arial" w:eastAsia="Arial" w:hAnsi="Arial"/>
          <w:sz w:val="16"/>
          <w:szCs w:val="16"/>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8"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8"/>
          <w:szCs w:val="18"/>
          <w:color w:val="auto"/>
        </w:rPr>
        <w:t>Preferred A-1 shares:</w:t>
      </w:r>
    </w:p>
    <w:p>
      <w:pPr>
        <w:spacing w:after="0" w:line="225" w:lineRule="exact"/>
        <w:rPr>
          <w:rFonts w:ascii="Arial" w:cs="Arial" w:eastAsia="Arial" w:hAnsi="Arial"/>
          <w:sz w:val="16"/>
          <w:szCs w:val="16"/>
          <w:color w:val="auto"/>
        </w:rPr>
      </w:pPr>
    </w:p>
    <w:p>
      <w:pPr>
        <w:ind w:left="1520" w:right="279"/>
        <w:spacing w:after="0" w:line="308" w:lineRule="auto"/>
        <w:rPr>
          <w:rFonts w:ascii="Arial" w:cs="Arial" w:eastAsia="Arial" w:hAnsi="Arial"/>
          <w:sz w:val="16"/>
          <w:szCs w:val="16"/>
          <w:color w:val="auto"/>
        </w:rPr>
      </w:pPr>
      <w:r>
        <w:rPr>
          <w:rFonts w:ascii="Arial" w:cs="Arial" w:eastAsia="Arial" w:hAnsi="Arial"/>
          <w:sz w:val="17"/>
          <w:szCs w:val="17"/>
          <w:color w:val="auto"/>
        </w:rPr>
        <w:t>Preferred A-1 shares confer their holders preferences related to the distribution of Company’s assets in events of liquidation, merger, re-organization, sale of the Company or its assets.</w:t>
      </w:r>
    </w:p>
    <w:p>
      <w:pPr>
        <w:spacing w:after="0" w:line="146" w:lineRule="exact"/>
        <w:rPr>
          <w:rFonts w:ascii="Arial" w:cs="Arial" w:eastAsia="Arial" w:hAnsi="Arial"/>
          <w:sz w:val="16"/>
          <w:szCs w:val="16"/>
          <w:color w:val="auto"/>
        </w:rPr>
      </w:pPr>
    </w:p>
    <w:p>
      <w:pPr>
        <w:ind w:left="1520" w:right="199"/>
        <w:spacing w:after="0" w:line="259" w:lineRule="auto"/>
        <w:rPr>
          <w:rFonts w:ascii="Arial" w:cs="Arial" w:eastAsia="Arial" w:hAnsi="Arial"/>
          <w:sz w:val="16"/>
          <w:szCs w:val="16"/>
          <w:color w:val="auto"/>
        </w:rPr>
      </w:pPr>
      <w:r>
        <w:rPr>
          <w:rFonts w:ascii="Arial" w:cs="Arial" w:eastAsia="Arial" w:hAnsi="Arial"/>
          <w:sz w:val="18"/>
          <w:szCs w:val="18"/>
          <w:color w:val="auto"/>
        </w:rPr>
        <w:t>Each share of Series A-1 Preferred automatically converts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86" w:lineRule="exact"/>
        <w:rPr>
          <w:rFonts w:ascii="Arial" w:cs="Arial" w:eastAsia="Arial" w:hAnsi="Arial"/>
          <w:sz w:val="16"/>
          <w:szCs w:val="16"/>
          <w:color w:val="auto"/>
        </w:rPr>
      </w:pPr>
    </w:p>
    <w:p>
      <w:pPr>
        <w:ind w:left="1480" w:hanging="329"/>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Number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upon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4"/>
              </w:rPr>
              <w:t>exercise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exercise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price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210,852</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373,080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7"/>
              </w:rPr>
              <w:t>F-22</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44" w:name="page145"/>
    <w:bookmarkEnd w:id="14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SHAREHOLDERS’ EQUITY (Cont.)</w:t>
      </w:r>
    </w:p>
    <w:p>
      <w:pPr>
        <w:spacing w:after="0" w:line="229" w:lineRule="exact"/>
        <w:rPr>
          <w:sz w:val="20"/>
          <w:szCs w:val="20"/>
          <w:color w:val="auto"/>
        </w:rPr>
      </w:pPr>
    </w:p>
    <w:p>
      <w:pPr>
        <w:ind w:left="1520" w:right="779" w:hanging="369"/>
        <w:spacing w:after="0" w:line="342" w:lineRule="auto"/>
        <w:tabs>
          <w:tab w:leader="none" w:pos="150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As of December 31, 2014, $5,359 unrecognized compensation cost related to stock options is expected to be recognized over a weighted average vesting period of 3.43 years.</w:t>
      </w:r>
    </w:p>
    <w:p>
      <w:pPr>
        <w:spacing w:after="0" w:line="123" w:lineRule="exact"/>
        <w:rPr>
          <w:rFonts w:ascii="Arial" w:cs="Arial" w:eastAsia="Arial" w:hAnsi="Arial"/>
          <w:sz w:val="16"/>
          <w:szCs w:val="16"/>
          <w:color w:val="auto"/>
        </w:rPr>
      </w:pPr>
    </w:p>
    <w:p>
      <w:pPr>
        <w:ind w:left="1480" w:hanging="329"/>
        <w:spacing w:after="0"/>
        <w:tabs>
          <w:tab w:leader="none" w:pos="14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options outstanding as of December 31, 2014 have been classified by exercise price, as follows:</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Options exercisable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at December 31, 2014</w:t>
            </w:r>
          </w:p>
        </w:tc>
        <w:tc>
          <w:tcPr>
            <w:tcW w:w="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at December 31, 2014</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remaining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w w:val="97"/>
              </w:rPr>
              <w:t>Number of</w:t>
            </w:r>
          </w:p>
        </w:tc>
        <w:tc>
          <w:tcPr>
            <w:tcW w:w="30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4"/>
              </w:rPr>
              <w:t>exercise</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contractual</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Exercise price</w:t>
            </w:r>
          </w:p>
        </w:tc>
        <w:tc>
          <w:tcPr>
            <w:tcW w:w="880" w:type="dxa"/>
            <w:vAlign w:val="bottom"/>
          </w:tcPr>
          <w:p>
            <w:pPr>
              <w:jc w:val="right"/>
              <w:ind w:right="112"/>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price</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life</w:t>
            </w:r>
          </w:p>
        </w:tc>
        <w:tc>
          <w:tcPr>
            <w:tcW w:w="900" w:type="dxa"/>
            <w:vAlign w:val="bottom"/>
          </w:tcPr>
          <w:p>
            <w:pPr>
              <w:jc w:val="right"/>
              <w:ind w:right="112"/>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8"/>
                <w:szCs w:val="18"/>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price</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life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years</w:t>
            </w:r>
          </w:p>
        </w:tc>
        <w:tc>
          <w:tcPr>
            <w:tcW w:w="3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4 – 5</w:t>
            </w:r>
          </w:p>
        </w:tc>
        <w:tc>
          <w:tcPr>
            <w:tcW w:w="8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 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8.3 – 10.5</w:t>
            </w:r>
          </w:p>
        </w:tc>
        <w:tc>
          <w:tcPr>
            <w:tcW w:w="880" w:type="dxa"/>
            <w:vAlign w:val="bottom"/>
          </w:tcPr>
          <w:p>
            <w:pPr>
              <w:jc w:val="right"/>
              <w:spacing w:after="0"/>
              <w:rPr>
                <w:sz w:val="20"/>
                <w:szCs w:val="20"/>
                <w:color w:val="auto"/>
              </w:rPr>
            </w:pPr>
            <w:r>
              <w:rPr>
                <w:rFonts w:ascii="Arial" w:cs="Arial" w:eastAsia="Arial" w:hAnsi="Arial"/>
                <w:sz w:val="18"/>
                <w:szCs w:val="18"/>
                <w:color w:val="auto"/>
              </w:rPr>
              <w:t>53,500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13.54 – 14.23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393,452</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155,850</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139" w:hanging="369"/>
        <w:spacing w:after="0" w:line="270" w:lineRule="auto"/>
        <w:tabs>
          <w:tab w:leader="none" w:pos="150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Company’s Board approved option plans pursuant to which the Company is authorized to issue to employees, directors and officers of the Company and its subsidiaries (the “optionees”) options to purchase ordinary shares of NIS 0.01 par value each. Under the plans, options generally vest in portions as follows: 50% of total options are exercisable two years after the date determined for each optionee, a further 25% three years after the date determined for each optionee and a 25% four years after the date determined for each optionee. Starting in 2014, 25% of total options are exercisable one year after the date determined for each optionee and a further 6.25%, at the end of each subsequent three month period for three years. Options that have vested are exercisable for up to 10 years from the grant date of the options to each employee.</w:t>
      </w:r>
    </w:p>
    <w:p>
      <w:pPr>
        <w:spacing w:after="0" w:line="182" w:lineRule="exact"/>
        <w:rPr>
          <w:sz w:val="20"/>
          <w:szCs w:val="20"/>
          <w:color w:val="auto"/>
        </w:rPr>
      </w:pPr>
    </w:p>
    <w:p>
      <w:pPr>
        <w:jc w:val="both"/>
        <w:ind w:left="1520" w:right="439"/>
        <w:spacing w:after="0" w:line="264" w:lineRule="auto"/>
        <w:rPr>
          <w:sz w:val="20"/>
          <w:szCs w:val="20"/>
          <w:color w:val="auto"/>
        </w:rPr>
      </w:pPr>
      <w:r>
        <w:rPr>
          <w:rFonts w:ascii="Arial" w:cs="Arial" w:eastAsia="Arial" w:hAnsi="Arial"/>
          <w:sz w:val="18"/>
          <w:szCs w:val="18"/>
          <w:color w:val="auto"/>
        </w:rPr>
        <w:t>On July 10, 2014, the Board of Directors approved an increase in the ordinary shares reserved for issuance to 402,949 (unaudited) ordinary shares. As of December 31, 2014, an aggregate of 9,497 ordinary shares were available for future grants.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Year ended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2"/>
              </w:rPr>
              <w:t>December 31,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Numerator for basic and diluted net earnings per</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shares outstanding, net of</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net earnings per share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1,366,310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options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106,211</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141,380</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net earnings per share</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1,472,521</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1,507,690</w:t>
            </w: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1,594,084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TAXES ON INCOME</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ind w:left="1020"/>
              <w:spacing w:after="0"/>
              <w:rPr>
                <w:sz w:val="20"/>
                <w:szCs w:val="20"/>
                <w:color w:val="auto"/>
              </w:rPr>
            </w:pPr>
            <w:r>
              <w:rPr>
                <w:rFonts w:ascii="Arial" w:cs="Arial" w:eastAsia="Arial" w:hAnsi="Arial"/>
                <w:sz w:val="18"/>
                <w:szCs w:val="18"/>
                <w:color w:val="auto"/>
              </w:rPr>
              <w:t>a.   Tax rates: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Taxable income of the Israeli companies is subject to the Israeli corporate tax at the rate as follows:</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2012 and 2013 – 25% and 2014 – 26.5%.</w:t>
      </w:r>
    </w:p>
    <w:p>
      <w:pPr>
        <w:spacing w:after="0" w:line="211" w:lineRule="exact"/>
        <w:rPr>
          <w:sz w:val="20"/>
          <w:szCs w:val="20"/>
          <w:color w:val="auto"/>
        </w:rPr>
      </w:pPr>
    </w:p>
    <w:p>
      <w:pPr>
        <w:ind w:left="1480" w:hanging="329"/>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sz w:val="20"/>
          <w:szCs w:val="20"/>
          <w:color w:val="auto"/>
        </w:rPr>
      </w:pPr>
    </w:p>
    <w:p>
      <w:pPr>
        <w:ind w:left="1520" w:right="139"/>
        <w:spacing w:after="0" w:line="286" w:lineRule="auto"/>
        <w:rPr>
          <w:sz w:val="20"/>
          <w:szCs w:val="20"/>
          <w:color w:val="auto"/>
        </w:rPr>
      </w:pPr>
      <w:r>
        <w:rPr>
          <w:rFonts w:ascii="Arial" w:cs="Arial" w:eastAsia="Arial" w:hAnsi="Arial"/>
          <w:sz w:val="17"/>
          <w:szCs w:val="17"/>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66" w:lineRule="exact"/>
        <w:rPr>
          <w:sz w:val="20"/>
          <w:szCs w:val="20"/>
          <w:color w:val="auto"/>
        </w:rPr>
      </w:pPr>
    </w:p>
    <w:p>
      <w:pPr>
        <w:ind w:left="1520" w:right="139"/>
        <w:spacing w:after="0" w:line="264" w:lineRule="auto"/>
        <w:rPr>
          <w:sz w:val="20"/>
          <w:szCs w:val="20"/>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Companies began to utilize such tax benefits in 2010.</w:t>
      </w:r>
    </w:p>
    <w:p>
      <w:pPr>
        <w:spacing w:after="0" w:line="181"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Income from sources other than the “Beneficiary Enterprise” are subject to the tax at the regular rate.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6" w:name="page147"/>
    <w:bookmarkEnd w:id="14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239"/>
        <w:spacing w:after="0" w:line="264" w:lineRule="auto"/>
        <w:rPr>
          <w:sz w:val="20"/>
          <w:szCs w:val="20"/>
          <w:color w:val="auto"/>
        </w:rPr>
      </w:pPr>
      <w:r>
        <w:rPr>
          <w:rFonts w:ascii="Arial" w:cs="Arial" w:eastAsia="Arial" w:hAnsi="Arial"/>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81"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In addition tax-exempt income attributed to Benefiting Enterprise, will subject the Company to taxes upon distribution in any manner including complete liquidation.</w:t>
      </w:r>
    </w:p>
    <w:p>
      <w:pPr>
        <w:spacing w:after="0" w:line="170" w:lineRule="exact"/>
        <w:rPr>
          <w:sz w:val="20"/>
          <w:szCs w:val="20"/>
          <w:color w:val="auto"/>
        </w:rPr>
      </w:pPr>
    </w:p>
    <w:p>
      <w:pPr>
        <w:ind w:left="1520" w:right="119"/>
        <w:spacing w:after="0" w:line="276" w:lineRule="auto"/>
        <w:rPr>
          <w:sz w:val="20"/>
          <w:szCs w:val="20"/>
          <w:color w:val="auto"/>
        </w:rPr>
      </w:pPr>
      <w:r>
        <w:rPr>
          <w:rFonts w:ascii="Arial" w:cs="Arial" w:eastAsia="Arial" w:hAnsi="Arial"/>
          <w:sz w:val="17"/>
          <w:szCs w:val="17"/>
          <w:color w:val="auto"/>
        </w:rPr>
        <w:t>The Company does not intend to distribute any amounts of its undistributed tax-exempt income as dividend. The Company and its Board of Directors intends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73" w:lineRule="exact"/>
        <w:rPr>
          <w:sz w:val="20"/>
          <w:szCs w:val="20"/>
          <w:color w:val="auto"/>
        </w:rPr>
      </w:pPr>
    </w:p>
    <w:p>
      <w:pPr>
        <w:jc w:val="both"/>
        <w:ind w:left="1520" w:right="479"/>
        <w:spacing w:after="0" w:line="259" w:lineRule="auto"/>
        <w:rPr>
          <w:sz w:val="20"/>
          <w:szCs w:val="20"/>
          <w:color w:val="auto"/>
        </w:rPr>
      </w:pPr>
      <w:r>
        <w:rPr>
          <w:rFonts w:ascii="Arial" w:cs="Arial" w:eastAsia="Arial" w:hAnsi="Arial"/>
          <w:sz w:val="18"/>
          <w:szCs w:val="18"/>
          <w:color w:val="auto"/>
        </w:rPr>
        <w:t>As of December 31, 2014, tax-exempt income of $28,116 is attributable to the Company’s and its subsidiary’s various Beneficiary Enterprise programs. If such tax exempt income is distributed, it would be taxed at the reduced corporate tax rate applicable to such income, and $7,029 would be incurred as of December 31, 2014.</w:t>
      </w:r>
    </w:p>
    <w:p>
      <w:pPr>
        <w:spacing w:after="0" w:line="187" w:lineRule="exact"/>
        <w:rPr>
          <w:sz w:val="20"/>
          <w:szCs w:val="20"/>
          <w:color w:val="auto"/>
        </w:rPr>
      </w:pPr>
    </w:p>
    <w:p>
      <w:pPr>
        <w:ind w:left="1520" w:right="259"/>
        <w:spacing w:after="0" w:line="257" w:lineRule="auto"/>
        <w:rPr>
          <w:sz w:val="20"/>
          <w:szCs w:val="20"/>
          <w:color w:val="auto"/>
        </w:rPr>
      </w:pPr>
      <w:r>
        <w:rPr>
          <w:rFonts w:ascii="Arial" w:cs="Arial" w:eastAsia="Arial" w:hAnsi="Arial"/>
          <w:sz w:val="18"/>
          <w:szCs w:val="18"/>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88" w:lineRule="exact"/>
        <w:rPr>
          <w:sz w:val="20"/>
          <w:szCs w:val="20"/>
          <w:color w:val="auto"/>
        </w:rPr>
      </w:pPr>
    </w:p>
    <w:p>
      <w:pPr>
        <w:ind w:left="1520" w:right="259"/>
        <w:spacing w:after="0" w:line="285" w:lineRule="auto"/>
        <w:rPr>
          <w:sz w:val="20"/>
          <w:szCs w:val="20"/>
          <w:color w:val="auto"/>
        </w:rPr>
      </w:pPr>
      <w:r>
        <w:rPr>
          <w:rFonts w:ascii="Arial" w:cs="Arial" w:eastAsia="Arial" w:hAnsi="Arial"/>
          <w:sz w:val="16"/>
          <w:szCs w:val="16"/>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w:t>
      </w:r>
    </w:p>
    <w:p>
      <w:pPr>
        <w:spacing w:after="0" w:line="2" w:lineRule="exact"/>
        <w:rPr>
          <w:sz w:val="20"/>
          <w:szCs w:val="20"/>
          <w:color w:val="auto"/>
        </w:rPr>
      </w:pPr>
    </w:p>
    <w:p>
      <w:pPr>
        <w:ind w:left="1780" w:hanging="251"/>
        <w:spacing w:after="0"/>
        <w:tabs>
          <w:tab w:leader="none" w:pos="17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was registered under the Partnerships Ordinance; (b) all of its limited partners are companies</w:t>
      </w:r>
    </w:p>
    <w:p>
      <w:pPr>
        <w:spacing w:after="0" w:line="20" w:lineRule="exact"/>
        <w:rPr>
          <w:rFonts w:ascii="Arial" w:cs="Arial" w:eastAsia="Arial" w:hAnsi="Arial"/>
          <w:sz w:val="17"/>
          <w:szCs w:val="17"/>
          <w:color w:val="auto"/>
        </w:rPr>
      </w:pPr>
    </w:p>
    <w:p>
      <w:pPr>
        <w:ind w:left="1520" w:right="219"/>
        <w:spacing w:after="0" w:line="268" w:lineRule="auto"/>
        <w:rPr>
          <w:rFonts w:ascii="Arial" w:cs="Arial" w:eastAsia="Arial" w:hAnsi="Arial"/>
          <w:sz w:val="17"/>
          <w:szCs w:val="17"/>
          <w:color w:val="auto"/>
        </w:rPr>
      </w:pPr>
      <w:r>
        <w:rPr>
          <w:rFonts w:ascii="Arial" w:cs="Arial" w:eastAsia="Arial" w:hAnsi="Arial"/>
          <w:sz w:val="17"/>
          <w:szCs w:val="17"/>
          <w:color w:val="auto"/>
        </w:rPr>
        <w:t>incorporated in Israel, but not all of them are governmental entities, which, among other things, has Preferred Enterprise status and are controlled and managed from Israel. Pursuant to the 2011 Amendment, a Preferred Company is entitled to a reduced corporate flat tax rate of 15% with respect to its preferred income derived by its Preferred Enterprise in 2011-2012, unless the Preferred Enterprise is located in a certain development zone, in which case the rate will be 10%. Such corporate tax rate will be reduced to 12.5% and 7%, respectively, in 2013 and will increase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80"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87" w:lineRule="exact"/>
        <w:rPr>
          <w:sz w:val="20"/>
          <w:szCs w:val="20"/>
          <w:color w:val="auto"/>
        </w:rPr>
      </w:pPr>
    </w:p>
    <w:p>
      <w:pPr>
        <w:ind w:left="1520" w:hanging="369"/>
        <w:spacing w:after="0"/>
        <w:tabs>
          <w:tab w:leader="none" w:pos="1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6"/>
          <w:szCs w:val="16"/>
          <w:color w:val="auto"/>
        </w:rPr>
        <w:t>Non-Israeli subsidiaries are taxed according to the tax laws in their respective countries of residence.</w:t>
      </w:r>
    </w:p>
    <w:p>
      <w:pPr>
        <w:spacing w:after="0" w:line="248" w:lineRule="exact"/>
        <w:rPr>
          <w:rFonts w:ascii="Arial" w:cs="Arial" w:eastAsia="Arial" w:hAnsi="Arial"/>
          <w:sz w:val="18"/>
          <w:szCs w:val="18"/>
          <w:color w:val="auto"/>
        </w:rPr>
      </w:pPr>
    </w:p>
    <w:p>
      <w:pPr>
        <w:ind w:left="1520" w:right="139"/>
        <w:spacing w:after="0" w:line="264" w:lineRule="auto"/>
        <w:rPr>
          <w:rFonts w:ascii="Arial" w:cs="Arial" w:eastAsia="Arial" w:hAnsi="Arial"/>
          <w:sz w:val="18"/>
          <w:szCs w:val="18"/>
          <w:color w:val="auto"/>
        </w:rPr>
      </w:pPr>
      <w:r>
        <w:rPr>
          <w:rFonts w:ascii="Arial" w:cs="Arial" w:eastAsia="Arial" w:hAnsi="Arial"/>
          <w:sz w:val="18"/>
          <w:szCs w:val="18"/>
          <w:color w:val="auto"/>
        </w:rPr>
        <w:t>Taxes were not provided for undistributed earnings of the Company’s foreign subsidiaries. The Company’s board of directors has determined that the Company does not currently intend to distribute any amounts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7" w:name="page148"/>
    <w:bookmarkEnd w:id="14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159"/>
        <w:spacing w:after="0" w:line="257" w:lineRule="auto"/>
        <w:rPr>
          <w:sz w:val="20"/>
          <w:szCs w:val="20"/>
          <w:color w:val="auto"/>
        </w:rPr>
      </w:pPr>
      <w:r>
        <w:rPr>
          <w:rFonts w:ascii="Arial" w:cs="Arial" w:eastAsia="Arial" w:hAnsi="Arial"/>
          <w:sz w:val="18"/>
          <w:szCs w:val="18"/>
          <w:color w:val="auto"/>
        </w:rPr>
        <w:t>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88" w:lineRule="exact"/>
        <w:rPr>
          <w:sz w:val="20"/>
          <w:szCs w:val="20"/>
          <w:color w:val="auto"/>
        </w:rPr>
      </w:pPr>
    </w:p>
    <w:p>
      <w:pPr>
        <w:ind w:left="1520" w:right="279"/>
        <w:spacing w:after="0" w:line="277" w:lineRule="auto"/>
        <w:rPr>
          <w:sz w:val="20"/>
          <w:szCs w:val="20"/>
          <w:color w:val="auto"/>
        </w:rPr>
      </w:pPr>
      <w:r>
        <w:rPr>
          <w:rFonts w:ascii="Arial" w:cs="Arial" w:eastAsia="Arial" w:hAnsi="Arial"/>
          <w:sz w:val="18"/>
          <w:szCs w:val="18"/>
          <w:color w:val="auto"/>
        </w:rPr>
        <w:t>The amount of undistributed earnings of foreign subsidiaries that are considered to be invested as of December 31, 2014 was .$2,201</w:t>
      </w:r>
    </w:p>
    <w:p>
      <w:pPr>
        <w:spacing w:after="0" w:line="170" w:lineRule="exact"/>
        <w:rPr>
          <w:sz w:val="20"/>
          <w:szCs w:val="20"/>
          <w:color w:val="auto"/>
        </w:rPr>
      </w:pPr>
    </w:p>
    <w:p>
      <w:pPr>
        <w:ind w:left="1480" w:hanging="329"/>
        <w:spacing w:after="0"/>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Final tax assessments: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Company and its Israeli subsidiary received final tax assessments through 2009.</w:t>
      </w:r>
    </w:p>
    <w:p>
      <w:pPr>
        <w:spacing w:after="0" w:line="225" w:lineRule="exact"/>
        <w:rPr>
          <w:sz w:val="20"/>
          <w:szCs w:val="20"/>
          <w:color w:val="auto"/>
        </w:rPr>
      </w:pPr>
    </w:p>
    <w:p>
      <w:pPr>
        <w:ind w:left="1520" w:right="259"/>
        <w:spacing w:after="0" w:line="277" w:lineRule="auto"/>
        <w:rPr>
          <w:sz w:val="20"/>
          <w:szCs w:val="20"/>
          <w:color w:val="auto"/>
        </w:rPr>
      </w:pPr>
      <w:r>
        <w:rPr>
          <w:rFonts w:ascii="Arial" w:cs="Arial" w:eastAsia="Arial" w:hAnsi="Arial"/>
          <w:sz w:val="18"/>
          <w:szCs w:val="18"/>
          <w:color w:val="auto"/>
        </w:rPr>
        <w:t>The U.S. subsidiary received final tax assessment through 2009 and the German and the Hong Kong Subsidiaries have not received a final tax assessment since inception.</w:t>
      </w:r>
    </w:p>
    <w:p>
      <w:pPr>
        <w:spacing w:after="0" w:line="170" w:lineRule="exact"/>
        <w:rPr>
          <w:sz w:val="20"/>
          <w:szCs w:val="20"/>
          <w:color w:val="auto"/>
        </w:rPr>
      </w:pPr>
    </w:p>
    <w:p>
      <w:pPr>
        <w:ind w:left="1520" w:hanging="369"/>
        <w:spacing w:after="0"/>
        <w:tabs>
          <w:tab w:leader="none" w:pos="1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Carryforward losses for tax purposes and other temporary differences:</w:t>
      </w:r>
    </w:p>
    <w:p>
      <w:pPr>
        <w:spacing w:after="0" w:line="225" w:lineRule="exact"/>
        <w:rPr>
          <w:rFonts w:ascii="Arial" w:cs="Arial" w:eastAsia="Arial" w:hAnsi="Arial"/>
          <w:sz w:val="18"/>
          <w:szCs w:val="18"/>
          <w:color w:val="auto"/>
        </w:rPr>
      </w:pPr>
    </w:p>
    <w:p>
      <w:pPr>
        <w:ind w:left="1520" w:right="159"/>
        <w:spacing w:after="0" w:line="277" w:lineRule="auto"/>
        <w:rPr>
          <w:rFonts w:ascii="Arial" w:cs="Arial" w:eastAsia="Arial" w:hAnsi="Arial"/>
          <w:sz w:val="18"/>
          <w:szCs w:val="18"/>
          <w:color w:val="auto"/>
        </w:rPr>
      </w:pPr>
      <w:r>
        <w:rPr>
          <w:rFonts w:ascii="Arial" w:cs="Arial" w:eastAsia="Arial" w:hAnsi="Arial"/>
          <w:sz w:val="18"/>
          <w:szCs w:val="18"/>
          <w:color w:val="auto"/>
        </w:rPr>
        <w:t>Carryforward operating tax losses of the Company’s Israeli subsidiary total approximately $10,624 as of December 31, 2014 and may be used indefinitely.</w:t>
      </w:r>
    </w:p>
    <w:p>
      <w:pPr>
        <w:spacing w:after="0" w:line="170" w:lineRule="exact"/>
        <w:rPr>
          <w:rFonts w:ascii="Arial" w:cs="Arial" w:eastAsia="Arial" w:hAnsi="Arial"/>
          <w:sz w:val="18"/>
          <w:szCs w:val="18"/>
          <w:color w:val="auto"/>
        </w:rPr>
      </w:pPr>
    </w:p>
    <w:p>
      <w:pPr>
        <w:ind w:left="1500" w:hanging="349"/>
        <w:spacing w:after="0"/>
        <w:tabs>
          <w:tab w:leader="none" w:pos="1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Carryforward tax losses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Temporary differences</w:t>
            </w:r>
          </w:p>
        </w:tc>
        <w:tc>
          <w:tcPr>
            <w:tcW w:w="1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539"/>
        <w:spacing w:after="0" w:line="277" w:lineRule="auto"/>
        <w:rPr>
          <w:sz w:val="20"/>
          <w:szCs w:val="20"/>
          <w:color w:val="auto"/>
        </w:rPr>
      </w:pPr>
      <w:r>
        <w:rPr>
          <w:rFonts w:ascii="Arial" w:cs="Arial" w:eastAsia="Arial" w:hAnsi="Arial"/>
          <w:sz w:val="18"/>
          <w:szCs w:val="18"/>
          <w:color w:val="auto"/>
        </w:rPr>
        <w:t>The net change in the valuation allowance was mainly due to foreign exchange differences and a decrease in tax rate.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8" w:name="page149"/>
    <w:bookmarkEnd w:id="14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5800" w:type="dxa"/>
            <w:vAlign w:val="bottom"/>
            <w:gridSpan w:val="2"/>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Current deferred tax asset net</w:t>
            </w:r>
          </w:p>
        </w:tc>
        <w:tc>
          <w:tcPr>
            <w:tcW w:w="38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Non-current deferred tax liability net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1520" w:right="239"/>
        <w:spacing w:after="0" w:line="277" w:lineRule="auto"/>
        <w:rPr>
          <w:sz w:val="20"/>
          <w:szCs w:val="20"/>
          <w:color w:val="auto"/>
        </w:rPr>
      </w:pPr>
      <w:r>
        <w:rPr>
          <w:rFonts w:ascii="Arial" w:cs="Arial" w:eastAsia="Arial" w:hAnsi="Arial"/>
          <w:sz w:val="18"/>
          <w:szCs w:val="18"/>
          <w:color w:val="auto"/>
        </w:rPr>
        <w:t>Current deferred tax asset is included within other current assets and prepaid expenses in the balance sheets.</w:t>
      </w:r>
    </w:p>
    <w:p>
      <w:pPr>
        <w:spacing w:after="0" w:line="116" w:lineRule="exact"/>
        <w:rPr>
          <w:sz w:val="20"/>
          <w:szCs w:val="20"/>
          <w:color w:val="auto"/>
        </w:rPr>
      </w:pPr>
    </w:p>
    <w:p>
      <w:pPr>
        <w:ind w:left="1480" w:hanging="329"/>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Taxes on income are comprised as follows: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Year ended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1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Deferred taxes</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22"/>
                <w:szCs w:val="2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Domestic</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5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Year ended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Domestic taxes:</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1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Foreign taxes:</w:t>
            </w:r>
          </w:p>
        </w:tc>
        <w:tc>
          <w:tcPr>
            <w:tcW w:w="15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Current taxes</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F-27</w:t>
            </w: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49" w:name="page150"/>
    <w:bookmarkEnd w:id="14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hanging="369"/>
        <w:spacing w:after="0"/>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171"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6"/>
          <w:szCs w:val="16"/>
          <w:color w:val="auto"/>
        </w:rPr>
        <w:t>A reconciliation of the beginning and ending amount of gross unrecognized tax benefits is as follows: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3"/>
          </w:tcPr>
          <w:p>
            <w:pPr>
              <w:jc w:val="right"/>
              <w:ind w:right="105"/>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2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 for current year tax positions</w:t>
            </w:r>
          </w:p>
        </w:tc>
        <w:tc>
          <w:tcPr>
            <w:tcW w:w="14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2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1,075</w:t>
            </w:r>
          </w:p>
        </w:tc>
        <w:tc>
          <w:tcPr>
            <w:tcW w:w="34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799"/>
        <w:spacing w:after="0" w:line="277" w:lineRule="auto"/>
        <w:rPr>
          <w:sz w:val="20"/>
          <w:szCs w:val="20"/>
          <w:color w:val="auto"/>
        </w:rPr>
      </w:pPr>
      <w:r>
        <w:rPr>
          <w:rFonts w:ascii="Arial" w:cs="Arial" w:eastAsia="Arial" w:hAnsi="Arial"/>
          <w:sz w:val="18"/>
          <w:szCs w:val="18"/>
          <w:color w:val="auto"/>
        </w:rPr>
        <w:t>As of December 31, 2014, the entire amount of the unrecognized tax benefits could affect the Company’s income tax provision and the effective tax rate.</w:t>
      </w:r>
    </w:p>
    <w:p>
      <w:pPr>
        <w:spacing w:after="0" w:line="170" w:lineRule="exact"/>
        <w:rPr>
          <w:sz w:val="20"/>
          <w:szCs w:val="20"/>
          <w:color w:val="auto"/>
        </w:rPr>
      </w:pPr>
    </w:p>
    <w:p>
      <w:pPr>
        <w:ind w:left="1520" w:right="299"/>
        <w:spacing w:after="0" w:line="255" w:lineRule="auto"/>
        <w:rPr>
          <w:sz w:val="20"/>
          <w:szCs w:val="20"/>
          <w:color w:val="auto"/>
        </w:rPr>
      </w:pPr>
      <w:r>
        <w:rPr>
          <w:rFonts w:ascii="Arial" w:cs="Arial" w:eastAsia="Arial" w:hAnsi="Arial"/>
          <w:sz w:val="18"/>
          <w:szCs w:val="18"/>
          <w:color w:val="auto"/>
        </w:rPr>
        <w:t>During the years ended December 31, 2012, 2013 and 2014, an amount of $0, $75 and $(79), respectively, was added to the unrecognized tax benefits derived from interest and exchange rate differences expenses related to prior years' uncertain tax positions. As of December 31, 2013 and 2014, the Company had accrued interest liability related to uncertain tax positions in the amounts of $33 and $82 respectively, which is included within other payables and accured expenses income tax accrual on the balance sheets.</w:t>
      </w:r>
    </w:p>
    <w:p>
      <w:pPr>
        <w:spacing w:after="0" w:line="166" w:lineRule="exact"/>
        <w:rPr>
          <w:sz w:val="20"/>
          <w:szCs w:val="20"/>
          <w:color w:val="auto"/>
        </w:rPr>
      </w:pPr>
    </w:p>
    <w:p>
      <w:pPr>
        <w:ind w:left="1520" w:right="219"/>
        <w:spacing w:after="0" w:line="277" w:lineRule="auto"/>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130"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0" w:name="page151"/>
    <w:bookmarkEnd w:id="15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179" w:hanging="369"/>
        <w:spacing w:after="0" w:line="264" w:lineRule="auto"/>
        <w:tabs>
          <w:tab w:leader="none" w:pos="15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Year ended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before taxes, as reported in the consolidated</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0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0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statements of income</w:t>
            </w:r>
          </w:p>
        </w:tc>
        <w:tc>
          <w:tcPr>
            <w:tcW w:w="3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Theoretical tax expense on the above amount at the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Israeli statutory tax rate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w w:val="92"/>
              </w:rPr>
              <w:t>Tax adjustment in respect of different tax rate of foreign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Non-deductible expenses and other permanent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Deferred taxes on losses and other temporary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differences for which valuation allowance was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provided, net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 compensation relating to stock options per ASC</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718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Beneficiary enterprise benefits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rate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100" w:type="dxa"/>
            <w:vAlign w:val="bottom"/>
            <w:gridSpan w:val="2"/>
          </w:tcPr>
          <w:p>
            <w:pPr>
              <w:spacing w:after="0"/>
              <w:rPr>
                <w:sz w:val="20"/>
                <w:szCs w:val="20"/>
                <w:color w:val="auto"/>
              </w:rPr>
            </w:pPr>
            <w:r>
              <w:rPr>
                <w:rFonts w:ascii="Arial" w:cs="Arial" w:eastAsia="Arial" w:hAnsi="Arial"/>
                <w:sz w:val="18"/>
                <w:szCs w:val="18"/>
                <w:color w:val="auto"/>
              </w:rPr>
              <w:t>Foreign exchange differences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(1,120</w:t>
            </w:r>
            <w:r>
              <w:rPr>
                <w:rFonts w:ascii="Arial" w:cs="Arial" w:eastAsia="Arial" w:hAnsi="Arial"/>
                <w:sz w:val="21"/>
                <w:szCs w:val="2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 Basic earnings per share amounts of the benefit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7"/>
              </w:rPr>
              <w:t>resulting from the “Beneficiary Enterprise” status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5"/>
              </w:rPr>
              <w:t>Diluted earnings per share amounts of the benefit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7"/>
              </w:rPr>
              <w:t>resulting from the “Beneficiary Enterprise” status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1900" w:right="119" w:hanging="371"/>
        <w:spacing w:after="0" w:line="291" w:lineRule="auto"/>
        <w:tabs>
          <w:tab w:leader="none" w:pos="19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Results for tax purposes are measured under measurement of results for tax purposes under the Income Tax (Inflationary Adjustments) Law, 1985, in terms of earnings in NIS. As explained in Note 2b, the financial statements are measured in U.S. dollars. The difference between the annual change in the NIS/dollar exchange rate causes a difference between taxable income and the income before taxes shown in the financial statements. In accordance with ASC 740-10-25-3(F), the Company has not provided deferred income taxes in respect of the difference between the functional currency and the tax bases of assets and liabilities.</w:t>
      </w:r>
    </w:p>
    <w:p>
      <w:pPr>
        <w:spacing w:after="0" w:line="167" w:lineRule="exact"/>
        <w:rPr>
          <w:rFonts w:ascii="Arial" w:cs="Arial" w:eastAsia="Arial" w:hAnsi="Arial"/>
          <w:sz w:val="16"/>
          <w:szCs w:val="16"/>
          <w:color w:val="auto"/>
        </w:rPr>
      </w:pPr>
    </w:p>
    <w:p>
      <w:pPr>
        <w:ind w:left="1520" w:hanging="369"/>
        <w:spacing w:after="0"/>
        <w:tabs>
          <w:tab w:leader="none" w:pos="1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Income before income taxes is comprised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Year ended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2"/>
              </w:rPr>
              <w:t>December 31,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880" w:type="dxa"/>
            <w:vAlign w:val="bottom"/>
            <w:gridSpan w:val="2"/>
            <w:shd w:val="clear" w:color="auto" w:fill="CCEEFF"/>
          </w:tcPr>
          <w:p>
            <w:pPr>
              <w:jc w:val="right"/>
              <w:ind w:right="62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3,290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80" w:type="dxa"/>
            <w:vAlign w:val="bottom"/>
            <w:gridSpan w:val="2"/>
          </w:tcPr>
          <w:p>
            <w:pPr>
              <w:jc w:val="right"/>
              <w:ind w:right="62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3,542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2,527</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F-29</w:t>
            </w: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51" w:name="page152"/>
    <w:bookmarkEnd w:id="15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GEOGRAPHIC INFOROMATION</w:t>
      </w:r>
    </w:p>
    <w:p>
      <w:pPr>
        <w:spacing w:after="0" w:line="229" w:lineRule="exact"/>
        <w:rPr>
          <w:sz w:val="20"/>
          <w:szCs w:val="20"/>
          <w:color w:val="auto"/>
        </w:rPr>
      </w:pPr>
    </w:p>
    <w:p>
      <w:pPr>
        <w:ind w:left="1520" w:hanging="369"/>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Summary information about geographic areas:</w:t>
      </w:r>
    </w:p>
    <w:p>
      <w:pPr>
        <w:spacing w:after="0" w:line="225" w:lineRule="exact"/>
        <w:rPr>
          <w:rFonts w:ascii="Arial" w:cs="Arial" w:eastAsia="Arial" w:hAnsi="Arial"/>
          <w:sz w:val="18"/>
          <w:szCs w:val="18"/>
          <w:color w:val="auto"/>
        </w:rPr>
      </w:pPr>
    </w:p>
    <w:p>
      <w:pPr>
        <w:ind w:left="1520" w:right="319"/>
        <w:spacing w:after="0" w:line="264" w:lineRule="auto"/>
        <w:rPr>
          <w:rFonts w:ascii="Arial" w:cs="Arial" w:eastAsia="Arial" w:hAnsi="Arial"/>
          <w:sz w:val="18"/>
          <w:szCs w:val="18"/>
          <w:color w:val="auto"/>
        </w:rPr>
      </w:pPr>
      <w:r>
        <w:rPr>
          <w:rFonts w:ascii="Arial" w:cs="Arial" w:eastAsia="Arial" w:hAnsi="Arial"/>
          <w:sz w:val="18"/>
          <w:szCs w:val="18"/>
          <w:color w:val="auto"/>
        </w:rPr>
        <w:t>The Company operates in one reportable segment (see Note 1 for a brief description of the Company’s business). The total revenues are attributed to geographic areas based on the location of the end-users.</w:t>
      </w:r>
    </w:p>
    <w:p>
      <w:pPr>
        <w:spacing w:after="0" w:line="181" w:lineRule="exact"/>
        <w:rPr>
          <w:rFonts w:ascii="Arial" w:cs="Arial" w:eastAsia="Arial" w:hAnsi="Arial"/>
          <w:sz w:val="18"/>
          <w:szCs w:val="18"/>
          <w:color w:val="auto"/>
        </w:rPr>
      </w:pPr>
    </w:p>
    <w:p>
      <w:pPr>
        <w:ind w:left="1520" w:right="339"/>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presents total revenues for the years ended December 31, 2012, 2013 and 2014 and long-lived assets as of December 31, 2013 and 2014:</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Year ended</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sales to customers located at: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America (non-U.S.)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Asia Pacific – other</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39,167</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49,395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66,364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by geographic region:</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Israel</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Asia Pacific</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2,653</w:t>
            </w:r>
          </w:p>
        </w:tc>
        <w:tc>
          <w:tcPr>
            <w:tcW w:w="320" w:type="dxa"/>
            <w:vAlign w:val="bottom"/>
          </w:tcPr>
          <w:p>
            <w:pPr>
              <w:spacing w:after="0"/>
              <w:rPr>
                <w:sz w:val="18"/>
                <w:szCs w:val="18"/>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hanging="329"/>
        <w:spacing w:after="0"/>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Major Distributors data as a percentage of total revenues:</w:t>
      </w:r>
    </w:p>
    <w:p>
      <w:pPr>
        <w:spacing w:after="0" w:line="225" w:lineRule="exact"/>
        <w:rPr>
          <w:sz w:val="20"/>
          <w:szCs w:val="20"/>
          <w:color w:val="auto"/>
        </w:rPr>
      </w:pPr>
    </w:p>
    <w:p>
      <w:pPr>
        <w:ind w:left="1520" w:right="319"/>
        <w:spacing w:after="0" w:line="277" w:lineRule="auto"/>
        <w:rPr>
          <w:sz w:val="20"/>
          <w:szCs w:val="20"/>
          <w:color w:val="auto"/>
        </w:rPr>
      </w:pPr>
      <w:r>
        <w:rPr>
          <w:rFonts w:ascii="Arial" w:cs="Arial" w:eastAsia="Arial" w:hAnsi="Arial"/>
          <w:sz w:val="18"/>
          <w:szCs w:val="18"/>
          <w:color w:val="auto"/>
        </w:rPr>
        <w:t>The following table sets forth the Distributors that represented 10% or more of the Company’s total revenues in each of the periods set forth below.</w:t>
      </w:r>
    </w:p>
    <w:p>
      <w:pPr>
        <w:spacing w:after="0" w:line="171"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4220" w:type="dxa"/>
            <w:vAlign w:val="bottom"/>
            <w:gridSpan w:val="2"/>
          </w:tcPr>
          <w:p>
            <w:pPr>
              <w:spacing w:after="0"/>
              <w:rPr>
                <w:sz w:val="17"/>
                <w:szCs w:val="17"/>
                <w:color w:val="auto"/>
              </w:rPr>
            </w:pPr>
          </w:p>
        </w:tc>
        <w:tc>
          <w:tcPr>
            <w:tcW w:w="90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2012</w:t>
            </w:r>
          </w:p>
        </w:tc>
        <w:tc>
          <w:tcPr>
            <w:tcW w:w="15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4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F-30</w:t>
            </w:r>
          </w:p>
        </w:tc>
        <w:tc>
          <w:tcPr>
            <w:tcW w:w="3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52" w:name="page153"/>
    <w:bookmarkEnd w:id="15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SELECTED STATEMENTS OF INCOME DATA</w:t>
      </w:r>
    </w:p>
    <w:p>
      <w:pPr>
        <w:spacing w:after="0" w:line="229"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18"/>
          <w:szCs w:val="18"/>
          <w:color w:val="auto"/>
        </w:rPr>
        <w:t>a.</w:t>
        <w:tab/>
        <w:t>Financial income, net:</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Year ended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bank deposits and other</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Foreign currency translation differences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 charges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Foreign currency translation differences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financial expenses: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BALANCES AND TRANSACTIONS WITH RELATED PARTIES</w:t>
      </w:r>
    </w:p>
    <w:p>
      <w:pPr>
        <w:spacing w:after="0" w:line="175" w:lineRule="exact"/>
        <w:rPr>
          <w:sz w:val="20"/>
          <w:szCs w:val="20"/>
          <w:color w:val="auto"/>
        </w:rPr>
      </w:pPr>
    </w:p>
    <w:p>
      <w:pPr>
        <w:ind w:left="1160" w:right="139"/>
        <w:spacing w:after="0" w:line="279" w:lineRule="auto"/>
        <w:rPr>
          <w:sz w:val="20"/>
          <w:szCs w:val="20"/>
          <w:color w:val="auto"/>
        </w:rPr>
      </w:pPr>
      <w:r>
        <w:rPr>
          <w:rFonts w:ascii="Arial" w:cs="Arial" w:eastAsia="Arial" w:hAnsi="Arial"/>
          <w:sz w:val="17"/>
          <w:szCs w:val="17"/>
          <w:color w:val="auto"/>
        </w:rPr>
        <w:t>Our policy is to enter into transactions with related parties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Fortissimo</w:t>
      </w:r>
    </w:p>
    <w:p>
      <w:pPr>
        <w:spacing w:after="0" w:line="171" w:lineRule="exact"/>
        <w:rPr>
          <w:sz w:val="20"/>
          <w:szCs w:val="20"/>
          <w:color w:val="auto"/>
        </w:rPr>
      </w:pPr>
    </w:p>
    <w:p>
      <w:pPr>
        <w:ind w:left="1140" w:right="219"/>
        <w:spacing w:after="0" w:line="320" w:lineRule="auto"/>
        <w:rPr>
          <w:sz w:val="20"/>
          <w:szCs w:val="20"/>
          <w:color w:val="auto"/>
        </w:rPr>
      </w:pPr>
      <w:r>
        <w:rPr>
          <w:rFonts w:ascii="Arial" w:cs="Arial" w:eastAsia="Arial" w:hAnsi="Arial"/>
          <w:sz w:val="15"/>
          <w:szCs w:val="15"/>
          <w:color w:val="auto"/>
        </w:rPr>
        <w:t>Fortissimo is the controlling shareholder of the Company. Pursuant to a management fee agreement between the Company and Fortissimo, the Company is required to pay Fortissimo an annual fee of $120 plus an amount equal to 5% of the Company’s net income, as defined in the management services agreement, up to a maximum of $250 per year. During the years ended December 31, 2012, 2013 and 2014 the Company recorded an expense of $175, $120 and $160 respectively, in respect of payments to Fortissimo.</w:t>
      </w:r>
    </w:p>
    <w:p>
      <w:pPr>
        <w:spacing w:after="0" w:line="79" w:lineRule="exact"/>
        <w:rPr>
          <w:sz w:val="20"/>
          <w:szCs w:val="20"/>
          <w:color w:val="auto"/>
        </w:rPr>
      </w:pPr>
    </w:p>
    <w:p>
      <w:pPr>
        <w:ind w:left="1140" w:right="159"/>
        <w:spacing w:after="0" w:line="264" w:lineRule="auto"/>
        <w:rPr>
          <w:sz w:val="20"/>
          <w:szCs w:val="20"/>
          <w:color w:val="auto"/>
        </w:rPr>
      </w:pPr>
      <w:r>
        <w:rPr>
          <w:rFonts w:ascii="Arial" w:cs="Arial" w:eastAsia="Arial" w:hAnsi="Arial"/>
          <w:sz w:val="18"/>
          <w:szCs w:val="18"/>
          <w:color w:val="auto"/>
        </w:rPr>
        <w:t>The agreement may be terminated when our board of directors includes less than two directors appointed by Fortissimo, and the agreement terminates automatically in the event that Fortissimo holds less than 15% of our issued share capital.</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w:t>
      </w:r>
    </w:p>
    <w:p>
      <w:pPr>
        <w:spacing w:after="0" w:line="189" w:lineRule="exact"/>
        <w:rPr>
          <w:sz w:val="20"/>
          <w:szCs w:val="20"/>
          <w:color w:val="auto"/>
        </w:rPr>
      </w:pPr>
    </w:p>
    <w:p>
      <w:pPr>
        <w:ind w:left="1140" w:right="139"/>
        <w:spacing w:after="0" w:line="255" w:lineRule="auto"/>
        <w:rPr>
          <w:sz w:val="20"/>
          <w:szCs w:val="20"/>
          <w:color w:val="auto"/>
        </w:rPr>
      </w:pPr>
      <w:r>
        <w:rPr>
          <w:rFonts w:ascii="Arial" w:cs="Arial" w:eastAsia="Arial" w:hAnsi="Arial"/>
          <w:sz w:val="18"/>
          <w:szCs w:val="18"/>
          <w:color w:val="auto"/>
        </w:rPr>
        <w:t>The Company evaluates events or transactions that occur after the balance sheet date but prior to the issuance of consolidated financial statements to identify matters that require additional disclosure. For its consolidated financial statements as of December 31, 2014 and for the year then ended, the Company evaluated subsequent events through February 25, 2015, the date that the consolidated financial statements were issued. Except as described below, the Company has concluded that no subsequent event has occurred that requires disclosure.</w:t>
      </w:r>
    </w:p>
    <w:p>
      <w:pPr>
        <w:spacing w:after="0" w:line="126" w:lineRule="exact"/>
        <w:rPr>
          <w:sz w:val="20"/>
          <w:szCs w:val="20"/>
          <w:color w:val="auto"/>
        </w:rPr>
      </w:pPr>
    </w:p>
    <w:p>
      <w:pPr>
        <w:ind w:left="1520" w:right="219" w:hanging="369"/>
        <w:spacing w:after="0" w:line="259" w:lineRule="auto"/>
        <w:tabs>
          <w:tab w:leader="none" w:pos="149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 January 5, 2015 the Company acquired patents and services from Polymeric Imaging Inc. an American ink developer and manufacturer for total purchase price of $2,000. $1,000 was paid upon closing and the remaining balance will be paid over a two year period after the acquisition as defined in the acquisition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3" w:name="page154"/>
    <w:bookmarkEnd w:id="15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 (Cont.)</w:t>
      </w:r>
    </w:p>
    <w:p>
      <w:pPr>
        <w:spacing w:after="0" w:line="189" w:lineRule="exact"/>
        <w:rPr>
          <w:sz w:val="20"/>
          <w:szCs w:val="20"/>
          <w:color w:val="auto"/>
        </w:rPr>
      </w:pPr>
    </w:p>
    <w:p>
      <w:pPr>
        <w:ind w:left="1520" w:right="159"/>
        <w:spacing w:after="0" w:line="264" w:lineRule="auto"/>
        <w:rPr>
          <w:sz w:val="20"/>
          <w:szCs w:val="20"/>
          <w:color w:val="auto"/>
        </w:rPr>
      </w:pPr>
      <w:r>
        <w:rPr>
          <w:rFonts w:ascii="Arial" w:cs="Arial" w:eastAsia="Arial" w:hAnsi="Arial"/>
          <w:sz w:val="18"/>
          <w:szCs w:val="18"/>
          <w:color w:val="auto"/>
        </w:rPr>
        <w:t>The acquisition will be accounted for as business combination under ASC 805, Business Combination. The final purchase price allocation for the acquisition has not been determined as of the filing of this report.</w:t>
      </w:r>
    </w:p>
    <w:p>
      <w:pPr>
        <w:spacing w:after="0" w:line="181" w:lineRule="exact"/>
        <w:rPr>
          <w:sz w:val="20"/>
          <w:szCs w:val="20"/>
          <w:color w:val="auto"/>
        </w:rPr>
      </w:pPr>
    </w:p>
    <w:p>
      <w:pPr>
        <w:ind w:left="1520" w:right="119" w:hanging="369"/>
        <w:spacing w:after="0" w:line="276" w:lineRule="auto"/>
        <w:tabs>
          <w:tab w:leader="none" w:pos="154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February 2015, one of the Company's distributors, which accounted for approximately 20% and 25% of the Company's revenues in 2013 and 2014, respectively, received a letter from a third party alleging that the Company's systems infringed on one of the third party’s patents. The letter included a copy of a complaint filed against the distributor with the U.S. District Court for the Middle District of Florida. The complaint had not been served as of the date of the letter.</w:t>
      </w:r>
    </w:p>
    <w:p>
      <w:pPr>
        <w:spacing w:after="0" w:line="173" w:lineRule="exact"/>
        <w:rPr>
          <w:sz w:val="20"/>
          <w:szCs w:val="20"/>
          <w:color w:val="auto"/>
        </w:rPr>
      </w:pPr>
    </w:p>
    <w:p>
      <w:pPr>
        <w:jc w:val="both"/>
        <w:ind w:left="1520" w:right="139"/>
        <w:spacing w:after="0" w:line="264" w:lineRule="auto"/>
        <w:rPr>
          <w:sz w:val="20"/>
          <w:szCs w:val="20"/>
          <w:color w:val="auto"/>
        </w:rPr>
      </w:pPr>
      <w:r>
        <w:rPr>
          <w:rFonts w:ascii="Arial" w:cs="Arial" w:eastAsia="Arial" w:hAnsi="Arial"/>
          <w:sz w:val="18"/>
          <w:szCs w:val="18"/>
          <w:color w:val="auto"/>
        </w:rPr>
        <w:t>The Company's agreement with the distributor contains an undertaking by the Company to indemnify the distributor against claims by third parties alleging that the Company's products infringe third party intellectual property rights.</w:t>
      </w:r>
    </w:p>
    <w:p>
      <w:pPr>
        <w:spacing w:after="0" w:line="181" w:lineRule="exact"/>
        <w:rPr>
          <w:sz w:val="20"/>
          <w:szCs w:val="20"/>
          <w:color w:val="auto"/>
        </w:rPr>
      </w:pPr>
    </w:p>
    <w:p>
      <w:pPr>
        <w:ind w:left="1520" w:right="139"/>
        <w:spacing w:after="0" w:line="257" w:lineRule="auto"/>
        <w:rPr>
          <w:sz w:val="20"/>
          <w:szCs w:val="20"/>
          <w:color w:val="auto"/>
        </w:rPr>
      </w:pPr>
      <w:r>
        <w:rPr>
          <w:rFonts w:ascii="Arial" w:cs="Arial" w:eastAsia="Arial" w:hAnsi="Arial"/>
          <w:sz w:val="18"/>
          <w:szCs w:val="18"/>
          <w:color w:val="auto"/>
        </w:rPr>
        <w:t>The Company cannot predict whether it will be subject to any claim or required to indemnify the distributor. The Company believes that there are valid defenses to the claim of infringement; however, given the inherent uncertainty involved in litigation, if the Company is subject to a claim or indemnification, it cannot provide any assurance that an adverse ruling or a negative outcome will not have a material adverse effect on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7529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74030" cy="7529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ind w:left="120" w:right="199" w:firstLine="21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74030" cy="25400"/>
                    </a:xfrm>
                    <a:prstGeom prst="rect">
                      <a:avLst/>
                    </a:prstGeom>
                    <a:noFill/>
                  </pic:spPr>
                </pic:pic>
              </a:graphicData>
            </a:graphic>
          </wp:anchor>
        </w:drawing>
        <w:t>Through and including , 2015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this prospectus), all dealers eﬀecting transactions in the ordinary shares, whether or not participating in this oﬀering,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158750</wp:posOffset>
            </wp:positionV>
            <wp:extent cx="2615565" cy="16205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1556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361"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981710</wp:posOffset>
            </wp:positionV>
            <wp:extent cx="14579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311150</wp:posOffset>
            </wp:positionV>
            <wp:extent cx="14579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436880</wp:posOffset>
            </wp:positionV>
            <wp:extent cx="557403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4030" cy="260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642620</wp:posOffset>
            </wp:positionV>
            <wp:extent cx="55740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Oﬃcers and Employees.</w:t>
      </w:r>
    </w:p>
    <w:p>
      <w:pPr>
        <w:spacing w:after="0" w:line="227" w:lineRule="exact"/>
        <w:rPr>
          <w:sz w:val="20"/>
          <w:szCs w:val="20"/>
          <w:color w:val="auto"/>
        </w:rPr>
      </w:pPr>
    </w:p>
    <w:p>
      <w:pPr>
        <w:ind w:left="120" w:right="159" w:firstLine="216"/>
        <w:spacing w:after="0" w:line="263" w:lineRule="auto"/>
        <w:rPr>
          <w:sz w:val="20"/>
          <w:szCs w:val="20"/>
          <w:color w:val="auto"/>
        </w:rPr>
      </w:pPr>
      <w:r>
        <w:rPr>
          <w:rFonts w:ascii="Arial" w:cs="Arial" w:eastAsia="Arial" w:hAnsi="Arial"/>
          <w:sz w:val="18"/>
          <w:szCs w:val="18"/>
          <w:color w:val="auto"/>
        </w:rPr>
        <w:t>Under the Israeli Companies Law, a company may not exculpate an oﬃce holder from liability for a breach of the duty of loyalty. An Israeli company may exculpate an oﬃce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eﬀective upon the closing of this oﬀering include such a provision. A company may not exculpate in advance a director from liability arising out of a prohibited dividend or distribution to shareholders.</w:t>
      </w:r>
    </w:p>
    <w:p>
      <w:pPr>
        <w:spacing w:after="0" w:line="357" w:lineRule="exact"/>
        <w:rPr>
          <w:sz w:val="20"/>
          <w:szCs w:val="20"/>
          <w:color w:val="auto"/>
        </w:rPr>
      </w:pPr>
    </w:p>
    <w:p>
      <w:pPr>
        <w:ind w:left="120" w:right="199" w:firstLine="216"/>
        <w:spacing w:after="0" w:line="279" w:lineRule="auto"/>
        <w:rPr>
          <w:sz w:val="20"/>
          <w:szCs w:val="20"/>
          <w:color w:val="auto"/>
        </w:rPr>
      </w:pPr>
      <w:r>
        <w:rPr>
          <w:rFonts w:ascii="Arial" w:cs="Arial" w:eastAsia="Arial" w:hAnsi="Arial"/>
          <w:sz w:val="18"/>
          <w:szCs w:val="18"/>
          <w:color w:val="auto"/>
        </w:rPr>
        <w:t>Under the Israeli Companies Law, a company may indemnify an oﬃce holder in respect of the following liabilities and expenses incurred for acts performed by him or her as an oﬃce holder, either pursuant to an undertaking made in advance of an event or following an event, provided its articles of association include a provision authorizing such indemnification:</w:t>
      </w:r>
    </w:p>
    <w:p>
      <w:pPr>
        <w:spacing w:after="0" w:line="131" w:lineRule="exact"/>
        <w:rPr>
          <w:sz w:val="20"/>
          <w:szCs w:val="20"/>
          <w:color w:val="auto"/>
        </w:rPr>
      </w:pPr>
    </w:p>
    <w:p>
      <w:pPr>
        <w:ind w:left="560" w:right="119" w:hanging="219"/>
        <w:spacing w:after="0" w:line="254" w:lineRule="auto"/>
        <w:tabs>
          <w:tab w:leader="none" w:pos="626" w:val="left"/>
        </w:tabs>
        <w:numPr>
          <w:ilvl w:val="0"/>
          <w:numId w:val="126"/>
        </w:numPr>
        <w:rPr>
          <w:rFonts w:ascii="Arial" w:cs="Arial" w:eastAsia="Arial" w:hAnsi="Arial"/>
          <w:sz w:val="22"/>
          <w:szCs w:val="22"/>
          <w:color w:val="auto"/>
        </w:rPr>
      </w:pPr>
      <w:r>
        <w:rPr>
          <w:rFonts w:ascii="Arial" w:cs="Arial" w:eastAsia="Arial" w:hAnsi="Arial"/>
          <w:sz w:val="18"/>
          <w:szCs w:val="18"/>
          <w:color w:val="auto"/>
        </w:rPr>
        <w:t>financial liability imposed on him or her in favor of another person pursuant to a judgment, including a settlement or arbitrator’s award approved by a court. However, if an undertaking to indemnify an oﬃce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376" w:lineRule="exact"/>
        <w:rPr>
          <w:rFonts w:ascii="Arial" w:cs="Arial" w:eastAsia="Arial" w:hAnsi="Arial"/>
          <w:sz w:val="22"/>
          <w:szCs w:val="22"/>
          <w:color w:val="auto"/>
        </w:rPr>
      </w:pPr>
    </w:p>
    <w:p>
      <w:pPr>
        <w:ind w:left="560" w:right="179" w:hanging="219"/>
        <w:spacing w:after="0" w:line="249" w:lineRule="auto"/>
        <w:tabs>
          <w:tab w:leader="none" w:pos="626" w:val="left"/>
        </w:tabs>
        <w:numPr>
          <w:ilvl w:val="0"/>
          <w:numId w:val="126"/>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oﬃce holder (1) as a result of an investigation or proceeding instituted against him or her by an authority authorized to conduct such investigation or proceeding, provided that (i) no indictment was filed against such oﬃce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oﬀense that does not require proof of criminal intent; and</w:t>
      </w:r>
    </w:p>
    <w:p>
      <w:pPr>
        <w:spacing w:after="0" w:line="3" w:lineRule="exact"/>
        <w:rPr>
          <w:rFonts w:ascii="Arial" w:cs="Arial" w:eastAsia="Arial" w:hAnsi="Arial"/>
          <w:sz w:val="22"/>
          <w:szCs w:val="22"/>
          <w:color w:val="auto"/>
        </w:rPr>
      </w:pPr>
    </w:p>
    <w:p>
      <w:pPr>
        <w:ind w:left="560"/>
        <w:spacing w:after="0"/>
        <w:rPr>
          <w:rFonts w:ascii="Arial" w:cs="Arial" w:eastAsia="Arial" w:hAnsi="Arial"/>
          <w:sz w:val="22"/>
          <w:szCs w:val="22"/>
          <w:color w:val="auto"/>
        </w:rPr>
      </w:pPr>
      <w:r>
        <w:rPr>
          <w:rFonts w:ascii="Arial" w:cs="Arial" w:eastAsia="Arial" w:hAnsi="Arial"/>
          <w:sz w:val="18"/>
          <w:szCs w:val="18"/>
          <w:color w:val="auto"/>
        </w:rPr>
        <w:t>(2) in connection with a monetary sanction; and</w:t>
      </w:r>
    </w:p>
    <w:p>
      <w:pPr>
        <w:spacing w:after="0" w:line="196" w:lineRule="exact"/>
        <w:rPr>
          <w:rFonts w:ascii="Arial" w:cs="Arial" w:eastAsia="Arial" w:hAnsi="Arial"/>
          <w:sz w:val="22"/>
          <w:szCs w:val="22"/>
          <w:color w:val="auto"/>
        </w:rPr>
      </w:pPr>
    </w:p>
    <w:p>
      <w:pPr>
        <w:ind w:left="560" w:right="159" w:hanging="219"/>
        <w:spacing w:after="0" w:line="255" w:lineRule="auto"/>
        <w:tabs>
          <w:tab w:leader="none" w:pos="615" w:val="left"/>
        </w:tabs>
        <w:numPr>
          <w:ilvl w:val="0"/>
          <w:numId w:val="126"/>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368" w:lineRule="exact"/>
        <w:rPr>
          <w:sz w:val="20"/>
          <w:szCs w:val="20"/>
          <w:color w:val="auto"/>
        </w:rPr>
      </w:pPr>
    </w:p>
    <w:p>
      <w:pPr>
        <w:ind w:left="120" w:right="139" w:firstLine="216"/>
        <w:spacing w:after="0" w:line="294" w:lineRule="auto"/>
        <w:rPr>
          <w:sz w:val="20"/>
          <w:szCs w:val="20"/>
          <w:color w:val="auto"/>
        </w:rPr>
      </w:pPr>
      <w:r>
        <w:rPr>
          <w:rFonts w:ascii="Arial" w:cs="Arial" w:eastAsia="Arial" w:hAnsi="Arial"/>
          <w:sz w:val="18"/>
          <w:szCs w:val="18"/>
          <w:color w:val="auto"/>
        </w:rPr>
        <w:t>Under the Israeli Companies Law, a company may insure an oﬃce holder against the following liabilities incurred for acts performed by him or her as an oﬃce holder, if and to the extent provided in the company’s articles of association:</w:t>
      </w:r>
    </w:p>
    <w:p>
      <w:pPr>
        <w:spacing w:after="0" w:line="117" w:lineRule="exact"/>
        <w:rPr>
          <w:sz w:val="20"/>
          <w:szCs w:val="20"/>
          <w:color w:val="auto"/>
        </w:rPr>
      </w:pPr>
    </w:p>
    <w:p>
      <w:pPr>
        <w:ind w:left="560" w:right="179" w:hanging="219"/>
        <w:spacing w:after="0" w:line="285" w:lineRule="auto"/>
        <w:tabs>
          <w:tab w:leader="none" w:pos="626" w:val="left"/>
        </w:tabs>
        <w:numPr>
          <w:ilvl w:val="0"/>
          <w:numId w:val="127"/>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oﬃce holder acted in good faith and had a reasonable basis to believe that the act would not harm the company;</w:t>
      </w:r>
    </w:p>
    <w:p>
      <w:pPr>
        <w:spacing w:after="0" w:line="115" w:lineRule="exact"/>
        <w:rPr>
          <w:rFonts w:ascii="Arial" w:cs="Arial" w:eastAsia="Arial" w:hAnsi="Arial"/>
          <w:sz w:val="22"/>
          <w:szCs w:val="22"/>
          <w:color w:val="auto"/>
        </w:rPr>
      </w:pPr>
    </w:p>
    <w:p>
      <w:pPr>
        <w:ind w:left="560" w:right="499" w:hanging="219"/>
        <w:spacing w:after="0" w:line="285" w:lineRule="auto"/>
        <w:tabs>
          <w:tab w:leader="none" w:pos="626" w:val="left"/>
        </w:tabs>
        <w:numPr>
          <w:ilvl w:val="0"/>
          <w:numId w:val="127"/>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oﬃce holder; and</w:t>
      </w:r>
    </w:p>
    <w:p>
      <w:pPr>
        <w:spacing w:after="0" w:line="115" w:lineRule="exact"/>
        <w:rPr>
          <w:rFonts w:ascii="Arial" w:cs="Arial" w:eastAsia="Arial" w:hAnsi="Arial"/>
          <w:sz w:val="22"/>
          <w:szCs w:val="22"/>
          <w:color w:val="auto"/>
        </w:rPr>
      </w:pPr>
    </w:p>
    <w:p>
      <w:pPr>
        <w:ind w:left="620" w:hanging="279"/>
        <w:spacing w:after="0"/>
        <w:tabs>
          <w:tab w:leader="none" w:pos="620" w:val="left"/>
        </w:tabs>
        <w:numPr>
          <w:ilvl w:val="0"/>
          <w:numId w:val="127"/>
        </w:numPr>
        <w:rPr>
          <w:rFonts w:ascii="Arial" w:cs="Arial" w:eastAsia="Arial" w:hAnsi="Arial"/>
          <w:sz w:val="22"/>
          <w:szCs w:val="22"/>
          <w:color w:val="auto"/>
        </w:rPr>
      </w:pPr>
      <w:r>
        <w:rPr>
          <w:rFonts w:ascii="Arial" w:cs="Arial" w:eastAsia="Arial" w:hAnsi="Arial"/>
          <w:sz w:val="18"/>
          <w:szCs w:val="18"/>
          <w:color w:val="auto"/>
        </w:rPr>
        <w:t>a financial liability imposed on the oﬃce holder in favor of a third party.</w:t>
      </w:r>
    </w:p>
    <w:p>
      <w:pPr>
        <w:spacing w:after="0" w:line="179" w:lineRule="exact"/>
        <w:rPr>
          <w:sz w:val="20"/>
          <w:szCs w:val="20"/>
          <w:color w:val="auto"/>
        </w:rPr>
      </w:pPr>
    </w:p>
    <w:p>
      <w:pPr>
        <w:ind w:left="120" w:right="159" w:firstLine="216"/>
        <w:spacing w:after="0" w:line="338" w:lineRule="auto"/>
        <w:rPr>
          <w:sz w:val="20"/>
          <w:szCs w:val="20"/>
          <w:color w:val="auto"/>
        </w:rPr>
      </w:pPr>
      <w:r>
        <w:rPr>
          <w:rFonts w:ascii="Arial" w:cs="Arial" w:eastAsia="Arial" w:hAnsi="Arial"/>
          <w:sz w:val="18"/>
          <w:szCs w:val="18"/>
          <w:color w:val="auto"/>
        </w:rPr>
        <w:t>Under the Israeli Companies Law, a company may not indemnify, exculpate or insure an oﬃce holder against any of the following:</w:t>
      </w:r>
    </w:p>
    <w:p>
      <w:pPr>
        <w:spacing w:after="0" w:line="79" w:lineRule="exact"/>
        <w:rPr>
          <w:sz w:val="20"/>
          <w:szCs w:val="20"/>
          <w:color w:val="auto"/>
        </w:rPr>
      </w:pPr>
    </w:p>
    <w:p>
      <w:pPr>
        <w:ind w:left="560" w:right="139" w:hanging="219"/>
        <w:spacing w:after="0" w:line="265" w:lineRule="auto"/>
        <w:tabs>
          <w:tab w:leader="none" w:pos="626" w:val="left"/>
        </w:tabs>
        <w:numPr>
          <w:ilvl w:val="0"/>
          <w:numId w:val="128"/>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oﬃce holder acted in good faith and had a reasonable basis to believe that the act would not harm the company;</w:t>
      </w:r>
    </w:p>
    <w:p>
      <w:pPr>
        <w:spacing w:after="0" w:line="141" w:lineRule="exact"/>
        <w:rPr>
          <w:rFonts w:ascii="Arial" w:cs="Arial" w:eastAsia="Arial" w:hAnsi="Arial"/>
          <w:sz w:val="22"/>
          <w:szCs w:val="22"/>
          <w:color w:val="auto"/>
        </w:rPr>
      </w:pPr>
    </w:p>
    <w:p>
      <w:pPr>
        <w:ind w:left="560" w:right="359" w:hanging="219"/>
        <w:spacing w:after="0" w:line="285" w:lineRule="auto"/>
        <w:tabs>
          <w:tab w:leader="none" w:pos="626" w:val="left"/>
        </w:tabs>
        <w:numPr>
          <w:ilvl w:val="0"/>
          <w:numId w:val="128"/>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oﬃce holder;</w:t>
      </w:r>
    </w:p>
    <w:p>
      <w:pPr>
        <w:sectPr>
          <w:pgSz w:w="11900" w:h="16838" w:orient="portrait"/>
          <w:cols w:equalWidth="0" w:num="1">
            <w:col w:w="9019"/>
          </w:cols>
          <w:pgMar w:left="1440" w:top="337" w:right="1440"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57" w:name="page158"/>
    <w:bookmarkEnd w:id="157"/>
    <w:p>
      <w:pPr>
        <w:ind w:left="620" w:hanging="279"/>
        <w:spacing w:after="0"/>
        <w:tabs>
          <w:tab w:leader="none" w:pos="620" w:val="left"/>
        </w:tabs>
        <w:numPr>
          <w:ilvl w:val="0"/>
          <w:numId w:val="129"/>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620" w:hanging="279"/>
        <w:spacing w:after="0"/>
        <w:tabs>
          <w:tab w:leader="none" w:pos="620" w:val="left"/>
        </w:tabs>
        <w:numPr>
          <w:ilvl w:val="0"/>
          <w:numId w:val="129"/>
        </w:numPr>
        <w:rPr>
          <w:rFonts w:ascii="Arial" w:cs="Arial" w:eastAsia="Arial" w:hAnsi="Arial"/>
          <w:sz w:val="22"/>
          <w:szCs w:val="22"/>
          <w:color w:val="auto"/>
        </w:rPr>
      </w:pPr>
      <w:r>
        <w:rPr>
          <w:rFonts w:ascii="Arial" w:cs="Arial" w:eastAsia="Arial" w:hAnsi="Arial"/>
          <w:sz w:val="18"/>
          <w:szCs w:val="18"/>
          <w:color w:val="auto"/>
        </w:rPr>
        <w:t>a fine or forfeit levied against the oﬃce holder.</w:t>
      </w:r>
    </w:p>
    <w:p>
      <w:pPr>
        <w:spacing w:after="0" w:line="179" w:lineRule="exact"/>
        <w:rPr>
          <w:sz w:val="20"/>
          <w:szCs w:val="20"/>
          <w:color w:val="auto"/>
        </w:rPr>
      </w:pPr>
    </w:p>
    <w:p>
      <w:pPr>
        <w:ind w:left="120" w:right="199" w:firstLine="216"/>
        <w:spacing w:after="0" w:line="279" w:lineRule="auto"/>
        <w:rPr>
          <w:sz w:val="20"/>
          <w:szCs w:val="20"/>
          <w:color w:val="auto"/>
        </w:rPr>
      </w:pPr>
      <w:r>
        <w:rPr>
          <w:rFonts w:ascii="Arial" w:cs="Arial" w:eastAsia="Arial" w:hAnsi="Arial"/>
          <w:sz w:val="18"/>
          <w:szCs w:val="18"/>
          <w:color w:val="auto"/>
        </w:rPr>
        <w:t>Under the Israeli Companies Law, exculpation, indemnification and insurance of oﬃce holders in a public company must be approved by the compensation committee and the board of directors and, with respect to certain oﬃce holders or under certain circumstances, also by the shareholders. See “Management —Approval of Related Party Transactions under Israeli Law.”</w:t>
      </w:r>
    </w:p>
    <w:p>
      <w:pPr>
        <w:spacing w:after="0" w:line="118" w:lineRule="exact"/>
        <w:rPr>
          <w:sz w:val="20"/>
          <w:szCs w:val="20"/>
          <w:color w:val="auto"/>
        </w:rPr>
      </w:pPr>
    </w:p>
    <w:p>
      <w:pPr>
        <w:ind w:left="120" w:right="279" w:firstLine="216"/>
        <w:spacing w:after="0" w:line="294" w:lineRule="auto"/>
        <w:rPr>
          <w:sz w:val="20"/>
          <w:szCs w:val="20"/>
          <w:color w:val="auto"/>
        </w:rPr>
      </w:pPr>
      <w:r>
        <w:rPr>
          <w:rFonts w:ascii="Arial" w:cs="Arial" w:eastAsia="Arial" w:hAnsi="Arial"/>
          <w:sz w:val="18"/>
          <w:szCs w:val="18"/>
          <w:color w:val="auto"/>
        </w:rPr>
        <w:t>Our amended and restated articles of association to be eﬀective upon completion of this oﬀering will permit us to exculpate, indemnify and insure our oﬃce holders to the fullest extent permitted or to be permitted by the Israeli Companies Law.</w:t>
      </w:r>
    </w:p>
    <w:p>
      <w:pPr>
        <w:spacing w:after="0" w:line="104" w:lineRule="exact"/>
        <w:rPr>
          <w:sz w:val="20"/>
          <w:szCs w:val="20"/>
          <w:color w:val="auto"/>
        </w:rPr>
      </w:pPr>
    </w:p>
    <w:p>
      <w:pPr>
        <w:ind w:left="120" w:right="119" w:firstLine="216"/>
        <w:spacing w:after="0" w:line="261" w:lineRule="auto"/>
        <w:rPr>
          <w:sz w:val="20"/>
          <w:szCs w:val="20"/>
          <w:color w:val="auto"/>
        </w:rPr>
      </w:pPr>
      <w:r>
        <w:rPr>
          <w:rFonts w:ascii="Arial" w:cs="Arial" w:eastAsia="Arial" w:hAnsi="Arial"/>
          <w:sz w:val="18"/>
          <w:szCs w:val="18"/>
          <w:color w:val="auto"/>
        </w:rPr>
        <w:t>We have obtained directors and oﬃcers liability insurance for the benefit of our oﬃce holders and intend to continue to maintain such coverage and pay all premiums thereunder to the fullest extent permitted by the Israeli Companies Law. In addition, we have entered into agreements with each of our directors and executive oﬃcers exculpating them from liability to us for damages caused to us as a result of a breach of duty of care and undertaking to indemnify them, in each case, to the fullest extent permitted by our amended and restated articles of association to be eﬀective upon completion of this oﬀering and the Israeli Companies Law, including with respect to liabilities resulting from this oﬀering to the extent that these liabilities are not covered by insurance.</w:t>
      </w:r>
    </w:p>
    <w:p>
      <w:pPr>
        <w:spacing w:after="0" w:line="360" w:lineRule="exact"/>
        <w:rPr>
          <w:sz w:val="20"/>
          <w:szCs w:val="20"/>
          <w:color w:val="auto"/>
        </w:rPr>
      </w:pPr>
    </w:p>
    <w:p>
      <w:pPr>
        <w:ind w:left="120" w:right="139" w:firstLine="216"/>
        <w:spacing w:after="0" w:line="274" w:lineRule="auto"/>
        <w:rPr>
          <w:sz w:val="20"/>
          <w:szCs w:val="20"/>
          <w:color w:val="auto"/>
        </w:rPr>
      </w:pPr>
      <w:r>
        <w:rPr>
          <w:rFonts w:ascii="Arial" w:cs="Arial" w:eastAsia="Arial" w:hAnsi="Arial"/>
          <w:sz w:val="18"/>
          <w:szCs w:val="18"/>
          <w:color w:val="auto"/>
        </w:rPr>
        <w:t>Insofar as the indemnification for liabilities arising under the Securities Act of 1933, as amended, or the Securities Act, may be permitted to directors, oﬃcers or persons controlling the registrant, we have been informed that in the opinion of the Securities and Exchange Commission, such indemnification is against public policy as expressed in the Securities Act and is therefore unenforceable.</w:t>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7" w:lineRule="exact"/>
        <w:rPr>
          <w:sz w:val="20"/>
          <w:szCs w:val="20"/>
          <w:color w:val="auto"/>
        </w:rPr>
      </w:pPr>
    </w:p>
    <w:p>
      <w:pPr>
        <w:jc w:val="both"/>
        <w:ind w:left="120" w:right="199" w:firstLine="216"/>
        <w:spacing w:after="0" w:line="294" w:lineRule="auto"/>
        <w:rPr>
          <w:sz w:val="20"/>
          <w:szCs w:val="20"/>
          <w:color w:val="auto"/>
        </w:rPr>
      </w:pPr>
      <w:r>
        <w:rPr>
          <w:rFonts w:ascii="Arial" w:cs="Arial" w:eastAsia="Arial" w:hAnsi="Arial"/>
          <w:sz w:val="18"/>
          <w:szCs w:val="18"/>
          <w:color w:val="auto"/>
        </w:rPr>
        <w:t>Set forth below are the sales of all securities of the registrant sold by the registrant within the past three years (i.e., since January 1, 2012, up to the date of this registration statement) which were not registered under the Securities Act:</w:t>
      </w:r>
    </w:p>
    <w:p>
      <w:pPr>
        <w:spacing w:after="0" w:line="117" w:lineRule="exact"/>
        <w:rPr>
          <w:sz w:val="20"/>
          <w:szCs w:val="20"/>
          <w:color w:val="auto"/>
        </w:rPr>
      </w:pPr>
    </w:p>
    <w:p>
      <w:pPr>
        <w:ind w:left="560" w:right="179" w:hanging="219"/>
        <w:spacing w:after="0" w:line="260" w:lineRule="auto"/>
        <w:tabs>
          <w:tab w:leader="none" w:pos="626" w:val="left"/>
        </w:tabs>
        <w:numPr>
          <w:ilvl w:val="0"/>
          <w:numId w:val="130"/>
        </w:numPr>
        <w:rPr>
          <w:rFonts w:ascii="Arial" w:cs="Arial" w:eastAsia="Arial" w:hAnsi="Arial"/>
          <w:sz w:val="22"/>
          <w:szCs w:val="22"/>
          <w:color w:val="auto"/>
        </w:rPr>
      </w:pPr>
      <w:r>
        <w:rPr>
          <w:rFonts w:ascii="Arial" w:cs="Arial" w:eastAsia="Arial" w:hAnsi="Arial"/>
          <w:sz w:val="18"/>
          <w:szCs w:val="18"/>
          <w:color w:val="auto"/>
        </w:rPr>
        <w:t>We granted share options to employees, directors and consultants under our 2012 Plan and 2004 Plan covering an aggregate of 292,602 ordinary shares, with exercise prices ranging from $2.33 to $14.23 per share. As of the date of this registration statement, 8,000 of these options have been forfeited and cancelled without being exercised.</w:t>
      </w:r>
    </w:p>
    <w:p>
      <w:pPr>
        <w:spacing w:after="0" w:line="134" w:lineRule="exact"/>
        <w:rPr>
          <w:sz w:val="20"/>
          <w:szCs w:val="20"/>
          <w:color w:val="auto"/>
        </w:rPr>
      </w:pPr>
    </w:p>
    <w:p>
      <w:pPr>
        <w:ind w:left="120" w:right="299" w:firstLine="216"/>
        <w:spacing w:after="0" w:line="284" w:lineRule="auto"/>
        <w:rPr>
          <w:sz w:val="20"/>
          <w:szCs w:val="20"/>
          <w:color w:val="auto"/>
        </w:rPr>
      </w:pPr>
      <w:r>
        <w:rPr>
          <w:rFonts w:ascii="Arial" w:cs="Arial" w:eastAsia="Arial" w:hAnsi="Arial"/>
          <w:sz w:val="18"/>
          <w:szCs w:val="18"/>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346" w:lineRule="exact"/>
        <w:rPr>
          <w:sz w:val="20"/>
          <w:szCs w:val="20"/>
          <w:color w:val="auto"/>
        </w:rPr>
      </w:pPr>
    </w:p>
    <w:p>
      <w:pPr>
        <w:ind w:left="120" w:right="439" w:firstLine="216"/>
        <w:spacing w:after="0" w:line="289" w:lineRule="auto"/>
        <w:rPr>
          <w:sz w:val="20"/>
          <w:szCs w:val="20"/>
          <w:color w:val="auto"/>
        </w:rPr>
      </w:pPr>
      <w:r>
        <w:rPr>
          <w:rFonts w:ascii="Arial" w:cs="Arial" w:eastAsia="Arial" w:hAnsi="Arial"/>
          <w:sz w:val="18"/>
          <w:szCs w:val="18"/>
          <w:color w:val="auto"/>
        </w:rPr>
        <w:t>No underwriters were employed in connection with the securities issuances set forth in this Item 7.</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7" w:lineRule="exact"/>
        <w:rPr>
          <w:sz w:val="20"/>
          <w:szCs w:val="20"/>
          <w:color w:val="auto"/>
        </w:rPr>
      </w:pPr>
    </w:p>
    <w:p>
      <w:pPr>
        <w:ind w:left="640" w:hanging="299"/>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51" w:lineRule="exact"/>
        <w:rPr>
          <w:rFonts w:ascii="Arial" w:cs="Arial" w:eastAsia="Arial" w:hAnsi="Arial"/>
          <w:sz w:val="18"/>
          <w:szCs w:val="18"/>
          <w:color w:val="auto"/>
        </w:rPr>
      </w:pPr>
    </w:p>
    <w:p>
      <w:pPr>
        <w:ind w:left="660" w:hanging="319"/>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83" w:lineRule="exact"/>
        <w:rPr>
          <w:sz w:val="20"/>
          <w:szCs w:val="20"/>
          <w:color w:val="auto"/>
        </w:rPr>
      </w:pPr>
    </w:p>
    <w:p>
      <w:pPr>
        <w:jc w:val="both"/>
        <w:ind w:left="120" w:right="319" w:firstLine="216"/>
        <w:spacing w:after="0" w:line="294"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227" w:lineRule="exact"/>
        <w:rPr>
          <w:sz w:val="20"/>
          <w:szCs w:val="20"/>
          <w:color w:val="auto"/>
        </w:rPr>
      </w:pPr>
    </w:p>
    <w:p>
      <w:pPr>
        <w:ind w:left="120" w:right="219" w:firstLine="216"/>
        <w:spacing w:after="0" w:line="26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oﬃcers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w:t>
      </w:r>
    </w:p>
    <w:p>
      <w:pPr>
        <w:sectPr>
          <w:pgSz w:w="11900" w:h="16838" w:orient="portrait"/>
          <w:cols w:equalWidth="0" w:num="1">
            <w:col w:w="9019"/>
          </w:cols>
          <w:pgMar w:left="1440" w:top="322"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type w:val="continuous"/>
        </w:sectPr>
      </w:pPr>
    </w:p>
    <w:bookmarkStart w:id="158" w:name="page159"/>
    <w:bookmarkEnd w:id="158"/>
    <w:p>
      <w:pPr>
        <w:ind w:left="120" w:right="159"/>
        <w:spacing w:after="0" w:line="255" w:lineRule="auto"/>
        <w:rPr>
          <w:sz w:val="20"/>
          <w:szCs w:val="20"/>
          <w:color w:val="auto"/>
        </w:rPr>
      </w:pPr>
      <w:r>
        <w:rPr>
          <w:rFonts w:ascii="Arial" w:cs="Arial" w:eastAsia="Arial" w:hAnsi="Arial"/>
          <w:sz w:val="18"/>
          <w:szCs w:val="18"/>
          <w:color w:val="auto"/>
        </w:rPr>
        <w:t>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560" w:right="819" w:hanging="219"/>
        <w:spacing w:after="0" w:line="294" w:lineRule="auto"/>
        <w:tabs>
          <w:tab w:leader="none" w:pos="62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103" w:lineRule="exact"/>
        <w:rPr>
          <w:rFonts w:ascii="Arial" w:cs="Arial" w:eastAsia="Arial" w:hAnsi="Arial"/>
          <w:sz w:val="18"/>
          <w:szCs w:val="18"/>
          <w:color w:val="auto"/>
        </w:rPr>
      </w:pPr>
    </w:p>
    <w:p>
      <w:pPr>
        <w:ind w:left="560" w:right="319" w:hanging="219"/>
        <w:spacing w:after="0" w:line="272" w:lineRule="auto"/>
        <w:tabs>
          <w:tab w:leader="none" w:pos="62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eﬀective.</w:t>
      </w:r>
    </w:p>
    <w:p>
      <w:pPr>
        <w:spacing w:after="0" w:line="123" w:lineRule="exact"/>
        <w:rPr>
          <w:rFonts w:ascii="Arial" w:cs="Arial" w:eastAsia="Arial" w:hAnsi="Arial"/>
          <w:sz w:val="18"/>
          <w:szCs w:val="18"/>
          <w:color w:val="auto"/>
        </w:rPr>
      </w:pPr>
    </w:p>
    <w:p>
      <w:pPr>
        <w:ind w:left="560" w:right="479" w:hanging="219"/>
        <w:spacing w:after="0" w:line="279" w:lineRule="auto"/>
        <w:tabs>
          <w:tab w:leader="none" w:pos="62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post-eﬀective amendment that contains a form of prospectus shall be deemed to be a new registration statement relating to the securities oﬀered therein, and this oﬀering of such securities at that time shall be deemed to be the initial bona fide oﬀering thereof.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55740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left="120" w:right="119" w:firstLine="216"/>
        <w:spacing w:after="0" w:line="272"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duly authorized, in Rosh Ha-Ayin, Israel on this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2015.</w:t>
      </w:r>
    </w:p>
    <w:p>
      <w:pPr>
        <w:spacing w:after="0" w:line="8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KORNIT DIGITAL LTD.</w:t>
      </w:r>
    </w:p>
    <w:p>
      <w:pPr>
        <w:spacing w:after="0" w:line="281"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Gabi Seligsohn</w:t>
      </w:r>
    </w:p>
    <w:p>
      <w:pPr>
        <w:spacing w:after="0" w:line="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-126365</wp:posOffset>
            </wp:positionV>
            <wp:extent cx="21437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Oﬃcer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7"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KNOW ALL MEN BY THESE PRESENTED, that each director and oﬃcer of Kornit Digital Ltd. whose signature appears below hereby appoints Gabi Seligsohn and Guy Avidan, and each of them severally, acting alone and without the other, his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post-eﬀective amendments to this Registration Statement, and to sign any and all additional registration statements relating to the same oﬀering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200" w:lineRule="exact"/>
        <w:rPr>
          <w:sz w:val="20"/>
          <w:szCs w:val="20"/>
          <w:color w:val="auto"/>
        </w:rPr>
      </w:pPr>
    </w:p>
    <w:p>
      <w:pPr>
        <w:spacing w:after="0" w:line="376" w:lineRule="exact"/>
        <w:rPr>
          <w:sz w:val="20"/>
          <w:szCs w:val="20"/>
          <w:color w:val="auto"/>
        </w:rPr>
      </w:pPr>
    </w:p>
    <w:p>
      <w:pPr>
        <w:jc w:val="both"/>
        <w:ind w:left="120" w:right="599" w:firstLine="216"/>
        <w:spacing w:after="0" w:line="312"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February 25, 2015 in the capacities indicated:</w:t>
      </w:r>
    </w:p>
    <w:p>
      <w:pPr>
        <w:spacing w:after="0" w:line="333" w:lineRule="exact"/>
        <w:rPr>
          <w:sz w:val="20"/>
          <w:szCs w:val="20"/>
          <w:color w:val="auto"/>
        </w:rPr>
      </w:pPr>
    </w:p>
    <w:tbl>
      <w:tblPr>
        <w:tblLayout w:type="fixed"/>
        <w:tblInd w:w="14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Signature and Name</w:t>
            </w:r>
          </w:p>
        </w:tc>
        <w:tc>
          <w:tcPr>
            <w:tcW w:w="100" w:type="dxa"/>
            <w:vAlign w:val="bottom"/>
          </w:tcPr>
          <w:p>
            <w:pPr>
              <w:spacing w:after="0"/>
              <w:rPr>
                <w:sz w:val="22"/>
                <w:szCs w:val="22"/>
                <w:color w:val="auto"/>
              </w:rPr>
            </w:pPr>
          </w:p>
        </w:tc>
        <w:tc>
          <w:tcPr>
            <w:tcW w:w="5680" w:type="dxa"/>
            <w:vAlign w:val="bottom"/>
          </w:tcPr>
          <w:p>
            <w:pPr>
              <w:ind w:left="2620"/>
              <w:spacing w:after="0"/>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color w:val="auto"/>
              </w:rPr>
              <w:t>/s/ Gabi Seligsohn</w:t>
            </w:r>
          </w:p>
        </w:tc>
        <w:tc>
          <w:tcPr>
            <w:tcW w:w="5780" w:type="dxa"/>
            <w:vAlign w:val="bottom"/>
            <w:gridSpan w:val="2"/>
            <w:vMerge w:val="restart"/>
          </w:tcPr>
          <w:p>
            <w:pPr>
              <w:ind w:left="40"/>
              <w:spacing w:after="0"/>
              <w:rPr>
                <w:sz w:val="20"/>
                <w:szCs w:val="20"/>
                <w:color w:val="auto"/>
              </w:rPr>
            </w:pPr>
            <w:r>
              <w:rPr>
                <w:rFonts w:ascii="Arial" w:cs="Arial" w:eastAsia="Arial" w:hAnsi="Arial"/>
                <w:sz w:val="18"/>
                <w:szCs w:val="18"/>
                <w:color w:val="auto"/>
              </w:rPr>
              <w:t>Chief Executive Oﬃcer (principal executive oﬃcer)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rPr>
              <w:t>Gabi Seligsohn</w:t>
            </w:r>
          </w:p>
        </w:tc>
        <w:tc>
          <w:tcPr>
            <w:tcW w:w="360" w:type="dxa"/>
            <w:vAlign w:val="bottom"/>
          </w:tcPr>
          <w:p>
            <w:pPr>
              <w:spacing w:after="0"/>
              <w:rPr>
                <w:sz w:val="17"/>
                <w:szCs w:val="17"/>
                <w:color w:val="auto"/>
              </w:rPr>
            </w:pPr>
          </w:p>
        </w:tc>
        <w:tc>
          <w:tcPr>
            <w:tcW w:w="57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color w:val="auto"/>
              </w:rPr>
              <w:t>/s/ Guy Avidan</w:t>
            </w:r>
          </w:p>
        </w:tc>
        <w:tc>
          <w:tcPr>
            <w:tcW w:w="5780" w:type="dxa"/>
            <w:vAlign w:val="bottom"/>
            <w:gridSpan w:val="2"/>
            <w:vMerge w:val="restart"/>
          </w:tcPr>
          <w:p>
            <w:pPr>
              <w:ind w:left="4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rPr>
              <w:t>Guy Avidan</w:t>
            </w:r>
          </w:p>
        </w:tc>
        <w:tc>
          <w:tcPr>
            <w:tcW w:w="360" w:type="dxa"/>
            <w:vAlign w:val="bottom"/>
          </w:tcPr>
          <w:p>
            <w:pPr>
              <w:spacing w:after="0"/>
              <w:rPr>
                <w:sz w:val="14"/>
                <w:szCs w:val="14"/>
                <w:color w:val="auto"/>
              </w:rPr>
            </w:pPr>
          </w:p>
        </w:tc>
        <w:tc>
          <w:tcPr>
            <w:tcW w:w="5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rPr>
              <w:t>/s/ Yuval Cohen</w:t>
            </w:r>
          </w:p>
        </w:tc>
        <w:tc>
          <w:tcPr>
            <w:tcW w:w="5780" w:type="dxa"/>
            <w:vAlign w:val="bottom"/>
            <w:gridSpan w:val="2"/>
          </w:tcPr>
          <w:p>
            <w:pPr>
              <w:ind w:left="40"/>
              <w:spacing w:after="0"/>
              <w:rPr>
                <w:sz w:val="20"/>
                <w:szCs w:val="20"/>
                <w:color w:val="auto"/>
              </w:rPr>
            </w:pPr>
            <w:r>
              <w:rPr>
                <w:rFonts w:ascii="Arial" w:cs="Arial" w:eastAsia="Arial" w:hAnsi="Arial"/>
                <w:sz w:val="18"/>
                <w:szCs w:val="18"/>
                <w:color w:val="auto"/>
              </w:rPr>
              <w:t>accounting officer)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20" w:type="dxa"/>
            <w:vAlign w:val="bottom"/>
            <w:gridSpan w:val="2"/>
            <w:vMerge w:val="continue"/>
          </w:tcPr>
          <w:p>
            <w:pPr>
              <w:spacing w:after="0"/>
              <w:rPr>
                <w:sz w:val="17"/>
                <w:szCs w:val="17"/>
                <w:color w:val="auto"/>
              </w:rPr>
            </w:pPr>
          </w:p>
        </w:tc>
        <w:tc>
          <w:tcPr>
            <w:tcW w:w="5780" w:type="dxa"/>
            <w:vAlign w:val="bottom"/>
            <w:gridSpan w:val="2"/>
            <w:vMerge w:val="restart"/>
          </w:tcPr>
          <w:p>
            <w:pPr>
              <w:ind w:left="40"/>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rPr>
              <w:t>Yuval Cohen</w:t>
            </w:r>
          </w:p>
        </w:tc>
        <w:tc>
          <w:tcPr>
            <w:tcW w:w="360" w:type="dxa"/>
            <w:vAlign w:val="bottom"/>
          </w:tcPr>
          <w:p>
            <w:pPr>
              <w:spacing w:after="0"/>
              <w:rPr>
                <w:sz w:val="17"/>
                <w:szCs w:val="17"/>
                <w:color w:val="auto"/>
              </w:rPr>
            </w:pPr>
          </w:p>
        </w:tc>
        <w:tc>
          <w:tcPr>
            <w:tcW w:w="57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400"/>
              <w:spacing w:after="0"/>
              <w:rPr>
                <w:sz w:val="20"/>
                <w:szCs w:val="20"/>
                <w:color w:val="auto"/>
              </w:rPr>
            </w:pPr>
            <w:r>
              <w:rPr>
                <w:rFonts w:ascii="Arial" w:cs="Arial" w:eastAsia="Arial" w:hAnsi="Arial"/>
                <w:sz w:val="18"/>
                <w:szCs w:val="18"/>
                <w:color w:val="auto"/>
              </w:rPr>
              <w:t>/s/ Ofer Ben-Zur</w:t>
            </w:r>
          </w:p>
        </w:tc>
        <w:tc>
          <w:tcPr>
            <w:tcW w:w="5780" w:type="dxa"/>
            <w:vAlign w:val="bottom"/>
            <w:gridSpan w:val="2"/>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rPr>
              <w:t>Ofer Ben-Zur</w:t>
            </w:r>
          </w:p>
        </w:tc>
        <w:tc>
          <w:tcPr>
            <w:tcW w:w="360" w:type="dxa"/>
            <w:vAlign w:val="bottom"/>
          </w:tcPr>
          <w:p>
            <w:pPr>
              <w:spacing w:after="0"/>
              <w:rPr>
                <w:sz w:val="17"/>
                <w:szCs w:val="17"/>
                <w:color w:val="auto"/>
              </w:rPr>
            </w:pPr>
          </w:p>
        </w:tc>
        <w:tc>
          <w:tcPr>
            <w:tcW w:w="57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400"/>
              <w:spacing w:after="0"/>
              <w:rPr>
                <w:sz w:val="20"/>
                <w:szCs w:val="20"/>
                <w:color w:val="auto"/>
              </w:rPr>
            </w:pPr>
            <w:r>
              <w:rPr>
                <w:rFonts w:ascii="Arial" w:cs="Arial" w:eastAsia="Arial" w:hAnsi="Arial"/>
                <w:sz w:val="18"/>
                <w:szCs w:val="18"/>
                <w:color w:val="auto"/>
              </w:rPr>
              <w:t>/s/ Eli Blatt</w:t>
            </w:r>
          </w:p>
        </w:tc>
        <w:tc>
          <w:tcPr>
            <w:tcW w:w="5780" w:type="dxa"/>
            <w:vAlign w:val="bottom"/>
            <w:gridSpan w:val="2"/>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rPr>
              <w:t>Eli Blatt</w:t>
            </w:r>
          </w:p>
        </w:tc>
        <w:tc>
          <w:tcPr>
            <w:tcW w:w="360" w:type="dxa"/>
            <w:vAlign w:val="bottom"/>
          </w:tcPr>
          <w:p>
            <w:pPr>
              <w:spacing w:after="0"/>
              <w:rPr>
                <w:sz w:val="17"/>
                <w:szCs w:val="17"/>
                <w:color w:val="auto"/>
              </w:rPr>
            </w:pPr>
          </w:p>
        </w:tc>
        <w:tc>
          <w:tcPr>
            <w:tcW w:w="57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400"/>
              <w:spacing w:after="0"/>
              <w:rPr>
                <w:sz w:val="20"/>
                <w:szCs w:val="20"/>
                <w:color w:val="auto"/>
              </w:rPr>
            </w:pPr>
            <w:r>
              <w:rPr>
                <w:rFonts w:ascii="Arial" w:cs="Arial" w:eastAsia="Arial" w:hAnsi="Arial"/>
                <w:sz w:val="18"/>
                <w:szCs w:val="18"/>
                <w:color w:val="auto"/>
              </w:rPr>
              <w:t>/s/ Yoav Hineman</w:t>
            </w:r>
          </w:p>
        </w:tc>
        <w:tc>
          <w:tcPr>
            <w:tcW w:w="5780" w:type="dxa"/>
            <w:vAlign w:val="bottom"/>
            <w:gridSpan w:val="2"/>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rPr>
              <w:t>Yoav Hineman</w:t>
            </w:r>
          </w:p>
        </w:tc>
        <w:tc>
          <w:tcPr>
            <w:tcW w:w="360" w:type="dxa"/>
            <w:vAlign w:val="bottom"/>
          </w:tcPr>
          <w:p>
            <w:pPr>
              <w:spacing w:after="0"/>
              <w:rPr>
                <w:sz w:val="17"/>
                <w:szCs w:val="17"/>
                <w:color w:val="auto"/>
              </w:rPr>
            </w:pPr>
          </w:p>
        </w:tc>
        <w:tc>
          <w:tcPr>
            <w:tcW w:w="57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400"/>
              <w:spacing w:after="0"/>
              <w:rPr>
                <w:sz w:val="20"/>
                <w:szCs w:val="20"/>
                <w:color w:val="auto"/>
              </w:rPr>
            </w:pPr>
            <w:r>
              <w:rPr>
                <w:rFonts w:ascii="Arial" w:cs="Arial" w:eastAsia="Arial" w:hAnsi="Arial"/>
                <w:sz w:val="18"/>
                <w:szCs w:val="18"/>
                <w:color w:val="auto"/>
              </w:rPr>
              <w:t>/s/ Marc Lesnick</w:t>
            </w:r>
          </w:p>
        </w:tc>
        <w:tc>
          <w:tcPr>
            <w:tcW w:w="5780" w:type="dxa"/>
            <w:vAlign w:val="bottom"/>
            <w:gridSpan w:val="2"/>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Marc Lesnick</w:t>
            </w:r>
          </w:p>
        </w:tc>
        <w:tc>
          <w:tcPr>
            <w:tcW w:w="360" w:type="dxa"/>
            <w:vAlign w:val="bottom"/>
          </w:tcPr>
          <w:p>
            <w:pPr>
              <w:spacing w:after="0"/>
              <w:rPr>
                <w:sz w:val="24"/>
                <w:szCs w:val="24"/>
                <w:color w:val="auto"/>
              </w:rPr>
            </w:pPr>
          </w:p>
        </w:tc>
        <w:tc>
          <w:tcPr>
            <w:tcW w:w="57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97" w:lineRule="exact"/>
        <w:rPr>
          <w:sz w:val="20"/>
          <w:szCs w:val="20"/>
          <w:color w:val="auto"/>
        </w:rPr>
      </w:pPr>
    </w:p>
    <w:p>
      <w:pPr>
        <w:ind w:left="120" w:right="399" w:firstLine="216"/>
        <w:spacing w:after="0" w:line="294" w:lineRule="auto"/>
        <w:rPr>
          <w:sz w:val="20"/>
          <w:szCs w:val="20"/>
          <w:color w:val="auto"/>
        </w:rPr>
      </w:pPr>
      <w:r>
        <w:rPr>
          <w:rFonts w:ascii="Arial" w:cs="Arial" w:eastAsia="Arial" w:hAnsi="Arial"/>
          <w:sz w:val="18"/>
          <w:szCs w:val="18"/>
          <w:color w:val="auto"/>
        </w:rPr>
        <w:t>Pursuant to the requirements of the Securities Act of 1933, the Registrant’s duly authorized representative has signed this registration statement on Form F-1 in Mequon, Wisconsin, on February 25, 2015.</w:t>
      </w:r>
    </w:p>
    <w:p>
      <w:pPr>
        <w:spacing w:after="0" w:line="147"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i w:val="1"/>
          <w:iCs w:val="1"/>
          <w:color w:val="auto"/>
        </w:rPr>
        <w:t>KORNIT DIGITAL NORTH AMERICA</w:t>
      </w:r>
    </w:p>
    <w:p>
      <w:pPr>
        <w:ind w:left="5480"/>
        <w:spacing w:after="0" w:line="238" w:lineRule="auto"/>
        <w:rPr>
          <w:sz w:val="20"/>
          <w:szCs w:val="20"/>
          <w:color w:val="auto"/>
        </w:rPr>
      </w:pPr>
      <w:r>
        <w:rPr>
          <w:rFonts w:ascii="Courier New" w:cs="Courier New" w:eastAsia="Courier New" w:hAnsi="Courier New"/>
          <w:sz w:val="18"/>
          <w:szCs w:val="18"/>
          <w:i w:val="1"/>
          <w:iCs w:val="1"/>
          <w:color w:val="auto"/>
        </w:rPr>
        <w:t>INC.</w:t>
      </w:r>
    </w:p>
    <w:p>
      <w:pPr>
        <w:spacing w:after="0" w:line="198" w:lineRule="exact"/>
        <w:rPr>
          <w:sz w:val="20"/>
          <w:szCs w:val="20"/>
          <w:color w:val="auto"/>
        </w:rPr>
      </w:pPr>
    </w:p>
    <w:p>
      <w:pPr>
        <w:ind w:left="5480"/>
        <w:spacing w:after="0"/>
        <w:tabs>
          <w:tab w:leader="none" w:pos="5920" w:val="left"/>
        </w:tabs>
        <w:rPr>
          <w:sz w:val="20"/>
          <w:szCs w:val="20"/>
          <w:color w:val="auto"/>
        </w:rPr>
      </w:pPr>
      <w:r>
        <w:rPr>
          <w:rFonts w:ascii="Arial" w:cs="Arial" w:eastAsia="Arial" w:hAnsi="Arial"/>
          <w:sz w:val="18"/>
          <w:szCs w:val="18"/>
          <w:color w:val="auto"/>
        </w:rPr>
        <w:t>By:</w:t>
        <w:tab/>
        <w:t>/s/ Paul Borucki</w:t>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Paul Borucki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-126365</wp:posOffset>
            </wp:positionV>
            <wp:extent cx="18783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207645</wp:posOffset>
            </wp:positionV>
            <wp:extent cx="55740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61" w:name="page162"/>
    <w:bookmarkEnd w:id="161"/>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gridSpan w:val="2"/>
          </w:tcPr>
          <w:p>
            <w:pPr>
              <w:ind w:left="2640"/>
              <w:spacing w:after="0"/>
              <w:rPr>
                <w:sz w:val="20"/>
                <w:szCs w:val="20"/>
                <w:color w:val="auto"/>
              </w:rPr>
            </w:pPr>
            <w:r>
              <w:rPr>
                <w:rFonts w:ascii="Arial" w:cs="Arial" w:eastAsia="Arial" w:hAnsi="Arial"/>
                <w:sz w:val="18"/>
                <w:szCs w:val="18"/>
                <w:b w:val="1"/>
                <w:bCs w:val="1"/>
                <w:color w:val="auto"/>
              </w:rPr>
              <w:t>EXHIBIT INDEX</w:t>
            </w: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398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w:t>
            </w:r>
          </w:p>
        </w:tc>
        <w:tc>
          <w:tcPr>
            <w:tcW w:w="4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020" w:type="dxa"/>
            <w:vAlign w:val="bottom"/>
            <w:gridSpan w:val="2"/>
            <w:vMerge w:val="continue"/>
          </w:tcPr>
          <w:p>
            <w:pPr>
              <w:spacing w:after="0"/>
              <w:rPr>
                <w:sz w:val="11"/>
                <w:szCs w:val="11"/>
                <w:color w:val="auto"/>
              </w:rPr>
            </w:pPr>
          </w:p>
        </w:tc>
        <w:tc>
          <w:tcPr>
            <w:tcW w:w="7720" w:type="dxa"/>
            <w:vAlign w:val="bottom"/>
            <w:gridSpan w:val="4"/>
            <w:vMerge w:val="restart"/>
          </w:tcPr>
          <w:p>
            <w:pPr>
              <w:ind w:left="40"/>
              <w:spacing w:after="0"/>
              <w:rPr>
                <w:sz w:val="20"/>
                <w:szCs w:val="20"/>
                <w:color w:val="auto"/>
              </w:rPr>
            </w:pPr>
            <w:r>
              <w:rPr>
                <w:rFonts w:ascii="Arial" w:cs="Arial" w:eastAsia="Arial" w:hAnsi="Arial"/>
                <w:sz w:val="18"/>
                <w:szCs w:val="18"/>
                <w:color w:val="auto"/>
              </w:rPr>
              <w:t>Form of Underwriting Agreement by and among Kornit Digital Ltd. and the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72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020" w:type="dxa"/>
            <w:vAlign w:val="bottom"/>
            <w:gridSpan w:val="2"/>
          </w:tcPr>
          <w:p>
            <w:pPr>
              <w:spacing w:after="0" w:line="142" w:lineRule="exact"/>
              <w:rPr>
                <w:sz w:val="20"/>
                <w:szCs w:val="20"/>
                <w:color w:val="auto"/>
              </w:rPr>
            </w:pPr>
            <w:r>
              <w:rPr>
                <w:rFonts w:ascii="Arial" w:cs="Arial" w:eastAsia="Arial" w:hAnsi="Arial"/>
                <w:sz w:val="16"/>
                <w:szCs w:val="16"/>
                <w:color w:val="auto"/>
              </w:rPr>
              <w:t>1.1</w:t>
            </w:r>
          </w:p>
        </w:tc>
        <w:tc>
          <w:tcPr>
            <w:tcW w:w="77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3.1</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underwriters named therein*</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Articles of Association of the Registrant</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spacing w:after="0" w:line="202" w:lineRule="exact"/>
              <w:rPr>
                <w:sz w:val="20"/>
                <w:szCs w:val="20"/>
                <w:color w:val="auto"/>
              </w:rPr>
            </w:pPr>
            <w:r>
              <w:rPr>
                <w:rFonts w:ascii="Arial" w:cs="Arial" w:eastAsia="Arial" w:hAnsi="Arial"/>
                <w:sz w:val="18"/>
                <w:szCs w:val="18"/>
                <w:color w:val="auto"/>
              </w:rPr>
              <w:t>3.2</w:t>
            </w: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Form of Amended and Restated Articles of Association of the Registrant, to be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4.1</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eﬀective upon closing of this oﬀering*</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Specimen Share Certificate*</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spacing w:after="0" w:line="202" w:lineRule="exact"/>
              <w:rPr>
                <w:sz w:val="20"/>
                <w:szCs w:val="20"/>
                <w:color w:val="auto"/>
              </w:rPr>
            </w:pPr>
            <w:r>
              <w:rPr>
                <w:rFonts w:ascii="Arial" w:cs="Arial" w:eastAsia="Arial" w:hAnsi="Arial"/>
                <w:sz w:val="18"/>
                <w:szCs w:val="18"/>
                <w:color w:val="auto"/>
              </w:rPr>
              <w:t>5.1</w:t>
            </w: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Opinion of Meitar Liquornik Geva Leshem Tal, Israeli counsel to the Registrant, as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w:t>
            </w:r>
          </w:p>
        </w:tc>
        <w:tc>
          <w:tcPr>
            <w:tcW w:w="58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the validity of the ordinary shares (including consent)*</w:t>
            </w: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2004 Share Option Plan</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spacing w:after="0" w:line="202" w:lineRule="exact"/>
              <w:rPr>
                <w:sz w:val="20"/>
                <w:szCs w:val="20"/>
                <w:color w:val="auto"/>
              </w:rPr>
            </w:pPr>
            <w:r>
              <w:rPr>
                <w:rFonts w:ascii="Arial" w:cs="Arial" w:eastAsia="Arial" w:hAnsi="Arial"/>
                <w:sz w:val="18"/>
                <w:szCs w:val="18"/>
                <w:color w:val="auto"/>
              </w:rPr>
              <w:t>10.2</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2012 Share Incentive Plan</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spacing w:after="0" w:line="202" w:lineRule="exact"/>
              <w:rPr>
                <w:sz w:val="20"/>
                <w:szCs w:val="20"/>
                <w:color w:val="auto"/>
              </w:rPr>
            </w:pPr>
            <w:r>
              <w:rPr>
                <w:rFonts w:ascii="Arial" w:cs="Arial" w:eastAsia="Arial" w:hAnsi="Arial"/>
                <w:sz w:val="18"/>
                <w:szCs w:val="18"/>
                <w:color w:val="auto"/>
              </w:rPr>
              <w:t>10.3</w:t>
            </w: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Form of indemnification agreement by and between Kornit Digital Ltd. and each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10.4</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its directors and executive oﬃcers*</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Sales Representative Agreement, dated April 1, 2014, between the Registrant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10.5</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Hirsch International Corporation†</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Original Equipment Manufacturer Supply Agreement, dated January 6, 2006,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10.6</w:t>
            </w: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between the Registrant and Spectra Printing, a division of Dimatix, Inc.†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1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September 20, 2006, between the Registrant and Fujifilm Dimatix, Inc., formerly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10.7</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Spectra 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2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September 1, 2007, between the Registrant and Fujifilm Dimatix, Inc., formerly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10.8</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Spectra 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3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March 17, 2008, between the Registrant and Fujifilm Dimatix, Inc., formerly Spectra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10.9</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4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July 1, 2010, between the Registrant and Fujifilm Dimatix, Inc., formerly Spectra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10.10</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5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October 4, 2011, between the Registrant and Fujifilm Dimatix, Inc., formerly Spectra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10.11</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6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December 6, 2012, between the Registrant and Fujifilm Dimatix, Inc., formerly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10.12</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Spectra 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7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February 1, 2013, between the Registrant and Fujifilm Dimatix, Inc., formerly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10.13</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Spectra 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8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January 1, 2014, between the Registrant and Fujifilm Dimatix, Inc., formerly Spectra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10.14</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Amendment No. 9 to Original Equipment Manufacturer Supply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August 22, 2014, between the Registrant and Fujifilm Dimatix, Inc., formerly Spectra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10.15</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Printing, a division of Dimatix, Inc.†</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Supplier Agreement, dated November 19, 2014, between the Registrant and I.T.S.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10.16</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Industrial Technologic Solutions, Ltd.†∞</w:t>
            </w:r>
          </w:p>
        </w:tc>
        <w:tc>
          <w:tcPr>
            <w:tcW w:w="1860" w:type="dxa"/>
            <w:vAlign w:val="bottom"/>
          </w:tcPr>
          <w:p>
            <w:pPr>
              <w:spacing w:after="0"/>
              <w:rPr>
                <w:sz w:val="17"/>
                <w:szCs w:val="17"/>
                <w:color w:val="auto"/>
              </w:rPr>
            </w:pPr>
          </w:p>
        </w:tc>
        <w:tc>
          <w:tcPr>
            <w:tcW w:w="1880" w:type="dxa"/>
            <w:vAlign w:val="bottom"/>
            <w:vMerge w:val="restart"/>
          </w:tcPr>
          <w:p>
            <w:pPr>
              <w:ind w:left="420"/>
              <w:spacing w:after="0"/>
              <w:rPr>
                <w:sz w:val="20"/>
                <w:szCs w:val="20"/>
                <w:color w:val="auto"/>
              </w:rPr>
            </w:pPr>
            <w:r>
              <w:rPr>
                <w:rFonts w:ascii="Arial" w:cs="Arial" w:eastAsia="Arial" w:hAnsi="Arial"/>
                <w:sz w:val="18"/>
                <w:szCs w:val="18"/>
                <w:color w:val="auto"/>
              </w:rPr>
              <w:t>, by and among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58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Amended and Restated Investors’ Rights Agreement, dated</w:t>
            </w:r>
          </w:p>
        </w:tc>
        <w:tc>
          <w:tcPr>
            <w:tcW w:w="1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10.17</w:t>
            </w:r>
          </w:p>
        </w:tc>
        <w:tc>
          <w:tcPr>
            <w:tcW w:w="58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the Registrant and the other parties thereto.*</w:t>
            </w: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Management Services Agreement, dated August 11, 2011, by and between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10.18</w:t>
            </w:r>
          </w:p>
        </w:tc>
        <w:tc>
          <w:tcPr>
            <w:tcW w:w="58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Registrant and Fortissimo Capital Fund II (Israel) L.P.</w:t>
            </w: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Termination Agreement, dated</w:t>
            </w:r>
          </w:p>
        </w:tc>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 2015, terminating the Management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Services Agreement, dated August 11, 2011, by and between the Registrant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10.19</w:t>
            </w:r>
          </w:p>
        </w:tc>
        <w:tc>
          <w:tcPr>
            <w:tcW w:w="39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Fortissimo Capital Fund II (Israel) L.P.*</w:t>
            </w:r>
          </w:p>
        </w:tc>
        <w:tc>
          <w:tcPr>
            <w:tcW w:w="1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2"/>
            <w:vMerge w:val="continue"/>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Lease Agreement, dated March 25, 2010, by and between the Registrant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Benvenisti Engineering Ltd. as amended by Addendum to Lease Agreement,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November 21, 2011, and Addendum to Lease Agreement, dated September 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97" w:right="1440" w:bottom="1440" w:gutter="0" w:footer="0" w:header="0"/>
        </w:sectPr>
      </w:pPr>
    </w:p>
    <w:bookmarkStart w:id="162" w:name="page163"/>
    <w:bookmarkEnd w:id="162"/>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80" w:type="dxa"/>
            <w:vAlign w:val="bottom"/>
          </w:tcPr>
          <w:p>
            <w:pPr>
              <w:ind w:left="2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77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94"/>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rPr>
              <w:t>No.</w:t>
            </w:r>
          </w:p>
        </w:tc>
        <w:tc>
          <w:tcPr>
            <w:tcW w:w="40" w:type="dxa"/>
            <w:vAlign w:val="bottom"/>
          </w:tcPr>
          <w:p>
            <w:pPr>
              <w:spacing w:after="0"/>
              <w:rPr>
                <w:sz w:val="8"/>
                <w:szCs w:val="8"/>
                <w:color w:val="auto"/>
              </w:rPr>
            </w:pPr>
          </w:p>
        </w:tc>
        <w:tc>
          <w:tcPr>
            <w:tcW w:w="7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020" w:type="dxa"/>
            <w:vAlign w:val="bottom"/>
            <w:vMerge w:val="continue"/>
          </w:tcPr>
          <w:p>
            <w:pPr>
              <w:spacing w:after="0"/>
              <w:rPr>
                <w:sz w:val="12"/>
                <w:szCs w:val="12"/>
                <w:color w:val="auto"/>
              </w:rPr>
            </w:pPr>
          </w:p>
        </w:tc>
        <w:tc>
          <w:tcPr>
            <w:tcW w:w="7720" w:type="dxa"/>
            <w:vAlign w:val="bottom"/>
            <w:gridSpan w:val="2"/>
            <w:vMerge w:val="restart"/>
          </w:tcPr>
          <w:p>
            <w:pPr>
              <w:ind w:left="4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29"/>
        </w:trPr>
        <w:tc>
          <w:tcPr>
            <w:tcW w:w="1020" w:type="dxa"/>
            <w:vAlign w:val="bottom"/>
            <w:tcBorders>
              <w:bottom w:val="single" w:sz="8" w:color="auto"/>
            </w:tcBorders>
          </w:tcPr>
          <w:p>
            <w:pPr>
              <w:spacing w:after="0"/>
              <w:rPr>
                <w:sz w:val="2"/>
                <w:szCs w:val="2"/>
                <w:color w:val="auto"/>
              </w:rPr>
            </w:pPr>
          </w:p>
        </w:tc>
        <w:tc>
          <w:tcPr>
            <w:tcW w:w="7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line="156" w:lineRule="exact"/>
              <w:rPr>
                <w:sz w:val="20"/>
                <w:szCs w:val="20"/>
                <w:color w:val="auto"/>
              </w:rPr>
            </w:pPr>
            <w:r>
              <w:rPr>
                <w:rFonts w:ascii="Arial" w:cs="Arial" w:eastAsia="Arial" w:hAnsi="Arial"/>
                <w:sz w:val="18"/>
                <w:szCs w:val="18"/>
                <w:color w:val="auto"/>
              </w:rPr>
              <w:t>21.1</w:t>
            </w:r>
          </w:p>
        </w:tc>
        <w:tc>
          <w:tcPr>
            <w:tcW w:w="7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23.1</w:t>
            </w:r>
          </w:p>
        </w:tc>
        <w:tc>
          <w:tcPr>
            <w:tcW w:w="77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Consent of Kost Forer Gabbay &amp; Kasierer, a member of Ernst &amp; Young Global, an</w:t>
            </w:r>
          </w:p>
        </w:tc>
        <w:tc>
          <w:tcPr>
            <w:tcW w:w="0" w:type="dxa"/>
            <w:vAlign w:val="bottom"/>
          </w:tcPr>
          <w:p>
            <w:pPr>
              <w:spacing w:after="0"/>
              <w:rPr>
                <w:sz w:val="1"/>
                <w:szCs w:val="1"/>
                <w:color w:val="auto"/>
              </w:rPr>
            </w:pPr>
          </w:p>
        </w:tc>
      </w:tr>
      <w:tr>
        <w:trPr>
          <w:trHeight w:val="203"/>
        </w:trPr>
        <w:tc>
          <w:tcPr>
            <w:tcW w:w="1020" w:type="dxa"/>
            <w:vAlign w:val="bottom"/>
            <w:vMerge w:val="restart"/>
          </w:tcPr>
          <w:p>
            <w:pPr>
              <w:spacing w:after="0"/>
              <w:rPr>
                <w:sz w:val="20"/>
                <w:szCs w:val="20"/>
                <w:color w:val="auto"/>
              </w:rPr>
            </w:pPr>
            <w:r>
              <w:rPr>
                <w:rFonts w:ascii="Arial" w:cs="Arial" w:eastAsia="Arial" w:hAnsi="Arial"/>
                <w:sz w:val="18"/>
                <w:szCs w:val="18"/>
                <w:color w:val="auto"/>
              </w:rPr>
              <w:t>23.2</w:t>
            </w:r>
          </w:p>
        </w:tc>
        <w:tc>
          <w:tcPr>
            <w:tcW w:w="77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independent registered public accounting firm</w:t>
            </w:r>
          </w:p>
        </w:tc>
        <w:tc>
          <w:tcPr>
            <w:tcW w:w="0" w:type="dxa"/>
            <w:vAlign w:val="bottom"/>
          </w:tcPr>
          <w:p>
            <w:pPr>
              <w:spacing w:after="0"/>
              <w:rPr>
                <w:sz w:val="1"/>
                <w:szCs w:val="1"/>
                <w:color w:val="auto"/>
              </w:rPr>
            </w:pPr>
          </w:p>
        </w:tc>
      </w:tr>
      <w:tr>
        <w:trPr>
          <w:trHeight w:val="203"/>
        </w:trPr>
        <w:tc>
          <w:tcPr>
            <w:tcW w:w="1020" w:type="dxa"/>
            <w:vAlign w:val="bottom"/>
            <w:vMerge w:val="continue"/>
          </w:tcPr>
          <w:p>
            <w:pPr>
              <w:spacing w:after="0"/>
              <w:rPr>
                <w:sz w:val="17"/>
                <w:szCs w:val="17"/>
                <w:color w:val="auto"/>
              </w:rPr>
            </w:pPr>
          </w:p>
        </w:tc>
        <w:tc>
          <w:tcPr>
            <w:tcW w:w="77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Consent of Meitar Liquornik Geva Leshem Tal (included in Exhibit 5.1)*</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24.1</w:t>
            </w:r>
          </w:p>
        </w:tc>
        <w:tc>
          <w:tcPr>
            <w:tcW w:w="77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Power of Attorney (included in signature pages of Registration Statement)</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77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Consent of Lauri Hanover to be named as director nominee.</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99.2</w:t>
            </w:r>
          </w:p>
        </w:tc>
        <w:tc>
          <w:tcPr>
            <w:tcW w:w="77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Consent of Alon Lumbroso to be named as director nominee.</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99.3</w:t>
            </w: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Consent of Jerry Mandel to be named as director nominee.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99.4</w:t>
            </w: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Consent of Dov Ofer to be named as director nominee.</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8"/>
                <w:szCs w:val="18"/>
                <w:color w:val="auto"/>
              </w:rPr>
              <w:t>99.5</w:t>
            </w: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Consent of Gabi Seligsohn to be named as director nominee.</w:t>
            </w:r>
          </w:p>
        </w:tc>
        <w:tc>
          <w:tcPr>
            <w:tcW w:w="0" w:type="dxa"/>
            <w:vAlign w:val="bottom"/>
          </w:tcPr>
          <w:p>
            <w:pPr>
              <w:spacing w:after="0"/>
              <w:rPr>
                <w:sz w:val="1"/>
                <w:szCs w:val="1"/>
                <w:color w:val="auto"/>
              </w:rPr>
            </w:pPr>
          </w:p>
        </w:tc>
      </w:tr>
    </w:tbl>
    <w:p>
      <w:pPr>
        <w:ind w:left="120"/>
        <w:spacing w:after="0" w:line="234" w:lineRule="auto"/>
        <w:rPr>
          <w:sz w:val="20"/>
          <w:szCs w:val="20"/>
          <w:color w:val="auto"/>
        </w:rPr>
      </w:pPr>
      <w:r>
        <w:rPr>
          <w:rFonts w:ascii="Arial" w:cs="Arial" w:eastAsia="Arial" w:hAnsi="Arial"/>
          <w:sz w:val="18"/>
          <w:szCs w:val="18"/>
          <w:color w:val="auto"/>
        </w:rPr>
        <w:t>_______________</w:t>
      </w:r>
    </w:p>
    <w:p>
      <w:pPr>
        <w:ind w:left="520" w:hanging="395"/>
        <w:spacing w:after="0" w:line="235" w:lineRule="auto"/>
        <w:tabs>
          <w:tab w:leader="none" w:pos="5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 w:lineRule="exact"/>
        <w:rPr>
          <w:sz w:val="20"/>
          <w:szCs w:val="20"/>
          <w:color w:val="auto"/>
        </w:rPr>
      </w:pPr>
    </w:p>
    <w:p>
      <w:pPr>
        <w:ind w:left="520" w:hanging="395"/>
        <w:spacing w:after="0"/>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9" w:lineRule="exact"/>
        <w:rPr>
          <w:sz w:val="20"/>
          <w:szCs w:val="20"/>
          <w:color w:val="auto"/>
        </w:rPr>
      </w:pPr>
    </w:p>
    <w:p>
      <w:pPr>
        <w:ind w:left="520" w:hanging="395"/>
        <w:spacing w:after="0"/>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English translation of the original Hebrew document.</w:t>
      </w:r>
    </w:p>
    <w:p>
      <w:pPr>
        <w:sectPr>
          <w:pgSz w:w="11900" w:h="16838" w:orient="portrait"/>
          <w:cols w:equalWidth="0" w:num="1">
            <w:col w:w="9019"/>
          </w:cols>
          <w:pgMar w:left="1440" w:top="337" w:right="1440" w:bottom="1440" w:gutter="0" w:footer="0" w:header="0"/>
        </w:sectPr>
      </w:pPr>
    </w:p>
    <w:bookmarkStart w:id="163" w:name="page164"/>
    <w:bookmarkEnd w:id="163"/>
    <w:p>
      <w:pPr>
        <w:ind w:left="7900"/>
        <w:spacing w:after="0"/>
        <w:rPr>
          <w:sz w:val="20"/>
          <w:szCs w:val="20"/>
          <w:color w:val="auto"/>
        </w:rPr>
      </w:pPr>
      <w:r>
        <w:rPr>
          <w:rFonts w:ascii="Arial" w:cs="Arial" w:eastAsia="Arial" w:hAnsi="Arial"/>
          <w:sz w:val="19"/>
          <w:szCs w:val="19"/>
          <w:b w:val="1"/>
          <w:bCs w:val="1"/>
          <w:color w:val="auto"/>
        </w:rPr>
        <w:t>Exhibit 3.1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ASSOCIATION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PRELIMINARY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In these Articles, unless the context otherwise requires:</w:t>
      </w:r>
    </w:p>
    <w:p>
      <w:pPr>
        <w:spacing w:after="0" w:line="221"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 entity or person, which, directly or indirectly through one or more intermediaries, controls, is controlled by, or is under common control with, such shareholder of the Company. For the purposes of these Articles, “</w:t>
      </w:r>
      <w:r>
        <w:rPr>
          <w:rFonts w:ascii="Arial" w:cs="Arial" w:eastAsia="Arial" w:hAnsi="Arial"/>
          <w:sz w:val="18"/>
          <w:szCs w:val="18"/>
          <w:b w:val="1"/>
          <w:bCs w:val="1"/>
          <w:color w:val="auto"/>
        </w:rPr>
        <w:t>Control</w:t>
      </w:r>
      <w:r>
        <w:rPr>
          <w:rFonts w:ascii="Arial" w:cs="Arial" w:eastAsia="Arial" w:hAnsi="Arial"/>
          <w:sz w:val="18"/>
          <w:szCs w:val="18"/>
          <w:color w:val="auto"/>
        </w:rPr>
        <w:t>” shall mean with respect to any entity, the power to direct or cause the direction of the management and policies of such entity, whether through the ownership of voting securities, by contract or otherwise, including without limitation the ownership of the majority of the voting shares of any such entity or the right to appoint more than fifty percent (50%) of the members of the board of directors of such entity. The term “</w:t>
      </w:r>
      <w:r>
        <w:rPr>
          <w:rFonts w:ascii="Arial" w:cs="Arial" w:eastAsia="Arial" w:hAnsi="Arial"/>
          <w:sz w:val="18"/>
          <w:szCs w:val="18"/>
          <w:b w:val="1"/>
          <w:bCs w:val="1"/>
          <w:color w:val="auto"/>
        </w:rPr>
        <w:t>Controlled</w:t>
      </w:r>
      <w:r>
        <w:rPr>
          <w:rFonts w:ascii="Arial" w:cs="Arial" w:eastAsia="Arial" w:hAnsi="Arial"/>
          <w:sz w:val="18"/>
          <w:szCs w:val="18"/>
          <w:color w:val="auto"/>
        </w:rPr>
        <w:t>” shall have a correlative meaning.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w:t>
      </w: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 Group</w:t>
      </w:r>
      <w:r>
        <w:rPr>
          <w:rFonts w:ascii="Arial" w:cs="Arial" w:eastAsia="Arial" w:hAnsi="Arial"/>
          <w:sz w:val="18"/>
          <w:szCs w:val="18"/>
          <w:color w:val="auto"/>
        </w:rPr>
        <w:t>” means Yahel Productions K.D.M and Events Ltd., Moshe Nur, Yossi Nuriel, Gabi Weinstock and Avi Weinstock.</w:t>
      </w:r>
    </w:p>
    <w:p>
      <w:pPr>
        <w:spacing w:after="0" w:line="162"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closing of the Company’s first underwritten public offering of its Ordinary Shares on an internationally recognized stock market.</w:t>
      </w:r>
    </w:p>
    <w:p>
      <w:pPr>
        <w:spacing w:after="0" w:line="162"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Fortissimo</w:t>
      </w:r>
      <w:r>
        <w:rPr>
          <w:rFonts w:ascii="Arial" w:cs="Arial" w:eastAsia="Arial" w:hAnsi="Arial"/>
          <w:sz w:val="18"/>
          <w:szCs w:val="18"/>
          <w:color w:val="auto"/>
        </w:rPr>
        <w:t>” means Fortissimo Capital Fund II (Israel) L.P., a partnership organized under the laws of the Cayman Islands.</w:t>
      </w:r>
    </w:p>
    <w:p>
      <w:pPr>
        <w:spacing w:after="0" w:line="162"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 Group</w:t>
      </w:r>
      <w:r>
        <w:rPr>
          <w:rFonts w:ascii="Arial" w:cs="Arial" w:eastAsia="Arial" w:hAnsi="Arial"/>
          <w:sz w:val="18"/>
          <w:szCs w:val="18"/>
          <w:color w:val="auto"/>
        </w:rPr>
        <w:t>” means Ofer Ben Zur, I.T.S Industrial Technologic Solutions Ltd., Ganadi Rosin, Asaf Bram and Avi Sterling.</w:t>
      </w:r>
    </w:p>
    <w:p>
      <w:pPr>
        <w:spacing w:after="0" w:line="162"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the Israeli Companies Law 5759-1999 as shall be in effect from time to time and any other law that shall be in effect from time to time with respect to companies and that shall apply to the Company.</w:t>
      </w:r>
    </w:p>
    <w:p>
      <w:pPr>
        <w:spacing w:after="0" w:line="162" w:lineRule="exact"/>
        <w:rPr>
          <w:sz w:val="20"/>
          <w:szCs w:val="20"/>
          <w:color w:val="auto"/>
        </w:rPr>
      </w:pPr>
    </w:p>
    <w:p>
      <w:pPr>
        <w:jc w:val="both"/>
        <w:ind w:left="120" w:right="1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Event</w:t>
      </w:r>
      <w:r>
        <w:rPr>
          <w:rFonts w:ascii="Arial" w:cs="Arial" w:eastAsia="Arial" w:hAnsi="Arial"/>
          <w:sz w:val="18"/>
          <w:szCs w:val="18"/>
          <w:color w:val="auto"/>
        </w:rPr>
        <w:t xml:space="preserve">” — shall be deemed to be occasioned by, or to include, (i) the liquidation, dissolution or winding up of the Company; (ii) the acquisition of the Company by means of any transaction or series of related transactions (including, without limitation, any reorganization, merger or consolidation),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applicable transaction shall not be deemed a liquidation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Company’s shareholders constituted immediately prior to such transaction hold less than 50% of the voting power of the surviving or acquiring entity; or (iii) a sale, lease, license or other transfer of all or substantially all of the assets of the Company.</w:t>
      </w:r>
    </w:p>
    <w:p>
      <w:pPr>
        <w:spacing w:after="0" w:line="188" w:lineRule="exact"/>
        <w:rPr>
          <w:sz w:val="20"/>
          <w:szCs w:val="20"/>
          <w:color w:val="auto"/>
        </w:rPr>
      </w:pPr>
    </w:p>
    <w:p>
      <w:pPr>
        <w:jc w:val="both"/>
        <w:ind w:left="120" w:right="11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Shareholder</w:t>
      </w:r>
      <w:r>
        <w:rPr>
          <w:rFonts w:ascii="Arial" w:cs="Arial" w:eastAsia="Arial" w:hAnsi="Arial"/>
          <w:sz w:val="18"/>
          <w:szCs w:val="18"/>
          <w:color w:val="auto"/>
        </w:rPr>
        <w:t>” means each (a) holder of Series A-1 Preferred and (b) holder of at least three percent (3%) of the Company’s share capital, assuming full exercise and/or conversion of all Company securities exercisable and/or convertible into Ordinary Shares.</w:t>
      </w:r>
    </w:p>
    <w:p>
      <w:pPr>
        <w:spacing w:after="0" w:line="176" w:lineRule="exact"/>
        <w:rPr>
          <w:sz w:val="20"/>
          <w:szCs w:val="20"/>
          <w:color w:val="auto"/>
        </w:rPr>
      </w:pPr>
    </w:p>
    <w:p>
      <w:pPr>
        <w:jc w:val="both"/>
        <w:ind w:left="120" w:right="11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Securities</w:t>
      </w:r>
      <w:r>
        <w:rPr>
          <w:rFonts w:ascii="Arial" w:cs="Arial" w:eastAsia="Arial" w:hAnsi="Arial"/>
          <w:sz w:val="16"/>
          <w:szCs w:val="16"/>
          <w:color w:val="auto"/>
        </w:rPr>
        <w:t xml:space="preserve">” means any equity interest in the Company, whether now or hereafter authorized, any rights, options or warrants to purchase such equity interests, and securities of any type or nature whatsoever that are convertible or exercisable (directly or indirectly) into equity interests, issued after the Original Purchase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“New Securities” does not include (i) securities issued pursuant to the Share Purchase Agreement dated July 18, 2011 (the “</w:t>
      </w:r>
      <w:r>
        <w:rPr>
          <w:rFonts w:ascii="Arial" w:cs="Arial" w:eastAsia="Arial" w:hAnsi="Arial"/>
          <w:sz w:val="16"/>
          <w:szCs w:val="16"/>
          <w:b w:val="1"/>
          <w:bCs w:val="1"/>
          <w:color w:val="auto"/>
        </w:rPr>
        <w:t>SPA</w:t>
      </w:r>
      <w:r>
        <w:rPr>
          <w:rFonts w:ascii="Arial" w:cs="Arial" w:eastAsia="Arial" w:hAnsi="Arial"/>
          <w:sz w:val="16"/>
          <w:szCs w:val="16"/>
          <w:color w:val="auto"/>
        </w:rPr>
        <w:t>”), (ii) securities issued upon conversion of the Series A-1 Preferred; (iii) securities issued to employees, consultants, officers, and directors of the Company in exchange for services pursuant to any arrangement approved by the Board of Directors; (iv) securities issued pursuant to the conversion of any convertible securities or the exercise of any shares or options to be issued to bona fide employees, directors or consultants of the Company or of the Company’s subsidiaries pursuant to the Company’s option plan or share incentive plan which shall be approved by the Board of Directors; (v) securities issued in connection with any share split, share dividend, or recapitalization by the Company; (vi) securities issued pursuant to the acquisition of another</w:t>
      </w:r>
    </w:p>
    <w:p>
      <w:pPr>
        <w:sectPr>
          <w:pgSz w:w="11900" w:h="16838" w:orient="portrait"/>
          <w:cols w:equalWidth="0" w:num="1">
            <w:col w:w="9019"/>
          </w:cols>
          <w:pgMar w:left="1440" w:top="139"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type w:val="continuous"/>
        </w:sectPr>
      </w:pPr>
    </w:p>
    <w:bookmarkStart w:id="164" w:name="page165"/>
    <w:bookmarkEnd w:id="164"/>
    <w:p>
      <w:pPr>
        <w:jc w:val="both"/>
        <w:ind w:left="120" w:right="119"/>
        <w:spacing w:after="0" w:line="291" w:lineRule="auto"/>
        <w:rPr>
          <w:sz w:val="20"/>
          <w:szCs w:val="20"/>
          <w:color w:val="auto"/>
        </w:rPr>
      </w:pPr>
      <w:r>
        <w:rPr>
          <w:rFonts w:ascii="Arial" w:cs="Arial" w:eastAsia="Arial" w:hAnsi="Arial"/>
          <w:sz w:val="16"/>
          <w:szCs w:val="16"/>
          <w:color w:val="auto"/>
        </w:rPr>
        <w:t>business entity by the Company by merger, purchase of substantially all of the assets or shares, or other reorganization whereby the Company will own not less than a majority of the voting power of the surviving or successor corporation;</w:t>
      </w:r>
    </w:p>
    <w:p>
      <w:pPr>
        <w:jc w:val="both"/>
        <w:ind w:left="120" w:right="119" w:firstLine="5"/>
        <w:spacing w:after="0" w:line="288" w:lineRule="auto"/>
        <w:tabs>
          <w:tab w:leader="none" w:pos="47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securities issued in connection with obtaining lease financing, whether issued to a lessor, guarantor, or other person, if such issuance is approved by the Board of Directors; (viii) securities issued to vendors or customers of the Company, or to other persons in similar commercial arrangements with the Company, if such issuance is approved by the Board of Directors; (ix) securities issued in connection with corporate partnering transactions to a third party entering into a material license, supply, manufacture or purchase agreement with the Company or to a strategic investor, if such issuance is approved by the Board of Directors; and (x) any right, option, or warrant to acquire any security convertible into the securities excluded from the definition of New Securities pursuant to clauses (i) through (x) above.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Purchase Date</w:t>
      </w:r>
      <w:r>
        <w:rPr>
          <w:rFonts w:ascii="Arial" w:cs="Arial" w:eastAsia="Arial" w:hAnsi="Arial"/>
          <w:sz w:val="18"/>
          <w:szCs w:val="18"/>
          <w:color w:val="auto"/>
        </w:rPr>
        <w:t>” means the date of the closing of the SPA.</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Preferred A-1 Purchase Price</w:t>
      </w:r>
      <w:r>
        <w:rPr>
          <w:rFonts w:ascii="Arial" w:cs="Arial" w:eastAsia="Arial" w:hAnsi="Arial"/>
          <w:sz w:val="18"/>
          <w:szCs w:val="18"/>
          <w:color w:val="auto"/>
        </w:rPr>
        <w:t>” means $US 83.0243 with respect to each Preferred A-1 Share.</w:t>
      </w:r>
    </w:p>
    <w:p>
      <w:pPr>
        <w:spacing w:after="0" w:line="212" w:lineRule="exact"/>
        <w:rPr>
          <w:sz w:val="20"/>
          <w:szCs w:val="20"/>
          <w:color w:val="auto"/>
        </w:rPr>
      </w:pPr>
    </w:p>
    <w:p>
      <w:pPr>
        <w:jc w:val="both"/>
        <w:ind w:left="120" w:right="11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means any transferee of a shareholder who is: (i) in the case of a shareholder who is a natural person, any parent, spouse or lineal descendant of such shareholder; or (ii) an Affiliate of such shareholder, or (iii) any beneficiary of a trust which is a shareholder, (iv) as to a shareholder which is a general or limited partnership, its partners or members, as the case may be; limited or general partnerships managed by the same management company or the same managing general partner; or limited or general partnerships managed by an Affiliate of the management company or the managing general partner of the general or limited partnership in question (e.g. managed by general partners which are under similar control as the general partner of such Major Shareholder), or (v) as to Fortissimo, also transferees that become transferees either (A) in a transfer which is part of a transfer of a significant portion of a portfolio of investments of Fortissimo, or (B) a transfer resulting from a regulatory constraint applicable to Fortissimo, (or any of its the Affiliates, if applicable), in each case unless such transfer is to a competitor of the Company as shall be resolved by the Board of Directors immediately prior to such transfer.</w:t>
      </w:r>
    </w:p>
    <w:p>
      <w:pPr>
        <w:spacing w:after="0" w:line="151" w:lineRule="exact"/>
        <w:rPr>
          <w:sz w:val="20"/>
          <w:szCs w:val="20"/>
          <w:color w:val="auto"/>
        </w:rPr>
      </w:pPr>
    </w:p>
    <w:p>
      <w:pPr>
        <w:jc w:val="both"/>
        <w:ind w:left="120" w:right="1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Rata Portion</w:t>
      </w:r>
      <w:r>
        <w:rPr>
          <w:rFonts w:ascii="Arial" w:cs="Arial" w:eastAsia="Arial" w:hAnsi="Arial"/>
          <w:sz w:val="17"/>
          <w:szCs w:val="17"/>
          <w:color w:val="auto"/>
        </w:rPr>
        <w:t>” means the ratio that (x) the sum of the number of Ordinary Shares held by a Major Shareholder immediately prior to the issuance of New Securities or sale of Ordinary Shares, as applicable, assuming full exercise and/or conversion of the Series A-1 Preferred and of all Company’s securities exercisable and/or convertible into the Ordinary Shares then held by such Major Shareholder, bears to (y) the sum of the total number of Ordinary Shares then outstanding held by all Major Shareholders, assuming full exercise and/or conversion of all Company securities exercisable and/or convertible into the Ordinary Shares then outstanding.</w:t>
      </w:r>
    </w:p>
    <w:p>
      <w:pPr>
        <w:spacing w:after="0" w:line="147" w:lineRule="exact"/>
        <w:rPr>
          <w:sz w:val="20"/>
          <w:szCs w:val="20"/>
          <w:color w:val="auto"/>
        </w:rPr>
      </w:pPr>
    </w:p>
    <w:p>
      <w:pPr>
        <w:jc w:val="both"/>
        <w:ind w:left="120" w:right="11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Investment</w:t>
      </w:r>
      <w:r>
        <w:rPr>
          <w:rFonts w:ascii="Arial" w:cs="Arial" w:eastAsia="Arial" w:hAnsi="Arial"/>
          <w:sz w:val="18"/>
          <w:szCs w:val="18"/>
          <w:color w:val="auto"/>
        </w:rPr>
        <w:t>” means consummation by the Company of a transaction or series of related transactions in which the Company issues securities of a preferred class or series, in consideration for an investment of which at least US$ 6,000,000 (Six Million United States Dollars) are provided by investors that are new investors (i.e. entities which are not then shareholders of the Company or their affiliates).</w:t>
      </w:r>
    </w:p>
    <w:p>
      <w:pPr>
        <w:spacing w:after="0" w:line="167"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IPO</w:t>
      </w:r>
      <w:r>
        <w:rPr>
          <w:rFonts w:ascii="Arial" w:cs="Arial" w:eastAsia="Arial" w:hAnsi="Arial"/>
          <w:sz w:val="18"/>
          <w:szCs w:val="18"/>
          <w:color w:val="auto"/>
        </w:rPr>
        <w:t>” means the consummation of an IPO that results in net cash proceeds to the Company of at least US$30,000,000.</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Office</w:t>
      </w:r>
      <w:r>
        <w:rPr>
          <w:rFonts w:ascii="Arial" w:cs="Arial" w:eastAsia="Arial" w:hAnsi="Arial"/>
          <w:sz w:val="18"/>
          <w:szCs w:val="18"/>
          <w:color w:val="auto"/>
        </w:rPr>
        <w:t>” means the registered office of the Company, as it shall be from time to time.</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these Articles</w:t>
      </w:r>
      <w:r>
        <w:rPr>
          <w:rFonts w:ascii="Arial" w:cs="Arial" w:eastAsia="Arial" w:hAnsi="Arial"/>
          <w:sz w:val="18"/>
          <w:szCs w:val="18"/>
          <w:color w:val="auto"/>
        </w:rPr>
        <w:t>” means the Articles of Association of the Company as shall be in force from time to time.</w:t>
      </w:r>
    </w:p>
    <w:p>
      <w:pPr>
        <w:spacing w:after="0" w:line="216" w:lineRule="exact"/>
        <w:rPr>
          <w:sz w:val="20"/>
          <w:szCs w:val="20"/>
          <w:color w:val="auto"/>
        </w:rPr>
      </w:pPr>
    </w:p>
    <w:p>
      <w:pPr>
        <w:jc w:val="both"/>
        <w:ind w:left="120" w:right="119"/>
        <w:spacing w:after="0" w:line="257" w:lineRule="auto"/>
        <w:rPr>
          <w:sz w:val="20"/>
          <w:szCs w:val="20"/>
          <w:color w:val="auto"/>
        </w:rPr>
      </w:pPr>
      <w:r>
        <w:rPr>
          <w:rFonts w:ascii="Arial" w:cs="Arial" w:eastAsia="Arial" w:hAnsi="Arial"/>
          <w:sz w:val="18"/>
          <w:szCs w:val="18"/>
          <w:color w:val="auto"/>
        </w:rPr>
        <w:t>In these Articles, subject to this Article and unless the context otherwise requires, expressions defined in the Law, or any modification thereof in force at the date at which these Articles become binding on the Company, shall have the meanings so defined; and words importing the singular shall include the plural, and vice versa, and words importing the masculine gender shall include the female, and words importing persons shall include bodies corporate. The titles of the Articles are not part of the Articles.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PRIVATE COMPANY</w:t>
      </w:r>
    </w:p>
    <w:p>
      <w:pPr>
        <w:spacing w:after="0" w:line="206" w:lineRule="exact"/>
        <w:rPr>
          <w:sz w:val="20"/>
          <w:szCs w:val="20"/>
          <w:color w:val="auto"/>
        </w:rPr>
      </w:pPr>
    </w:p>
    <w:p>
      <w:pPr>
        <w:ind w:left="400" w:hanging="275"/>
        <w:spacing w:after="0"/>
        <w:tabs>
          <w:tab w:leader="none" w:pos="4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is a Private Company as defined under the Law, and is subject to the following provisions:</w:t>
      </w:r>
    </w:p>
    <w:p>
      <w:pPr>
        <w:spacing w:after="0" w:line="211" w:lineRule="exact"/>
        <w:rPr>
          <w:rFonts w:ascii="Arial" w:cs="Arial" w:eastAsia="Arial" w:hAnsi="Arial"/>
          <w:sz w:val="18"/>
          <w:szCs w:val="18"/>
          <w:color w:val="auto"/>
        </w:rPr>
      </w:pPr>
    </w:p>
    <w:p>
      <w:pPr>
        <w:ind w:left="760" w:hanging="329"/>
        <w:spacing w:after="0"/>
        <w:tabs>
          <w:tab w:leader="none" w:pos="7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right to transfer the shares of the Company shall be restricted in as set forth herein;</w:t>
      </w:r>
    </w:p>
    <w:p>
      <w:pPr>
        <w:spacing w:after="0" w:line="211" w:lineRule="exact"/>
        <w:rPr>
          <w:rFonts w:ascii="Arial" w:cs="Arial" w:eastAsia="Arial" w:hAnsi="Arial"/>
          <w:sz w:val="18"/>
          <w:szCs w:val="18"/>
          <w:color w:val="auto"/>
        </w:rPr>
      </w:pPr>
    </w:p>
    <w:p>
      <w:pPr>
        <w:jc w:val="both"/>
        <w:ind w:left="800" w:right="119" w:hanging="369"/>
        <w:spacing w:after="0" w:line="259" w:lineRule="auto"/>
        <w:tabs>
          <w:tab w:leader="none" w:pos="84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number of the shareholders of the Company (not including persons who are in the employment of the Company, and persons who, having been formerly in the employment of the Company were while in that employment and have continued after the termination of that employment to be members of the Company) shall be limited to fifty, provided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5" w:name="page166"/>
    <w:bookmarkEnd w:id="165"/>
    <w:p>
      <w:pPr>
        <w:ind w:left="800" w:right="119"/>
        <w:spacing w:after="0" w:line="277" w:lineRule="auto"/>
        <w:rPr>
          <w:sz w:val="20"/>
          <w:szCs w:val="20"/>
          <w:color w:val="auto"/>
        </w:rPr>
      </w:pPr>
      <w:r>
        <w:rPr>
          <w:rFonts w:ascii="Arial" w:cs="Arial" w:eastAsia="Arial" w:hAnsi="Arial"/>
          <w:sz w:val="18"/>
          <w:szCs w:val="18"/>
          <w:color w:val="auto"/>
        </w:rPr>
        <w:t>that, for the purposes of this provision, where two or more persons hold one or more shares in the Company jointly they shall be treated as a single member;</w:t>
      </w:r>
    </w:p>
    <w:p>
      <w:pPr>
        <w:spacing w:after="0" w:line="130" w:lineRule="exact"/>
        <w:rPr>
          <w:sz w:val="20"/>
          <w:szCs w:val="20"/>
          <w:color w:val="auto"/>
        </w:rPr>
      </w:pPr>
    </w:p>
    <w:p>
      <w:pPr>
        <w:ind w:left="800" w:right="759" w:hanging="369"/>
        <w:spacing w:after="0" w:line="277" w:lineRule="auto"/>
        <w:tabs>
          <w:tab w:leader="none" w:pos="7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offering shall be made to the public to subscribe for any shares, debentures, or other securities of the Company.</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LIMITED LIABILITY</w:t>
      </w:r>
    </w:p>
    <w:p>
      <w:pPr>
        <w:spacing w:after="0" w:line="189" w:lineRule="exact"/>
        <w:rPr>
          <w:sz w:val="20"/>
          <w:szCs w:val="20"/>
          <w:color w:val="auto"/>
        </w:rPr>
      </w:pPr>
    </w:p>
    <w:p>
      <w:pPr>
        <w:ind w:left="440" w:right="119" w:hanging="315"/>
        <w:spacing w:after="0" w:line="277" w:lineRule="auto"/>
        <w:tabs>
          <w:tab w:leader="none" w:pos="4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shareholders liability for the Company’s obligations is limited to the payment of the nominal value of the Company’s shares, other than for bonus shares issued pursuant to Section 304 of the Law.</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PURPOSE OF THE COMPANY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  The Company shall engage in any legal occupation and/or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OFFICE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The registered office of the Company shall be at such place, as the directors shall from time to time appoint.</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THE CAPITAL</w:t>
      </w:r>
    </w:p>
    <w:p>
      <w:pPr>
        <w:spacing w:after="0" w:line="189" w:lineRule="exact"/>
        <w:rPr>
          <w:sz w:val="20"/>
          <w:szCs w:val="20"/>
          <w:color w:val="auto"/>
        </w:rPr>
      </w:pPr>
    </w:p>
    <w:p>
      <w:pPr>
        <w:jc w:val="both"/>
        <w:ind w:left="440" w:right="119" w:hanging="315"/>
        <w:spacing w:after="0" w:line="286" w:lineRule="auto"/>
        <w:tabs>
          <w:tab w:leader="none" w:pos="44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capital of the Company is comprised of NIS 59,475 divided into 402,028 Ordinary Shares, nominal value NIS 0.10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and 192,722 Preferred Shares, nominal value NIS 0.10 per share, all of which shall be Series A-1 Preferred Shares (the “</w:t>
      </w:r>
      <w:r>
        <w:rPr>
          <w:rFonts w:ascii="Arial" w:cs="Arial" w:eastAsia="Arial" w:hAnsi="Arial"/>
          <w:sz w:val="17"/>
          <w:szCs w:val="17"/>
          <w:b w:val="1"/>
          <w:bCs w:val="1"/>
          <w:color w:val="auto"/>
        </w:rPr>
        <w:t>Series A-1 Preferred</w:t>
      </w:r>
      <w:r>
        <w:rPr>
          <w:rFonts w:ascii="Arial" w:cs="Arial" w:eastAsia="Arial" w:hAnsi="Arial"/>
          <w:sz w:val="17"/>
          <w:szCs w:val="17"/>
          <w:color w:val="auto"/>
        </w:rPr>
        <w:t>” or “</w:t>
      </w:r>
      <w:r>
        <w:rPr>
          <w:rFonts w:ascii="Arial" w:cs="Arial" w:eastAsia="Arial" w:hAnsi="Arial"/>
          <w:sz w:val="17"/>
          <w:szCs w:val="17"/>
          <w:b w:val="1"/>
          <w:bCs w:val="1"/>
          <w:color w:val="auto"/>
        </w:rPr>
        <w:t>Preferred Shares</w:t>
      </w:r>
      <w:r>
        <w:rPr>
          <w:rFonts w:ascii="Arial" w:cs="Arial" w:eastAsia="Arial" w:hAnsi="Arial"/>
          <w:sz w:val="17"/>
          <w:szCs w:val="17"/>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THE PREFERRED SHARES</w:t>
      </w:r>
    </w:p>
    <w:p>
      <w:pPr>
        <w:spacing w:after="0" w:line="202" w:lineRule="exact"/>
        <w:rPr>
          <w:sz w:val="20"/>
          <w:szCs w:val="20"/>
          <w:color w:val="auto"/>
        </w:rPr>
      </w:pPr>
    </w:p>
    <w:p>
      <w:pPr>
        <w:ind w:left="400" w:hanging="275"/>
        <w:spacing w:after="0"/>
        <w:tabs>
          <w:tab w:leader="none" w:pos="4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terms and provisions of the Series A-1 Preferred are as follows:</w:t>
      </w:r>
    </w:p>
    <w:p>
      <w:pPr>
        <w:spacing w:after="0" w:line="184" w:lineRule="exact"/>
        <w:rPr>
          <w:rFonts w:ascii="Arial" w:cs="Arial" w:eastAsia="Arial" w:hAnsi="Arial"/>
          <w:sz w:val="18"/>
          <w:szCs w:val="18"/>
          <w:color w:val="auto"/>
        </w:rPr>
      </w:pPr>
    </w:p>
    <w:p>
      <w:pPr>
        <w:ind w:left="760" w:hanging="329"/>
        <w:spacing w:after="0"/>
        <w:tabs>
          <w:tab w:leader="none" w:pos="76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85"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8"/>
          <w:szCs w:val="18"/>
          <w:u w:val="single" w:color="auto"/>
          <w:color w:val="auto"/>
        </w:rPr>
        <w:t>Treatment of Preferred</w:t>
      </w:r>
      <w:r>
        <w:rPr>
          <w:rFonts w:ascii="Arial" w:cs="Arial" w:eastAsia="Arial" w:hAnsi="Arial"/>
          <w:sz w:val="18"/>
          <w:szCs w:val="18"/>
          <w:color w:val="auto"/>
        </w:rPr>
        <w:t xml:space="preserve">. The Series A-1 Preferred shall be entitled to receive, as if it had been converted into Ordinary Shares at the then applicable conversion rate, any dividend declared by the Board of Directors with respect to the Ordinary Shares;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 dividend made in connection with a Liquidation Event shall be made pursuant to Article 7(b). The Board of Directors is under no obligation to declare dividends, no rights shall accrue to the holders of Series A-1 Preferred if dividends are not declared, and any dividends declared shall be noncumulative. The Company shall make no Distribution (as defined below) to the holders of Ordinary Shares except in accordance with this Article 7(a).</w:t>
      </w:r>
    </w:p>
    <w:p>
      <w:pPr>
        <w:spacing w:after="0" w:line="158" w:lineRule="exact"/>
        <w:rPr>
          <w:sz w:val="20"/>
          <w:szCs w:val="20"/>
          <w:color w:val="auto"/>
        </w:rPr>
      </w:pPr>
    </w:p>
    <w:p>
      <w:pPr>
        <w:jc w:val="both"/>
        <w:ind w:left="120" w:right="11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means the transfer of cash or property without consideration, whether by way of dividend or otherwise, or the purchase of securities of the Company (other than in connection with the repurchase of Ordinary Shares issued to or held by employees, consultants, officers and directors at a price not greater than the amount paid by such persons for such Ordinary Shares upon termination of their employment or services pursuant to agreements providing for the right of said repurchase) for cash or property.</w:t>
      </w:r>
    </w:p>
    <w:p>
      <w:pPr>
        <w:spacing w:after="0" w:line="147" w:lineRule="exact"/>
        <w:rPr>
          <w:sz w:val="20"/>
          <w:szCs w:val="20"/>
          <w:color w:val="auto"/>
        </w:rPr>
      </w:pPr>
    </w:p>
    <w:p>
      <w:pPr>
        <w:ind w:left="780" w:hanging="349"/>
        <w:spacing w:after="0"/>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160" w:right="119" w:hanging="369"/>
        <w:spacing w:after="0" w:line="270" w:lineRule="auto"/>
        <w:tabs>
          <w:tab w:leader="none" w:pos="1132"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In the event of any Liquidation Event, either voluntary or involuntary, the holders of Series A-1 Preferred shall be entitled to receive, out of the assets of the Company, prior to and in preference to the holders of the Company’s Ordinary Shares, the Liquidation Preference. “</w:t>
      </w:r>
      <w:r>
        <w:rPr>
          <w:rFonts w:ascii="Arial" w:cs="Arial" w:eastAsia="Arial" w:hAnsi="Arial"/>
          <w:sz w:val="17"/>
          <w:szCs w:val="17"/>
          <w:b w:val="1"/>
          <w:bCs w:val="1"/>
          <w:u w:val="single" w:color="auto"/>
          <w:color w:val="auto"/>
        </w:rPr>
        <w:t>Liquidation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Preference</w:t>
      </w:r>
      <w:r>
        <w:rPr>
          <w:rFonts w:ascii="Arial" w:cs="Arial" w:eastAsia="Arial" w:hAnsi="Arial"/>
          <w:sz w:val="17"/>
          <w:szCs w:val="17"/>
          <w:color w:val="auto"/>
        </w:rPr>
        <w:t>” shall mean, with respect to each share of Series A-1 Preferred, the Original Preferred A-1</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Price (as adjusted for share splits, combinations, reorganizations and the like) plus declared and unpaid dividends on such shares. If upon the Liquidation Event, the assets to be distributed among the holders of the Series A-1 Preferred are insufficient to permit the payment to such holders of the full Liquidation Preference for their shares, then the entire assets of the Company legally available for distribution shall be distributed pro rata among the holders of the Series A-1 Preferred, prior to and in preference to the holders of any other shares of the Company.</w:t>
      </w:r>
    </w:p>
    <w:p>
      <w:pPr>
        <w:spacing w:after="0" w:line="150" w:lineRule="exact"/>
        <w:rPr>
          <w:rFonts w:ascii="Arial" w:cs="Arial" w:eastAsia="Arial" w:hAnsi="Arial"/>
          <w:sz w:val="17"/>
          <w:szCs w:val="17"/>
          <w:color w:val="auto"/>
        </w:rPr>
      </w:pPr>
    </w:p>
    <w:p>
      <w:pPr>
        <w:jc w:val="both"/>
        <w:ind w:left="1160" w:right="119" w:hanging="369"/>
        <w:spacing w:after="0" w:line="297" w:lineRule="auto"/>
        <w:tabs>
          <w:tab w:leader="none" w:pos="1290"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Remaining Assets</w:t>
      </w:r>
      <w:r>
        <w:rPr>
          <w:rFonts w:ascii="Arial" w:cs="Arial" w:eastAsia="Arial" w:hAnsi="Arial"/>
          <w:sz w:val="16"/>
          <w:szCs w:val="16"/>
          <w:color w:val="auto"/>
        </w:rPr>
        <w:t>. After the payment to the holders of Series A-1 Preferred of the full Liquidation Preference, the holders of Ordinary Shares shall be entitled to receive, out of the assets of the Company, prior to and in preference to holders of any other shares of the Company, any remaining assets of the Company which shall be distributed pro-rata among the holders of the Company’s Ordinary Shares, and the holders of the Series A-1 Preferred shall not be entitled to any additional remaining assets.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6" w:name="page167"/>
    <w:bookmarkEnd w:id="166"/>
    <w:p>
      <w:pPr>
        <w:jc w:val="both"/>
        <w:ind w:left="1160" w:right="119" w:hanging="369"/>
        <w:spacing w:after="0" w:line="253" w:lineRule="auto"/>
        <w:tabs>
          <w:tab w:leader="none" w:pos="1227"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Distribution of Assets upon Exit Event</w:t>
      </w:r>
      <w:r>
        <w:rPr>
          <w:rFonts w:ascii="Arial" w:cs="Arial" w:eastAsia="Arial" w:hAnsi="Arial"/>
          <w:sz w:val="18"/>
          <w:szCs w:val="18"/>
          <w:color w:val="auto"/>
        </w:rPr>
        <w:t>. Notwithstanding the aforesaid in sub-Articles 7(b)(i) and 7(b) (ii), in the event of a Liquidation Event in which there are sufficient funds to provide the holders of Series A-1 Preferred, upon a pro rata distribution to all shareholders of the Company without taking into account the Liquidation Preference of the Series A-1 Preferred, an amount in excess of the Liquidation Preference (an “</w:t>
      </w:r>
      <w:r>
        <w:rPr>
          <w:rFonts w:ascii="Arial" w:cs="Arial" w:eastAsia="Arial" w:hAnsi="Arial"/>
          <w:sz w:val="18"/>
          <w:szCs w:val="18"/>
          <w:b w:val="1"/>
          <w:bCs w:val="1"/>
          <w:color w:val="auto"/>
        </w:rPr>
        <w:t>Exit Event</w:t>
      </w:r>
      <w:r>
        <w:rPr>
          <w:rFonts w:ascii="Arial" w:cs="Arial" w:eastAsia="Arial" w:hAnsi="Arial"/>
          <w:sz w:val="18"/>
          <w:szCs w:val="18"/>
          <w:color w:val="auto"/>
        </w:rPr>
        <w:t>”), the entire assets of the Company legally available for distribution upon such Exit Event shall be distributed with equal priority and pro rata among the holders of the Company’s Ordinary Shares and the Series A-1 Preferred, treating in such circumstances the Series A-1 Preferred as if it had been converted into Ordinary Shares at the then applicable conversion rate and Articles 7(b)(i) and 7(b) (ii) shall not apply.</w:t>
      </w:r>
    </w:p>
    <w:p>
      <w:pPr>
        <w:spacing w:after="0" w:line="197" w:lineRule="exact"/>
        <w:rPr>
          <w:rFonts w:ascii="Arial" w:cs="Arial" w:eastAsia="Arial" w:hAnsi="Arial"/>
          <w:sz w:val="18"/>
          <w:szCs w:val="18"/>
          <w:color w:val="auto"/>
        </w:rPr>
      </w:pPr>
    </w:p>
    <w:p>
      <w:pPr>
        <w:ind w:left="760" w:hanging="329"/>
        <w:spacing w:after="0"/>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Series A-1 Preferred shall have conversion rights as follows:</w:t>
      </w:r>
    </w:p>
    <w:p>
      <w:pPr>
        <w:spacing w:after="0" w:line="225" w:lineRule="exact"/>
        <w:rPr>
          <w:rFonts w:ascii="Arial" w:cs="Arial" w:eastAsia="Arial" w:hAnsi="Arial"/>
          <w:sz w:val="18"/>
          <w:szCs w:val="18"/>
          <w:color w:val="auto"/>
        </w:rPr>
      </w:pPr>
    </w:p>
    <w:p>
      <w:pPr>
        <w:jc w:val="both"/>
        <w:ind w:left="1160" w:right="119" w:hanging="369"/>
        <w:spacing w:after="0" w:line="255" w:lineRule="auto"/>
        <w:tabs>
          <w:tab w:leader="none" w:pos="1213"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Right to Convert</w:t>
      </w:r>
      <w:r>
        <w:rPr>
          <w:rFonts w:ascii="Arial" w:cs="Arial" w:eastAsia="Arial" w:hAnsi="Arial"/>
          <w:sz w:val="18"/>
          <w:szCs w:val="18"/>
          <w:color w:val="auto"/>
        </w:rPr>
        <w:t>. Each share of Series A-1 Preferred shall be convertible, at the option of the holder thereof, at any time after the date of issuance of such share at the office of the Company or any transfer agent for the Series A-1 Preferred. Each share of Series A-1 Preferred shall be convertible into that number of fully-paid and nonassessable Ordinary Shares that is equal to the Original Preferred A-1 Purchase Price divided by the Series A-1 Conversion Price (as hereinafter defined). The “</w:t>
      </w:r>
      <w:r>
        <w:rPr>
          <w:rFonts w:ascii="Arial" w:cs="Arial" w:eastAsia="Arial" w:hAnsi="Arial"/>
          <w:sz w:val="18"/>
          <w:szCs w:val="18"/>
          <w:b w:val="1"/>
          <w:bCs w:val="1"/>
          <w:color w:val="auto"/>
        </w:rPr>
        <w:t>Series A-1</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Price</w:t>
      </w:r>
      <w:r>
        <w:rPr>
          <w:rFonts w:ascii="Arial" w:cs="Arial" w:eastAsia="Arial" w:hAnsi="Arial"/>
          <w:sz w:val="18"/>
          <w:szCs w:val="18"/>
          <w:color w:val="auto"/>
        </w:rPr>
        <w:t>” shall initially be the Original Preferred A-1 Purchase Price, and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as provided herein.</w:t>
      </w:r>
    </w:p>
    <w:p>
      <w:pPr>
        <w:spacing w:after="0" w:line="189" w:lineRule="exact"/>
        <w:rPr>
          <w:sz w:val="20"/>
          <w:szCs w:val="20"/>
          <w:color w:val="auto"/>
        </w:rPr>
      </w:pPr>
    </w:p>
    <w:p>
      <w:pPr>
        <w:jc w:val="both"/>
        <w:ind w:left="1160" w:right="119" w:hanging="369"/>
        <w:spacing w:after="0" w:line="259" w:lineRule="auto"/>
        <w:tabs>
          <w:tab w:leader="none" w:pos="1174"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 Each share of Series A-1 Preferred shall automatically be converted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86" w:lineRule="exact"/>
        <w:rPr>
          <w:rFonts w:ascii="Arial" w:cs="Arial" w:eastAsia="Arial" w:hAnsi="Arial"/>
          <w:sz w:val="18"/>
          <w:szCs w:val="18"/>
          <w:color w:val="auto"/>
        </w:rPr>
      </w:pPr>
    </w:p>
    <w:p>
      <w:pPr>
        <w:jc w:val="both"/>
        <w:ind w:left="1160" w:right="119" w:hanging="369"/>
        <w:spacing w:after="0" w:line="286" w:lineRule="auto"/>
        <w:tabs>
          <w:tab w:leader="none" w:pos="120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xml:space="preserve">. No fractional Ordinary Shares shall be issued upon conversion of Series A-1 Preferred. In lieu of any fractional shares to which the holder would otherwise be entitled, the Company shall pay the fair market value cash equivalent of such fractional share as determined by the Board of Directors. For such purpose, all shares of Series A-1 Preferred held by each holder shall be aggregated, and any resulting fractional share of Ordinary Shares shall be paid in cash. Before any holder of Series A-1 Preferred shall be entitled to convert the same into full Ordinary Shares, and to receive certificates therefor, it shall surrender the Series A-1 Preferred certificate or certificates, duly endorsed, at the office of the Company or of any transfer agent for the Series A-1 Preferred, and shall give written notice to the Company at such office that such holder elects to convert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an automatic conversion pursuant to Article 7(c)(ii) above, the outstanding shares of Series A-1 Preferred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issue certificates evidencing the Ordinary Shares issuable upon such automatic conversion unless either the certificates evidencing such shares of Series A-1 Preferred are delivered to the Company or its transfer agent as provided above.</w:t>
      </w:r>
    </w:p>
    <w:p>
      <w:pPr>
        <w:spacing w:after="0" w:line="169" w:lineRule="exact"/>
        <w:rPr>
          <w:sz w:val="20"/>
          <w:szCs w:val="20"/>
          <w:color w:val="auto"/>
        </w:rPr>
      </w:pPr>
    </w:p>
    <w:p>
      <w:pPr>
        <w:jc w:val="both"/>
        <w:ind w:left="1160" w:right="119" w:hanging="17"/>
        <w:spacing w:after="0" w:line="268" w:lineRule="auto"/>
        <w:rPr>
          <w:sz w:val="20"/>
          <w:szCs w:val="20"/>
          <w:color w:val="auto"/>
        </w:rPr>
      </w:pPr>
      <w:r>
        <w:rPr>
          <w:rFonts w:ascii="Arial" w:cs="Arial" w:eastAsia="Arial" w:hAnsi="Arial"/>
          <w:sz w:val="17"/>
          <w:szCs w:val="17"/>
          <w:color w:val="auto"/>
        </w:rPr>
        <w:t xml:space="preserve">The Company shall, as soon as practicable after delivery of the Series A-1 Preferred certificates, issue and deliver at such office to such holder of Series A-1 Preferred, a certificate or certificates for the number of Ordinary Shares to which it shall be entitled and a check payable to the holder in the amount of any cash amounts payable as the result of a conversion into fractional Ordinary Shares, plus any declared or accumulated but unpaid dividends on the converted Series A-1 Preferred. Such conversion shall be deemed to have been made immediately prior to the close of business on the date of such surrender of the shares of Series A-1 Preferred to be converted, and the person or persons entitled to receive the Ordinary Shares issuable upon such conversion shall be treated for all purposes as the record holder or holders of such Ordinary Shares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conversion is in connection with a Qualified IPO, the conversion may, at the option of any holder tendering Series A-1 Preferred for conversion, be conditioned upon the closing of the sale of securities pursuant to such offering, in which event the person(s) entitled to receive the Ordinary Shares issuable upon such conversion of the Series A-1 Preferred shall not be deemed to have converted such Series A Preferred until immediately prior to the closing of the sale of such securities.</w:t>
      </w:r>
    </w:p>
    <w:p>
      <w:pPr>
        <w:spacing w:after="0" w:line="185" w:lineRule="exact"/>
        <w:rPr>
          <w:sz w:val="20"/>
          <w:szCs w:val="20"/>
          <w:color w:val="auto"/>
        </w:rPr>
      </w:pPr>
    </w:p>
    <w:p>
      <w:pPr>
        <w:ind w:left="1180" w:hanging="389"/>
        <w:spacing w:after="0"/>
        <w:tabs>
          <w:tab w:leader="none" w:pos="11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Adjustments to Conversion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520" w:right="119" w:hanging="369"/>
        <w:spacing w:after="0" w:line="264" w:lineRule="auto"/>
        <w:tabs>
          <w:tab w:leader="none" w:pos="1527"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Adjustments for Subdivisions or Combinations of Ordinary Shares</w:t>
      </w:r>
      <w:r>
        <w:rPr>
          <w:rFonts w:ascii="Arial" w:cs="Arial" w:eastAsia="Arial" w:hAnsi="Arial"/>
          <w:sz w:val="18"/>
          <w:szCs w:val="18"/>
          <w:color w:val="auto"/>
        </w:rPr>
        <w:t>. At any time after the Original Purchase Date, if the outstanding Ordinary Shares shall be subdivided (by share split, share dividend or</w:t>
      </w:r>
    </w:p>
    <w:p>
      <w:pPr>
        <w:sectPr>
          <w:pgSz w:w="11900" w:h="16838" w:orient="portrait"/>
          <w:cols w:equalWidth="0" w:num="1">
            <w:col w:w="9019"/>
          </w:cols>
          <w:pgMar w:left="1440" w:top="125"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7" w:name="page168"/>
    <w:bookmarkEnd w:id="167"/>
    <w:p>
      <w:pPr>
        <w:jc w:val="both"/>
        <w:ind w:left="1520" w:right="119"/>
        <w:spacing w:after="0" w:line="273" w:lineRule="auto"/>
        <w:rPr>
          <w:sz w:val="20"/>
          <w:szCs w:val="20"/>
          <w:color w:val="auto"/>
        </w:rPr>
      </w:pPr>
      <w:r>
        <w:rPr>
          <w:rFonts w:ascii="Arial" w:cs="Arial" w:eastAsia="Arial" w:hAnsi="Arial"/>
          <w:sz w:val="17"/>
          <w:szCs w:val="17"/>
          <w:color w:val="auto"/>
        </w:rPr>
        <w:t>otherwise), into a greater number of Ordinary Shares, the Series A-1 Conversion Price in effect immediately prior to such subdivision shall, concurrently with the effectiveness of such subdivision, be proportionately decreased. After the Original Purchase Date, if the outstanding Ordinary Shares shall be combined (by reclassification or otherwise) into a lesser number of Ordinary Shares, the Series A-1 Conversion Price in effect immediately prior to such combination shall, concurrently with the effectiveness of such combination, be proportionately increased.</w:t>
      </w:r>
    </w:p>
    <w:p>
      <w:pPr>
        <w:spacing w:after="0" w:line="138" w:lineRule="exact"/>
        <w:rPr>
          <w:sz w:val="20"/>
          <w:szCs w:val="20"/>
          <w:color w:val="auto"/>
        </w:rPr>
      </w:pPr>
    </w:p>
    <w:p>
      <w:pPr>
        <w:jc w:val="both"/>
        <w:ind w:left="1520" w:right="119" w:hanging="369"/>
        <w:spacing w:after="0" w:line="288" w:lineRule="auto"/>
        <w:tabs>
          <w:tab w:leader="none" w:pos="1541" w:val="left"/>
        </w:tabs>
        <w:numPr>
          <w:ilvl w:val="2"/>
          <w:numId w:val="147"/>
        </w:numPr>
        <w:rPr>
          <w:rFonts w:ascii="Arial" w:cs="Arial" w:eastAsia="Arial" w:hAnsi="Arial"/>
          <w:sz w:val="16"/>
          <w:szCs w:val="16"/>
          <w:color w:val="auto"/>
        </w:rPr>
      </w:pPr>
      <w:r>
        <w:rPr>
          <w:rFonts w:ascii="Arial" w:cs="Arial" w:eastAsia="Arial" w:hAnsi="Arial"/>
          <w:sz w:val="16"/>
          <w:szCs w:val="16"/>
          <w:u w:val="single" w:color="auto"/>
          <w:color w:val="auto"/>
        </w:rPr>
        <w:t>Adjustments for Reclassification, Exchange and Substitution</w:t>
      </w:r>
      <w:r>
        <w:rPr>
          <w:rFonts w:ascii="Arial" w:cs="Arial" w:eastAsia="Arial" w:hAnsi="Arial"/>
          <w:sz w:val="16"/>
          <w:szCs w:val="16"/>
          <w:color w:val="auto"/>
        </w:rPr>
        <w:t>. After the Original Purchase Date, if the Ordinary Shares issuable upon conversion of the Series A-1 Preferred shall be changed into the same or a different number of shares of any other class or classes of share capital, whether by capital reorganization, reclassification or otherwise (other than a subdivision or combination of shares provided for above), the Series A-1 Conversion Price then in effect shall, concurrently with the effectiveness of such reorganization or reclassification, be proportionately adjusted such that the Series A-1 Preferred shall be convertible into, in lieu of the number of Ordinary Shares which the holders would otherwise have been entitled to receive, a number of shares of such other class or classes of share capital equivalent to the number of Ordinary Shares that would have been subject to receipt by the holders upon conversion of the Series A-1 Preferred immediately before that change.</w:t>
      </w:r>
    </w:p>
    <w:p>
      <w:pPr>
        <w:spacing w:after="0" w:line="142" w:lineRule="exact"/>
        <w:rPr>
          <w:rFonts w:ascii="Arial" w:cs="Arial" w:eastAsia="Arial" w:hAnsi="Arial"/>
          <w:sz w:val="16"/>
          <w:szCs w:val="16"/>
          <w:color w:val="auto"/>
        </w:rPr>
      </w:pPr>
    </w:p>
    <w:p>
      <w:pPr>
        <w:jc w:val="both"/>
        <w:ind w:left="1160" w:right="119" w:hanging="369"/>
        <w:spacing w:after="0" w:line="273" w:lineRule="auto"/>
        <w:tabs>
          <w:tab w:leader="none" w:pos="1154"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No Impairment</w:t>
      </w:r>
      <w:r>
        <w:rPr>
          <w:rFonts w:ascii="Arial" w:cs="Arial" w:eastAsia="Arial" w:hAnsi="Arial"/>
          <w:sz w:val="17"/>
          <w:szCs w:val="17"/>
          <w:color w:val="auto"/>
        </w:rPr>
        <w:t>. The Company will not, by amendment of these Articles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carrying out of all the provisions of this Article 7 and in the taking of all such action as may be necessary or appropriate in order to protect the conversion rights of the holders of the Series A-1 Preferred against impairment.</w:t>
      </w:r>
    </w:p>
    <w:p>
      <w:pPr>
        <w:spacing w:after="0" w:line="137" w:lineRule="exact"/>
        <w:rPr>
          <w:rFonts w:ascii="Arial" w:cs="Arial" w:eastAsia="Arial" w:hAnsi="Arial"/>
          <w:sz w:val="17"/>
          <w:szCs w:val="17"/>
          <w:color w:val="auto"/>
        </w:rPr>
      </w:pPr>
    </w:p>
    <w:p>
      <w:pPr>
        <w:jc w:val="both"/>
        <w:ind w:left="1160" w:right="119" w:hanging="369"/>
        <w:spacing w:after="0" w:line="253" w:lineRule="auto"/>
        <w:tabs>
          <w:tab w:leader="none" w:pos="119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Certificate of Adjustments</w:t>
      </w:r>
      <w:r>
        <w:rPr>
          <w:rFonts w:ascii="Arial" w:cs="Arial" w:eastAsia="Arial" w:hAnsi="Arial"/>
          <w:sz w:val="18"/>
          <w:szCs w:val="18"/>
          <w:color w:val="auto"/>
        </w:rPr>
        <w:t>. Upon the occurrence of each adjustment of the Series A-1 Conversion Price pursuant to this Article 7, the Company at its expense shall promptly compute such adjustment and furnish to each holder of Series A-1 Preferred a certificate setting forth such adjustment and showing in detail the facts upon which such adjustment is based. The Company shall, upon the written request at any time of any holder of Series A-1 Preferred, furnish to such holder a like certificate setting forth (i) any and all adjustments made to the Series A-1 Preferred since the date of the first issuance of Series A-1 Preferred, (ii) the Series A-1 Conversion Price at the time in effect, and (iii) the number of Ordinary Shares and the amount, if any, of other property which at the time would be received upon the conversion of Series A-1 Preferred.</w:t>
      </w:r>
    </w:p>
    <w:p>
      <w:pPr>
        <w:spacing w:after="0" w:line="156" w:lineRule="exact"/>
        <w:rPr>
          <w:rFonts w:ascii="Arial" w:cs="Arial" w:eastAsia="Arial" w:hAnsi="Arial"/>
          <w:sz w:val="18"/>
          <w:szCs w:val="18"/>
          <w:color w:val="auto"/>
        </w:rPr>
      </w:pPr>
    </w:p>
    <w:p>
      <w:pPr>
        <w:jc w:val="both"/>
        <w:ind w:left="1160" w:right="119" w:hanging="369"/>
        <w:spacing w:after="0" w:line="271" w:lineRule="auto"/>
        <w:tabs>
          <w:tab w:leader="none" w:pos="1222"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Notices of Record Date</w:t>
      </w:r>
      <w:r>
        <w:rPr>
          <w:rFonts w:ascii="Arial" w:cs="Arial" w:eastAsia="Arial" w:hAnsi="Arial"/>
          <w:sz w:val="17"/>
          <w:szCs w:val="17"/>
          <w:color w:val="auto"/>
        </w:rPr>
        <w:t>. In the event that the Company shall propose at any time (A) to declare any dividend or Distribution; (B) to offer for subscription to the holders of any class or series of its shares any additional share capital or other rights; (C) to effect any reclassification or recapitalization; or (D) to effect a Liquidation Event; then, in connection with each such event, the Company shall send to the holders of the Series A-1 Preferred at least twenty (20) days’ prior written notice of the date on which a record shall be taken for such dividend, Distribution or subscription rights (and specifying the date on which the holders of shares shall be entitled thereto) or for determining rights to vote in respect of the matters referred to in clauses (C) and (D) above.</w:t>
      </w:r>
    </w:p>
    <w:p>
      <w:pPr>
        <w:spacing w:after="0" w:line="151" w:lineRule="exact"/>
        <w:rPr>
          <w:rFonts w:ascii="Arial" w:cs="Arial" w:eastAsia="Arial" w:hAnsi="Arial"/>
          <w:sz w:val="17"/>
          <w:szCs w:val="17"/>
          <w:color w:val="auto"/>
        </w:rPr>
      </w:pPr>
    </w:p>
    <w:p>
      <w:pPr>
        <w:jc w:val="both"/>
        <w:ind w:left="1160" w:right="119" w:hanging="369"/>
        <w:spacing w:after="0" w:line="290" w:lineRule="auto"/>
        <w:tabs>
          <w:tab w:leader="none" w:pos="1174"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Reservation of Stock Issuable Upon Conversion</w:t>
      </w:r>
      <w:r>
        <w:rPr>
          <w:rFonts w:ascii="Arial" w:cs="Arial" w:eastAsia="Arial" w:hAnsi="Arial"/>
          <w:sz w:val="16"/>
          <w:szCs w:val="16"/>
          <w:color w:val="auto"/>
        </w:rPr>
        <w:t>. The Company shall at all times reserve and keep available out of its authorized but unissued Ordinary Shares, solely for the purpose of effecting the conversion of the shares of the Series A-1 Preferred, such number of its Ordinary Shares as shall from time to time be sufficient to effect the conversion of all then outstanding shares of the Series A-1 Preferred; and if at any time the number of authorized but unissued Ordinary Shares shall not be sufficient to effect the conversion of all then outstanding shares of the Series A-1 Preferred, the Company will take such corporate action as may, in the opinion of its counsel, be necessary to increase its authorized but unissued Ordinary Shares to such number as shall be sufficient for such purpose.</w:t>
      </w:r>
    </w:p>
    <w:p>
      <w:pPr>
        <w:spacing w:after="0" w:line="125" w:lineRule="exact"/>
        <w:rPr>
          <w:rFonts w:ascii="Arial" w:cs="Arial" w:eastAsia="Arial" w:hAnsi="Arial"/>
          <w:sz w:val="16"/>
          <w:szCs w:val="16"/>
          <w:color w:val="auto"/>
        </w:rPr>
      </w:pPr>
    </w:p>
    <w:p>
      <w:pPr>
        <w:ind w:left="780" w:hanging="349"/>
        <w:spacing w:after="0"/>
        <w:tabs>
          <w:tab w:leader="none" w:pos="7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160" w:right="119" w:hanging="369"/>
        <w:spacing w:after="0" w:line="264" w:lineRule="auto"/>
        <w:tabs>
          <w:tab w:leader="none" w:pos="116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Except as otherwise expressly provided in these Articles or as required by Law, the holders of Series A-1 Preferred and the holders of Ordinary Shares shall vote together, as a single class, and not as separate classes.</w:t>
      </w:r>
    </w:p>
    <w:p>
      <w:pPr>
        <w:spacing w:after="0" w:line="140" w:lineRule="exact"/>
        <w:rPr>
          <w:rFonts w:ascii="Arial" w:cs="Arial" w:eastAsia="Arial" w:hAnsi="Arial"/>
          <w:sz w:val="18"/>
          <w:szCs w:val="18"/>
          <w:color w:val="auto"/>
        </w:rPr>
      </w:pPr>
    </w:p>
    <w:p>
      <w:pPr>
        <w:jc w:val="both"/>
        <w:ind w:left="1160" w:right="119" w:hanging="369"/>
        <w:spacing w:after="0" w:line="264" w:lineRule="auto"/>
        <w:tabs>
          <w:tab w:leader="none" w:pos="12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Each holder of shares of Series A-1 Preferred shall be entitled to the number of votes equal to the number of Ordinary Shares into which such shares of Series A-1 Preferred held by such holder could then be converted.</w:t>
      </w:r>
    </w:p>
    <w:p>
      <w:pPr>
        <w:sectPr>
          <w:pgSz w:w="11900" w:h="16838" w:orient="portrait"/>
          <w:cols w:equalWidth="0" w:num="1">
            <w:col w:w="9019"/>
          </w:cols>
          <w:pgMar w:left="1440" w:top="126"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68" w:name="page169"/>
    <w:bookmarkEnd w:id="168"/>
    <w:p>
      <w:pPr>
        <w:jc w:val="both"/>
        <w:ind w:left="1160" w:right="119"/>
        <w:spacing w:after="0" w:line="297" w:lineRule="auto"/>
        <w:rPr>
          <w:sz w:val="20"/>
          <w:szCs w:val="20"/>
          <w:color w:val="auto"/>
        </w:rPr>
      </w:pPr>
      <w:r>
        <w:rPr>
          <w:rFonts w:ascii="Arial" w:cs="Arial" w:eastAsia="Arial" w:hAnsi="Arial"/>
          <w:sz w:val="16"/>
          <w:szCs w:val="16"/>
          <w:color w:val="auto"/>
        </w:rPr>
        <w:t>The holders of shares of the Series A-1 Preferred shall be entitled to vote on all matters on which the Ordinary Shares shall be entitled to vote. The holders of the Series A-1 Preferred shall be entitled to notice of any General Meeting or applicable Class Meeting. Fractional votes shall not, however, be permitted and any fractional voting rights resulting from the above formula (after aggregating all shares into which shares of Series A-1 Preferred held by each holder could be converted), shall be disregarded.</w:t>
      </w:r>
    </w:p>
    <w:p>
      <w:pPr>
        <w:spacing w:after="0" w:line="114" w:lineRule="exact"/>
        <w:rPr>
          <w:sz w:val="20"/>
          <w:szCs w:val="20"/>
          <w:color w:val="auto"/>
        </w:rPr>
      </w:pPr>
    </w:p>
    <w:p>
      <w:pPr>
        <w:ind w:left="120" w:right="6279" w:firstLine="5"/>
        <w:spacing w:after="0" w:line="475" w:lineRule="auto"/>
        <w:tabs>
          <w:tab w:leader="none" w:pos="435"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 xml:space="preserve">[ARTICLE 8 IS RESERVED] </w:t>
      </w:r>
      <w:r>
        <w:rPr>
          <w:rFonts w:ascii="Arial" w:cs="Arial" w:eastAsia="Arial" w:hAnsi="Arial"/>
          <w:sz w:val="17"/>
          <w:szCs w:val="17"/>
          <w:b w:val="1"/>
          <w:bCs w:val="1"/>
          <w:u w:val="single" w:color="auto"/>
          <w:color w:val="auto"/>
        </w:rPr>
        <w:t>ALLOTMENT OF SHARES</w:t>
      </w:r>
    </w:p>
    <w:p>
      <w:pPr>
        <w:jc w:val="both"/>
        <w:ind w:left="420" w:right="119" w:hanging="305"/>
        <w:spacing w:after="0" w:line="293" w:lineRule="auto"/>
        <w:tabs>
          <w:tab w:leader="none" w:pos="4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Subject to the provisions of these Articles, the unissued shares shall be under the control of the Board of Directors, who shall have the power to allot shares or otherwise dispose of them to such persons, on such terms and conditions (including inter-alia terms relating to calls as set forth in Article 33 hereof), and either at par or at a premium, or, subject to the provisions of the Law, at a discount, and at such times, as the Board of Directors may think fit, and the power to give any person the option to acquire from the Company any shares, either at par or at premium, or, subject as aforesaid, at a discount, during such time and for such consideration as the Board of Directors may think fit.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PREEMPTIVE RIGHTS</w:t>
      </w:r>
    </w:p>
    <w:p>
      <w:pPr>
        <w:spacing w:after="0" w:line="175" w:lineRule="exact"/>
        <w:rPr>
          <w:sz w:val="20"/>
          <w:szCs w:val="20"/>
          <w:color w:val="auto"/>
        </w:rPr>
      </w:pPr>
    </w:p>
    <w:p>
      <w:pPr>
        <w:ind w:left="820" w:right="119" w:hanging="695"/>
        <w:spacing w:after="0" w:line="286" w:lineRule="auto"/>
        <w:tabs>
          <w:tab w:leader="none" w:pos="41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Subject to the terms and conditions contained in this Article 10, the Company hereby grants to each Major Shareholder the right of first offer to purchase the Major Shareholder Pro Rata Portion of any New Securities which the Company may, from time to time, propose to issue and sell.</w:t>
      </w:r>
    </w:p>
    <w:p>
      <w:pPr>
        <w:spacing w:after="0" w:line="125" w:lineRule="exact"/>
        <w:rPr>
          <w:rFonts w:ascii="Arial" w:cs="Arial" w:eastAsia="Arial" w:hAnsi="Arial"/>
          <w:sz w:val="17"/>
          <w:szCs w:val="17"/>
          <w:color w:val="auto"/>
        </w:rPr>
      </w:pPr>
    </w:p>
    <w:p>
      <w:pPr>
        <w:jc w:val="both"/>
        <w:ind w:left="800" w:right="119" w:hanging="369"/>
        <w:spacing w:after="0" w:line="255" w:lineRule="auto"/>
        <w:tabs>
          <w:tab w:leader="none" w:pos="78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Notice of Right</w:t>
      </w:r>
      <w:r>
        <w:rPr>
          <w:rFonts w:ascii="Arial" w:cs="Arial" w:eastAsia="Arial" w:hAnsi="Arial"/>
          <w:sz w:val="18"/>
          <w:szCs w:val="18"/>
          <w:color w:val="auto"/>
        </w:rPr>
        <w:t>. In the event the Company proposes to undertake an issuance of New Securities, it shall give each Major Shareholder written notice of its intention, describing the type of New Securities and the price and terms upon which the Company proposes to issue the same (“</w:t>
      </w:r>
      <w:r>
        <w:rPr>
          <w:rFonts w:ascii="Arial" w:cs="Arial" w:eastAsia="Arial" w:hAnsi="Arial"/>
          <w:sz w:val="18"/>
          <w:szCs w:val="18"/>
          <w:b w:val="1"/>
          <w:bCs w:val="1"/>
          <w:color w:val="auto"/>
        </w:rPr>
        <w:t>Offer Notice</w:t>
      </w:r>
      <w:r>
        <w:rPr>
          <w:rFonts w:ascii="Arial" w:cs="Arial" w:eastAsia="Arial" w:hAnsi="Arial"/>
          <w:sz w:val="18"/>
          <w:szCs w:val="18"/>
          <w:color w:val="auto"/>
        </w:rPr>
        <w:t>”). Each Major Shareholder shall have fourteen (14) days from the date of delivery of any such Offer Notice to agree to purchase up to such Major Shareholder’s Pro Rata Portion of such New Securities, for the price and upon the terms specified in the Offer Notice, by delivering written notice to the Company and stating therein the quantity of New Securities to be purchased.</w:t>
      </w:r>
    </w:p>
    <w:p>
      <w:pPr>
        <w:spacing w:after="0" w:line="148" w:lineRule="exact"/>
        <w:rPr>
          <w:rFonts w:ascii="Arial" w:cs="Arial" w:eastAsia="Arial" w:hAnsi="Arial"/>
          <w:sz w:val="18"/>
          <w:szCs w:val="18"/>
          <w:color w:val="auto"/>
        </w:rPr>
      </w:pPr>
    </w:p>
    <w:p>
      <w:pPr>
        <w:jc w:val="both"/>
        <w:ind w:left="800" w:right="119" w:hanging="369"/>
        <w:spacing w:after="0" w:line="285" w:lineRule="auto"/>
        <w:tabs>
          <w:tab w:leader="none" w:pos="770"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Right of Over-Allotment</w:t>
      </w:r>
      <w:r>
        <w:rPr>
          <w:rFonts w:ascii="Arial" w:cs="Arial" w:eastAsia="Arial" w:hAnsi="Arial"/>
          <w:sz w:val="16"/>
          <w:szCs w:val="16"/>
          <w:color w:val="auto"/>
        </w:rPr>
        <w:t>. In the event that any Major Shareholder fails to fully exercise the right of first offer within such fourteen (14) day period, each Major Shareholder fully exercising its right of first offer may purchase, on a pro rata basis, the non-purchasing Major Shareholder’s Pro Rata Portion(s). The Company will promptly notify those Major Shareholders fully exercising their rights of first offer, in writing, of the availability of additional New Securities, and each of the fully-exercising Major Shareholders shall have seven</w:t>
      </w:r>
    </w:p>
    <w:p>
      <w:pPr>
        <w:spacing w:after="0" w:line="2" w:lineRule="exact"/>
        <w:rPr>
          <w:rFonts w:ascii="Arial" w:cs="Arial" w:eastAsia="Arial" w:hAnsi="Arial"/>
          <w:sz w:val="16"/>
          <w:szCs w:val="16"/>
          <w:color w:val="auto"/>
        </w:rPr>
      </w:pPr>
    </w:p>
    <w:p>
      <w:pPr>
        <w:jc w:val="both"/>
        <w:ind w:left="800" w:right="119" w:firstLine="9"/>
        <w:spacing w:after="0" w:line="277" w:lineRule="auto"/>
        <w:tabs>
          <w:tab w:leader="none" w:pos="1070" w:val="left"/>
        </w:tabs>
        <w:numPr>
          <w:ilvl w:val="2"/>
          <w:numId w:val="151"/>
        </w:numPr>
        <w:rPr>
          <w:rFonts w:ascii="Arial" w:cs="Arial" w:eastAsia="Arial" w:hAnsi="Arial"/>
          <w:sz w:val="17"/>
          <w:szCs w:val="17"/>
          <w:color w:val="auto"/>
        </w:rPr>
      </w:pPr>
      <w:r>
        <w:rPr>
          <w:rFonts w:ascii="Arial" w:cs="Arial" w:eastAsia="Arial" w:hAnsi="Arial"/>
          <w:sz w:val="17"/>
          <w:szCs w:val="17"/>
          <w:color w:val="auto"/>
        </w:rPr>
        <w:t>days from the date of receipt of any such notice to agree to purchase up to such Major Shareholder’s Pro Rata Portion (excluding from the Pro Rata Portion’s calculation holdings of Major Shareholders, which have not fully exercised their right of first offer) of such additional New Securities.</w:t>
      </w:r>
    </w:p>
    <w:p>
      <w:pPr>
        <w:spacing w:after="0" w:line="119" w:lineRule="exact"/>
        <w:rPr>
          <w:rFonts w:ascii="Arial" w:cs="Arial" w:eastAsia="Arial" w:hAnsi="Arial"/>
          <w:sz w:val="17"/>
          <w:szCs w:val="17"/>
          <w:color w:val="auto"/>
        </w:rPr>
      </w:pPr>
    </w:p>
    <w:p>
      <w:pPr>
        <w:ind w:left="780" w:hanging="349"/>
        <w:spacing w:after="0"/>
        <w:tabs>
          <w:tab w:leader="none" w:pos="780"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Lapse and Reinstatement of Right</w:t>
      </w:r>
      <w:r>
        <w:rPr>
          <w:rFonts w:ascii="Arial" w:cs="Arial" w:eastAsia="Arial" w:hAnsi="Arial"/>
          <w:sz w:val="16"/>
          <w:szCs w:val="16"/>
          <w:color w:val="auto"/>
        </w:rPr>
        <w:t>.  The Company shall have sixty (60) days following the lapse of the fourteen</w:t>
      </w:r>
    </w:p>
    <w:p>
      <w:pPr>
        <w:spacing w:after="0" w:line="46" w:lineRule="exact"/>
        <w:rPr>
          <w:rFonts w:ascii="Arial" w:cs="Arial" w:eastAsia="Arial" w:hAnsi="Arial"/>
          <w:sz w:val="16"/>
          <w:szCs w:val="16"/>
          <w:color w:val="auto"/>
        </w:rPr>
      </w:pPr>
    </w:p>
    <w:p>
      <w:pPr>
        <w:jc w:val="both"/>
        <w:ind w:left="800" w:right="119" w:firstLine="9"/>
        <w:spacing w:after="0" w:line="268" w:lineRule="auto"/>
        <w:tabs>
          <w:tab w:leader="none" w:pos="1153" w:val="left"/>
        </w:tabs>
        <w:numPr>
          <w:ilvl w:val="2"/>
          <w:numId w:val="152"/>
        </w:numPr>
        <w:rPr>
          <w:rFonts w:ascii="Arial" w:cs="Arial" w:eastAsia="Arial" w:hAnsi="Arial"/>
          <w:sz w:val="17"/>
          <w:szCs w:val="17"/>
          <w:color w:val="auto"/>
        </w:rPr>
      </w:pPr>
      <w:r>
        <w:rPr>
          <w:rFonts w:ascii="Arial" w:cs="Arial" w:eastAsia="Arial" w:hAnsi="Arial"/>
          <w:sz w:val="17"/>
          <w:szCs w:val="17"/>
          <w:color w:val="auto"/>
        </w:rPr>
        <w:t>day period described in Article 10(b) and the additional seven (7) day period described in Article 10(c) to sell or enter into an agreement (pursuant to which the sale of New Securities covered thereby shall be closed, if at all, within thirty (30) days from the date of said agreement) to sell the New Securities with respect to which the Major Shareholders’ right of first offer was not exercised, at a price and upon terms no more favorable to the purchasers of such securities than specified in the original Offer Notice. In the event the Company has not sold the New Securities or entered into an agreement to sell the New Securities within said sixty (60) day period (or sold and issued New Securities in accordance with the foregoing within thirty (30) days from the date of said agreement), the Company shall not thereafter issue or sell any New Securities without first offering such securities to the Major Shareholders in the manner provided above.</w:t>
      </w:r>
    </w:p>
    <w:p>
      <w:pPr>
        <w:spacing w:after="0" w:line="141" w:lineRule="exact"/>
        <w:rPr>
          <w:rFonts w:ascii="Arial" w:cs="Arial" w:eastAsia="Arial" w:hAnsi="Arial"/>
          <w:sz w:val="17"/>
          <w:szCs w:val="17"/>
          <w:color w:val="auto"/>
        </w:rPr>
      </w:pPr>
    </w:p>
    <w:p>
      <w:pPr>
        <w:ind w:left="800" w:right="119" w:hanging="369"/>
        <w:spacing w:after="0" w:line="308" w:lineRule="auto"/>
        <w:tabs>
          <w:tab w:leader="none" w:pos="756"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Assignment of Right of First Offer</w:t>
      </w:r>
      <w:r>
        <w:rPr>
          <w:rFonts w:ascii="Arial" w:cs="Arial" w:eastAsia="Arial" w:hAnsi="Arial"/>
          <w:sz w:val="17"/>
          <w:szCs w:val="17"/>
          <w:color w:val="auto"/>
        </w:rPr>
        <w:t>. The right of first offer granted under this Article 10 may not be assigned or transferred, except that such right is assignable by any Major Shareholder to a Permitted Transferee.</w:t>
      </w:r>
    </w:p>
    <w:p>
      <w:pPr>
        <w:spacing w:after="0" w:line="106" w:lineRule="exact"/>
        <w:rPr>
          <w:rFonts w:ascii="Arial" w:cs="Arial" w:eastAsia="Arial" w:hAnsi="Arial"/>
          <w:sz w:val="17"/>
          <w:szCs w:val="17"/>
          <w:color w:val="auto"/>
        </w:rPr>
      </w:pPr>
    </w:p>
    <w:p>
      <w:pPr>
        <w:ind w:left="800" w:right="419" w:hanging="369"/>
        <w:spacing w:after="0" w:line="277" w:lineRule="auto"/>
        <w:tabs>
          <w:tab w:leader="none" w:pos="782"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Offer</w:t>
      </w:r>
      <w:r>
        <w:rPr>
          <w:rFonts w:ascii="Arial" w:cs="Arial" w:eastAsia="Arial" w:hAnsi="Arial"/>
          <w:sz w:val="18"/>
          <w:szCs w:val="18"/>
          <w:color w:val="auto"/>
        </w:rPr>
        <w:t>. The right of first offer granted under this Article 10 shall expire upon, and shall not be applicable to, a Qualified IPO.</w:t>
      </w:r>
    </w:p>
    <w:p>
      <w:pPr>
        <w:spacing w:after="0" w:line="170" w:lineRule="exact"/>
        <w:rPr>
          <w:rFonts w:ascii="Arial" w:cs="Arial" w:eastAsia="Arial" w:hAnsi="Arial"/>
          <w:sz w:val="18"/>
          <w:szCs w:val="18"/>
          <w:color w:val="auto"/>
        </w:rPr>
      </w:pPr>
    </w:p>
    <w:p>
      <w:pPr>
        <w:ind w:left="800" w:right="119" w:hanging="369"/>
        <w:spacing w:after="0" w:line="277" w:lineRule="auto"/>
        <w:tabs>
          <w:tab w:leader="none" w:pos="76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This Article 10, including but not limited to the definitions referred to herein, may only be amended by a Special Resolution (as defined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9" w:name="page170"/>
    <w:bookmarkEnd w:id="169"/>
    <w:p>
      <w:pPr>
        <w:ind w:left="120"/>
        <w:spacing w:after="0"/>
        <w:rPr>
          <w:sz w:val="20"/>
          <w:szCs w:val="20"/>
          <w:color w:val="auto"/>
        </w:rPr>
      </w:pPr>
      <w:r>
        <w:rPr>
          <w:rFonts w:ascii="Arial" w:cs="Arial" w:eastAsia="Arial" w:hAnsi="Arial"/>
          <w:sz w:val="18"/>
          <w:szCs w:val="18"/>
          <w:b w:val="1"/>
          <w:bCs w:val="1"/>
          <w:u w:val="single" w:color="auto"/>
          <w:color w:val="auto"/>
        </w:rPr>
        <w:t>REGISTERED HOLDER</w:t>
      </w:r>
    </w:p>
    <w:p>
      <w:pPr>
        <w:spacing w:after="0" w:line="229" w:lineRule="exact"/>
        <w:rPr>
          <w:sz w:val="20"/>
          <w:szCs w:val="20"/>
          <w:color w:val="auto"/>
        </w:rPr>
      </w:pPr>
    </w:p>
    <w:p>
      <w:pPr>
        <w:ind w:left="820" w:right="119" w:hanging="695"/>
        <w:spacing w:after="0" w:line="257" w:lineRule="auto"/>
        <w:tabs>
          <w:tab w:leader="none" w:pos="4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If two or more persons are registered as joint holders of a share they shall be jointly and severally liable for any calls or any other liability with respect to such share. However with respect to voting, power of attorney and furnishing notices, the one registered first in the register of members, insofar as all the registered joint holders shall not notify the Company in writing to relate to another one of them as the sole owner of the share, as aforesaid, shall be deemed to be the sole owner of the share.</w:t>
      </w:r>
    </w:p>
    <w:p>
      <w:pPr>
        <w:spacing w:after="0" w:line="188" w:lineRule="exact"/>
        <w:rPr>
          <w:rFonts w:ascii="Arial" w:cs="Arial" w:eastAsia="Arial" w:hAnsi="Arial"/>
          <w:sz w:val="18"/>
          <w:szCs w:val="18"/>
          <w:color w:val="auto"/>
        </w:rPr>
      </w:pPr>
    </w:p>
    <w:p>
      <w:pPr>
        <w:jc w:val="both"/>
        <w:ind w:left="800" w:right="119" w:hanging="369"/>
        <w:spacing w:after="0" w:line="259" w:lineRule="auto"/>
        <w:tabs>
          <w:tab w:leader="none" w:pos="81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the case that two or more persons are registered together as holders of a share, each one of them shall be permitted to give receipts binding all the joint holders for dividends or other monies in connection with the share and the Company shall be permitted to pay all the dividends or other monies due with respect to the share to one or more of the joint holders, as it shall choose.</w:t>
      </w:r>
    </w:p>
    <w:p>
      <w:pPr>
        <w:spacing w:after="0" w:line="182" w:lineRule="exact"/>
        <w:rPr>
          <w:rFonts w:ascii="Arial" w:cs="Arial" w:eastAsia="Arial" w:hAnsi="Arial"/>
          <w:sz w:val="18"/>
          <w:szCs w:val="18"/>
          <w:color w:val="auto"/>
        </w:rPr>
      </w:pPr>
    </w:p>
    <w:p>
      <w:pPr>
        <w:ind w:left="400" w:hanging="275"/>
        <w:spacing w:after="0"/>
        <w:tabs>
          <w:tab w:leader="none" w:pos="40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[ARTICLE 12 IS RESERVED]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SHARE CERTIFICATE</w:t>
      </w:r>
    </w:p>
    <w:p>
      <w:pPr>
        <w:spacing w:after="0" w:line="229" w:lineRule="exact"/>
        <w:rPr>
          <w:sz w:val="20"/>
          <w:szCs w:val="20"/>
          <w:color w:val="auto"/>
        </w:rPr>
      </w:pPr>
    </w:p>
    <w:p>
      <w:pPr>
        <w:ind w:left="820" w:right="119" w:hanging="695"/>
        <w:spacing w:after="0" w:line="257" w:lineRule="auto"/>
        <w:tabs>
          <w:tab w:leader="none" w:pos="40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A member shall be entitled to receive from the Company without payment, one certificate that shall contain that number of shares registered in the name of such member, their class and serial numbering. However, in the event of joint holders holding a share, the Company shall not be obligated to issue more than one certificate to all of the joint holders, and the delivery of such a certificate to one of the joint holders shall be deemed to be a delivery to all of the joint holders.</w:t>
      </w:r>
    </w:p>
    <w:p>
      <w:pPr>
        <w:spacing w:after="0" w:line="188" w:lineRule="exact"/>
        <w:rPr>
          <w:rFonts w:ascii="Arial" w:cs="Arial" w:eastAsia="Arial" w:hAnsi="Arial"/>
          <w:sz w:val="18"/>
          <w:szCs w:val="18"/>
          <w:color w:val="auto"/>
        </w:rPr>
      </w:pPr>
    </w:p>
    <w:p>
      <w:pPr>
        <w:ind w:left="800" w:right="119" w:hanging="369"/>
        <w:spacing w:after="0" w:line="342" w:lineRule="auto"/>
        <w:tabs>
          <w:tab w:leader="none" w:pos="81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Each certificate shall carry the signature of any member of the Board of Directors and/or signatures of those persons appointed by the Board of Directors for this purpose and the rubber stamp or the seal of the Company.</w:t>
      </w:r>
    </w:p>
    <w:p>
      <w:pPr>
        <w:spacing w:after="0" w:line="123" w:lineRule="exact"/>
        <w:rPr>
          <w:rFonts w:ascii="Arial" w:cs="Arial" w:eastAsia="Arial" w:hAnsi="Arial"/>
          <w:sz w:val="16"/>
          <w:szCs w:val="16"/>
          <w:color w:val="auto"/>
        </w:rPr>
      </w:pPr>
    </w:p>
    <w:p>
      <w:pPr>
        <w:ind w:left="800" w:right="119" w:hanging="369"/>
        <w:spacing w:after="0" w:line="277" w:lineRule="auto"/>
        <w:tabs>
          <w:tab w:leader="none" w:pos="78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upon payment of such fee, if any, and on such terms, if any, as to evidence and indemnity as the Board of Directors may think fit.</w:t>
      </w:r>
    </w:p>
    <w:p>
      <w:pPr>
        <w:spacing w:after="0" w:line="166" w:lineRule="exact"/>
        <w:rPr>
          <w:rFonts w:ascii="Arial" w:cs="Arial" w:eastAsia="Arial" w:hAnsi="Arial"/>
          <w:sz w:val="18"/>
          <w:szCs w:val="18"/>
          <w:color w:val="auto"/>
        </w:rPr>
      </w:pPr>
    </w:p>
    <w:p>
      <w:pPr>
        <w:ind w:left="400" w:hanging="275"/>
        <w:spacing w:after="0"/>
        <w:tabs>
          <w:tab w:leader="none" w:pos="40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[ARTICLE 14 IS RESERVED]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MODIFICATIONS OF SHARE RIGHTS</w:t>
      </w:r>
    </w:p>
    <w:p>
      <w:pPr>
        <w:spacing w:after="0" w:line="229" w:lineRule="exact"/>
        <w:rPr>
          <w:sz w:val="20"/>
          <w:szCs w:val="20"/>
          <w:color w:val="auto"/>
        </w:rPr>
      </w:pPr>
    </w:p>
    <w:p>
      <w:pPr>
        <w:jc w:val="both"/>
        <w:ind w:left="440" w:right="119" w:hanging="315"/>
        <w:spacing w:after="0" w:line="286" w:lineRule="auto"/>
        <w:tabs>
          <w:tab w:leader="none" w:pos="41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Subject to these Articles, if at any time the share capital is divided into different classes of shares (unless otherwise provided for by the terms of issue of the shares of that class) it shall be permitted to change, convert, broaden, add or vary in any other manner the rights, advantages, restrictions and provisions attached at that time to one or more of the classes, by a resolution passed at a general meeting of the holders of all the Shares as one class, provided that any modification or alteration shall be applied to all shares in the same and proportional manner and the holders of the Ordinary Shares and Preferred A-1 Shares shall not be entitled to any class vote. Notwithstanding the foregoing, any adverse changes to the rights attached specifically to any given class of shares under the Company’s Articles of Association shall require the consent of the holders of a majority of the issued and outstanding shares of such adversely affected class. For the avoidance of doubt, the creation of any new class of securities in connection with a financing transaction by a third party not then a shareholder of the Company shall not require a class vote hereunder. To the extent a separate General Meeting is required under these Articles, the provisions of these Articles relating to General Meetings shall mutatis mutandis apply Any holder of shares of that class present, either personally or by proxy, may request a secret ballot.</w:t>
      </w:r>
    </w:p>
    <w:p>
      <w:pPr>
        <w:spacing w:after="0" w:line="170" w:lineRule="exact"/>
        <w:rPr>
          <w:rFonts w:ascii="Arial" w:cs="Arial" w:eastAsia="Arial" w:hAnsi="Arial"/>
          <w:sz w:val="16"/>
          <w:szCs w:val="16"/>
          <w:color w:val="auto"/>
        </w:rPr>
      </w:pPr>
    </w:p>
    <w:p>
      <w:pPr>
        <w:ind w:left="400" w:hanging="275"/>
        <w:spacing w:after="0"/>
        <w:tabs>
          <w:tab w:leader="none" w:pos="4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[ARTICLE 16 IS RESERVED]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PLEDGE</w:t>
      </w:r>
    </w:p>
    <w:p>
      <w:pPr>
        <w:spacing w:after="0" w:line="229" w:lineRule="exact"/>
        <w:rPr>
          <w:sz w:val="20"/>
          <w:szCs w:val="20"/>
          <w:color w:val="auto"/>
        </w:rPr>
      </w:pPr>
    </w:p>
    <w:p>
      <w:pPr>
        <w:jc w:val="both"/>
        <w:ind w:left="440" w:right="119" w:hanging="315"/>
        <w:spacing w:after="0" w:line="271" w:lineRule="auto"/>
        <w:tabs>
          <w:tab w:leader="none" w:pos="40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 shall have a lien and first pledge on all the shares, not fully paid, registered in the name of any member (whether registered in his name only or together with another or others) for any amount still outstanding with respect to that share, whether presently payable or not. Such a pledge shall exist whether the dates of payment or fulfillment or execution of the obligations, debts or commitments have become due or not, and shall apply to all dividends that shall be decided upon from time to time in connection with these shares. No benefit shall be created with respect to this share based upon the Rules of Equity, which shall frustrate this pledge, however the Board of Directors may declare at any time with respect to any share, that it is released, wholly or in part, temporarily or permanently, from the provisions of this Article.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0" w:name="page171"/>
    <w:bookmarkEnd w:id="170"/>
    <w:p>
      <w:pPr>
        <w:jc w:val="both"/>
        <w:ind w:left="440" w:right="119" w:hanging="315"/>
        <w:spacing w:after="0" w:line="271" w:lineRule="auto"/>
        <w:tabs>
          <w:tab w:leader="none" w:pos="42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Company may sell, in such manner and at such time as the Board of Directors think fit, any of the pledged shares, but no sale shall be made unless the date of payment of the monies or a part thereof has arrived, or the date of fulfillment and performance of the obligations and commitments in consideration of which the pledge exists has arrived, and after a written request has been furnished to the member or person who has acquired a right in the shares, which sets out the amount or obligation or commitment due from him and which demands their payment, fulfillment or execution, and which informs the person of the Board of Directors’ desire to sell the shares in the event of non-fulfillment of the notice, and the person has not fulfilled his obligation pursuant to the notice within seven (7) days after the notice had been sent to him.</w:t>
      </w:r>
    </w:p>
    <w:p>
      <w:pPr>
        <w:spacing w:after="0" w:line="178" w:lineRule="exact"/>
        <w:rPr>
          <w:rFonts w:ascii="Arial" w:cs="Arial" w:eastAsia="Arial" w:hAnsi="Arial"/>
          <w:sz w:val="17"/>
          <w:szCs w:val="17"/>
          <w:color w:val="auto"/>
        </w:rPr>
      </w:pPr>
    </w:p>
    <w:p>
      <w:pPr>
        <w:jc w:val="both"/>
        <w:ind w:left="440" w:right="119" w:hanging="315"/>
        <w:spacing w:after="0" w:line="264" w:lineRule="auto"/>
        <w:tabs>
          <w:tab w:leader="none" w:pos="4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payment of such sum due to the Company or to the fulfillment of the obligation or commitment, and the remainder (if there shall be any) shall be paid to the member or to the person who has acquired a right in the share sold pursuant to the above.</w:t>
      </w:r>
    </w:p>
    <w:p>
      <w:pPr>
        <w:spacing w:after="0" w:line="181" w:lineRule="exact"/>
        <w:rPr>
          <w:rFonts w:ascii="Arial" w:cs="Arial" w:eastAsia="Arial" w:hAnsi="Arial"/>
          <w:sz w:val="18"/>
          <w:szCs w:val="18"/>
          <w:color w:val="auto"/>
        </w:rPr>
      </w:pPr>
    </w:p>
    <w:p>
      <w:pPr>
        <w:jc w:val="both"/>
        <w:ind w:left="440" w:right="119" w:hanging="315"/>
        <w:spacing w:after="0" w:line="257" w:lineRule="auto"/>
        <w:tabs>
          <w:tab w:leader="none" w:pos="40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After execution of a sale as aforesaid, the Board of Directors shall be permitted to sign or to appoint someone to sign a deed of transfer of the sold shares and to register the buyer’s name in the register of members as the owner of the sold shares and it shall not be the obligation of the buyer to supervise the application of monies nor will his right in the shares be affected by a defect or illegality in the sale proceedings after his name has been registered in the register of members with respect to those shares.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sole remedy of any person aggrieved by the sale shall be in damages only and against the Company exclusively.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TRANSFER OF SHARES AND THE MANAGEMENT THEREOF</w:t>
      </w:r>
    </w:p>
    <w:p>
      <w:pPr>
        <w:spacing w:after="0" w:line="229" w:lineRule="exact"/>
        <w:rPr>
          <w:sz w:val="20"/>
          <w:szCs w:val="20"/>
          <w:color w:val="auto"/>
        </w:rPr>
      </w:pPr>
    </w:p>
    <w:p>
      <w:pPr>
        <w:jc w:val="both"/>
        <w:ind w:left="440" w:right="119" w:hanging="315"/>
        <w:spacing w:after="0" w:line="293" w:lineRule="auto"/>
        <w:tabs>
          <w:tab w:leader="none" w:pos="41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transfer of the Company’s shares shall be subject to approval of the Board of Directors, however, the Board of Directors may only refuse to approve transfer of shares to a person if such person is a competitor of the Company. Without derogating from the foregoing, the Board of Directors may refuse to the registration of any transfer of shares in case of non-compliance with the provisions of these Articles. If the Board of Directors shall make use of their powers in accordance with this Article 21 and refuse to register a transfer of shares, they must inform the transferee of their refusal within sixty (60) days of the day the deed of transfer had been furnished to the Company.</w:t>
      </w:r>
    </w:p>
    <w:p>
      <w:pPr>
        <w:spacing w:after="0" w:line="164" w:lineRule="exact"/>
        <w:rPr>
          <w:rFonts w:ascii="Arial" w:cs="Arial" w:eastAsia="Arial" w:hAnsi="Arial"/>
          <w:sz w:val="16"/>
          <w:szCs w:val="16"/>
          <w:color w:val="auto"/>
        </w:rPr>
      </w:pPr>
    </w:p>
    <w:p>
      <w:pPr>
        <w:jc w:val="both"/>
        <w:ind w:left="440" w:right="119" w:hanging="315"/>
        <w:spacing w:after="0" w:line="259" w:lineRule="auto"/>
        <w:tabs>
          <w:tab w:leader="none" w:pos="41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transfer of shares shall be made in writing in the form appearing herein below, or in a similar form, or in any form as to be determined upon by the directors from time to time, such form shall be delivered to the office together with the transferred share certificates and any other proof the directors shall require, if they shall so require, in order to prove the title of the transferor.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Deed of Transfer of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 ____________________ of _______________________ in consideration of the sum of _____________ paid to me by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________________, of ________________ (hereinafter called “the said transferee”) do hereby transfer to the said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transferee ___________ share (or shares) having nominal value of NIS ________ each one numbered ______ until ____</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inclusive in ___________________________, to hold onto the said transferee, his executors, administrators, and assigns,</w:t>
      </w:r>
    </w:p>
    <w:p>
      <w:pPr>
        <w:spacing w:after="0" w:line="32"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8"/>
          <w:szCs w:val="18"/>
          <w:color w:val="auto"/>
        </w:rPr>
        <w:t>subject to the several conditions on which I held the same at the time of the execution hereof; and I, the said transferee, do hereby agree to take the said share (or shares) subject to the conditions aforesaid. As witness we have hereunto set our hands the _______ day of _________________ 20__.</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675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Address &amp; Profession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-115570</wp:posOffset>
            </wp:positionV>
            <wp:extent cx="2675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Witness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675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Transferee’s Signature</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675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-130175</wp:posOffset>
            </wp:positionV>
            <wp:extent cx="2675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Address &amp; Profession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-115570</wp:posOffset>
            </wp:positionV>
            <wp:extent cx="2675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Witness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-130175</wp:posOffset>
            </wp:positionV>
            <wp:extent cx="2675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Transferee’s Signature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-130175</wp:posOffset>
            </wp:positionV>
            <wp:extent cx="2675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4680" w:space="720"/>
            <w:col w:w="3619"/>
          </w:cols>
          <w:pgMar w:left="1440" w:top="125" w:right="1440"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71" w:name="page172"/>
    <w:bookmarkEnd w:id="171"/>
    <w:p>
      <w:pPr>
        <w:jc w:val="both"/>
        <w:ind w:left="440" w:right="119" w:hanging="315"/>
        <w:spacing w:after="0" w:line="264" w:lineRule="auto"/>
        <w:tabs>
          <w:tab w:leader="none" w:pos="41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deed of share transfer shall be executed both by the transferor and transferee, and the transferor shall be deemed to remain a holder of the share until the name of the transferee is entered into the register of members in respect thereof.</w:t>
      </w:r>
    </w:p>
    <w:p>
      <w:pPr>
        <w:spacing w:after="0" w:line="181" w:lineRule="exact"/>
        <w:rPr>
          <w:rFonts w:ascii="Arial" w:cs="Arial" w:eastAsia="Arial" w:hAnsi="Arial"/>
          <w:sz w:val="18"/>
          <w:szCs w:val="18"/>
          <w:color w:val="auto"/>
        </w:rPr>
      </w:pPr>
    </w:p>
    <w:p>
      <w:pPr>
        <w:ind w:left="440" w:right="119" w:hanging="315"/>
        <w:spacing w:after="0" w:line="277" w:lineRule="auto"/>
        <w:tabs>
          <w:tab w:leader="none" w:pos="40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It shall be permitted to demand a fee for registration of transfer, in a reasonable rate as to be determined by the Board of Directors from time to time.</w:t>
      </w:r>
    </w:p>
    <w:p>
      <w:pPr>
        <w:spacing w:after="0" w:line="170" w:lineRule="exact"/>
        <w:rPr>
          <w:rFonts w:ascii="Arial" w:cs="Arial" w:eastAsia="Arial" w:hAnsi="Arial"/>
          <w:sz w:val="18"/>
          <w:szCs w:val="18"/>
          <w:color w:val="auto"/>
        </w:rPr>
      </w:pPr>
    </w:p>
    <w:p>
      <w:pPr>
        <w:ind w:left="440" w:right="119" w:hanging="315"/>
        <w:spacing w:after="0" w:line="342" w:lineRule="auto"/>
        <w:tabs>
          <w:tab w:leader="none" w:pos="42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register may be closed at such dates and for such other periods as determined by the Board of Directors from time to time, upon the condition that the register shall not be closed for more than thirty (30) days every year.</w:t>
      </w:r>
    </w:p>
    <w:p>
      <w:pPr>
        <w:spacing w:after="0" w:line="123" w:lineRule="exact"/>
        <w:rPr>
          <w:rFonts w:ascii="Arial" w:cs="Arial" w:eastAsia="Arial" w:hAnsi="Arial"/>
          <w:sz w:val="16"/>
          <w:szCs w:val="16"/>
          <w:color w:val="auto"/>
        </w:rPr>
      </w:pPr>
    </w:p>
    <w:p>
      <w:pPr>
        <w:jc w:val="both"/>
        <w:ind w:left="440" w:right="119" w:hanging="315"/>
        <w:spacing w:after="0" w:line="297" w:lineRule="auto"/>
        <w:tabs>
          <w:tab w:leader="none" w:pos="40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Upon the death of a member the remaining holders (in the event that the deceased was a joint holder in a share) or the administrators or executors or heirs of the deceased (in the event the deceased was the sole holder of the share or was the only one of the joint holders of the share to remain alive) shall be recognized by the Company as the sole holders of any title to the shares of the deceased. However, nothing aforesaid shall release the estate of a joint holder of a share from any obligation with respect to the share that he held jointly with any other holder.</w:t>
      </w:r>
    </w:p>
    <w:p>
      <w:pPr>
        <w:spacing w:after="0" w:line="158" w:lineRule="exact"/>
        <w:rPr>
          <w:rFonts w:ascii="Arial" w:cs="Arial" w:eastAsia="Arial" w:hAnsi="Arial"/>
          <w:sz w:val="16"/>
          <w:szCs w:val="16"/>
          <w:color w:val="auto"/>
        </w:rPr>
      </w:pPr>
    </w:p>
    <w:p>
      <w:pPr>
        <w:jc w:val="both"/>
        <w:ind w:left="440" w:right="119" w:hanging="315"/>
        <w:spacing w:after="0" w:line="276" w:lineRule="auto"/>
        <w:tabs>
          <w:tab w:leader="none" w:pos="40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person becoming entitled to a share in consequence of the death or bankruptcy or liquidation of a member shall, upon such evidence being produced as may from time to time be required by the directors, have the right, either to be registered as a member in respect of the share upon the consent of the directors (who have the right to refuse pursuant to Article 21 above) or, instead of being registered himself, to transfer such share to another person, subject to the provisions contained in these Articles with respect to transfers.</w:t>
      </w:r>
    </w:p>
    <w:p>
      <w:pPr>
        <w:spacing w:after="0" w:line="172" w:lineRule="exact"/>
        <w:rPr>
          <w:rFonts w:ascii="Arial" w:cs="Arial" w:eastAsia="Arial" w:hAnsi="Arial"/>
          <w:sz w:val="17"/>
          <w:szCs w:val="17"/>
          <w:color w:val="auto"/>
        </w:rPr>
      </w:pPr>
    </w:p>
    <w:p>
      <w:pPr>
        <w:jc w:val="both"/>
        <w:ind w:left="440" w:right="119" w:hanging="315"/>
        <w:spacing w:after="0" w:line="302" w:lineRule="auto"/>
        <w:tabs>
          <w:tab w:leader="none" w:pos="42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 person becoming entitled to a share because of the death of a member shall be entitled to receive, and to give receipts for, dividends or other payments paid with respect to the share, but he shall not be entitled to receive notices with respect to Company meetings or to participate or vote therein with respect to that share, or aside from the aforesaid, to use any right of a member, until he has been accepted as a member with respect to that share.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RIGHT OF FIRST REFUSAL</w:t>
      </w:r>
    </w:p>
    <w:p>
      <w:pPr>
        <w:spacing w:after="0" w:line="229" w:lineRule="exact"/>
        <w:rPr>
          <w:sz w:val="20"/>
          <w:szCs w:val="20"/>
          <w:color w:val="auto"/>
        </w:rPr>
      </w:pPr>
    </w:p>
    <w:p>
      <w:pPr>
        <w:ind w:left="820" w:right="119" w:hanging="695"/>
        <w:spacing w:after="0" w:line="286" w:lineRule="auto"/>
        <w:tabs>
          <w:tab w:leader="none" w:pos="55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Subject to the terms and conditions contained in this Article 29, each shareholder hereby grants each Major Shareholder the right of first refusal with respect to the purchase of some or all of the Ordinary Shares which the shareholder may, from time to time, propose to sell.</w:t>
      </w:r>
    </w:p>
    <w:p>
      <w:pPr>
        <w:spacing w:after="0" w:line="165" w:lineRule="exact"/>
        <w:rPr>
          <w:rFonts w:ascii="Arial" w:cs="Arial" w:eastAsia="Arial" w:hAnsi="Arial"/>
          <w:sz w:val="17"/>
          <w:szCs w:val="17"/>
          <w:color w:val="auto"/>
        </w:rPr>
      </w:pPr>
    </w:p>
    <w:p>
      <w:pPr>
        <w:jc w:val="both"/>
        <w:ind w:left="800" w:right="119" w:hanging="369"/>
        <w:spacing w:after="0" w:line="268" w:lineRule="auto"/>
        <w:tabs>
          <w:tab w:leader="none" w:pos="794"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t>Notice of Right</w:t>
      </w:r>
      <w:r>
        <w:rPr>
          <w:rFonts w:ascii="Arial" w:cs="Arial" w:eastAsia="Arial" w:hAnsi="Arial"/>
          <w:sz w:val="17"/>
          <w:szCs w:val="17"/>
          <w:color w:val="auto"/>
        </w:rPr>
        <w:t>. Should a shareholder propose to sell or transfer any Ordinary Shares, such shareholder shall promptly deliver a written notice (the “</w:t>
      </w:r>
      <w:r>
        <w:rPr>
          <w:rFonts w:ascii="Arial" w:cs="Arial" w:eastAsia="Arial" w:hAnsi="Arial"/>
          <w:sz w:val="17"/>
          <w:szCs w:val="17"/>
          <w:b w:val="1"/>
          <w:bCs w:val="1"/>
          <w:color w:val="auto"/>
        </w:rPr>
        <w:t>Transfer Notice</w:t>
      </w:r>
      <w:r>
        <w:rPr>
          <w:rFonts w:ascii="Arial" w:cs="Arial" w:eastAsia="Arial" w:hAnsi="Arial"/>
          <w:sz w:val="17"/>
          <w:szCs w:val="17"/>
          <w:color w:val="auto"/>
        </w:rPr>
        <w:t>”) to the Company, which the Company shall promptly forward to each Major Shareholder. The Transfer Notice shall describe in reasonable detail the proposed sale or transfer, including, without limitation, the number and the type of shares to be sold or transferred, the nature of such sale or transfer, the consideration to be paid, the name and address of each prospective purchaser or transferee, and any other material terms and conditions upon which such sale or transfer is to be made, along with copies of all material proposed agreements relating to such sale, including but not limited to, purchase agreements, voting or proxy agreements, and other agreements or documents requested by the Company or any Major Shareholder. Each Major Shareholder shall have fourteen (14) days from the date of delivery of any such Transfer Notice to agree to purchase up to the Major Shareholder’s Pro Rata Portion of Ordinary Shares any shareholder proposes to sell, for the price and upon the terms specified in the Transfer Notice, by delivering written notice to the Company and each such selling shareholder and stating therein the number of Ordinary Shares to be purchased.</w:t>
      </w:r>
    </w:p>
    <w:p>
      <w:pPr>
        <w:spacing w:after="0" w:line="187" w:lineRule="exact"/>
        <w:rPr>
          <w:rFonts w:ascii="Arial" w:cs="Arial" w:eastAsia="Arial" w:hAnsi="Arial"/>
          <w:sz w:val="17"/>
          <w:szCs w:val="17"/>
          <w:color w:val="auto"/>
        </w:rPr>
      </w:pPr>
    </w:p>
    <w:p>
      <w:pPr>
        <w:jc w:val="both"/>
        <w:ind w:left="800" w:right="119" w:hanging="369"/>
        <w:spacing w:after="0" w:line="253" w:lineRule="auto"/>
        <w:tabs>
          <w:tab w:leader="none" w:pos="837"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Right of Over-Allotment</w:t>
      </w:r>
      <w:r>
        <w:rPr>
          <w:rFonts w:ascii="Arial" w:cs="Arial" w:eastAsia="Arial" w:hAnsi="Arial"/>
          <w:sz w:val="18"/>
          <w:szCs w:val="18"/>
          <w:color w:val="auto"/>
        </w:rPr>
        <w:t>. In the event that any Major Shareholder fails to fully exercise the right of first refusal within such fourteen (14) day period, each Major Shareholder fully exercising its right of first refusal may purchase, on a pro rata basis, the non-purchasing Major Shareholder’s or Major Shareholders’ Pro Rata Portion(s). The Company will promptly notify those Major Shareholders fully exercising their rights of first refusal, in writing, of the availability of additional Ordinary Shares, and each of the fully-exercising Major Shareholders shall have seven (7) days from the date of receipt of any such notice to agree to purchase up to such Major Shareholder’s Pro Rata Portion (excluding from the Pro Rata Portion’s calculation, holdings of Major Shareholders, which have not fully exercised their right of first refusal) of such additional Ordinary Shares.</w:t>
      </w:r>
    </w:p>
    <w:p>
      <w:pPr>
        <w:spacing w:after="0" w:line="197" w:lineRule="exact"/>
        <w:rPr>
          <w:rFonts w:ascii="Arial" w:cs="Arial" w:eastAsia="Arial" w:hAnsi="Arial"/>
          <w:sz w:val="18"/>
          <w:szCs w:val="18"/>
          <w:color w:val="auto"/>
        </w:rPr>
      </w:pPr>
    </w:p>
    <w:p>
      <w:pPr>
        <w:jc w:val="both"/>
        <w:ind w:left="800" w:right="119" w:hanging="369"/>
        <w:spacing w:after="0" w:line="264" w:lineRule="auto"/>
        <w:tabs>
          <w:tab w:leader="none" w:pos="807"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Lapse and Reinstatement of Right</w:t>
      </w:r>
      <w:r>
        <w:rPr>
          <w:rFonts w:ascii="Arial" w:cs="Arial" w:eastAsia="Arial" w:hAnsi="Arial"/>
          <w:sz w:val="18"/>
          <w:szCs w:val="18"/>
          <w:color w:val="auto"/>
        </w:rPr>
        <w:t>. A shareholder shall have sixty (60) days following the fourteen (14) day period described in Article 29(b) and the additional seven (7) day period described in Article 29(c) to sell or enter into 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2" w:name="page173"/>
    <w:bookmarkEnd w:id="172"/>
    <w:p>
      <w:pPr>
        <w:ind w:left="800"/>
        <w:spacing w:after="0"/>
        <w:rPr>
          <w:sz w:val="20"/>
          <w:szCs w:val="20"/>
          <w:color w:val="auto"/>
        </w:rPr>
      </w:pPr>
      <w:r>
        <w:rPr>
          <w:rFonts w:ascii="Arial" w:cs="Arial" w:eastAsia="Arial" w:hAnsi="Arial"/>
          <w:sz w:val="16"/>
          <w:szCs w:val="16"/>
          <w:color w:val="auto"/>
        </w:rPr>
        <w:t>agreement (pursuant to which the sale of Ordinary Shares covered thereby shall be closed, if at all, within thirty</w:t>
      </w:r>
    </w:p>
    <w:p>
      <w:pPr>
        <w:spacing w:after="0" w:line="46" w:lineRule="exact"/>
        <w:rPr>
          <w:sz w:val="20"/>
          <w:szCs w:val="20"/>
          <w:color w:val="auto"/>
        </w:rPr>
      </w:pPr>
    </w:p>
    <w:p>
      <w:pPr>
        <w:jc w:val="both"/>
        <w:ind w:left="800" w:right="119" w:firstLine="9"/>
        <w:spacing w:after="0" w:line="269" w:lineRule="auto"/>
        <w:tabs>
          <w:tab w:leader="none" w:pos="118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days from the date of said agreement) to sell the Ordinary Shares with respect to which the Major Shareholder’s right of first refusal was not exercised, at a price and upon terms no more favorable to the purchasers of such securities than specified in the original Transfer Notice. In the event the shareholder has not sold the Ordinary Shares or entered into an agreement to sell the Ordinary Shares within said sixty- (60-) day period (or sold and issued Ordinary Shares in accordance with the foregoing within thirty (30) days from the date of said agreement), the shareholder shall not thereafter issue or sell any Ordinary Shares without first offering such securities to the Major Shareholders in the manner provided above.</w:t>
      </w:r>
    </w:p>
    <w:p>
      <w:pPr>
        <w:spacing w:after="0" w:line="180" w:lineRule="exact"/>
        <w:rPr>
          <w:rFonts w:ascii="Arial" w:cs="Arial" w:eastAsia="Arial" w:hAnsi="Arial"/>
          <w:sz w:val="17"/>
          <w:szCs w:val="17"/>
          <w:color w:val="auto"/>
        </w:rPr>
      </w:pPr>
    </w:p>
    <w:p>
      <w:pPr>
        <w:jc w:val="both"/>
        <w:ind w:left="800" w:right="119" w:hanging="369"/>
        <w:spacing w:after="0" w:line="342" w:lineRule="auto"/>
        <w:tabs>
          <w:tab w:leader="none" w:pos="83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Assignment of Right of First Refusal</w:t>
      </w:r>
      <w:r>
        <w:rPr>
          <w:rFonts w:ascii="Arial" w:cs="Arial" w:eastAsia="Arial" w:hAnsi="Arial"/>
          <w:sz w:val="16"/>
          <w:szCs w:val="16"/>
          <w:color w:val="auto"/>
        </w:rPr>
        <w:t>. The right of first refusal granted under this Article 29 may not be assigned or transferred, except that such right is assignable by any Major Shareholder to a Permitted Transferee.</w:t>
      </w:r>
    </w:p>
    <w:p>
      <w:pPr>
        <w:spacing w:after="0" w:line="123" w:lineRule="exact"/>
        <w:rPr>
          <w:rFonts w:ascii="Arial" w:cs="Arial" w:eastAsia="Arial" w:hAnsi="Arial"/>
          <w:sz w:val="16"/>
          <w:szCs w:val="16"/>
          <w:color w:val="auto"/>
        </w:rPr>
      </w:pPr>
    </w:p>
    <w:p>
      <w:pPr>
        <w:ind w:left="800" w:right="119" w:hanging="369"/>
        <w:spacing w:after="0" w:line="277" w:lineRule="auto"/>
        <w:tabs>
          <w:tab w:leader="none" w:pos="782"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granted under Article 29 shall expire upon, and shall not be applicable to, a Qualified IPO.</w:t>
      </w:r>
    </w:p>
    <w:p>
      <w:pPr>
        <w:spacing w:after="0" w:line="170" w:lineRule="exact"/>
        <w:rPr>
          <w:rFonts w:ascii="Arial" w:cs="Arial" w:eastAsia="Arial" w:hAnsi="Arial"/>
          <w:sz w:val="18"/>
          <w:szCs w:val="18"/>
          <w:color w:val="auto"/>
        </w:rPr>
      </w:pPr>
    </w:p>
    <w:p>
      <w:pPr>
        <w:ind w:left="800" w:right="119" w:hanging="369"/>
        <w:spacing w:after="0" w:line="277" w:lineRule="auto"/>
        <w:tabs>
          <w:tab w:leader="none" w:pos="794"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Restrictions on Right of First Refusal</w:t>
      </w:r>
      <w:r>
        <w:rPr>
          <w:rFonts w:ascii="Arial" w:cs="Arial" w:eastAsia="Arial" w:hAnsi="Arial"/>
          <w:sz w:val="18"/>
          <w:szCs w:val="18"/>
          <w:color w:val="auto"/>
        </w:rPr>
        <w:t>. No sale or transfer of the Company’s shares shall be made to entities directly competing with the Company’s business.</w:t>
      </w:r>
    </w:p>
    <w:p>
      <w:pPr>
        <w:spacing w:after="0" w:line="170" w:lineRule="exact"/>
        <w:rPr>
          <w:rFonts w:ascii="Arial" w:cs="Arial" w:eastAsia="Arial" w:hAnsi="Arial"/>
          <w:sz w:val="18"/>
          <w:szCs w:val="18"/>
          <w:color w:val="auto"/>
        </w:rPr>
      </w:pPr>
    </w:p>
    <w:p>
      <w:pPr>
        <w:ind w:left="800" w:right="119" w:hanging="369"/>
        <w:spacing w:after="0" w:line="277" w:lineRule="auto"/>
        <w:tabs>
          <w:tab w:leader="none" w:pos="81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the removal of doubt, the provisions of this Article 29 shall not apply to transfer of shares in connection with a Bring-Along Transaction.</w:t>
      </w:r>
    </w:p>
    <w:p>
      <w:pPr>
        <w:spacing w:after="0" w:line="170" w:lineRule="exact"/>
        <w:rPr>
          <w:rFonts w:ascii="Arial" w:cs="Arial" w:eastAsia="Arial" w:hAnsi="Arial"/>
          <w:sz w:val="18"/>
          <w:szCs w:val="18"/>
          <w:color w:val="auto"/>
        </w:rPr>
      </w:pPr>
    </w:p>
    <w:p>
      <w:pPr>
        <w:ind w:left="780" w:hanging="349"/>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Article 29 may only be amended by a Special Resolution.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CO-SALE RIGHTS</w:t>
      </w:r>
    </w:p>
    <w:p>
      <w:pPr>
        <w:spacing w:after="0" w:line="229" w:lineRule="exact"/>
        <w:rPr>
          <w:sz w:val="20"/>
          <w:szCs w:val="20"/>
          <w:color w:val="auto"/>
        </w:rPr>
      </w:pPr>
    </w:p>
    <w:p>
      <w:pPr>
        <w:ind w:left="820" w:right="119" w:hanging="695"/>
        <w:spacing w:after="0" w:line="259" w:lineRule="auto"/>
        <w:tabs>
          <w:tab w:leader="none" w:pos="43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Right of Co-Sale</w:t>
      </w:r>
      <w:r>
        <w:rPr>
          <w:rFonts w:ascii="Arial" w:cs="Arial" w:eastAsia="Arial" w:hAnsi="Arial"/>
          <w:sz w:val="18"/>
          <w:szCs w:val="18"/>
          <w:color w:val="auto"/>
        </w:rPr>
        <w:t>. Each Major Shareholder shall have the right of co-sale with respect to shares of the Company, which any shareholder of the Company may, from time to time, propose to sell (the “</w:t>
      </w:r>
      <w:r>
        <w:rPr>
          <w:rFonts w:ascii="Arial" w:cs="Arial" w:eastAsia="Arial" w:hAnsi="Arial"/>
          <w:sz w:val="18"/>
          <w:szCs w:val="18"/>
          <w:b w:val="1"/>
          <w:bCs w:val="1"/>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w:t>
      </w:r>
      <w:r>
        <w:rPr>
          <w:rFonts w:ascii="Arial" w:cs="Arial" w:eastAsia="Arial" w:hAnsi="Arial"/>
          <w:sz w:val="18"/>
          <w:szCs w:val="18"/>
          <w:color w:val="auto"/>
        </w:rPr>
        <w:t>”). The right of co-sale shall not apply to any transfer of shares to Permitted Transferee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Shareholder.</w:t>
      </w:r>
    </w:p>
    <w:p>
      <w:pPr>
        <w:spacing w:after="0" w:line="186" w:lineRule="exact"/>
        <w:rPr>
          <w:rFonts w:ascii="Arial" w:cs="Arial" w:eastAsia="Arial" w:hAnsi="Arial"/>
          <w:sz w:val="18"/>
          <w:szCs w:val="18"/>
          <w:color w:val="auto"/>
        </w:rPr>
      </w:pPr>
    </w:p>
    <w:p>
      <w:pPr>
        <w:jc w:val="both"/>
        <w:ind w:left="800" w:right="119" w:hanging="369"/>
        <w:spacing w:after="0" w:line="285" w:lineRule="auto"/>
        <w:tabs>
          <w:tab w:leader="none" w:pos="780"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Notice of Right</w:t>
      </w:r>
      <w:r>
        <w:rPr>
          <w:rFonts w:ascii="Arial" w:cs="Arial" w:eastAsia="Arial" w:hAnsi="Arial"/>
          <w:sz w:val="16"/>
          <w:szCs w:val="16"/>
          <w:color w:val="auto"/>
        </w:rPr>
        <w:t>. Without derogating from the provisions of Article 29, should a Selling Shareholder proposes to sell or transfer any shares in accordance with subsection 29(d), the Selling Shareholder shall promptly deliver a written notice (the “</w:t>
      </w:r>
      <w:r>
        <w:rPr>
          <w:rFonts w:ascii="Arial" w:cs="Arial" w:eastAsia="Arial" w:hAnsi="Arial"/>
          <w:sz w:val="16"/>
          <w:szCs w:val="16"/>
          <w:b w:val="1"/>
          <w:bCs w:val="1"/>
          <w:color w:val="auto"/>
        </w:rPr>
        <w:t>Co-Sale Notice</w:t>
      </w:r>
      <w:r>
        <w:rPr>
          <w:rFonts w:ascii="Arial" w:cs="Arial" w:eastAsia="Arial" w:hAnsi="Arial"/>
          <w:sz w:val="16"/>
          <w:szCs w:val="16"/>
          <w:color w:val="auto"/>
        </w:rPr>
        <w:t>”) to the Company and the Major Shareholders. The Co-Sale Notice shall describe in reasonable detail the proposed sale or transfer, including, without limitation, the number and the type of shares to be sold or transferred, the nature of such sale or transfer, the consideration to be paid, the name and address of each prospective purchaser or transferee, and any other material terms and conditions upon which such sale or transfer is to be made, along with copies of all material proposed agreements relating to such sale, including but not limited to, purchase agreements, voting or proxy agreements, and other agreements or documents requested by the Company or the Major Shareholders. The Major Shareholders shall have fourteen (14) days from the date of delivery of any such Co-Sale Notice to agree to sell up to such holder’s pro-rata portion of the shares the Selling Shareholder proposes to sell, for the price and upon the terms specified in the Co-Sale Notice, by delivering written notice to the Company and the Selling Shareholder and stating therein the number of shares to be purchased. A Major Shareholder’s pro-rata portion shall be the ratio of the number of shares of the Ordinary Shares then held by such shareholder (on an as converted basis), as of the date of the Co-Sale Notice, to the sum of the total number of Ordinary Shares (on an as converted basis) held by all the Major Shareholders and the Selling Shareholder as of such date.</w:t>
      </w:r>
    </w:p>
    <w:p>
      <w:pPr>
        <w:spacing w:after="0" w:line="177" w:lineRule="exact"/>
        <w:rPr>
          <w:rFonts w:ascii="Arial" w:cs="Arial" w:eastAsia="Arial" w:hAnsi="Arial"/>
          <w:sz w:val="16"/>
          <w:szCs w:val="16"/>
          <w:color w:val="auto"/>
        </w:rPr>
      </w:pPr>
    </w:p>
    <w:p>
      <w:pPr>
        <w:ind w:left="820" w:hanging="389"/>
        <w:spacing w:after="0"/>
        <w:tabs>
          <w:tab w:leader="none" w:pos="820" w:val="left"/>
        </w:tabs>
        <w:numPr>
          <w:ilvl w:val="1"/>
          <w:numId w:val="164"/>
        </w:numPr>
        <w:rPr>
          <w:rFonts w:ascii="Arial" w:cs="Arial" w:eastAsia="Arial" w:hAnsi="Arial"/>
          <w:sz w:val="17"/>
          <w:szCs w:val="17"/>
          <w:color w:val="auto"/>
        </w:rPr>
      </w:pPr>
      <w:r>
        <w:rPr>
          <w:rFonts w:ascii="Arial" w:cs="Arial" w:eastAsia="Arial" w:hAnsi="Arial"/>
          <w:sz w:val="17"/>
          <w:szCs w:val="17"/>
          <w:u w:val="single" w:color="auto"/>
          <w:color w:val="auto"/>
        </w:rPr>
        <w:t>Lapse and Termination of Right</w:t>
      </w:r>
      <w:r>
        <w:rPr>
          <w:rFonts w:ascii="Arial" w:cs="Arial" w:eastAsia="Arial" w:hAnsi="Arial"/>
          <w:sz w:val="17"/>
          <w:szCs w:val="17"/>
          <w:color w:val="auto"/>
        </w:rPr>
        <w:t>.  The Selling Shareholder shall have sixty (60) days following the fourteen</w:t>
      </w:r>
    </w:p>
    <w:p>
      <w:pPr>
        <w:spacing w:after="0" w:line="34" w:lineRule="exact"/>
        <w:rPr>
          <w:rFonts w:ascii="Arial" w:cs="Arial" w:eastAsia="Arial" w:hAnsi="Arial"/>
          <w:sz w:val="17"/>
          <w:szCs w:val="17"/>
          <w:color w:val="auto"/>
        </w:rPr>
      </w:pPr>
    </w:p>
    <w:p>
      <w:pPr>
        <w:jc w:val="both"/>
        <w:ind w:left="800" w:right="119" w:firstLine="9"/>
        <w:spacing w:after="0" w:line="268" w:lineRule="auto"/>
        <w:tabs>
          <w:tab w:leader="none" w:pos="117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day period described in Article 30(b) to sell or enter into an agreement (pursuant to which the sale of Ordinary Shares covered thereby shall be closed, if at all, within thirty (30) days from the date of said agreement) to sell the Ordinary Shares with respect to which the Major Shareholders’ right of co-sale was not exercised, at a price and upon terms no more favorable to the purchasers of such securities than specified in the original Co-Sale Notice. In the event the Selling Shareholder has not sold the Ordinary Shares or entered into an agreement to sell the Ordinary Shares within said sixty (60) day period (or sold and issued Ordinary Shares in accordance with the foregoing within thirty (30) days from the date of said agreement), The Selling Shareholder shall not thereafter issue or sell any shares without first offering such securities to the Major Shareholders in the manner provided above.</w:t>
      </w:r>
    </w:p>
    <w:p>
      <w:pPr>
        <w:spacing w:after="0" w:line="182" w:lineRule="exact"/>
        <w:rPr>
          <w:rFonts w:ascii="Arial" w:cs="Arial" w:eastAsia="Arial" w:hAnsi="Arial"/>
          <w:sz w:val="17"/>
          <w:szCs w:val="17"/>
          <w:color w:val="auto"/>
        </w:rPr>
      </w:pPr>
    </w:p>
    <w:p>
      <w:pPr>
        <w:ind w:left="800" w:right="119" w:hanging="369"/>
        <w:spacing w:after="0" w:line="277" w:lineRule="auto"/>
        <w:tabs>
          <w:tab w:leader="none" w:pos="848"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Assignment of Co-Sale Right</w:t>
      </w:r>
      <w:r>
        <w:rPr>
          <w:rFonts w:ascii="Arial" w:cs="Arial" w:eastAsia="Arial" w:hAnsi="Arial"/>
          <w:sz w:val="18"/>
          <w:szCs w:val="18"/>
          <w:color w:val="auto"/>
        </w:rPr>
        <w:t>. The right of co-sale granted under this Article 30 may not be assigned or transferred.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3" w:name="page174"/>
    <w:bookmarkEnd w:id="173"/>
    <w:p>
      <w:pPr>
        <w:ind w:left="800" w:right="119" w:hanging="369"/>
        <w:spacing w:after="0" w:line="277" w:lineRule="auto"/>
        <w:tabs>
          <w:tab w:leader="none" w:pos="78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Termination of Co-Sale Right</w:t>
      </w:r>
      <w:r>
        <w:rPr>
          <w:rFonts w:ascii="Arial" w:cs="Arial" w:eastAsia="Arial" w:hAnsi="Arial"/>
          <w:sz w:val="18"/>
          <w:szCs w:val="18"/>
          <w:color w:val="auto"/>
        </w:rPr>
        <w:t>. The right of co-sale granted under this Article 29 shall expire upon, and shall not be applicable to, a Qualified IPO.</w:t>
      </w:r>
    </w:p>
    <w:p>
      <w:pPr>
        <w:spacing w:after="0" w:line="143" w:lineRule="exact"/>
        <w:rPr>
          <w:rFonts w:ascii="Arial" w:cs="Arial" w:eastAsia="Arial" w:hAnsi="Arial"/>
          <w:sz w:val="18"/>
          <w:szCs w:val="18"/>
          <w:color w:val="auto"/>
        </w:rPr>
      </w:pPr>
    </w:p>
    <w:p>
      <w:pPr>
        <w:ind w:left="800" w:hanging="369"/>
        <w:spacing w:after="0"/>
        <w:tabs>
          <w:tab w:leader="none" w:pos="8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Article 30 may only be amended by a Special Resolution.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BRING ALONG</w:t>
      </w:r>
    </w:p>
    <w:p>
      <w:pPr>
        <w:spacing w:after="0" w:line="202" w:lineRule="exact"/>
        <w:rPr>
          <w:sz w:val="20"/>
          <w:szCs w:val="20"/>
          <w:color w:val="auto"/>
        </w:rPr>
      </w:pPr>
    </w:p>
    <w:p>
      <w:pPr>
        <w:ind w:left="820" w:right="119" w:hanging="695"/>
        <w:spacing w:after="0" w:line="285" w:lineRule="auto"/>
        <w:tabs>
          <w:tab w:leader="none" w:pos="40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 Prior to a Qualified IPO and in accordance with and for the purpose of the provisions of Section 341 of the Law, in the event that a party (including an existing shareholder of the Company or an affiliate of an existing shareholder of the Company) (the “</w:t>
      </w:r>
      <w:r>
        <w:rPr>
          <w:rFonts w:ascii="Arial" w:cs="Arial" w:eastAsia="Arial" w:hAnsi="Arial"/>
          <w:sz w:val="16"/>
          <w:szCs w:val="16"/>
          <w:b w:val="1"/>
          <w:bCs w:val="1"/>
          <w:color w:val="auto"/>
        </w:rPr>
        <w:t>Offeror</w:t>
      </w:r>
      <w:r>
        <w:rPr>
          <w:rFonts w:ascii="Arial" w:cs="Arial" w:eastAsia="Arial" w:hAnsi="Arial"/>
          <w:sz w:val="16"/>
          <w:szCs w:val="16"/>
          <w:color w:val="auto"/>
        </w:rPr>
        <w:t>”) offers to purchase 100% of the outstanding shares of the Company, and such purchase is conditioned upon the sale of all of the outstanding shares of the Company (the “</w:t>
      </w:r>
      <w:r>
        <w:rPr>
          <w:rFonts w:ascii="Arial" w:cs="Arial" w:eastAsia="Arial" w:hAnsi="Arial"/>
          <w:sz w:val="16"/>
          <w:szCs w:val="16"/>
          <w:b w:val="1"/>
          <w:bCs w:val="1"/>
          <w:color w:val="auto"/>
        </w:rPr>
        <w:t>Offer</w:t>
      </w:r>
      <w:r>
        <w:rPr>
          <w:rFonts w:ascii="Arial" w:cs="Arial" w:eastAsia="Arial" w:hAnsi="Arial"/>
          <w:sz w:val="16"/>
          <w:szCs w:val="16"/>
          <w:color w:val="auto"/>
        </w:rPr>
        <w:t>”), and holders of 50% of the Company’s issued and outstanding share capital (on an as converted basis) (the “</w:t>
      </w:r>
      <w:r>
        <w:rPr>
          <w:rFonts w:ascii="Arial" w:cs="Arial" w:eastAsia="Arial" w:hAnsi="Arial"/>
          <w:sz w:val="16"/>
          <w:szCs w:val="16"/>
          <w:b w:val="1"/>
          <w:bCs w:val="1"/>
          <w:color w:val="auto"/>
        </w:rPr>
        <w:t>Majority</w:t>
      </w:r>
      <w:r>
        <w:rPr>
          <w:rFonts w:ascii="Arial" w:cs="Arial" w:eastAsia="Arial" w:hAnsi="Arial"/>
          <w:sz w:val="16"/>
          <w:szCs w:val="16"/>
          <w:color w:val="auto"/>
        </w:rPr>
        <w:t>”) have approved and accepted in writing the Offer within seven (7) calendar days of the general dissemination of such Offer to the shareholders of the Company (the “</w:t>
      </w:r>
      <w:r>
        <w:rPr>
          <w:rFonts w:ascii="Arial" w:cs="Arial" w:eastAsia="Arial" w:hAnsi="Arial"/>
          <w:sz w:val="16"/>
          <w:szCs w:val="16"/>
          <w:b w:val="1"/>
          <w:bCs w:val="1"/>
          <w:color w:val="auto"/>
        </w:rPr>
        <w:t>Bring-Along Transaction</w:t>
      </w:r>
      <w:r>
        <w:rPr>
          <w:rFonts w:ascii="Arial" w:cs="Arial" w:eastAsia="Arial" w:hAnsi="Arial"/>
          <w:sz w:val="16"/>
          <w:szCs w:val="16"/>
          <w:color w:val="auto"/>
        </w:rPr>
        <w:t>”), then the Offeror, or the Company, shall within seven (7) calendar days of the receipt of the consent of the Majority, notify the remaining shareholders (the “</w:t>
      </w:r>
      <w:r>
        <w:rPr>
          <w:rFonts w:ascii="Arial" w:cs="Arial" w:eastAsia="Arial" w:hAnsi="Arial"/>
          <w:sz w:val="16"/>
          <w:szCs w:val="16"/>
          <w:b w:val="1"/>
          <w:bCs w:val="1"/>
          <w:color w:val="auto"/>
        </w:rPr>
        <w:t>Remaining Shareholders</w:t>
      </w:r>
      <w:r>
        <w:rPr>
          <w:rFonts w:ascii="Arial" w:cs="Arial" w:eastAsia="Arial" w:hAnsi="Arial"/>
          <w:sz w:val="16"/>
          <w:szCs w:val="16"/>
          <w:color w:val="auto"/>
        </w:rPr>
        <w:t>”) in writing that the Offeror intends to purchase the shares of the Company held by the Remaining Shareholders (the “</w:t>
      </w:r>
      <w:r>
        <w:rPr>
          <w:rFonts w:ascii="Arial" w:cs="Arial" w:eastAsia="Arial" w:hAnsi="Arial"/>
          <w:sz w:val="16"/>
          <w:szCs w:val="16"/>
          <w:b w:val="1"/>
          <w:bCs w:val="1"/>
          <w:color w:val="auto"/>
        </w:rPr>
        <w:t>Bring-Along Notice</w:t>
      </w:r>
      <w:r>
        <w:rPr>
          <w:rFonts w:ascii="Arial" w:cs="Arial" w:eastAsia="Arial" w:hAnsi="Arial"/>
          <w:sz w:val="16"/>
          <w:szCs w:val="16"/>
          <w:color w:val="auto"/>
        </w:rPr>
        <w:t>”). The Remaining Shareholders hereby agree to sell all of their shares to the Offeror, if and only if the Offeror purchases the shares of the Majority and Remaining Shareholders on the same terms and conditions (including repayment of debts, release from guarantees, escrows, hold-backs of consideration, reductions or set offs in accordance with the Offer) and for the same price per share. The Remaining Shareholders shall vote in favor of any resolution brought before a General Meeting or execute any resolution in writing, in order to consummate the Bring Along Transaction, and to take all necessary steps and actions, including signing all documents and delivery of share certificates, as required to fully effect such transaction, and hereby expressly waive any appraisal rights with respect thereto.</w:t>
      </w:r>
    </w:p>
    <w:p>
      <w:pPr>
        <w:spacing w:after="0" w:line="148" w:lineRule="exact"/>
        <w:rPr>
          <w:rFonts w:ascii="Arial" w:cs="Arial" w:eastAsia="Arial" w:hAnsi="Arial"/>
          <w:sz w:val="16"/>
          <w:szCs w:val="16"/>
          <w:color w:val="auto"/>
        </w:rPr>
      </w:pPr>
    </w:p>
    <w:p>
      <w:pPr>
        <w:jc w:val="both"/>
        <w:ind w:left="800" w:right="119" w:hanging="369"/>
        <w:spacing w:after="0" w:line="273" w:lineRule="auto"/>
        <w:tabs>
          <w:tab w:leader="none" w:pos="788"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To the extent that the Offer is made by a person or entity who is an existing shareholder of the Company at the time of the Offer (the “</w:t>
      </w:r>
      <w:r>
        <w:rPr>
          <w:rFonts w:ascii="Arial" w:cs="Arial" w:eastAsia="Arial" w:hAnsi="Arial"/>
          <w:sz w:val="17"/>
          <w:szCs w:val="17"/>
          <w:b w:val="1"/>
          <w:bCs w:val="1"/>
          <w:color w:val="auto"/>
        </w:rPr>
        <w:t>Existing Shareholders</w:t>
      </w:r>
      <w:r>
        <w:rPr>
          <w:rFonts w:ascii="Arial" w:cs="Arial" w:eastAsia="Arial" w:hAnsi="Arial"/>
          <w:sz w:val="17"/>
          <w:szCs w:val="17"/>
          <w:color w:val="auto"/>
        </w:rPr>
        <w:t>”), its Affiliates or by any person or entity holding 25% or more of either the voting rights of such Existing Shareholder or the right to appoint directors to that Existing Shareholder’s Board of Directors, then the Existing Shareholder and its shareholdings shall not be counted towards the Majority, but such Majority shall mean for purpose of this subsection shareholders representing more than 50% of the issued and outstanding share capital of the Company (on an as converted basis).</w:t>
      </w:r>
    </w:p>
    <w:p>
      <w:pPr>
        <w:spacing w:after="0" w:line="151" w:lineRule="exact"/>
        <w:rPr>
          <w:rFonts w:ascii="Arial" w:cs="Arial" w:eastAsia="Arial" w:hAnsi="Arial"/>
          <w:sz w:val="17"/>
          <w:szCs w:val="17"/>
          <w:color w:val="auto"/>
        </w:rPr>
      </w:pPr>
    </w:p>
    <w:p>
      <w:pPr>
        <w:jc w:val="both"/>
        <w:ind w:left="800" w:right="119" w:hanging="369"/>
        <w:spacing w:after="0" w:line="259" w:lineRule="auto"/>
        <w:tabs>
          <w:tab w:leader="none" w:pos="82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 the event that the Offer made by the Offeror is to be consummated within 24 months from the Original Purchase Date, then, only in such case, the Majority for the purposes of subsection 31(a) above (subject to the provisions of subsection (b) above), shall be shareholders representing 70% of the issued and outstanding share capital of the Company (on an as converted basis).</w:t>
      </w:r>
    </w:p>
    <w:p>
      <w:pPr>
        <w:spacing w:after="0" w:line="159" w:lineRule="exact"/>
        <w:rPr>
          <w:rFonts w:ascii="Arial" w:cs="Arial" w:eastAsia="Arial" w:hAnsi="Arial"/>
          <w:sz w:val="18"/>
          <w:szCs w:val="18"/>
          <w:color w:val="auto"/>
        </w:rPr>
      </w:pPr>
    </w:p>
    <w:p>
      <w:pPr>
        <w:jc w:val="both"/>
        <w:ind w:left="800" w:right="119" w:hanging="369"/>
        <w:spacing w:after="0" w:line="273" w:lineRule="auto"/>
        <w:tabs>
          <w:tab w:leader="none" w:pos="81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Offeror may elect to make payment of the consideration due to the Remaining Shareholders, or any part thereof, to the Company, in which case, within seven (7) calendar days of the receipt by the Company of such consideration, the Company shall transfer the consideration to the applicable shareholders in accordance with the provisions of Article 7(b); and subject to receipt of consideration by the Remaining Shareholders or by the Company for their benefit, the Company shall register the Offeror as the owner of such shares, whether or not the share certificates representing such shares were returned to the Company.</w:t>
      </w:r>
    </w:p>
    <w:p>
      <w:pPr>
        <w:spacing w:after="0" w:line="151" w:lineRule="exact"/>
        <w:rPr>
          <w:rFonts w:ascii="Arial" w:cs="Arial" w:eastAsia="Arial" w:hAnsi="Arial"/>
          <w:sz w:val="17"/>
          <w:szCs w:val="17"/>
          <w:color w:val="auto"/>
        </w:rPr>
      </w:pPr>
    </w:p>
    <w:p>
      <w:pPr>
        <w:jc w:val="both"/>
        <w:ind w:left="800" w:right="119" w:hanging="369"/>
        <w:spacing w:after="0" w:line="255" w:lineRule="auto"/>
        <w:tabs>
          <w:tab w:leader="none" w:pos="75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With respect to each purchase of shares in an Offer pursuant to this Article 31, the purchase price for the shares so purchased shall be paid in full at such closing in cash or by certified check payable to the order of the shareholder against delivery of the appropriate certificates or instruments evidencing such shares, duly endorsed or with duly executed share powers attached thereto. Shares delivered at such closing shall be free and clear of all security interests and all title thereto, and all rights and privileges of ownership thereof, immediately shall be vested in the acquirer of such shares.</w:t>
      </w:r>
    </w:p>
    <w:p>
      <w:pPr>
        <w:spacing w:after="0" w:line="166" w:lineRule="exact"/>
        <w:rPr>
          <w:rFonts w:ascii="Arial" w:cs="Arial" w:eastAsia="Arial" w:hAnsi="Arial"/>
          <w:sz w:val="18"/>
          <w:szCs w:val="18"/>
          <w:color w:val="auto"/>
        </w:rPr>
      </w:pPr>
    </w:p>
    <w:p>
      <w:pPr>
        <w:jc w:val="both"/>
        <w:ind w:left="800" w:right="119" w:hanging="369"/>
        <w:spacing w:after="0" w:line="271" w:lineRule="auto"/>
        <w:tabs>
          <w:tab w:leader="none" w:pos="81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only representations, warranties or indemnities that the Remaining Shareholders shall be required to make in connection with the Offeror’s offer are representations, warranties and indemnities in the same form as those to be given by each of the other shareholders of the Company, and the total liability of the Remaining Shareholders shall in all cases be limited to no greater than the lower of: (A) the Remaining Shareholders’s pro rata portion of the total liability; and (B) the Remaining Shareholders’ pro rata portion of the consideration (for these purposes, “pro rata portion” shall mean a fraction, the numerator of which is the consideration payable to the Remaining Shareholders in the transaction and the denominator of which is the aggregate consideration payable to all shareholders of the Company in the transaction).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4" w:name="page175"/>
    <w:bookmarkEnd w:id="174"/>
    <w:p>
      <w:pPr>
        <w:ind w:left="800" w:right="119" w:hanging="369"/>
        <w:spacing w:after="0" w:line="308" w:lineRule="auto"/>
        <w:tabs>
          <w:tab w:leader="none" w:pos="79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This Article 31 may only be amended by a Special Resolution (as defined herein), except for an amendment in connection with a Qualified Investment, in which case a Special Resolution shall not be required.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CALLS</w:t>
      </w:r>
    </w:p>
    <w:p>
      <w:pPr>
        <w:spacing w:after="0" w:line="202" w:lineRule="exact"/>
        <w:rPr>
          <w:sz w:val="20"/>
          <w:szCs w:val="20"/>
          <w:color w:val="auto"/>
        </w:rPr>
      </w:pPr>
    </w:p>
    <w:p>
      <w:pPr>
        <w:jc w:val="both"/>
        <w:ind w:left="440" w:right="119" w:hanging="315"/>
        <w:spacing w:after="0" w:line="312" w:lineRule="auto"/>
        <w:tabs>
          <w:tab w:leader="none" w:pos="40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member shall not be entitled to receive dividends nor to use any right a member has, unless he has paid all the calls that shall be made from time to time, with respect of money unpaid on all of his shares, whether he is the sole holder or holds the shares together with another person, in addition to interest and expenses if there shall be any.</w:t>
      </w:r>
    </w:p>
    <w:p>
      <w:pPr>
        <w:spacing w:after="0" w:line="106" w:lineRule="exact"/>
        <w:rPr>
          <w:rFonts w:ascii="Arial" w:cs="Arial" w:eastAsia="Arial" w:hAnsi="Arial"/>
          <w:sz w:val="16"/>
          <w:szCs w:val="16"/>
          <w:color w:val="auto"/>
        </w:rPr>
      </w:pPr>
    </w:p>
    <w:p>
      <w:pPr>
        <w:jc w:val="both"/>
        <w:ind w:left="440" w:right="119" w:hanging="315"/>
        <w:spacing w:after="0" w:line="257" w:lineRule="auto"/>
        <w:tabs>
          <w:tab w:leader="none" w:pos="41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Board of Directors may, subject to the provisions of these Articles, make calls upon the members from time to time in respect of any moneys unpaid on their shares, as they shall determine proper, upon the condition that there shall be given prior notice of fourteen (14) business days on every call and each member shall be obligated to pay the total amount requested from him, or the installment on account of the call (if there shall so be) at the times and places to be determined by the Board of Directors.</w:t>
      </w:r>
    </w:p>
    <w:p>
      <w:pPr>
        <w:spacing w:after="0" w:line="147" w:lineRule="exact"/>
        <w:rPr>
          <w:rFonts w:ascii="Arial" w:cs="Arial" w:eastAsia="Arial" w:hAnsi="Arial"/>
          <w:sz w:val="18"/>
          <w:szCs w:val="18"/>
          <w:color w:val="auto"/>
        </w:rPr>
      </w:pPr>
    </w:p>
    <w:p>
      <w:pPr>
        <w:ind w:left="440" w:right="119" w:hanging="315"/>
        <w:spacing w:after="0" w:line="277" w:lineRule="auto"/>
        <w:tabs>
          <w:tab w:leader="none" w:pos="40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calls for payment shall be deemed to have been requested from the date the Board of Directors shall have decided upon the calls for payment.</w:t>
      </w:r>
    </w:p>
    <w:p>
      <w:pPr>
        <w:spacing w:after="0" w:line="143" w:lineRule="exact"/>
        <w:rPr>
          <w:rFonts w:ascii="Arial" w:cs="Arial" w:eastAsia="Arial" w:hAnsi="Arial"/>
          <w:sz w:val="18"/>
          <w:szCs w:val="18"/>
          <w:color w:val="auto"/>
        </w:rPr>
      </w:pPr>
    </w:p>
    <w:p>
      <w:pPr>
        <w:ind w:left="440" w:right="119" w:hanging="315"/>
        <w:spacing w:after="0" w:line="277" w:lineRule="auto"/>
        <w:tabs>
          <w:tab w:leader="none" w:pos="4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the calls for payment in full and the installment on account, in connection with such calls.</w:t>
      </w:r>
    </w:p>
    <w:p>
      <w:pPr>
        <w:spacing w:after="0" w:line="129" w:lineRule="exact"/>
        <w:rPr>
          <w:rFonts w:ascii="Arial" w:cs="Arial" w:eastAsia="Arial" w:hAnsi="Arial"/>
          <w:sz w:val="18"/>
          <w:szCs w:val="18"/>
          <w:color w:val="auto"/>
        </w:rPr>
      </w:pPr>
    </w:p>
    <w:p>
      <w:pPr>
        <w:jc w:val="both"/>
        <w:ind w:left="440" w:right="119" w:hanging="315"/>
        <w:spacing w:after="0" w:line="257" w:lineRule="auto"/>
        <w:tabs>
          <w:tab w:leader="none" w:pos="40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the holders of the share or the person to whom it has been issued shall be liable to pay interest and linkage differentials (hereinafter “</w:t>
      </w:r>
      <w:r>
        <w:rPr>
          <w:rFonts w:ascii="Arial" w:cs="Arial" w:eastAsia="Arial" w:hAnsi="Arial"/>
          <w:sz w:val="18"/>
          <w:szCs w:val="18"/>
          <w:b w:val="1"/>
          <w:bCs w:val="1"/>
          <w:color w:val="auto"/>
        </w:rPr>
        <w:t>interest</w:t>
      </w:r>
      <w:r>
        <w:rPr>
          <w:rFonts w:ascii="Arial" w:cs="Arial" w:eastAsia="Arial" w:hAnsi="Arial"/>
          <w:sz w:val="18"/>
          <w:szCs w:val="18"/>
          <w:color w:val="auto"/>
        </w:rPr>
        <w:t>”) upon the amount of the call or the payments on account, as determined by the Board of Directors commencing from the day appointed for the payment thereof to the time of actual payment, but the Board of Directors shall be at liberty to waive payment of that interest, wholly or in part.</w:t>
      </w:r>
    </w:p>
    <w:p>
      <w:pPr>
        <w:spacing w:after="0" w:line="147" w:lineRule="exact"/>
        <w:rPr>
          <w:rFonts w:ascii="Arial" w:cs="Arial" w:eastAsia="Arial" w:hAnsi="Arial"/>
          <w:sz w:val="18"/>
          <w:szCs w:val="18"/>
          <w:color w:val="auto"/>
        </w:rPr>
      </w:pPr>
    </w:p>
    <w:p>
      <w:pPr>
        <w:jc w:val="both"/>
        <w:ind w:left="440" w:right="119" w:hanging="315"/>
        <w:spacing w:after="0" w:line="255" w:lineRule="auto"/>
        <w:tabs>
          <w:tab w:leader="none" w:pos="4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amount that according to the condition of issuance of a share must be paid at the time of issuance or at a fixed date, whether on account of the sum of the share or premium, shall be deemed for the purposes of these Articles to be a call of payment that was made duly and the date of payment shall be the date appointed for payment. In the event of non-payment of this amount all of the Articles herein dealing with payment of interest, expenses, forfeiture, pledge and the like and all the other Articles connected therewith, shall apply, as if this sum had been duly requested and notice had been given, as aforesaid.</w:t>
      </w:r>
    </w:p>
    <w:p>
      <w:pPr>
        <w:spacing w:after="0" w:line="166" w:lineRule="exact"/>
        <w:rPr>
          <w:rFonts w:ascii="Arial" w:cs="Arial" w:eastAsia="Arial" w:hAnsi="Arial"/>
          <w:sz w:val="18"/>
          <w:szCs w:val="18"/>
          <w:color w:val="auto"/>
        </w:rPr>
      </w:pPr>
    </w:p>
    <w:p>
      <w:pPr>
        <w:ind w:left="440" w:right="119" w:hanging="315"/>
        <w:spacing w:after="0" w:line="308" w:lineRule="auto"/>
        <w:tabs>
          <w:tab w:leader="none" w:pos="41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Board of Directors may make arrangements at the time of issue of shares for a difference between the holders with respect to the amount of calls to be paid and the times of payment, and the rate of interest.</w:t>
      </w:r>
    </w:p>
    <w:p>
      <w:pPr>
        <w:spacing w:after="0" w:line="106" w:lineRule="exact"/>
        <w:rPr>
          <w:rFonts w:ascii="Arial" w:cs="Arial" w:eastAsia="Arial" w:hAnsi="Arial"/>
          <w:sz w:val="17"/>
          <w:szCs w:val="17"/>
          <w:color w:val="auto"/>
        </w:rPr>
      </w:pPr>
    </w:p>
    <w:p>
      <w:pPr>
        <w:jc w:val="both"/>
        <w:ind w:left="440" w:right="119" w:hanging="315"/>
        <w:spacing w:after="0" w:line="255" w:lineRule="auto"/>
        <w:tabs>
          <w:tab w:leader="none" w:pos="42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Board of Directors may, in its sole discretion, receive from any member willing to pay in advance all of the monies or a part thereof that shall be due on account of his shares, in addition to any amounts that the payment in fact has been requested and they shall be permitted to pay him interest at the rate the Board of Directors and member shall agree upon, for the amounts paid in advance as aforesaid, or upon the part thereof which is in excess of the amounts whose payment was at the time requested on account of his shares in connection with which the payments have been made in advance, in addition to paying dividends that will be paid for that part of the shares which has been paid in advance.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FORFEITURE OF SHARES</w:t>
      </w:r>
    </w:p>
    <w:p>
      <w:pPr>
        <w:spacing w:after="0" w:line="202" w:lineRule="exact"/>
        <w:rPr>
          <w:sz w:val="20"/>
          <w:szCs w:val="20"/>
          <w:color w:val="auto"/>
        </w:rPr>
      </w:pPr>
    </w:p>
    <w:p>
      <w:pPr>
        <w:jc w:val="both"/>
        <w:ind w:left="440" w:right="119" w:hanging="315"/>
        <w:spacing w:after="0" w:line="279" w:lineRule="auto"/>
        <w:tabs>
          <w:tab w:leader="none" w:pos="42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a member fails to pay any call or installment of a call on the day appointed for payment thereof, the Board of Directors may, at any time thereafter during such time as any part of such call or installment remains unpaid, serve a notice on him requiring payment of so much of the call or installment as is unpaid, together with any interest which may have accrued and any expenses that were incurred as a result of such non-payment.</w:t>
      </w:r>
    </w:p>
    <w:p>
      <w:pPr>
        <w:spacing w:after="0" w:line="130" w:lineRule="exact"/>
        <w:rPr>
          <w:rFonts w:ascii="Arial" w:cs="Arial" w:eastAsia="Arial" w:hAnsi="Arial"/>
          <w:sz w:val="17"/>
          <w:szCs w:val="17"/>
          <w:color w:val="auto"/>
        </w:rPr>
      </w:pPr>
    </w:p>
    <w:p>
      <w:pPr>
        <w:jc w:val="both"/>
        <w:ind w:left="440" w:right="119" w:hanging="315"/>
        <w:spacing w:after="0" w:line="257" w:lineRule="auto"/>
        <w:tabs>
          <w:tab w:leader="none" w:pos="40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seven (7) days from the date of the notice, on or before which the amount of the call or installment or a part thereof is to be made together with interest and any expenses incurred as a result of such non-payment. The notice shall also state the place the payment is to be made and that in the event of non-payment, at or before the time appointed, the shares in respect of which the call was made will be liable to be forfeited.</w:t>
      </w:r>
    </w:p>
    <w:p>
      <w:pPr>
        <w:spacing w:after="0" w:line="147" w:lineRule="exact"/>
        <w:rPr>
          <w:rFonts w:ascii="Arial" w:cs="Arial" w:eastAsia="Arial" w:hAnsi="Arial"/>
          <w:sz w:val="18"/>
          <w:szCs w:val="18"/>
          <w:color w:val="auto"/>
        </w:rPr>
      </w:pPr>
    </w:p>
    <w:p>
      <w:pPr>
        <w:jc w:val="both"/>
        <w:ind w:left="440" w:right="119" w:hanging="315"/>
        <w:spacing w:after="0" w:line="259" w:lineRule="auto"/>
        <w:tabs>
          <w:tab w:leader="none" w:pos="4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any share in respect of which the notice has been given may at any time thereafter, before the payment required by the notice has been made, be forfeited by a resolution of the Board of Directors to that effect. The forfeiture shall include those dividends that were declared but not yet distributed, with respect to the forfeited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5" w:name="page176"/>
    <w:bookmarkEnd w:id="175"/>
    <w:p>
      <w:pPr>
        <w:jc w:val="both"/>
        <w:ind w:left="440" w:right="119" w:hanging="315"/>
        <w:spacing w:after="0" w:line="286" w:lineRule="auto"/>
        <w:tabs>
          <w:tab w:leader="none" w:pos="40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share so forfeited shall be deemed to be the property of the Company and can be sold or otherwise disposed of, on such terms and in such manner as determined by the Board of Directors. At any time before a sale or disposition the forfeiture may be canceled on such terms as determined by the Board of Directors.</w:t>
      </w:r>
    </w:p>
    <w:p>
      <w:pPr>
        <w:spacing w:after="0" w:line="165" w:lineRule="exact"/>
        <w:rPr>
          <w:rFonts w:ascii="Arial" w:cs="Arial" w:eastAsia="Arial" w:hAnsi="Arial"/>
          <w:sz w:val="17"/>
          <w:szCs w:val="17"/>
          <w:color w:val="auto"/>
        </w:rPr>
      </w:pPr>
    </w:p>
    <w:p>
      <w:pPr>
        <w:jc w:val="both"/>
        <w:ind w:left="440" w:right="119" w:hanging="315"/>
        <w:spacing w:after="0" w:line="259" w:lineRule="auto"/>
        <w:tabs>
          <w:tab w:leader="none" w:pos="42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member in respect of the forfeited shares, but shall notwithstanding remain liable to pay to the Company all monies which, at the date of forfeiture, were presently payable by him to the Company in respect of the shares, but his liability shall cease if and when the Company receives payment in full of the nominal amount of the shares.</w:t>
      </w:r>
    </w:p>
    <w:p>
      <w:pPr>
        <w:spacing w:after="0" w:line="186" w:lineRule="exact"/>
        <w:rPr>
          <w:rFonts w:ascii="Arial" w:cs="Arial" w:eastAsia="Arial" w:hAnsi="Arial"/>
          <w:sz w:val="18"/>
          <w:szCs w:val="18"/>
          <w:color w:val="auto"/>
        </w:rPr>
      </w:pPr>
    </w:p>
    <w:p>
      <w:pPr>
        <w:jc w:val="both"/>
        <w:ind w:left="440" w:right="119" w:hanging="315"/>
        <w:spacing w:after="0" w:line="259" w:lineRule="auto"/>
        <w:tabs>
          <w:tab w:leader="none" w:pos="42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forfeiture of a share shall cause, at the time of forfeiture, the cancellation of all rights in the Company or any claim or demand against it with respect to that share and the other rights and obligations between the share owner and the Company accompanying the share, except for those rights and obligations not included in such a cancellation according to these Articles or that the Law imposes upon former members.</w:t>
      </w:r>
    </w:p>
    <w:p>
      <w:pPr>
        <w:spacing w:after="0" w:line="186" w:lineRule="exact"/>
        <w:rPr>
          <w:rFonts w:ascii="Arial" w:cs="Arial" w:eastAsia="Arial" w:hAnsi="Arial"/>
          <w:sz w:val="18"/>
          <w:szCs w:val="18"/>
          <w:color w:val="auto"/>
        </w:rPr>
      </w:pPr>
    </w:p>
    <w:p>
      <w:pPr>
        <w:jc w:val="both"/>
        <w:ind w:left="440" w:right="119" w:hanging="315"/>
        <w:spacing w:after="0" w:line="286" w:lineRule="auto"/>
        <w:tabs>
          <w:tab w:leader="none" w:pos="42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provisions of these Articles as to forfeiture shall apply in the case of non-payment of any sum which, by the terms of issue of a share, becomes payable at a fixed time, whether on account of the nominal value amount of the share, or by way of premium, as if the same had been payable by virtue of a call duly made and notified.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MODIFICATION OF CAPITAL</w:t>
      </w:r>
    </w:p>
    <w:p>
      <w:pPr>
        <w:spacing w:after="0" w:line="229" w:lineRule="exact"/>
        <w:rPr>
          <w:sz w:val="20"/>
          <w:szCs w:val="20"/>
          <w:color w:val="auto"/>
        </w:rPr>
      </w:pPr>
    </w:p>
    <w:p>
      <w:pPr>
        <w:ind w:left="440" w:right="119" w:hanging="315"/>
        <w:spacing w:after="0" w:line="277" w:lineRule="auto"/>
        <w:tabs>
          <w:tab w:leader="none" w:pos="42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Subject to the provisions of these Articles, including without limitation the provisions of Article 15, the Company may, from time to time, by an ordinary resolution of its shareholders:</w:t>
      </w:r>
    </w:p>
    <w:p>
      <w:pPr>
        <w:spacing w:after="0" w:line="116" w:lineRule="exact"/>
        <w:rPr>
          <w:rFonts w:ascii="Arial" w:cs="Arial" w:eastAsia="Arial" w:hAnsi="Arial"/>
          <w:sz w:val="18"/>
          <w:szCs w:val="18"/>
          <w:color w:val="auto"/>
        </w:rPr>
      </w:pPr>
    </w:p>
    <w:p>
      <w:pPr>
        <w:ind w:left="800" w:right="119" w:hanging="369"/>
        <w:spacing w:after="0" w:line="277" w:lineRule="auto"/>
        <w:tabs>
          <w:tab w:leader="none" w:pos="77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consolidate and divide all or any of its issued or unissued share capital into shares of larger nominal value than its existing shares;</w:t>
      </w:r>
    </w:p>
    <w:p>
      <w:pPr>
        <w:spacing w:after="0" w:line="116" w:lineRule="exact"/>
        <w:rPr>
          <w:rFonts w:ascii="Arial" w:cs="Arial" w:eastAsia="Arial" w:hAnsi="Arial"/>
          <w:sz w:val="18"/>
          <w:szCs w:val="18"/>
          <w:color w:val="auto"/>
        </w:rPr>
      </w:pPr>
    </w:p>
    <w:p>
      <w:pPr>
        <w:ind w:left="780" w:hanging="349"/>
        <w:spacing w:after="0"/>
        <w:tabs>
          <w:tab w:leader="none" w:pos="7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cancel any shares which have not been issued and/or taken or agreed to be taken by any person;</w:t>
      </w:r>
    </w:p>
    <w:p>
      <w:pPr>
        <w:spacing w:after="0" w:line="171" w:lineRule="exact"/>
        <w:rPr>
          <w:rFonts w:ascii="Arial" w:cs="Arial" w:eastAsia="Arial" w:hAnsi="Arial"/>
          <w:sz w:val="18"/>
          <w:szCs w:val="18"/>
          <w:color w:val="auto"/>
        </w:rPr>
      </w:pPr>
    </w:p>
    <w:p>
      <w:pPr>
        <w:jc w:val="both"/>
        <w:ind w:left="800" w:right="119" w:hanging="369"/>
        <w:spacing w:after="0" w:line="276" w:lineRule="auto"/>
        <w:tabs>
          <w:tab w:leader="none" w:pos="7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by subdivision of its existing shares, or any of them, divide the whole, or any part, of its share capital into shares of smaller amounts than is fixed in Article 6 above, subject, nevertheless, to the provisions of the Law and in a manner that with respect to the shares created as a result of the division it will be possible within the resolution of division to grant to one or more shares a preferable right or advantage with respect to dividend, capital, voting or otherwise over the remaining share or other similar shares;</w:t>
      </w:r>
    </w:p>
    <w:p>
      <w:pPr>
        <w:spacing w:after="0" w:line="118" w:lineRule="exact"/>
        <w:rPr>
          <w:rFonts w:ascii="Arial" w:cs="Arial" w:eastAsia="Arial" w:hAnsi="Arial"/>
          <w:sz w:val="17"/>
          <w:szCs w:val="17"/>
          <w:color w:val="auto"/>
        </w:rPr>
      </w:pPr>
    </w:p>
    <w:p>
      <w:pPr>
        <w:ind w:left="800" w:right="119" w:hanging="369"/>
        <w:spacing w:after="0" w:line="277" w:lineRule="auto"/>
        <w:tabs>
          <w:tab w:leader="none" w:pos="83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reduce its share capital and any fund reserved for capital redemption in the manner that it shall deem to be correct Law under the Law.</w:t>
      </w:r>
    </w:p>
    <w:p>
      <w:pPr>
        <w:spacing w:after="0" w:line="116" w:lineRule="exact"/>
        <w:rPr>
          <w:rFonts w:ascii="Arial" w:cs="Arial" w:eastAsia="Arial" w:hAnsi="Arial"/>
          <w:sz w:val="18"/>
          <w:szCs w:val="18"/>
          <w:color w:val="auto"/>
        </w:rPr>
      </w:pPr>
    </w:p>
    <w:p>
      <w:pPr>
        <w:ind w:left="760" w:hanging="329"/>
        <w:spacing w:after="0"/>
        <w:tabs>
          <w:tab w:leader="none" w:pos="7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issue redeemable shares and redeem the same, subject to the Law and any other applicable Law.</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INCREASE OF SHARE CAPITAL</w:t>
      </w:r>
    </w:p>
    <w:p>
      <w:pPr>
        <w:spacing w:after="0" w:line="229" w:lineRule="exact"/>
        <w:rPr>
          <w:sz w:val="20"/>
          <w:szCs w:val="20"/>
          <w:color w:val="auto"/>
        </w:rPr>
      </w:pPr>
    </w:p>
    <w:p>
      <w:pPr>
        <w:jc w:val="both"/>
        <w:ind w:left="440" w:right="119" w:hanging="315"/>
        <w:spacing w:after="0" w:line="255" w:lineRule="auto"/>
        <w:tabs>
          <w:tab w:leader="none" w:pos="42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Subject to the provisions of these Articles, the Company shall be permitted, from time to time, by a shareholder’s resolution, to increase its share capital — whether or not all its shares have been issued, or whether the shares issued have been paid in full — by creation of new shares. This new capital shall be in such an amount, divided into shares in such amounts and have such preferable or deferred or other special rights (subject always to the special rights conferred upon an existing class of share), subject to any condition and restrictions with respect to dividends, return of capital, voting or otherwise, all as shall be directed by the General Meeting in its resolution sanctioning the increase of the share capital.</w:t>
      </w:r>
    </w:p>
    <w:p>
      <w:pPr>
        <w:spacing w:after="0" w:line="189" w:lineRule="exact"/>
        <w:rPr>
          <w:rFonts w:ascii="Arial" w:cs="Arial" w:eastAsia="Arial" w:hAnsi="Arial"/>
          <w:sz w:val="18"/>
          <w:szCs w:val="18"/>
          <w:color w:val="auto"/>
        </w:rPr>
      </w:pPr>
    </w:p>
    <w:p>
      <w:pPr>
        <w:jc w:val="both"/>
        <w:ind w:left="440" w:right="119" w:hanging="315"/>
        <w:spacing w:after="0" w:line="279" w:lineRule="auto"/>
        <w:tabs>
          <w:tab w:leader="none" w:pos="43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Subject to the provisions of these Articles, and further subject to any decision to the contrary in the resolution sanctioning the increase in share capital, pursuant to these Articles, the new share capital shall be deemed to be part of the original share capital of the Company and shall be subject to the same provisions with reference to payment of calls, liens, title, forfeiture, transfer and otherwise as apply to the original share capital.</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GENERAL MEETINGS AND CLASS MEETINGS</w:t>
      </w:r>
    </w:p>
    <w:p>
      <w:pPr>
        <w:spacing w:after="0" w:line="229" w:lineRule="exact"/>
        <w:rPr>
          <w:sz w:val="20"/>
          <w:szCs w:val="20"/>
          <w:color w:val="auto"/>
        </w:rPr>
      </w:pPr>
    </w:p>
    <w:p>
      <w:pPr>
        <w:jc w:val="both"/>
        <w:ind w:left="440" w:right="119" w:hanging="315"/>
        <w:spacing w:after="0" w:line="264" w:lineRule="auto"/>
        <w:tabs>
          <w:tab w:leader="none" w:pos="41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annual meeting shall be held once in every year at such time, being not more than fifteen (15) months after the holding of the last preceding annual meeting, and place as may be prescribed by the Board of Directors. The above mentioned annual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6" w:name="page177"/>
    <w:bookmarkEnd w:id="176"/>
    <w:p>
      <w:pPr>
        <w:jc w:val="both"/>
        <w:ind w:left="440" w:right="119"/>
        <w:spacing w:after="0" w:line="261" w:lineRule="auto"/>
        <w:rPr>
          <w:sz w:val="20"/>
          <w:szCs w:val="20"/>
          <w:color w:val="auto"/>
        </w:rPr>
      </w:pPr>
      <w:r>
        <w:rPr>
          <w:rFonts w:ascii="Arial" w:cs="Arial" w:eastAsia="Arial" w:hAnsi="Arial"/>
          <w:sz w:val="18"/>
          <w:szCs w:val="18"/>
          <w:color w:val="auto"/>
        </w:rPr>
        <w:t>meetings shall be called “</w:t>
      </w:r>
      <w:r>
        <w:rPr>
          <w:rFonts w:ascii="Arial" w:cs="Arial" w:eastAsia="Arial" w:hAnsi="Arial"/>
          <w:sz w:val="18"/>
          <w:szCs w:val="18"/>
          <w:b w:val="1"/>
          <w:bCs w:val="1"/>
          <w:color w:val="auto"/>
        </w:rPr>
        <w:t>Annual Meetings</w:t>
      </w:r>
      <w:r>
        <w:rPr>
          <w:rFonts w:ascii="Arial" w:cs="Arial" w:eastAsia="Arial" w:hAnsi="Arial"/>
          <w:sz w:val="18"/>
          <w:szCs w:val="18"/>
          <w:color w:val="auto"/>
        </w:rPr>
        <w:t>” or “</w:t>
      </w:r>
      <w:r>
        <w:rPr>
          <w:rFonts w:ascii="Arial" w:cs="Arial" w:eastAsia="Arial" w:hAnsi="Arial"/>
          <w:sz w:val="18"/>
          <w:szCs w:val="18"/>
          <w:b w:val="1"/>
          <w:bCs w:val="1"/>
          <w:color w:val="auto"/>
        </w:rPr>
        <w:t>Ordinary Meetings</w:t>
      </w:r>
      <w:r>
        <w:rPr>
          <w:rFonts w:ascii="Arial" w:cs="Arial" w:eastAsia="Arial" w:hAnsi="Arial"/>
          <w:sz w:val="18"/>
          <w:szCs w:val="18"/>
          <w:color w:val="auto"/>
        </w:rPr>
        <w:t>”. All other shareholders meetings shall be called “</w:t>
      </w:r>
      <w:r>
        <w:rPr>
          <w:rFonts w:ascii="Arial" w:cs="Arial" w:eastAsia="Arial" w:hAnsi="Arial"/>
          <w:sz w:val="18"/>
          <w:szCs w:val="18"/>
          <w:b w:val="1"/>
          <w:bCs w:val="1"/>
          <w:color w:val="auto"/>
        </w:rPr>
        <w:t>Extraordinary Meetings</w:t>
      </w:r>
      <w:r>
        <w:rPr>
          <w:rFonts w:ascii="Arial" w:cs="Arial" w:eastAsia="Arial" w:hAnsi="Arial"/>
          <w:sz w:val="18"/>
          <w:szCs w:val="18"/>
          <w:color w:val="auto"/>
        </w:rPr>
        <w:t>.” An Annual Meeting, Ordinary Meeting or an Extraordinary Meeting of the shareholders shall be referred to as “</w:t>
      </w:r>
      <w:r>
        <w:rPr>
          <w:rFonts w:ascii="Arial" w:cs="Arial" w:eastAsia="Arial" w:hAnsi="Arial"/>
          <w:sz w:val="18"/>
          <w:szCs w:val="18"/>
          <w:b w:val="1"/>
          <w:bCs w:val="1"/>
          <w:color w:val="auto"/>
        </w:rPr>
        <w:t>General Meeting</w:t>
      </w:r>
      <w:r>
        <w:rPr>
          <w:rFonts w:ascii="Arial" w:cs="Arial" w:eastAsia="Arial" w:hAnsi="Arial"/>
          <w:sz w:val="18"/>
          <w:szCs w:val="18"/>
          <w:color w:val="auto"/>
        </w:rPr>
        <w:t>”. A meeting of holders of a class of shares shall be referred to as a “</w:t>
      </w:r>
      <w:r>
        <w:rPr>
          <w:rFonts w:ascii="Arial" w:cs="Arial" w:eastAsia="Arial" w:hAnsi="Arial"/>
          <w:sz w:val="18"/>
          <w:szCs w:val="18"/>
          <w:b w:val="1"/>
          <w:bCs w:val="1"/>
          <w:color w:val="auto"/>
        </w:rPr>
        <w:t>Class Meeting</w:t>
      </w:r>
      <w:r>
        <w:rPr>
          <w:rFonts w:ascii="Arial" w:cs="Arial" w:eastAsia="Arial" w:hAnsi="Arial"/>
          <w:sz w:val="18"/>
          <w:szCs w:val="18"/>
          <w:color w:val="auto"/>
        </w:rPr>
        <w:t>” or a “</w:t>
      </w:r>
      <w:r>
        <w:rPr>
          <w:rFonts w:ascii="Arial" w:cs="Arial" w:eastAsia="Arial" w:hAnsi="Arial"/>
          <w:sz w:val="18"/>
          <w:szCs w:val="18"/>
          <w:b w:val="1"/>
          <w:bCs w:val="1"/>
          <w:color w:val="auto"/>
        </w:rPr>
        <w:t>Category Meeting</w:t>
      </w:r>
      <w:r>
        <w:rPr>
          <w:rFonts w:ascii="Arial" w:cs="Arial" w:eastAsia="Arial" w:hAnsi="Arial"/>
          <w:sz w:val="18"/>
          <w:szCs w:val="18"/>
          <w:color w:val="auto"/>
        </w:rPr>
        <w:t>.”</w:t>
      </w:r>
    </w:p>
    <w:p>
      <w:pPr>
        <w:spacing w:after="0" w:line="144" w:lineRule="exact"/>
        <w:rPr>
          <w:sz w:val="20"/>
          <w:szCs w:val="20"/>
          <w:color w:val="auto"/>
        </w:rPr>
      </w:pPr>
    </w:p>
    <w:p>
      <w:pPr>
        <w:ind w:left="460" w:right="119"/>
        <w:spacing w:after="0" w:line="277" w:lineRule="auto"/>
        <w:rPr>
          <w:sz w:val="20"/>
          <w:szCs w:val="20"/>
          <w:color w:val="auto"/>
        </w:rPr>
      </w:pPr>
      <w:r>
        <w:rPr>
          <w:rFonts w:ascii="Arial" w:cs="Arial" w:eastAsia="Arial" w:hAnsi="Arial"/>
          <w:sz w:val="18"/>
          <w:szCs w:val="18"/>
          <w:color w:val="auto"/>
        </w:rPr>
        <w:t xml:space="preserve">The provisions of the Articles relating to General Meetings shall, </w:t>
      </w:r>
      <w:r>
        <w:rPr>
          <w:rFonts w:ascii="Arial" w:cs="Arial" w:eastAsia="Arial" w:hAnsi="Arial"/>
          <w:sz w:val="18"/>
          <w:szCs w:val="18"/>
          <w:i w:val="1"/>
          <w:iCs w:val="1"/>
          <w:color w:val="auto"/>
        </w:rPr>
        <w:t>mutatis mutandis</w:t>
      </w:r>
      <w:r>
        <w:rPr>
          <w:rFonts w:ascii="Arial" w:cs="Arial" w:eastAsia="Arial" w:hAnsi="Arial"/>
          <w:sz w:val="18"/>
          <w:szCs w:val="18"/>
          <w:color w:val="auto"/>
        </w:rPr>
        <w:t>, apply to any separate Class Meeting.</w:t>
      </w:r>
    </w:p>
    <w:p>
      <w:pPr>
        <w:spacing w:after="0" w:line="143" w:lineRule="exact"/>
        <w:rPr>
          <w:sz w:val="20"/>
          <w:szCs w:val="20"/>
          <w:color w:val="auto"/>
        </w:rPr>
      </w:pPr>
    </w:p>
    <w:p>
      <w:pPr>
        <w:ind w:left="460" w:right="119"/>
        <w:spacing w:after="0" w:line="277" w:lineRule="auto"/>
        <w:rPr>
          <w:sz w:val="20"/>
          <w:szCs w:val="20"/>
          <w:color w:val="auto"/>
        </w:rPr>
      </w:pPr>
      <w:r>
        <w:rPr>
          <w:rFonts w:ascii="Arial" w:cs="Arial" w:eastAsia="Arial" w:hAnsi="Arial"/>
          <w:sz w:val="18"/>
          <w:szCs w:val="18"/>
          <w:color w:val="auto"/>
        </w:rPr>
        <w:t>In addition to any other requirements under these Articles or under the Law or under any other applicable law, the following resolutions shall be adopted by a General Meeting of the Company.</w:t>
      </w:r>
    </w:p>
    <w:p>
      <w:pPr>
        <w:spacing w:after="0" w:line="130" w:lineRule="exact"/>
        <w:rPr>
          <w:sz w:val="20"/>
          <w:szCs w:val="20"/>
          <w:color w:val="auto"/>
        </w:rPr>
      </w:pPr>
    </w:p>
    <w:p>
      <w:pPr>
        <w:ind w:left="760" w:hanging="329"/>
        <w:spacing w:after="0"/>
        <w:tabs>
          <w:tab w:leader="none" w:pos="7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changes in the Articles, as specified in Section 20 of the Law;</w:t>
      </w:r>
    </w:p>
    <w:p>
      <w:pPr>
        <w:spacing w:after="0" w:line="171" w:lineRule="exact"/>
        <w:rPr>
          <w:rFonts w:ascii="Arial" w:cs="Arial" w:eastAsia="Arial" w:hAnsi="Arial"/>
          <w:sz w:val="18"/>
          <w:szCs w:val="18"/>
          <w:color w:val="auto"/>
        </w:rPr>
      </w:pPr>
    </w:p>
    <w:p>
      <w:pPr>
        <w:ind w:left="780" w:hanging="349"/>
        <w:spacing w:after="0"/>
        <w:tabs>
          <w:tab w:leader="none" w:pos="7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exercise of the powers of the Board of Directors in accordance with the provisions of Section 52(a) of the Law;</w:t>
      </w:r>
    </w:p>
    <w:p>
      <w:pPr>
        <w:spacing w:after="0" w:line="194" w:lineRule="exact"/>
        <w:rPr>
          <w:rFonts w:ascii="Arial" w:cs="Arial" w:eastAsia="Arial" w:hAnsi="Arial"/>
          <w:sz w:val="16"/>
          <w:szCs w:val="16"/>
          <w:color w:val="auto"/>
        </w:rPr>
      </w:pPr>
    </w:p>
    <w:p>
      <w:pPr>
        <w:ind w:left="800" w:right="119" w:hanging="369"/>
        <w:spacing w:after="0" w:line="277" w:lineRule="auto"/>
        <w:tabs>
          <w:tab w:leader="none" w:pos="83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appointment of the Company’s Auditor, the terms of its employment and termination of its employment in accordance with the provisions of Sections 154 to 167 of the Law;</w:t>
      </w:r>
    </w:p>
    <w:p>
      <w:pPr>
        <w:spacing w:after="0" w:line="116" w:lineRule="exact"/>
        <w:rPr>
          <w:rFonts w:ascii="Arial" w:cs="Arial" w:eastAsia="Arial" w:hAnsi="Arial"/>
          <w:sz w:val="18"/>
          <w:szCs w:val="18"/>
          <w:color w:val="auto"/>
        </w:rPr>
      </w:pPr>
    </w:p>
    <w:p>
      <w:pPr>
        <w:ind w:left="780" w:hanging="349"/>
        <w:spacing w:after="0"/>
        <w:tabs>
          <w:tab w:leader="none" w:pos="7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appointment of External Directors, in accordance with the provisions of Section 239 of the Law;</w:t>
      </w:r>
    </w:p>
    <w:p>
      <w:pPr>
        <w:spacing w:after="0" w:line="171" w:lineRule="exact"/>
        <w:rPr>
          <w:rFonts w:ascii="Arial" w:cs="Arial" w:eastAsia="Arial" w:hAnsi="Arial"/>
          <w:sz w:val="18"/>
          <w:szCs w:val="18"/>
          <w:color w:val="auto"/>
        </w:rPr>
      </w:pPr>
    </w:p>
    <w:p>
      <w:pPr>
        <w:ind w:left="800" w:right="119" w:hanging="369"/>
        <w:spacing w:after="0" w:line="277" w:lineRule="auto"/>
        <w:tabs>
          <w:tab w:leader="none" w:pos="77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approval of acts and transactions that require approval by the General Meeting under the provisions of Sections 255 and 268 to 275 of the Law;</w:t>
      </w:r>
    </w:p>
    <w:p>
      <w:pPr>
        <w:spacing w:after="0" w:line="116" w:lineRule="exact"/>
        <w:rPr>
          <w:rFonts w:ascii="Arial" w:cs="Arial" w:eastAsia="Arial" w:hAnsi="Arial"/>
          <w:sz w:val="18"/>
          <w:szCs w:val="18"/>
          <w:color w:val="auto"/>
        </w:rPr>
      </w:pPr>
    </w:p>
    <w:p>
      <w:pPr>
        <w:ind w:left="800" w:right="119" w:hanging="369"/>
        <w:spacing w:after="0" w:line="277" w:lineRule="auto"/>
        <w:tabs>
          <w:tab w:leader="none" w:pos="79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increase and reduction of the registered share capital, in accordance with the provisions of Sections 286 and 287 of the Law; and</w:t>
      </w:r>
    </w:p>
    <w:p>
      <w:pPr>
        <w:spacing w:after="0" w:line="116" w:lineRule="exact"/>
        <w:rPr>
          <w:rFonts w:ascii="Arial" w:cs="Arial" w:eastAsia="Arial" w:hAnsi="Arial"/>
          <w:sz w:val="18"/>
          <w:szCs w:val="18"/>
          <w:color w:val="auto"/>
        </w:rPr>
      </w:pPr>
    </w:p>
    <w:p>
      <w:pPr>
        <w:ind w:left="780" w:hanging="349"/>
        <w:spacing w:after="0"/>
        <w:tabs>
          <w:tab w:leader="none" w:pos="7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merger, as described in Section 320(a) of the Law.</w:t>
      </w:r>
    </w:p>
    <w:p>
      <w:pPr>
        <w:spacing w:after="0" w:line="184" w:lineRule="exact"/>
        <w:rPr>
          <w:rFonts w:ascii="Arial" w:cs="Arial" w:eastAsia="Arial" w:hAnsi="Arial"/>
          <w:sz w:val="18"/>
          <w:szCs w:val="18"/>
          <w:color w:val="auto"/>
        </w:rPr>
      </w:pPr>
    </w:p>
    <w:p>
      <w:pPr>
        <w:jc w:val="both"/>
        <w:ind w:left="440" w:right="119" w:hanging="315"/>
        <w:spacing w:after="0" w:line="297" w:lineRule="auto"/>
        <w:tabs>
          <w:tab w:leader="none" w:pos="41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Subject to the provisions of these Articles, the function of the Annual Meeting shall be to elect the members of the Board of Directors to receive and to deliberate with respect to the profit and loss statements, the balance sheets, the ordinary reports and accounts of the Board of Directors and Auditors; to declare dividends, to appoint Auditors and to fix their salaries and to transact any other business which under these Articles or under the Law are to be transacted at a General Meeting, as shall be determined by the Board of Directors from time to time.</w:t>
      </w:r>
    </w:p>
    <w:p>
      <w:pPr>
        <w:spacing w:after="0" w:line="131" w:lineRule="exact"/>
        <w:rPr>
          <w:rFonts w:ascii="Arial" w:cs="Arial" w:eastAsia="Arial" w:hAnsi="Arial"/>
          <w:sz w:val="16"/>
          <w:szCs w:val="16"/>
          <w:color w:val="auto"/>
        </w:rPr>
      </w:pPr>
    </w:p>
    <w:p>
      <w:pPr>
        <w:jc w:val="both"/>
        <w:ind w:left="440" w:right="119" w:hanging="315"/>
        <w:spacing w:after="0" w:line="254" w:lineRule="auto"/>
        <w:tabs>
          <w:tab w:leader="none" w:pos="41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Board of Directors, or any of its members, at their sole discretion and upon a requisition in writing as provided for in Section 63 of the Law, may convene an Extraordinary Meeting. Every such requisition shall include the objects for which a meeting should be convened, shall be signed by the requisitioners and shall be sent to the registered office of the Company. If the Board of Directors does not convene a meeting within twenty one (21) days from the date of the submission of the requisition as aforesaid, the requisitioners may convene by themselves a meeting in accordance with the provisions of Section 64 of the Law. However, the meeting which was so convened shall not be held after three (3) months have passed since the date of the submission of the requisition as provided therein.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NOTICE OF GENERAL MEETINGS</w:t>
      </w:r>
    </w:p>
    <w:p>
      <w:pPr>
        <w:spacing w:after="0" w:line="189" w:lineRule="exact"/>
        <w:rPr>
          <w:sz w:val="20"/>
          <w:szCs w:val="20"/>
          <w:color w:val="auto"/>
        </w:rPr>
      </w:pPr>
    </w:p>
    <w:p>
      <w:pPr>
        <w:ind w:left="820" w:right="119" w:hanging="695"/>
        <w:spacing w:after="0" w:line="253" w:lineRule="auto"/>
        <w:tabs>
          <w:tab w:leader="none" w:pos="4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A prior notice of five (5) days at least but no more than forty five (45) days, shall be given with respect to the place, date and hour of any General Meeting, and the general nature of each item to be acted upon thereon. The notice shall be given, as herein below provided for, to the members entitled pursuant to these Articles to receive notices from the Company. If, by chance, a notice as aforesaid was not given or not received by a member, this shall not automatically result in a disqualification of the resolution passed or disqualification of the proceedings held at that General Meeting. With the consent of all the members who are entitled, at that time, to receive notices, it shall be permitted to convene all General Meetings and to resolve all types of resolutions, upon a shorter advance notice or without any notice and in such manner, generally, as such be approved by the members.</w:t>
      </w:r>
    </w:p>
    <w:p>
      <w:pPr>
        <w:spacing w:after="0" w:line="170" w:lineRule="exact"/>
        <w:rPr>
          <w:sz w:val="20"/>
          <w:szCs w:val="20"/>
          <w:color w:val="auto"/>
        </w:rPr>
      </w:pPr>
    </w:p>
    <w:p>
      <w:pPr>
        <w:ind w:left="800" w:right="119" w:hanging="369"/>
        <w:spacing w:after="0" w:line="277" w:lineRule="auto"/>
        <w:tabs>
          <w:tab w:leader="none" w:pos="81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will send copies of the financial reports to the Company’s shareholders no later than three (3) days prior to the Annual Meeting.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QUORUM</w:t>
      </w:r>
    </w:p>
    <w:p>
      <w:pPr>
        <w:spacing w:after="0" w:line="229" w:lineRule="exact"/>
        <w:rPr>
          <w:sz w:val="20"/>
          <w:szCs w:val="20"/>
          <w:color w:val="auto"/>
        </w:rPr>
      </w:pPr>
    </w:p>
    <w:p>
      <w:pPr>
        <w:ind w:left="820" w:right="119" w:hanging="695"/>
        <w:spacing w:after="0" w:line="264" w:lineRule="auto"/>
        <w:tabs>
          <w:tab w:leader="none" w:pos="42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No deliberation shall be commenced with respect to any matter at a General Meeting unless there shall be present a quorum at the time when the General Meeting proceeds to deliberate. A quorum shall be formed when there 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7" w:name="page178"/>
    <w:bookmarkEnd w:id="177"/>
    <w:p>
      <w:pPr>
        <w:jc w:val="both"/>
        <w:ind w:left="820" w:right="119"/>
        <w:spacing w:after="0" w:line="259" w:lineRule="auto"/>
        <w:rPr>
          <w:sz w:val="20"/>
          <w:szCs w:val="20"/>
          <w:color w:val="auto"/>
        </w:rPr>
      </w:pPr>
      <w:r>
        <w:rPr>
          <w:rFonts w:ascii="Arial" w:cs="Arial" w:eastAsia="Arial" w:hAnsi="Arial"/>
          <w:sz w:val="18"/>
          <w:szCs w:val="18"/>
          <w:color w:val="auto"/>
        </w:rPr>
        <w:t>present personally or by proxy at least two (2) shareholders who hold or represent together 50% of the voting rights of the issued and outstanding share capital of the Company. The number of shareholders or minimum shareholding required for presence of quorum under this sub article 54 (a) may only be reduced by a Special Resolution.</w:t>
      </w:r>
    </w:p>
    <w:p>
      <w:pPr>
        <w:spacing w:after="0" w:line="187" w:lineRule="exact"/>
        <w:rPr>
          <w:sz w:val="20"/>
          <w:szCs w:val="20"/>
          <w:color w:val="auto"/>
        </w:rPr>
      </w:pPr>
    </w:p>
    <w:p>
      <w:pPr>
        <w:jc w:val="both"/>
        <w:ind w:left="800" w:right="119" w:hanging="369"/>
        <w:spacing w:after="0" w:line="270" w:lineRule="auto"/>
        <w:tabs>
          <w:tab w:leader="none" w:pos="80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within half an hour from the time appointed for the General Meeting a quorum is not present, the meeting shall stand adjourned to the same day in the next week at the same place and time, or any other day and/or any other hour and/or any other place as the directors shall notify the shareholders, and, if at the second meeting a quorum is not present within half an hour from the time appointed for the meeting, any one shareholder present personally or by proxy shall be a quorum and he/she shall be entitled to deliberate and to resolve any matters for which the initial meeting was convened. However, if the General Meeting was convened upon requisition under Section 63 or 64 of the Law, then the adjourned meeting shall only be held if at least shareholders in the number required for the convening of a meeting as specified in Section 63 of the Law is present. No business shall be transacted at any adjourned meeting except business which might lawfully have been transacted at a meeting as originally called.</w:t>
      </w:r>
    </w:p>
    <w:p>
      <w:pPr>
        <w:spacing w:after="0" w:line="177" w:lineRule="exact"/>
        <w:rPr>
          <w:rFonts w:ascii="Arial" w:cs="Arial" w:eastAsia="Arial" w:hAnsi="Arial"/>
          <w:sz w:val="17"/>
          <w:szCs w:val="17"/>
          <w:color w:val="auto"/>
        </w:rPr>
      </w:pPr>
    </w:p>
    <w:p>
      <w:pPr>
        <w:jc w:val="both"/>
        <w:ind w:left="800" w:right="119" w:hanging="369"/>
        <w:spacing w:after="0" w:line="264" w:lineRule="auto"/>
        <w:tabs>
          <w:tab w:leader="none" w:pos="79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Until the earlier to occur of a Qualified Investment or a Qualified IPO, the following resolutions will only be adopted by a special majority of the holders of sixty five percent (65%) of the issued and outstanding share capital of the Company (“</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1160" w:right="119" w:hanging="369"/>
        <w:spacing w:after="0" w:line="271" w:lineRule="auto"/>
        <w:tabs>
          <w:tab w:leader="none" w:pos="1193" w:val="left"/>
        </w:tabs>
        <w:numPr>
          <w:ilvl w:val="1"/>
          <w:numId w:val="179"/>
        </w:numPr>
        <w:rPr>
          <w:rFonts w:ascii="Arial" w:cs="Arial" w:eastAsia="Arial" w:hAnsi="Arial"/>
          <w:sz w:val="17"/>
          <w:szCs w:val="17"/>
          <w:color w:val="auto"/>
        </w:rPr>
      </w:pPr>
      <w:r>
        <w:rPr>
          <w:rFonts w:ascii="Arial" w:cs="Arial" w:eastAsia="Arial" w:hAnsi="Arial"/>
          <w:sz w:val="17"/>
          <w:szCs w:val="17"/>
          <w:color w:val="auto"/>
        </w:rPr>
        <w:t>changing the rights attached to the Preferred A-1 shares in a way which grants the Preferred A-1 shares preference (other than existing liquidation preference) over the Ordinary Shares, by adoption of any resolution or execution of any other document amending or altering or waiving any provision of Company’s Articles of Association in order to directly effect such change. The issuance by the Company or the creation of additional shares of Preferred A-1 or a class ranking pari passu with Preferred A-1 upon and subject to receipt of additional financing at or above the Original A-1 Price Per Share, or of a superior class, shall not be deemed, for the purpose of this Article, to modify or alter the rights attached to the previously issued shares of the A-1 class or of any other class.</w:t>
      </w:r>
    </w:p>
    <w:p>
      <w:pPr>
        <w:spacing w:after="0" w:line="178" w:lineRule="exact"/>
        <w:rPr>
          <w:rFonts w:ascii="Arial" w:cs="Arial" w:eastAsia="Arial" w:hAnsi="Arial"/>
          <w:sz w:val="17"/>
          <w:szCs w:val="17"/>
          <w:color w:val="auto"/>
        </w:rPr>
      </w:pPr>
    </w:p>
    <w:p>
      <w:pPr>
        <w:ind w:left="1160" w:right="119" w:hanging="369"/>
        <w:spacing w:after="0" w:line="277" w:lineRule="auto"/>
        <w:tabs>
          <w:tab w:leader="none" w:pos="129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authorization of any transaction of the Company with any controlling shareholder or an Affiliate thereof and a transaction with a director appointed by such controlling shareholder.</w:t>
      </w:r>
    </w:p>
    <w:p>
      <w:pPr>
        <w:spacing w:after="0" w:line="170" w:lineRule="exact"/>
        <w:rPr>
          <w:sz w:val="20"/>
          <w:szCs w:val="20"/>
          <w:color w:val="auto"/>
        </w:rPr>
      </w:pPr>
    </w:p>
    <w:p>
      <w:pPr>
        <w:jc w:val="both"/>
        <w:ind w:left="120" w:right="119"/>
        <w:spacing w:after="0" w:line="273" w:lineRule="auto"/>
        <w:rPr>
          <w:sz w:val="20"/>
          <w:szCs w:val="20"/>
          <w:color w:val="auto"/>
        </w:rPr>
      </w:pPr>
      <w:r>
        <w:rPr>
          <w:rFonts w:ascii="Arial" w:cs="Arial" w:eastAsia="Arial" w:hAnsi="Arial"/>
          <w:sz w:val="17"/>
          <w:szCs w:val="17"/>
          <w:color w:val="auto"/>
        </w:rPr>
        <w:t>Notwithstanding the aforesaid, to the extent that a Special Resolution is required under these Articles and it may be adopted in accordance with the Law and these Articles, by the Board of Directors, such resolution shall require the affirmative vote of one of the directors appointed by the Initial Investors Group and the Founders Group, provided however, that if such resolution is brought solely to the approval of the Board of Directors without it being submitted to the approval of a subsequent shareholders meeting, then, only in such case, such resolution shall require the affirmative vote of the two directors appointed by the Initial Investors Group and the Founders Group.</w:t>
      </w:r>
    </w:p>
    <w:p>
      <w:pPr>
        <w:spacing w:after="0" w:line="178"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8"/>
          <w:szCs w:val="18"/>
          <w:color w:val="auto"/>
        </w:rPr>
        <w:t>In any case of conflict between the provisions of this Article 54 and any other Articles, this Article 54 shall prevail, unless specifically stated to the contrary herein.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CHAIRMAN</w:t>
      </w:r>
    </w:p>
    <w:p>
      <w:pPr>
        <w:spacing w:after="0" w:line="229" w:lineRule="exact"/>
        <w:rPr>
          <w:sz w:val="20"/>
          <w:szCs w:val="20"/>
          <w:color w:val="auto"/>
        </w:rPr>
      </w:pPr>
    </w:p>
    <w:p>
      <w:pPr>
        <w:jc w:val="both"/>
        <w:ind w:left="440" w:right="119" w:hanging="315"/>
        <w:spacing w:after="0" w:line="270" w:lineRule="auto"/>
        <w:tabs>
          <w:tab w:leader="none" w:pos="40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Unless otherwise decided by the Board of Directors, the Chairman of the Board of Directors (as defined in Article 75) shall preside as chairman at the General Meetings of the Company. If the Chairman is not present within 15 minutes from the time appointed for a General Meeting or if the Chairman shall refuse to preside at a General Meeting, then the Co-Chairman (as defined in Article 75) shall preside as chairman for such General Meeting. If the Co-Chairman is not present at the General Meeting or if the Co-Chairman shall refuse to preside at the General Meeting, the members present shall elect one of the members of the Board of Directors to act as chairman for the duration of the General Meeting, and if only one director is present she/he shall act as chairman. If no members of the Board of Directors are present or if they all refuse to preside at the General Meeting the members present shall elect one of the members present to preside at the General Meeting. Both the Chairman and the Co-Chairman shall have no special rights or privileges.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POWER TO ADJOURN</w:t>
      </w:r>
    </w:p>
    <w:p>
      <w:pPr>
        <w:spacing w:after="0" w:line="229" w:lineRule="exact"/>
        <w:rPr>
          <w:sz w:val="20"/>
          <w:szCs w:val="20"/>
          <w:color w:val="auto"/>
        </w:rPr>
      </w:pPr>
    </w:p>
    <w:p>
      <w:pPr>
        <w:jc w:val="both"/>
        <w:ind w:left="440" w:right="119" w:hanging="315"/>
        <w:spacing w:after="0" w:line="259" w:lineRule="auto"/>
        <w:tabs>
          <w:tab w:leader="none" w:pos="4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Chairman may, with the consent of any General Meeting at which a quorum is present, and shall if so directed by the General Meeting, adjourn the General Meeting from time to time and from place to place, as the General Meeting shall decide. If the General Meeting shall be adjourned for ten (10) days or more a notice shall be jointly given of the adjourned</w:t>
      </w:r>
    </w:p>
    <w:p>
      <w:pPr>
        <w:sectPr>
          <w:pgSz w:w="11900" w:h="16838" w:orient="portrait"/>
          <w:cols w:equalWidth="0" w:num="1">
            <w:col w:w="9019"/>
          </w:cols>
          <w:pgMar w:left="1440" w:top="125"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78" w:name="page179"/>
    <w:bookmarkEnd w:id="178"/>
    <w:p>
      <w:pPr>
        <w:jc w:val="both"/>
        <w:ind w:left="440" w:right="119"/>
        <w:spacing w:after="0" w:line="259" w:lineRule="auto"/>
        <w:rPr>
          <w:sz w:val="20"/>
          <w:szCs w:val="20"/>
          <w:color w:val="auto"/>
        </w:rPr>
      </w:pPr>
      <w:r>
        <w:rPr>
          <w:rFonts w:ascii="Arial" w:cs="Arial" w:eastAsia="Arial" w:hAnsi="Arial"/>
          <w:sz w:val="18"/>
          <w:szCs w:val="18"/>
          <w:color w:val="auto"/>
        </w:rPr>
        <w:t>General Meeting as in the case of an original meeting. Except as aforesaid no member shall be entitled to receive any notice of an adjournment or of the business to be transacted at the adjourned meeting. At an adjourned meeting no matters shall be discussed except for those permissible to be discussed at that initial General Meeting which decided upon the adjournment.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ADOPTION OF RESOLUTIONS</w:t>
      </w:r>
    </w:p>
    <w:p>
      <w:pPr>
        <w:spacing w:after="0" w:line="202" w:lineRule="exact"/>
        <w:rPr>
          <w:sz w:val="20"/>
          <w:szCs w:val="20"/>
          <w:color w:val="auto"/>
        </w:rPr>
      </w:pPr>
    </w:p>
    <w:p>
      <w:pPr>
        <w:jc w:val="both"/>
        <w:ind w:left="440" w:right="119" w:hanging="315"/>
        <w:spacing w:after="0" w:line="270" w:lineRule="auto"/>
        <w:tabs>
          <w:tab w:leader="none" w:pos="42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At every General Meeting a resolution put to the vote of the meeting shall be decided upon by a show of hands, unless before or upon the declaration of the result of the show of hands a secret ballot in writing be demanded by the Chairman (if she/he is entitled to vote) or by any member present, in person or by proxy, and entitled to vote at the meeting. Except if a secret vote is demanded as aforesaid, the declaration of the Chairman, or person serving in such role, that the resolution has been carried or carried unanimously or by a particular majority, or lost, or not carried by a particular majority, shall be final, and an entry to that effect in the minute book of the Company, shall be conclusive evidence of the fact without the necessity of proving the number or proportion of the votes recorded in favor or against such a resolution. Subject to Special Resolutions, a resolution shall be deemed to be passed at a General Meeting if it received an ordinary majority of votes.</w:t>
      </w:r>
    </w:p>
    <w:p>
      <w:pPr>
        <w:spacing w:after="0" w:line="168" w:lineRule="exact"/>
        <w:rPr>
          <w:rFonts w:ascii="Arial" w:cs="Arial" w:eastAsia="Arial" w:hAnsi="Arial"/>
          <w:sz w:val="17"/>
          <w:szCs w:val="17"/>
          <w:color w:val="auto"/>
        </w:rPr>
      </w:pPr>
    </w:p>
    <w:p>
      <w:pPr>
        <w:jc w:val="both"/>
        <w:ind w:left="440" w:right="119" w:hanging="315"/>
        <w:spacing w:after="0" w:line="289" w:lineRule="auto"/>
        <w:tabs>
          <w:tab w:leader="none" w:pos="40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If a secret ballot is duly demanded, it shall be taken in such manner as the Chairman directs, whether immediately or after an adjournment or in a postponed manner or otherwise, and the results of the ballot shall be deemed to be a resolution of the General Meeting wherein the secret ballot was demanded. Those requesting a secret ballot can withdraw their request at any time before the secret ballot is held. A secret ballot demanded on the election of the Chairman, or person serving in such role, or on a question of adjournment shall be taken forthwith. A secret ballot demanded on any other question shall be taken at such time as the Chairman, or person serving in such role, of the General Meeting directs. A demand for a secret ballot shall not prevent the continuation of the General Meeting with respect to the transaction of any other business, except for the matter with respect to which the secret ballot was demanded. All demands or notices hereunder may be submitted by facsimile.</w:t>
      </w:r>
    </w:p>
    <w:p>
      <w:pPr>
        <w:spacing w:after="0" w:line="153" w:lineRule="exact"/>
        <w:rPr>
          <w:rFonts w:ascii="Arial" w:cs="Arial" w:eastAsia="Arial" w:hAnsi="Arial"/>
          <w:sz w:val="16"/>
          <w:szCs w:val="16"/>
          <w:color w:val="auto"/>
        </w:rPr>
      </w:pPr>
    </w:p>
    <w:p>
      <w:pPr>
        <w:jc w:val="both"/>
        <w:ind w:left="440" w:right="119" w:hanging="315"/>
        <w:spacing w:after="0" w:line="255" w:lineRule="auto"/>
        <w:tabs>
          <w:tab w:leader="none" w:pos="4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and without derogating from the right or preference rights or restrictions existing at that time with respect to a certain class of shares forming part of the capital of the Company, each member present at a General Meeting, personally or by proxy, shall be entitled, whether at a vote by show of hands or by secret ballot, to one vote for each share held by him, provided that no member shall be permitted to vote at a General Meeting or appoint a proxy to vote therein except if he has paid all calls for payment and all monies due to the Company from him with respect to his shares.</w:t>
      </w:r>
    </w:p>
    <w:p>
      <w:pPr>
        <w:spacing w:after="0" w:line="166" w:lineRule="exact"/>
        <w:rPr>
          <w:rFonts w:ascii="Arial" w:cs="Arial" w:eastAsia="Arial" w:hAnsi="Arial"/>
          <w:sz w:val="18"/>
          <w:szCs w:val="18"/>
          <w:color w:val="auto"/>
        </w:rPr>
      </w:pPr>
    </w:p>
    <w:p>
      <w:pPr>
        <w:jc w:val="both"/>
        <w:ind w:left="440" w:right="119" w:hanging="315"/>
        <w:spacing w:after="0" w:line="276" w:lineRule="auto"/>
        <w:tabs>
          <w:tab w:leader="none" w:pos="40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 the case of joint holders the vote of the senior who tenders a vote, whether in person or by proxy, shall be accepted to the exclusion of the votes of the other joint holders; and for the purpose of this Article 60 seniority shall be determined by the order in which the names stand in the register of members. Joint holders of a share of which one of them is present at a General Meeting shall not vote by proxy. The appointment of a proxy to vote on behalf of a share held by joint holders shall be executed by the signature of the senior of the joint holders.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PROXIES</w:t>
      </w:r>
    </w:p>
    <w:p>
      <w:pPr>
        <w:spacing w:after="0" w:line="219" w:lineRule="exact"/>
        <w:rPr>
          <w:sz w:val="20"/>
          <w:szCs w:val="20"/>
          <w:color w:val="auto"/>
        </w:rPr>
      </w:pPr>
    </w:p>
    <w:p>
      <w:pPr>
        <w:ind w:left="820" w:right="139" w:hanging="695"/>
        <w:spacing w:after="0" w:line="308" w:lineRule="auto"/>
        <w:tabs>
          <w:tab w:leader="none" w:pos="41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In every vote a member shall be entitled to vote either personally or by proxy. A proxy present at a General Meeting shall also be entitled to request a secret ballot. A proxy need not be a member of the Company.</w:t>
      </w:r>
    </w:p>
    <w:p>
      <w:pPr>
        <w:spacing w:after="0" w:line="119" w:lineRule="exact"/>
        <w:rPr>
          <w:rFonts w:ascii="Arial" w:cs="Arial" w:eastAsia="Arial" w:hAnsi="Arial"/>
          <w:sz w:val="17"/>
          <w:szCs w:val="17"/>
          <w:color w:val="auto"/>
        </w:rPr>
      </w:pPr>
    </w:p>
    <w:p>
      <w:pPr>
        <w:jc w:val="both"/>
        <w:ind w:left="800" w:right="119" w:hanging="369"/>
        <w:spacing w:after="0" w:line="276" w:lineRule="auto"/>
        <w:tabs>
          <w:tab w:leader="none" w:pos="837"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 member of the Company that is a corporation or partnership shall be entitled by decision of its board of directors or by a decision of a person or other body, according to its articles or applicable organizational documents, to appoint a person who it shall deem fit to be its representative at every General Meeting of the Company. The representative, appointed as aforesaid, shall be entitled to perform on behalf of the corporation he represents all the powers that the corporation itself may use just as if it was a person.</w:t>
      </w:r>
    </w:p>
    <w:p>
      <w:pPr>
        <w:spacing w:after="0" w:line="159" w:lineRule="exact"/>
        <w:rPr>
          <w:rFonts w:ascii="Arial" w:cs="Arial" w:eastAsia="Arial" w:hAnsi="Arial"/>
          <w:sz w:val="17"/>
          <w:szCs w:val="17"/>
          <w:color w:val="auto"/>
        </w:rPr>
      </w:pPr>
    </w:p>
    <w:p>
      <w:pPr>
        <w:ind w:left="820" w:right="119" w:hanging="695"/>
        <w:spacing w:after="0" w:line="257" w:lineRule="auto"/>
        <w:tabs>
          <w:tab w:leader="none" w:pos="39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A vote pursuant to an instruction appointing a proxy shall be valid notwithstanding the death of the appointor or the appointor becoming of unsound mind or the cancellation of the proxy or its expiration in accordance with any law, or the transfer of the shares with respect to which the proxy was given, unless a notice in writing was given of the death, becoming of unsound mind, cancellation or transfer and was received at the office before the General Meeting or Class Meeting took place.</w:t>
      </w:r>
    </w:p>
    <w:p>
      <w:pPr>
        <w:spacing w:after="0" w:line="174" w:lineRule="exact"/>
        <w:rPr>
          <w:rFonts w:ascii="Arial" w:cs="Arial" w:eastAsia="Arial" w:hAnsi="Arial"/>
          <w:sz w:val="18"/>
          <w:szCs w:val="18"/>
          <w:color w:val="auto"/>
        </w:rPr>
      </w:pPr>
    </w:p>
    <w:p>
      <w:pPr>
        <w:jc w:val="both"/>
        <w:ind w:left="800" w:right="119" w:hanging="369"/>
        <w:spacing w:after="0" w:line="279" w:lineRule="auto"/>
        <w:tabs>
          <w:tab w:leader="none" w:pos="823"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 member is entitled to vote by a separate proxy with respect to each share held by him provided that each proxy as aforesaid shall have a separate letter of appointment containing the serial number of the shares with respect to which the proxy is entitled to vote. If a specific share is included by the holder in more than one letter of appointment, that share shall not entitle any of the holders of such instrument to a vote.</w:t>
      </w:r>
    </w:p>
    <w:p>
      <w:pPr>
        <w:sectPr>
          <w:pgSz w:w="11900" w:h="16838" w:orient="portrait"/>
          <w:cols w:equalWidth="0" w:num="1">
            <w:col w:w="9019"/>
          </w:cols>
          <w:pgMar w:left="1440" w:top="125"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79" w:name="page180"/>
    <w:bookmarkEnd w:id="179"/>
    <w:p>
      <w:pPr>
        <w:ind w:left="120"/>
        <w:spacing w:after="0"/>
        <w:rPr>
          <w:sz w:val="20"/>
          <w:szCs w:val="20"/>
          <w:color w:val="auto"/>
        </w:rPr>
      </w:pPr>
      <w:r>
        <w:rPr>
          <w:rFonts w:ascii="Arial" w:cs="Arial" w:eastAsia="Arial" w:hAnsi="Arial"/>
          <w:sz w:val="18"/>
          <w:szCs w:val="18"/>
          <w:b w:val="1"/>
          <w:bCs w:val="1"/>
          <w:u w:val="single" w:color="auto"/>
          <w:color w:val="auto"/>
        </w:rPr>
        <w:t>INSTRUMENT OF APPOINTMENT</w:t>
      </w:r>
    </w:p>
    <w:p>
      <w:pPr>
        <w:spacing w:after="0" w:line="229" w:lineRule="exact"/>
        <w:rPr>
          <w:sz w:val="20"/>
          <w:szCs w:val="20"/>
          <w:color w:val="auto"/>
        </w:rPr>
      </w:pPr>
    </w:p>
    <w:p>
      <w:pPr>
        <w:jc w:val="both"/>
        <w:ind w:left="440" w:right="119" w:hanging="315"/>
        <w:spacing w:after="0" w:line="289" w:lineRule="auto"/>
        <w:tabs>
          <w:tab w:leader="none" w:pos="40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letter of appointment of a proxy or power of attorney or other certificate (if there shall be such) pursuant to which the appointee is acting, shall be in writing, and the signature of the appointor shall be confirmed by an advocate or public notary or bank or in any other manner acceptable by the directors and such instrument or a copy thereof confirmed as aforesaid, shall be deposited in the office, or in another place in Israel or abroad — as the Board of Directors shall direct from time to time generally or with respect to a particular case, no later than twenty four (24) hours prior to the commencement of the General Meeting or adjourned meeting wherein the person referred to in the instrument is appointed to vote, otherwise that person shall not be entitled to vote that share. An instrument appointing a proxy and which is not limited in time shall not be valid twelve (12) months after the date of its execution. If the appointment shall be for a limited period, the instrument shall be valid for the period contained therein.</w:t>
      </w:r>
    </w:p>
    <w:p>
      <w:pPr>
        <w:spacing w:after="0" w:line="153" w:lineRule="exact"/>
        <w:rPr>
          <w:rFonts w:ascii="Arial" w:cs="Arial" w:eastAsia="Arial" w:hAnsi="Arial"/>
          <w:sz w:val="16"/>
          <w:szCs w:val="16"/>
          <w:color w:val="auto"/>
        </w:rPr>
      </w:pPr>
    </w:p>
    <w:p>
      <w:pPr>
        <w:ind w:left="440" w:right="119" w:hanging="315"/>
        <w:spacing w:after="0" w:line="277" w:lineRule="auto"/>
        <w:tabs>
          <w:tab w:leader="none" w:pos="42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instrument appointing a proxy (whether for a specific General Meeting or otherwise) may be in the following form or in any other similar form which the circumstances shall permit: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__________________, of _____________________________, a member holding shares in _____________ and</w:t>
      </w:r>
    </w:p>
    <w:p>
      <w:pPr>
        <w:spacing w:after="0" w:line="35" w:lineRule="exact"/>
        <w:rPr>
          <w:sz w:val="20"/>
          <w:szCs w:val="20"/>
          <w:color w:val="auto"/>
        </w:rPr>
      </w:pPr>
    </w:p>
    <w:p>
      <w:pPr>
        <w:ind w:left="120"/>
        <w:spacing w:after="0"/>
        <w:tabs>
          <w:tab w:leader="none" w:pos="800" w:val="left"/>
          <w:tab w:leader="none" w:pos="1080" w:val="left"/>
          <w:tab w:leader="none" w:pos="2140" w:val="left"/>
          <w:tab w:leader="none" w:pos="2660" w:val="left"/>
          <w:tab w:leader="none" w:pos="3300" w:val="left"/>
          <w:tab w:leader="none" w:pos="3980" w:val="left"/>
          <w:tab w:leader="none" w:pos="5700" w:val="left"/>
          <w:tab w:leader="none" w:pos="6000" w:val="left"/>
          <w:tab w:leader="none" w:pos="7560" w:val="left"/>
          <w:tab w:leader="none" w:pos="7840" w:val="left"/>
          <w:tab w:leader="none" w:pos="8140" w:val="left"/>
          <w:tab w:leader="none" w:pos="8500" w:val="left"/>
        </w:tabs>
        <w:rPr>
          <w:sz w:val="20"/>
          <w:szCs w:val="20"/>
          <w:color w:val="auto"/>
        </w:rPr>
      </w:pPr>
      <w:r>
        <w:rPr>
          <w:rFonts w:ascii="Arial" w:cs="Arial" w:eastAsia="Arial" w:hAnsi="Arial"/>
          <w:sz w:val="18"/>
          <w:szCs w:val="18"/>
          <w:color w:val="auto"/>
        </w:rPr>
        <w:t>entitled</w:t>
        <w:tab/>
        <w:t>to</w:t>
        <w:tab/>
        <w:t>__________</w:t>
        <w:tab/>
        <w:t>votes</w:t>
        <w:tab/>
        <w:t>hereby</w:t>
        <w:tab/>
        <w:t>appoint</w:t>
        <w:tab/>
        <w:t>_________________,</w:t>
        <w:tab/>
        <w:t>of</w:t>
        <w:tab/>
        <w:t>_______________,</w:t>
        <w:tab/>
        <w:t>or</w:t>
        <w:tab/>
        <w:t>in</w:t>
        <w:tab/>
        <w:t>his</w:t>
      </w:r>
      <w:r>
        <w:rPr>
          <w:sz w:val="20"/>
          <w:szCs w:val="20"/>
          <w:color w:val="auto"/>
        </w:rPr>
        <w:tab/>
      </w:r>
      <w:r>
        <w:rPr>
          <w:rFonts w:ascii="Arial" w:cs="Arial" w:eastAsia="Arial" w:hAnsi="Arial"/>
          <w:sz w:val="15"/>
          <w:szCs w:val="15"/>
          <w:color w:val="auto"/>
        </w:rPr>
        <w:t>place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_____________________, of ____________________________, to vote in my name and in my place at the General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Meeting of the Company to be held on the __________ day of ____________ 20__ and at any adjournment thereof.</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witness whereof, I have hereby affixed my signature the _____ day of _________________ 20__.</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Appointor’s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2294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hereby confirm that the foregoing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instrument was signed by the appointer.</w:t>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profession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2294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RESOLUTION IN WRITING</w:t>
      </w:r>
    </w:p>
    <w:p>
      <w:pPr>
        <w:spacing w:after="0" w:line="216" w:lineRule="exact"/>
        <w:rPr>
          <w:sz w:val="20"/>
          <w:szCs w:val="20"/>
          <w:color w:val="auto"/>
        </w:rPr>
      </w:pPr>
    </w:p>
    <w:p>
      <w:pPr>
        <w:jc w:val="both"/>
        <w:ind w:left="440" w:right="119" w:hanging="315"/>
        <w:spacing w:after="0" w:line="286" w:lineRule="auto"/>
        <w:tabs>
          <w:tab w:leader="none" w:pos="41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 resolution in writing signed by all members of the Company then entitled to attend and vote at General Meetings, Class Meetings or to which all such members have given their written consent (by letter, facsimile or otherwise) shall be deemed to have been unanimously adopted by a General Meeting duly convened and held.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DIRECTOR</w:t>
      </w:r>
    </w:p>
    <w:p>
      <w:pPr>
        <w:spacing w:after="0" w:line="216" w:lineRule="exact"/>
        <w:rPr>
          <w:sz w:val="20"/>
          <w:szCs w:val="20"/>
          <w:color w:val="auto"/>
        </w:rPr>
      </w:pPr>
    </w:p>
    <w:p>
      <w:pPr>
        <w:ind w:left="820" w:right="119" w:hanging="695"/>
        <w:spacing w:after="0" w:line="269" w:lineRule="auto"/>
        <w:tabs>
          <w:tab w:leader="none" w:pos="42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 Until the completion of a Qualified IPO, the Board of Directors shall consist of seven (7) members. The members shall be appointed as follows: (i) Fortissimo shall be entitled to appoint four members of the Board of Directors, (ii) the Founders Group shall be entitled to appoint one member of the Board of Directors for as long as its aggregate holdings (including for this purpose their Permitted Transferees) in the Company’s issued and outstanding share capital (calculated on an as converted basis) exceeds 9%; (iii) the Initial Investors Group shall be entitled to appoint one member of the Board of Directors for as long as its aggregate holdings (including for this purpose their Permitted Transferees) in the Company’s issued and outstanding share capital (calculated on an as converted basis) exceeds 9%; and (iv) Delek Investments and properties Ltd. (“</w:t>
      </w:r>
      <w:r>
        <w:rPr>
          <w:rFonts w:ascii="Arial" w:cs="Arial" w:eastAsia="Arial" w:hAnsi="Arial"/>
          <w:sz w:val="17"/>
          <w:szCs w:val="17"/>
          <w:b w:val="1"/>
          <w:bCs w:val="1"/>
          <w:color w:val="auto"/>
        </w:rPr>
        <w:t>Delek</w:t>
      </w:r>
      <w:r>
        <w:rPr>
          <w:rFonts w:ascii="Arial" w:cs="Arial" w:eastAsia="Arial" w:hAnsi="Arial"/>
          <w:sz w:val="17"/>
          <w:szCs w:val="17"/>
          <w:color w:val="auto"/>
        </w:rPr>
        <w:t>”) shall be entitled to appoint one member of the Board of Directors for as long as its aggregate holdings (including for this purpose the holdings of Delek’s Permitted Transferees) in the Company’s issued and outstanding share capital (calculated on an as converted basis) exceeds 7% (each of Fortissimo, the Founders Group, the Initial Investors Group and Delek, a “</w:t>
      </w:r>
      <w:r>
        <w:rPr>
          <w:rFonts w:ascii="Arial" w:cs="Arial" w:eastAsia="Arial" w:hAnsi="Arial"/>
          <w:sz w:val="17"/>
          <w:szCs w:val="17"/>
          <w:b w:val="1"/>
          <w:bCs w:val="1"/>
          <w:color w:val="auto"/>
        </w:rPr>
        <w:t>Nominating Shareholder</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jc w:val="both"/>
        <w:ind w:left="800" w:right="119" w:hanging="369"/>
        <w:spacing w:after="0" w:line="264" w:lineRule="auto"/>
        <w:tabs>
          <w:tab w:leader="none" w:pos="79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Appointment, removal and replacement of members of the Board of Directors shall be effected by furnishing a written notification to the Company by the Nominating Shareholders entitled to appoint such members, and shall become effective on the date fixed in such notice.</w:t>
      </w:r>
    </w:p>
    <w:p>
      <w:pPr>
        <w:spacing w:after="0" w:line="140" w:lineRule="exact"/>
        <w:rPr>
          <w:rFonts w:ascii="Arial" w:cs="Arial" w:eastAsia="Arial" w:hAnsi="Arial"/>
          <w:sz w:val="18"/>
          <w:szCs w:val="18"/>
          <w:color w:val="auto"/>
        </w:rPr>
      </w:pPr>
    </w:p>
    <w:p>
      <w:pPr>
        <w:ind w:left="800" w:right="119" w:hanging="369"/>
        <w:spacing w:after="0" w:line="277" w:lineRule="auto"/>
        <w:tabs>
          <w:tab w:leader="none" w:pos="80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At least one director appointed by the Nominating Shareholders shall be a member of each Committee of the Board or the Board of Directors of each subsidiary of the Company.</w:t>
      </w:r>
    </w:p>
    <w:p>
      <w:pPr>
        <w:spacing w:after="0" w:line="129" w:lineRule="exact"/>
        <w:rPr>
          <w:rFonts w:ascii="Arial" w:cs="Arial" w:eastAsia="Arial" w:hAnsi="Arial"/>
          <w:sz w:val="18"/>
          <w:szCs w:val="18"/>
          <w:color w:val="auto"/>
        </w:rPr>
      </w:pPr>
    </w:p>
    <w:p>
      <w:pPr>
        <w:ind w:left="400" w:hanging="275"/>
        <w:spacing w:after="0"/>
        <w:tabs>
          <w:tab w:leader="none" w:pos="4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rights granted under Article 66 (a)(ii) and (a)(iii) may only be amended by a Special Resolution.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0" w:name="page181"/>
    <w:bookmarkEnd w:id="180"/>
    <w:p>
      <w:pPr>
        <w:ind w:left="120"/>
        <w:spacing w:after="0"/>
        <w:rPr>
          <w:sz w:val="20"/>
          <w:szCs w:val="20"/>
          <w:color w:val="auto"/>
        </w:rPr>
      </w:pPr>
      <w:r>
        <w:rPr>
          <w:rFonts w:ascii="Arial" w:cs="Arial" w:eastAsia="Arial" w:hAnsi="Arial"/>
          <w:sz w:val="18"/>
          <w:szCs w:val="18"/>
          <w:b w:val="1"/>
          <w:bCs w:val="1"/>
          <w:u w:val="single" w:color="auto"/>
          <w:color w:val="auto"/>
        </w:rPr>
        <w:t>ALTERNATE DIRECTOR</w:t>
      </w:r>
    </w:p>
    <w:p>
      <w:pPr>
        <w:spacing w:after="0" w:line="229" w:lineRule="exact"/>
        <w:rPr>
          <w:sz w:val="20"/>
          <w:szCs w:val="20"/>
          <w:color w:val="auto"/>
        </w:rPr>
      </w:pPr>
    </w:p>
    <w:p>
      <w:pPr>
        <w:ind w:left="400" w:hanging="275"/>
        <w:spacing w:after="0"/>
        <w:tabs>
          <w:tab w:leader="none" w:pos="4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  Any person, whether or not a member of the Board of Directors, may serve as a substitute director (hereinafter</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 “substitute”). One person may serve as the substitute for two (2) directors.</w:t>
      </w:r>
    </w:p>
    <w:p>
      <w:pPr>
        <w:spacing w:after="0" w:line="210" w:lineRule="exact"/>
        <w:rPr>
          <w:rFonts w:ascii="Arial" w:cs="Arial" w:eastAsia="Arial" w:hAnsi="Arial"/>
          <w:sz w:val="16"/>
          <w:szCs w:val="16"/>
          <w:color w:val="auto"/>
        </w:rPr>
      </w:pPr>
    </w:p>
    <w:p>
      <w:pPr>
        <w:ind w:left="800" w:right="119" w:hanging="369"/>
        <w:spacing w:after="0" w:line="277" w:lineRule="auto"/>
        <w:tabs>
          <w:tab w:leader="none" w:pos="79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substitute shall have, in addition to his vote if he himself is a member of the Board of Directors, the number of votes equal to the number of directors for whom he is serving as a substitute.</w:t>
      </w:r>
    </w:p>
    <w:p>
      <w:pPr>
        <w:spacing w:after="0" w:line="170" w:lineRule="exact"/>
        <w:rPr>
          <w:rFonts w:ascii="Arial" w:cs="Arial" w:eastAsia="Arial" w:hAnsi="Arial"/>
          <w:sz w:val="18"/>
          <w:szCs w:val="18"/>
          <w:color w:val="auto"/>
        </w:rPr>
      </w:pPr>
    </w:p>
    <w:p>
      <w:pPr>
        <w:jc w:val="both"/>
        <w:ind w:left="800" w:right="119" w:hanging="369"/>
        <w:spacing w:after="0" w:line="259" w:lineRule="auto"/>
        <w:tabs>
          <w:tab w:leader="none" w:pos="79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substitute shall have, subject to the provisions of the instrument by which he was appointed, all the powers and authorities that the director for which he is serving as director, has, and in the event the substitute is himself a director, such powers and authorities shall be in addition to his powers as a member of the Board of Directors and shall not in any way derogate therefrom.</w:t>
      </w:r>
    </w:p>
    <w:p>
      <w:pPr>
        <w:spacing w:after="0" w:line="186" w:lineRule="exact"/>
        <w:rPr>
          <w:rFonts w:ascii="Arial" w:cs="Arial" w:eastAsia="Arial" w:hAnsi="Arial"/>
          <w:sz w:val="18"/>
          <w:szCs w:val="18"/>
          <w:color w:val="auto"/>
        </w:rPr>
      </w:pPr>
    </w:p>
    <w:p>
      <w:pPr>
        <w:ind w:left="800" w:right="119" w:hanging="369"/>
        <w:spacing w:after="0" w:line="277" w:lineRule="auto"/>
        <w:tabs>
          <w:tab w:leader="none" w:pos="86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provision of this Article with respect to the appointment of a director shall apply with respect to an appointment of a substitute.</w:t>
      </w:r>
    </w:p>
    <w:p>
      <w:pPr>
        <w:spacing w:after="0" w:line="170" w:lineRule="exact"/>
        <w:rPr>
          <w:rFonts w:ascii="Arial" w:cs="Arial" w:eastAsia="Arial" w:hAnsi="Arial"/>
          <w:sz w:val="18"/>
          <w:szCs w:val="18"/>
          <w:color w:val="auto"/>
        </w:rPr>
      </w:pPr>
    </w:p>
    <w:p>
      <w:pPr>
        <w:jc w:val="both"/>
        <w:ind w:left="800" w:right="119" w:hanging="369"/>
        <w:spacing w:after="0" w:line="279" w:lineRule="auto"/>
        <w:tabs>
          <w:tab w:leader="none" w:pos="865"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office of a substitute director shall be automatically vacated if his appointment is terminated by the shareholder who appointed him in accordance with these regulations, or upon the occurrence of one of the events described in sections (i), (ii), (iii) or (v) of Article 69 or, if the office of the member of the Board of Directors with respect to whom he serves as a substitute shall be vacated for any reason whatsoever.</w:t>
      </w:r>
    </w:p>
    <w:p>
      <w:pPr>
        <w:spacing w:after="0" w:line="171" w:lineRule="exact"/>
        <w:rPr>
          <w:rFonts w:ascii="Arial" w:cs="Arial" w:eastAsia="Arial" w:hAnsi="Arial"/>
          <w:sz w:val="17"/>
          <w:szCs w:val="17"/>
          <w:color w:val="auto"/>
        </w:rPr>
      </w:pPr>
    </w:p>
    <w:p>
      <w:pPr>
        <w:jc w:val="both"/>
        <w:ind w:left="800" w:right="119" w:hanging="369"/>
        <w:spacing w:after="0" w:line="264" w:lineRule="auto"/>
        <w:tabs>
          <w:tab w:leader="none" w:pos="84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substitute director has the right to receive notice of convening of a Board of Directors meeting and may participate or vote at such meeting only if the director appointing said substitute director is absent from said meeting.</w:t>
      </w:r>
    </w:p>
    <w:p>
      <w:pPr>
        <w:spacing w:after="0" w:line="181" w:lineRule="exact"/>
        <w:rPr>
          <w:rFonts w:ascii="Arial" w:cs="Arial" w:eastAsia="Arial" w:hAnsi="Arial"/>
          <w:sz w:val="18"/>
          <w:szCs w:val="18"/>
          <w:color w:val="auto"/>
        </w:rPr>
      </w:pPr>
    </w:p>
    <w:p>
      <w:pPr>
        <w:ind w:left="400" w:hanging="275"/>
        <w:spacing w:after="0"/>
        <w:tabs>
          <w:tab w:leader="none" w:pos="4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  Notwithstanding Article 66(a) above, the tenure of office of the director shall automatically by terminated:</w:t>
      </w:r>
    </w:p>
    <w:p>
      <w:pPr>
        <w:spacing w:after="0" w:line="236" w:lineRule="exact"/>
        <w:rPr>
          <w:rFonts w:ascii="Arial" w:cs="Arial" w:eastAsia="Arial" w:hAnsi="Arial"/>
          <w:sz w:val="17"/>
          <w:szCs w:val="17"/>
          <w:color w:val="auto"/>
        </w:rPr>
      </w:pPr>
    </w:p>
    <w:p>
      <w:pPr>
        <w:ind w:left="1320" w:right="119" w:hanging="385"/>
        <w:spacing w:after="0" w:line="277" w:lineRule="auto"/>
        <w:tabs>
          <w:tab w:leader="none" w:pos="1303" w:val="left"/>
        </w:tabs>
        <w:numPr>
          <w:ilvl w:val="3"/>
          <w:numId w:val="187"/>
        </w:numPr>
        <w:rPr>
          <w:rFonts w:ascii="Arial" w:cs="Arial" w:eastAsia="Arial" w:hAnsi="Arial"/>
          <w:sz w:val="18"/>
          <w:szCs w:val="18"/>
          <w:color w:val="auto"/>
        </w:rPr>
      </w:pPr>
      <w:r>
        <w:rPr>
          <w:rFonts w:ascii="Arial" w:cs="Arial" w:eastAsia="Arial" w:hAnsi="Arial"/>
          <w:sz w:val="18"/>
          <w:szCs w:val="18"/>
          <w:color w:val="auto"/>
        </w:rPr>
        <w:t>if he was declared bankrupt, and if he is a corporate body — it has voluntary decided on liquidation, or a liquidation order was issued against it;</w:t>
      </w:r>
    </w:p>
    <w:p>
      <w:pPr>
        <w:spacing w:after="0" w:line="170" w:lineRule="exact"/>
        <w:rPr>
          <w:rFonts w:ascii="Arial" w:cs="Arial" w:eastAsia="Arial" w:hAnsi="Arial"/>
          <w:sz w:val="18"/>
          <w:szCs w:val="18"/>
          <w:color w:val="auto"/>
        </w:rPr>
      </w:pPr>
    </w:p>
    <w:p>
      <w:pPr>
        <w:ind w:left="1340" w:hanging="405"/>
        <w:spacing w:after="0"/>
        <w:tabs>
          <w:tab w:leader="none" w:pos="134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if he is declared insane or becomes of unsound mind;</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if he has resigned by an instrument in writing to the Company;</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if his successor is appointed pursuant to Article 65 above;</w:t>
      </w:r>
    </w:p>
    <w:p>
      <w:pPr>
        <w:spacing w:after="0" w:line="225" w:lineRule="exact"/>
        <w:rPr>
          <w:rFonts w:ascii="Arial" w:cs="Arial" w:eastAsia="Arial" w:hAnsi="Arial"/>
          <w:sz w:val="18"/>
          <w:szCs w:val="18"/>
          <w:color w:val="auto"/>
        </w:rPr>
      </w:pPr>
    </w:p>
    <w:p>
      <w:pPr>
        <w:ind w:left="1280" w:hanging="345"/>
        <w:spacing w:after="0"/>
        <w:tabs>
          <w:tab w:leader="none" w:pos="128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with his death;</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with the liquidation of the Company;</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if he resigned or was dismissed as described in sections 299 to 231 of the Law;</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if he was convicted of an offense, as described in Section 232 of the Law; or</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by decision of the Court as described in Section 233 of the Law.</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REMUNERATION OF DIRECTOR</w:t>
      </w:r>
    </w:p>
    <w:p>
      <w:pPr>
        <w:spacing w:after="0" w:line="229" w:lineRule="exact"/>
        <w:rPr>
          <w:sz w:val="20"/>
          <w:szCs w:val="20"/>
          <w:color w:val="auto"/>
        </w:rPr>
      </w:pPr>
    </w:p>
    <w:p>
      <w:pPr>
        <w:jc w:val="both"/>
        <w:ind w:left="440" w:right="119" w:hanging="315"/>
        <w:spacing w:after="0" w:line="290" w:lineRule="auto"/>
        <w:tabs>
          <w:tab w:leader="none" w:pos="44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Members of the Board of Directors, not being employees of the Company or professionals providing special professional services for consideration to its members — shall not receive a salary from funds of the Company unless the General Meeting has so decided and in the amount that the General Meeting shall decide upon. Subject to Law, or any other applicable law, if pursuant to a decision of the Board of Directors, one of the directors shall perform services or tasks aside from his regular duties as a director, whether as a result of his particular profession or by a trip or stay abroad or otherwise, the Board of Directors may decide to pay him a special wage in addition to his regular salary, and such a wage shall be paid by way of salary, commission, participation in profits or otherwise and this wage shall be in addition to his regular salary, if there shall be any, or will be in place thereof, as shall be decided.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1" w:name="page182"/>
    <w:bookmarkEnd w:id="181"/>
    <w:p>
      <w:pPr>
        <w:ind w:left="120"/>
        <w:spacing w:after="0"/>
        <w:rPr>
          <w:sz w:val="20"/>
          <w:szCs w:val="20"/>
          <w:color w:val="auto"/>
        </w:rPr>
      </w:pPr>
      <w:r>
        <w:rPr>
          <w:rFonts w:ascii="Arial" w:cs="Arial" w:eastAsia="Arial" w:hAnsi="Arial"/>
          <w:sz w:val="18"/>
          <w:szCs w:val="18"/>
          <w:b w:val="1"/>
          <w:bCs w:val="1"/>
          <w:u w:val="single" w:color="auto"/>
          <w:color w:val="auto"/>
        </w:rPr>
        <w:t>POWERS AND DUTIES OF DIRECTORS</w:t>
      </w:r>
    </w:p>
    <w:p>
      <w:pPr>
        <w:spacing w:after="0" w:line="229" w:lineRule="exact"/>
        <w:rPr>
          <w:sz w:val="20"/>
          <w:szCs w:val="20"/>
          <w:color w:val="auto"/>
        </w:rPr>
      </w:pPr>
    </w:p>
    <w:p>
      <w:pPr>
        <w:jc w:val="both"/>
        <w:ind w:left="440" w:right="119" w:hanging="315"/>
        <w:spacing w:after="0" w:line="254" w:lineRule="auto"/>
        <w:tabs>
          <w:tab w:leader="none" w:pos="41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addition to all powers and authorities of the Board of Directors as specified in the Law, the determination of the Company’s policy, and the supervision of the General Manager (as defined below) and the Company’s officers shall be vested in the Board of Directors. In addition, the Board of Directors may exercise all such powers and do all such acts as the Company is authorized to exercise and do, and are not hereby or by law required to be exercised or done by the Company in General Meeting or by the General Manager under his express or residual authority. The authority conferred on the Board of Directors by this Article 71 shall be subject to the provisions of the Law, these Articles and any regulation or resolution consistent with these Articles adopted from time to time by the Company in general meeting.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CONFLICT OF INTEREST</w:t>
      </w:r>
    </w:p>
    <w:p>
      <w:pPr>
        <w:spacing w:after="0" w:line="229" w:lineRule="exact"/>
        <w:rPr>
          <w:sz w:val="20"/>
          <w:szCs w:val="20"/>
          <w:color w:val="auto"/>
        </w:rPr>
      </w:pPr>
    </w:p>
    <w:p>
      <w:pPr>
        <w:jc w:val="both"/>
        <w:ind w:left="440" w:right="119" w:hanging="315"/>
        <w:spacing w:after="0" w:line="257" w:lineRule="auto"/>
        <w:tabs>
          <w:tab w:leader="none" w:pos="41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Subject to the provisions of the Law and these Articles including but not limited to Article 54, the Company may enter into any contract or otherwise transact any business with any member of the Board of Directors in which contract or business such member has a personal interest, directly or indirectly; and may enter into any contract of otherwise transact any business with any third party in which contract or business a member of the Board of Directors has a personal interest, directly or indirectly.</w:t>
      </w:r>
    </w:p>
    <w:p>
      <w:pPr>
        <w:spacing w:after="0" w:line="188" w:lineRule="exact"/>
        <w:rPr>
          <w:rFonts w:ascii="Arial" w:cs="Arial" w:eastAsia="Arial" w:hAnsi="Arial"/>
          <w:sz w:val="18"/>
          <w:szCs w:val="18"/>
          <w:color w:val="auto"/>
        </w:rPr>
      </w:pPr>
    </w:p>
    <w:p>
      <w:pPr>
        <w:ind w:left="440" w:right="119" w:hanging="315"/>
        <w:spacing w:after="0" w:line="277" w:lineRule="auto"/>
        <w:tabs>
          <w:tab w:leader="none" w:pos="41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transactions and actions in which an Officer (as defined in the Law) has a personal interest shall be approved in accordance with the Law and in accordance with the provisions of these Articles.</w:t>
      </w:r>
    </w:p>
    <w:p>
      <w:pPr>
        <w:spacing w:after="0" w:line="170" w:lineRule="exact"/>
        <w:rPr>
          <w:rFonts w:ascii="Arial" w:cs="Arial" w:eastAsia="Arial" w:hAnsi="Arial"/>
          <w:sz w:val="18"/>
          <w:szCs w:val="18"/>
          <w:color w:val="auto"/>
        </w:rPr>
      </w:pPr>
    </w:p>
    <w:p>
      <w:pPr>
        <w:jc w:val="both"/>
        <w:ind w:left="440" w:right="119" w:hanging="315"/>
        <w:spacing w:after="0" w:line="264" w:lineRule="auto"/>
        <w:tabs>
          <w:tab w:leader="none" w:pos="42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member of the Board of Directors may hold another paid position or function in the Company, together with his position as a director (except an auditor) upon those conditions with respect to salary and other matters as decided by the Board of Directors and approved by the shareholders of the Company.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FUNCTIONS OF THE DIRECTORS</w:t>
      </w:r>
    </w:p>
    <w:p>
      <w:pPr>
        <w:spacing w:after="0" w:line="229" w:lineRule="exact"/>
        <w:rPr>
          <w:sz w:val="20"/>
          <w:szCs w:val="20"/>
          <w:color w:val="auto"/>
        </w:rPr>
      </w:pPr>
    </w:p>
    <w:p>
      <w:pPr>
        <w:ind w:left="820" w:right="119" w:hanging="695"/>
        <w:spacing w:after="0" w:line="264" w:lineRule="auto"/>
        <w:tabs>
          <w:tab w:leader="none" w:pos="41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The Board of Directors may meet in order to transact business at its discretion to adjourn their meetings or to organize them otherwise as they shall deem fit, and to determine the legal quorum necessary to conduct business.</w:t>
      </w:r>
    </w:p>
    <w:p>
      <w:pPr>
        <w:spacing w:after="0" w:line="181" w:lineRule="exact"/>
        <w:rPr>
          <w:rFonts w:ascii="Arial" w:cs="Arial" w:eastAsia="Arial" w:hAnsi="Arial"/>
          <w:sz w:val="18"/>
          <w:szCs w:val="18"/>
          <w:color w:val="auto"/>
        </w:rPr>
      </w:pPr>
    </w:p>
    <w:p>
      <w:pPr>
        <w:ind w:left="800" w:right="119" w:hanging="369"/>
        <w:spacing w:after="0" w:line="342" w:lineRule="auto"/>
        <w:tabs>
          <w:tab w:leader="none" w:pos="784"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If it shall not be otherwise decided by seventy five percent (75%) of the members of the Board of Directors the quorum shall be the majority of the directors then in office present personally or represented by their substitute.</w:t>
      </w:r>
    </w:p>
    <w:p>
      <w:pPr>
        <w:spacing w:after="0" w:line="123" w:lineRule="exact"/>
        <w:rPr>
          <w:rFonts w:ascii="Arial" w:cs="Arial" w:eastAsia="Arial" w:hAnsi="Arial"/>
          <w:sz w:val="16"/>
          <w:szCs w:val="16"/>
          <w:color w:val="auto"/>
        </w:rPr>
      </w:pPr>
    </w:p>
    <w:p>
      <w:pPr>
        <w:ind w:left="800" w:right="119" w:hanging="369"/>
        <w:spacing w:after="0" w:line="277" w:lineRule="auto"/>
        <w:tabs>
          <w:tab w:leader="none" w:pos="84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For the purposes of this Article 75, two (2) directors who are represented by the same substitute, will be considered one Board member for purpose of quorum requirements.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CHAIRMAN</w:t>
      </w:r>
    </w:p>
    <w:p>
      <w:pPr>
        <w:spacing w:after="0" w:line="229" w:lineRule="exact"/>
        <w:rPr>
          <w:sz w:val="20"/>
          <w:szCs w:val="20"/>
          <w:color w:val="auto"/>
        </w:rPr>
      </w:pPr>
    </w:p>
    <w:p>
      <w:pPr>
        <w:ind w:left="820" w:right="119" w:hanging="695"/>
        <w:spacing w:after="0" w:line="255" w:lineRule="auto"/>
        <w:tabs>
          <w:tab w:leader="none" w:pos="40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Fortissimo may from time to time elect one of the members of the Board of Directors to be the Chairman of the Board of Directors, remove such Chairman from office and appoint another members of the Board of Directors in its place. The Chairman of the Board of Directors shall preside at every meeting of the Board of Directors, but if there is no such Chairman, or if at any meeting he is not present within fifteen (15) minutes of the time fixed for the meeting, or if he is unwilling to take the chair, the members of the Board of Directors present shall choose one of their member to be the chairman of such meeting. The Chairman shall not be entitled to an additional or casting vote.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MEETINGS</w:t>
      </w:r>
    </w:p>
    <w:p>
      <w:pPr>
        <w:spacing w:after="0" w:line="229" w:lineRule="exact"/>
        <w:rPr>
          <w:sz w:val="20"/>
          <w:szCs w:val="20"/>
          <w:color w:val="auto"/>
        </w:rPr>
      </w:pPr>
    </w:p>
    <w:p>
      <w:pPr>
        <w:jc w:val="both"/>
        <w:ind w:left="440" w:right="119" w:hanging="315"/>
        <w:spacing w:after="0" w:line="264" w:lineRule="auto"/>
        <w:tabs>
          <w:tab w:leader="none" w:pos="4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Subject to any contrary resolution accepted by the Board of Directors, a member of the Board of Directors may at any time call a Board of Directors’ meeting, and the secretary shall be required on the request of such member to convene a Board of Directors’ meeting.</w:t>
      </w:r>
    </w:p>
    <w:p>
      <w:pPr>
        <w:spacing w:after="0" w:line="181" w:lineRule="exact"/>
        <w:rPr>
          <w:rFonts w:ascii="Arial" w:cs="Arial" w:eastAsia="Arial" w:hAnsi="Arial"/>
          <w:sz w:val="18"/>
          <w:szCs w:val="18"/>
          <w:color w:val="auto"/>
        </w:rPr>
      </w:pPr>
    </w:p>
    <w:p>
      <w:pPr>
        <w:ind w:left="820" w:right="119" w:hanging="695"/>
        <w:spacing w:after="0" w:line="279" w:lineRule="auto"/>
        <w:tabs>
          <w:tab w:leader="none" w:pos="41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 Any notice of a Board of Directors’ meeting can be given orally, by telephone, in writing, or by facsimile, or telefax provided that the notice is given seventy two (72) hours before the time appointed for the meeting, unless all the members of the Board of Directors having received a shorter notice, shall agree to such a shorter notice. Such notice shall include reasonable details on all subjects on the agenda.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2" w:name="page183"/>
    <w:bookmarkEnd w:id="182"/>
    <w:p>
      <w:pPr>
        <w:ind w:left="780" w:hanging="349"/>
        <w:spacing w:after="0"/>
        <w:tabs>
          <w:tab w:leader="none" w:pos="7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Prior and timely notice of the convening of a Board of Directors’ meeting shall be given to all directors.</w:t>
      </w:r>
    </w:p>
    <w:p>
      <w:pPr>
        <w:spacing w:after="0" w:line="225" w:lineRule="exact"/>
        <w:rPr>
          <w:rFonts w:ascii="Arial" w:cs="Arial" w:eastAsia="Arial" w:hAnsi="Arial"/>
          <w:sz w:val="18"/>
          <w:szCs w:val="18"/>
          <w:color w:val="auto"/>
        </w:rPr>
      </w:pPr>
    </w:p>
    <w:p>
      <w:pPr>
        <w:ind w:left="800" w:right="119" w:hanging="369"/>
        <w:spacing w:after="0" w:line="277" w:lineRule="auto"/>
        <w:tabs>
          <w:tab w:leader="none" w:pos="86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acts and determinations of the Board of Directors shall be determined by a simple majority of those attending unless a Special Resolution is required with respect to such resolution.</w:t>
      </w:r>
    </w:p>
    <w:p>
      <w:pPr>
        <w:spacing w:after="0" w:line="170" w:lineRule="exact"/>
        <w:rPr>
          <w:rFonts w:ascii="Arial" w:cs="Arial" w:eastAsia="Arial" w:hAnsi="Arial"/>
          <w:sz w:val="18"/>
          <w:szCs w:val="18"/>
          <w:color w:val="auto"/>
        </w:rPr>
      </w:pPr>
    </w:p>
    <w:p>
      <w:pPr>
        <w:jc w:val="both"/>
        <w:ind w:left="800" w:right="119" w:hanging="369"/>
        <w:spacing w:after="0" w:line="279" w:lineRule="auto"/>
        <w:tabs>
          <w:tab w:leader="none" w:pos="79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Members of the Board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attendance in person at the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DELEGATION OF POWER</w:t>
      </w:r>
    </w:p>
    <w:p>
      <w:pPr>
        <w:spacing w:after="0" w:line="229" w:lineRule="exact"/>
        <w:rPr>
          <w:sz w:val="20"/>
          <w:szCs w:val="20"/>
          <w:color w:val="auto"/>
        </w:rPr>
      </w:pPr>
    </w:p>
    <w:p>
      <w:pPr>
        <w:ind w:left="820" w:right="119" w:hanging="695"/>
        <w:spacing w:after="0" w:line="264" w:lineRule="auto"/>
        <w:tabs>
          <w:tab w:leader="none" w:pos="41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Subject to the provisions of the Law, the Board of Directors may delegate any of their powers to committees consisting of such member or members of their body as they deem fit and may, from time to time, revoke such delegation or alter the composition of any such committee.</w:t>
      </w:r>
    </w:p>
    <w:p>
      <w:pPr>
        <w:spacing w:after="0" w:line="181" w:lineRule="exact"/>
        <w:rPr>
          <w:rFonts w:ascii="Arial" w:cs="Arial" w:eastAsia="Arial" w:hAnsi="Arial"/>
          <w:sz w:val="18"/>
          <w:szCs w:val="18"/>
          <w:color w:val="auto"/>
        </w:rPr>
      </w:pPr>
    </w:p>
    <w:p>
      <w:pPr>
        <w:jc w:val="both"/>
        <w:ind w:left="800" w:right="119" w:hanging="369"/>
        <w:spacing w:after="0" w:line="255" w:lineRule="auto"/>
        <w:tabs>
          <w:tab w:leader="none" w:pos="83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 the exercise of any power delegated to it by the Board of Directors all committees shall conform to any regulations that may be imposed upon them by the Board of Directors, if there shall be any such regulation. If no such regulations are adopted by the Board of Directors or if there are no complete and encompassing regulations, the committees shall act pursuant to these Articles dealing with organization of meetings, meetings and functions of the Board of Directors, mutatis mutandis, and insofar as no provision of the Board of Directors shall replace it pursuant to this Article 79.</w:t>
      </w:r>
    </w:p>
    <w:p>
      <w:pPr>
        <w:spacing w:after="0" w:line="193" w:lineRule="exact"/>
        <w:rPr>
          <w:sz w:val="20"/>
          <w:szCs w:val="20"/>
          <w:color w:val="auto"/>
        </w:rPr>
      </w:pPr>
    </w:p>
    <w:p>
      <w:pPr>
        <w:jc w:val="both"/>
        <w:ind w:left="800" w:right="119" w:hanging="369"/>
        <w:spacing w:after="0" w:line="276" w:lineRule="auto"/>
        <w:tabs>
          <w:tab w:leader="none" w:pos="80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Subject to the provisions of the Law, all actions performed in a bona fide fashion by the Board of Directors or by a committee of the Board of Directors, or by any person acting as a director or as a substitute shall be as valid, even if at a later date a flaw shall be discovered in the appointment of such a director or such a person acting as aforesaid, or that all or some of them were unfit as if each and every one of those persons shall have been duly appointed and fit to serve as a director or substitute as the case may be.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GENERAL MANAGER</w:t>
      </w:r>
    </w:p>
    <w:p>
      <w:pPr>
        <w:spacing w:after="0" w:line="229" w:lineRule="exact"/>
        <w:rPr>
          <w:sz w:val="20"/>
          <w:szCs w:val="20"/>
          <w:color w:val="auto"/>
        </w:rPr>
      </w:pPr>
    </w:p>
    <w:p>
      <w:pPr>
        <w:ind w:left="820" w:right="119" w:hanging="695"/>
        <w:spacing w:after="0" w:line="257" w:lineRule="auto"/>
        <w:tabs>
          <w:tab w:leader="none" w:pos="40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The Board of Directors may from time to time appoint one or more persons, whether or not he is a member of the Board of Directors, as the General Manager of the Company, either for a fixed period of time or without limiting the time that he or they will stay in office, and they may from time to time (subject to any provision in any contract between him or them and the Company) release him or them from their office and appoint another or others in his or their place.</w:t>
      </w:r>
    </w:p>
    <w:p>
      <w:pPr>
        <w:spacing w:after="0" w:line="188" w:lineRule="exact"/>
        <w:rPr>
          <w:rFonts w:ascii="Arial" w:cs="Arial" w:eastAsia="Arial" w:hAnsi="Arial"/>
          <w:sz w:val="18"/>
          <w:szCs w:val="18"/>
          <w:color w:val="auto"/>
        </w:rPr>
      </w:pPr>
    </w:p>
    <w:p>
      <w:pPr>
        <w:jc w:val="both"/>
        <w:ind w:left="820" w:right="119" w:hanging="371"/>
        <w:spacing w:after="0" w:line="255" w:lineRule="auto"/>
        <w:tabs>
          <w:tab w:leader="none" w:pos="80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Board of Directors may from time to time subject to the provisions of the Law, grant and bestow upon the General Manager, at that time, those powers and authorities that it exercises pursuant to these Articles, as it shall deem fit, and may grant those powers and authorities for such period, and to be exercised for such objectives and purposes and in such time and conditions, and on such restrictions, as it shall decide; and it may grant such authorities whether concurrently with the Board of Directors’ authorities in that area, or in excess of them, or in place thereof or any one of them, and it can from time to time revoke, repeal, or change any one or all of those authorities.</w:t>
      </w:r>
    </w:p>
    <w:p>
      <w:pPr>
        <w:spacing w:after="0" w:line="189" w:lineRule="exact"/>
        <w:rPr>
          <w:rFonts w:ascii="Arial" w:cs="Arial" w:eastAsia="Arial" w:hAnsi="Arial"/>
          <w:sz w:val="18"/>
          <w:szCs w:val="18"/>
          <w:color w:val="auto"/>
        </w:rPr>
      </w:pPr>
    </w:p>
    <w:p>
      <w:pPr>
        <w:jc w:val="both"/>
        <w:ind w:left="820" w:right="119" w:hanging="371"/>
        <w:spacing w:after="0" w:line="264" w:lineRule="auto"/>
        <w:tabs>
          <w:tab w:leader="none" w:pos="86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General Manager shall be responsible, within the boundary of the policy determined by the Board of Directors and subject to its direction, for: (i) the preparation and the carry out of the annual operating plan of the Company; and (ii) the day to day operation of the Company’s business.</w:t>
      </w:r>
    </w:p>
    <w:p>
      <w:pPr>
        <w:spacing w:after="0" w:line="181" w:lineRule="exact"/>
        <w:rPr>
          <w:rFonts w:ascii="Arial" w:cs="Arial" w:eastAsia="Arial" w:hAnsi="Arial"/>
          <w:sz w:val="18"/>
          <w:szCs w:val="18"/>
          <w:color w:val="auto"/>
        </w:rPr>
      </w:pPr>
    </w:p>
    <w:p>
      <w:pPr>
        <w:jc w:val="both"/>
        <w:ind w:left="820" w:right="119" w:hanging="371"/>
        <w:spacing w:after="0" w:line="264" w:lineRule="auto"/>
        <w:tabs>
          <w:tab w:leader="none" w:pos="81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General Manager shall have all the powers of management and implementation, which by this Law or by the Articles were not vested in another organ of the Company, and he shall be subject to the supervision of the Board of Directors.</w:t>
      </w:r>
    </w:p>
    <w:p>
      <w:pPr>
        <w:spacing w:after="0" w:line="181" w:lineRule="exact"/>
        <w:rPr>
          <w:rFonts w:ascii="Arial" w:cs="Arial" w:eastAsia="Arial" w:hAnsi="Arial"/>
          <w:sz w:val="18"/>
          <w:szCs w:val="18"/>
          <w:color w:val="auto"/>
        </w:rPr>
      </w:pPr>
    </w:p>
    <w:p>
      <w:pPr>
        <w:ind w:left="780" w:hanging="331"/>
        <w:spacing w:after="0"/>
        <w:tabs>
          <w:tab w:leader="none" w:pos="78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The General Manager may, subject to the approval of the Board of Directors, delegate powers to others.</w:t>
      </w:r>
    </w:p>
    <w:p>
      <w:pPr>
        <w:spacing w:after="0" w:line="236" w:lineRule="exact"/>
        <w:rPr>
          <w:rFonts w:ascii="Arial" w:cs="Arial" w:eastAsia="Arial" w:hAnsi="Arial"/>
          <w:sz w:val="17"/>
          <w:szCs w:val="17"/>
          <w:color w:val="auto"/>
        </w:rPr>
      </w:pPr>
    </w:p>
    <w:p>
      <w:pPr>
        <w:ind w:left="820" w:right="119" w:hanging="371"/>
        <w:spacing w:after="0" w:line="277" w:lineRule="auto"/>
        <w:tabs>
          <w:tab w:leader="none" w:pos="84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General Manager shall inform the Board of Directors of any extraordinary matter that is substantive for the Company.</w:t>
      </w:r>
    </w:p>
    <w:p>
      <w:pPr>
        <w:spacing w:after="0" w:line="170" w:lineRule="exact"/>
        <w:rPr>
          <w:rFonts w:ascii="Arial" w:cs="Arial" w:eastAsia="Arial" w:hAnsi="Arial"/>
          <w:sz w:val="18"/>
          <w:szCs w:val="18"/>
          <w:color w:val="auto"/>
        </w:rPr>
      </w:pPr>
    </w:p>
    <w:p>
      <w:pPr>
        <w:ind w:left="820" w:right="119" w:hanging="371"/>
        <w:spacing w:after="0" w:line="277" w:lineRule="auto"/>
        <w:tabs>
          <w:tab w:leader="none" w:pos="78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General Manager shall submit reports to the Board of Directors on subjects, at times and to an extent, as the Board of Directors will prescribe.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3" w:name="page184"/>
    <w:bookmarkEnd w:id="183"/>
    <w:p>
      <w:pPr>
        <w:ind w:left="820" w:right="119" w:hanging="371"/>
        <w:spacing w:after="0" w:line="308" w:lineRule="auto"/>
        <w:tabs>
          <w:tab w:leader="none" w:pos="81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Chairman of the Board of Directors may, at any time at his own initiative or on decisions by the Board of Directors, demand reports from the General Manager on subjects related to the Company’s affairs.</w:t>
      </w:r>
    </w:p>
    <w:p>
      <w:pPr>
        <w:spacing w:after="0" w:line="146" w:lineRule="exact"/>
        <w:rPr>
          <w:rFonts w:ascii="Arial" w:cs="Arial" w:eastAsia="Arial" w:hAnsi="Arial"/>
          <w:sz w:val="17"/>
          <w:szCs w:val="17"/>
          <w:color w:val="auto"/>
        </w:rPr>
      </w:pPr>
    </w:p>
    <w:p>
      <w:pPr>
        <w:ind w:left="820" w:right="119" w:hanging="371"/>
        <w:spacing w:after="0" w:line="308" w:lineRule="auto"/>
        <w:tabs>
          <w:tab w:leader="none" w:pos="90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a notice or report from the General Manager requires action on the part of the Board of Directors, the Chairman of the Board of Directors shall convene a meeting of the Board of Directors without delay.</w:t>
      </w:r>
    </w:p>
    <w:p>
      <w:pPr>
        <w:spacing w:after="0" w:line="146" w:lineRule="exact"/>
        <w:rPr>
          <w:rFonts w:ascii="Arial" w:cs="Arial" w:eastAsia="Arial" w:hAnsi="Arial"/>
          <w:sz w:val="17"/>
          <w:szCs w:val="17"/>
          <w:color w:val="auto"/>
        </w:rPr>
      </w:pPr>
    </w:p>
    <w:p>
      <w:pPr>
        <w:jc w:val="both"/>
        <w:ind w:left="820" w:right="119" w:hanging="371"/>
        <w:spacing w:after="0" w:line="257" w:lineRule="auto"/>
        <w:tabs>
          <w:tab w:leader="none" w:pos="80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Notwithstanding the aforesaid in Article 79 the wages of the General Manager shall be determined from time to time by the Board of Directors (subject to any provision in any contract between him and the Company) and it may be paid by way of a fixed salary or commission or dividends, or a percentage of profits or the Company profit turnover or of any other Company that the Company has an interest in, or by participation in such profits, or in one or more of the aforementioned methods.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MINUTES</w:t>
      </w:r>
    </w:p>
    <w:p>
      <w:pPr>
        <w:spacing w:after="0" w:line="229" w:lineRule="exact"/>
        <w:rPr>
          <w:sz w:val="20"/>
          <w:szCs w:val="20"/>
          <w:color w:val="auto"/>
        </w:rPr>
      </w:pPr>
    </w:p>
    <w:p>
      <w:pPr>
        <w:ind w:left="820" w:right="119" w:hanging="695"/>
        <w:spacing w:after="0" w:line="264" w:lineRule="auto"/>
        <w:tabs>
          <w:tab w:leader="none" w:pos="41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The directors shall cause minutes to be taken of all General Meetings of the Company, of the appointments of officers of the Company, of Board of Directors’ meetings and of committee meetings that shall include the following items:</w:t>
      </w:r>
    </w:p>
    <w:p>
      <w:pPr>
        <w:spacing w:after="0" w:line="181" w:lineRule="exact"/>
        <w:rPr>
          <w:rFonts w:ascii="Arial" w:cs="Arial" w:eastAsia="Arial" w:hAnsi="Arial"/>
          <w:sz w:val="18"/>
          <w:szCs w:val="18"/>
          <w:color w:val="auto"/>
        </w:rPr>
      </w:pPr>
    </w:p>
    <w:p>
      <w:pPr>
        <w:ind w:left="1060" w:hanging="305"/>
        <w:spacing w:after="0"/>
        <w:tabs>
          <w:tab w:leader="none" w:pos="106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names of the members present, (ii) the results of the vote; and (iii) the resolutions adopted.</w:t>
      </w:r>
    </w:p>
    <w:p>
      <w:pPr>
        <w:spacing w:after="0" w:line="225" w:lineRule="exact"/>
        <w:rPr>
          <w:sz w:val="20"/>
          <w:szCs w:val="20"/>
          <w:color w:val="auto"/>
        </w:rPr>
      </w:pPr>
    </w:p>
    <w:p>
      <w:pPr>
        <w:ind w:left="800" w:right="119" w:hanging="369"/>
        <w:spacing w:after="0" w:line="277" w:lineRule="auto"/>
        <w:tabs>
          <w:tab w:leader="none" w:pos="77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minutes of any General Meeting shall serve as prima facie proof as to the facts in the minutes if the minutes are signed by the Chairman of the Board of Directors or by the Chairman of said meeting.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RESOLUTION IN WRITING</w:t>
      </w:r>
    </w:p>
    <w:p>
      <w:pPr>
        <w:spacing w:after="0" w:line="229" w:lineRule="exact"/>
        <w:rPr>
          <w:sz w:val="20"/>
          <w:szCs w:val="20"/>
          <w:color w:val="auto"/>
        </w:rPr>
      </w:pPr>
    </w:p>
    <w:p>
      <w:pPr>
        <w:jc w:val="both"/>
        <w:ind w:left="440" w:right="119" w:hanging="315"/>
        <w:spacing w:after="0" w:line="255" w:lineRule="auto"/>
        <w:tabs>
          <w:tab w:leader="none" w:pos="43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resolution in writing, in accordance with the Law, signed by the Chairman of the Board of Directors, or of a committee thereof, provided that all of the members of the Board of Directors or a committee have agreed to adopt such resolution without convening a meeting in writing or by facsimile or telefax or e-mail, shall be valid for every purpose as a resolution adopted at a Board of Directors’ or committee meeting, as the case may be, that was duly convened and held. In place of a director the aforesaid resolution may be signed and delivered by his substitute or his attorney or his substitute’s attorney.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STAMP AND SIGNATURES</w:t>
      </w:r>
    </w:p>
    <w:p>
      <w:pPr>
        <w:spacing w:after="0" w:line="229" w:lineRule="exact"/>
        <w:rPr>
          <w:sz w:val="20"/>
          <w:szCs w:val="20"/>
          <w:color w:val="auto"/>
        </w:rPr>
      </w:pPr>
    </w:p>
    <w:p>
      <w:pPr>
        <w:ind w:left="400" w:hanging="275"/>
        <w:spacing w:after="0"/>
        <w:tabs>
          <w:tab w:leader="none" w:pos="4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The Company may have a rubber stamp. The directors shall ensure that such a stamp is kept in a safe place.</w:t>
      </w:r>
    </w:p>
    <w:p>
      <w:pPr>
        <w:spacing w:after="0" w:line="248" w:lineRule="exact"/>
        <w:rPr>
          <w:rFonts w:ascii="Arial" w:cs="Arial" w:eastAsia="Arial" w:hAnsi="Arial"/>
          <w:sz w:val="16"/>
          <w:szCs w:val="16"/>
          <w:color w:val="auto"/>
        </w:rPr>
      </w:pPr>
    </w:p>
    <w:p>
      <w:pPr>
        <w:jc w:val="both"/>
        <w:ind w:left="800" w:right="119" w:hanging="369"/>
        <w:spacing w:after="0" w:line="259" w:lineRule="auto"/>
        <w:tabs>
          <w:tab w:leader="none" w:pos="77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Board of Directors may designate and authorize any person or persons (even if they are not members of the Board of Directors) to act and to sign in the name of the Company, and the acts and signatures of such a person or persons shall bind the Company, insofar as such person or persons have acted and signed within the limits of their aforesaid authority.</w:t>
      </w:r>
    </w:p>
    <w:p>
      <w:pPr>
        <w:spacing w:after="0" w:line="186" w:lineRule="exact"/>
        <w:rPr>
          <w:rFonts w:ascii="Arial" w:cs="Arial" w:eastAsia="Arial" w:hAnsi="Arial"/>
          <w:sz w:val="18"/>
          <w:szCs w:val="18"/>
          <w:color w:val="auto"/>
        </w:rPr>
      </w:pPr>
    </w:p>
    <w:p>
      <w:pPr>
        <w:jc w:val="both"/>
        <w:ind w:left="800" w:right="119" w:hanging="369"/>
        <w:spacing w:after="0" w:line="264" w:lineRule="auto"/>
        <w:tabs>
          <w:tab w:leader="none" w:pos="80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printing of the name of the Company by a typewriter or by hand next to the signatures of the authorized signatories of the Company, pursuant to Article 84(b), shall be valid as if the rubber stamp of the Company was affixed.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BRANCH REGISTERS</w:t>
      </w:r>
    </w:p>
    <w:p>
      <w:pPr>
        <w:spacing w:after="0" w:line="229" w:lineRule="exact"/>
        <w:rPr>
          <w:sz w:val="20"/>
          <w:szCs w:val="20"/>
          <w:color w:val="auto"/>
        </w:rPr>
      </w:pPr>
    </w:p>
    <w:p>
      <w:pPr>
        <w:jc w:val="both"/>
        <w:ind w:left="440" w:right="119" w:hanging="315"/>
        <w:spacing w:after="0" w:line="264" w:lineRule="auto"/>
        <w:tabs>
          <w:tab w:leader="none" w:pos="42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 may, subject to the provisions of the Law keep in every other country where those provisions shall apply, a register or registers of members living in that other country as aforesaid, and to exercise any other powers referred to in the laws with respect to such branch registers.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SECRETARY, OFFICERS, ATTORNEYS AND OTHERS</w:t>
      </w:r>
    </w:p>
    <w:p>
      <w:pPr>
        <w:spacing w:after="0" w:line="229" w:lineRule="exact"/>
        <w:rPr>
          <w:sz w:val="20"/>
          <w:szCs w:val="20"/>
          <w:color w:val="auto"/>
        </w:rPr>
      </w:pPr>
    </w:p>
    <w:p>
      <w:pPr>
        <w:ind w:left="820" w:right="119" w:hanging="695"/>
        <w:spacing w:after="0" w:line="264" w:lineRule="auto"/>
        <w:tabs>
          <w:tab w:leader="none" w:pos="41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The Board of Directors may appoint a secretary of the Company upon the conditions that they seem fit. The directors may as well, from time to time, appoint an associate secretary who shall be deemed to be the secretary for the period of his appointment.</w:t>
      </w:r>
    </w:p>
    <w:p>
      <w:pPr>
        <w:spacing w:after="0" w:line="181" w:lineRule="exact"/>
        <w:rPr>
          <w:sz w:val="20"/>
          <w:szCs w:val="20"/>
          <w:color w:val="auto"/>
        </w:rPr>
      </w:pPr>
    </w:p>
    <w:p>
      <w:pPr>
        <w:jc w:val="both"/>
        <w:ind w:left="800" w:right="119" w:hanging="369"/>
        <w:spacing w:after="0" w:line="264" w:lineRule="auto"/>
        <w:tabs>
          <w:tab w:leader="none" w:pos="89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Board of Directors may, from time to time appoint to the Company, officers, workers, agents and functionaries to permanent, temporary or special positions, as they shall, from time to time, see fit and set compensation for them.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4" w:name="page185"/>
    <w:bookmarkEnd w:id="184"/>
    <w:p>
      <w:pPr>
        <w:ind w:left="800" w:right="219" w:hanging="369"/>
        <w:spacing w:after="0" w:line="255" w:lineRule="auto"/>
        <w:tabs>
          <w:tab w:leader="none" w:pos="74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Board of Directors may, at any time and from time to time, authorize any Company, firm, person or group of people, whether this authorization is done by the Board of Directors directly or indirectly, to be the attorneys in fact of the Company for those purposes and with those powers and discretions which shall not exceed those conferred upon the Board of Directors or that the Board of Directors can exercise pursuant to these Articles, and for such a period of time and upon such conditions as the directors deem proper, and every such authorization may contain such directives as the Board of Directors deems proper for the protection and benefit of the persons dealing with such attorneys.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DIVIDEND</w:t>
      </w:r>
    </w:p>
    <w:p>
      <w:pPr>
        <w:spacing w:after="0" w:line="202" w:lineRule="exact"/>
        <w:rPr>
          <w:sz w:val="20"/>
          <w:szCs w:val="20"/>
          <w:color w:val="auto"/>
        </w:rPr>
      </w:pPr>
    </w:p>
    <w:p>
      <w:pPr>
        <w:ind w:left="820" w:right="119" w:hanging="695"/>
        <w:spacing w:after="0" w:line="293" w:lineRule="auto"/>
        <w:tabs>
          <w:tab w:leader="none" w:pos="45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 Subject to the provisions of these Articles, and subject to any other rights and conditions attached at that time to any share in the capital of the Company granting preferential, special or deferred rights or not granting any rights with respect to dividends, the profits of the Company shall be distributable to the members of the Company according to the proportion of the nominal value paid up on account of the shares held by them at the date so appointed by the Company, without regard to the premium paid in excess of the nominal value. Actual distribution, setting aside or declaration of dividend requires a decision of the Board of Directors.</w:t>
      </w:r>
    </w:p>
    <w:p>
      <w:pPr>
        <w:spacing w:after="0" w:line="124" w:lineRule="exact"/>
        <w:rPr>
          <w:rFonts w:ascii="Arial" w:cs="Arial" w:eastAsia="Arial" w:hAnsi="Arial"/>
          <w:sz w:val="16"/>
          <w:szCs w:val="16"/>
          <w:color w:val="auto"/>
        </w:rPr>
      </w:pPr>
    </w:p>
    <w:p>
      <w:pPr>
        <w:jc w:val="both"/>
        <w:ind w:left="880" w:right="119" w:hanging="379"/>
        <w:spacing w:after="0" w:line="276" w:lineRule="auto"/>
        <w:tabs>
          <w:tab w:leader="none" w:pos="855"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Board of Directors may issue any share upon the condition that a dividend shall be paid at a certain date or that a portion of the declared dividend for a certain period shall be paid, or that the period for which a dividend shall be paid shall commence at a certain date, or a similar condition, all as decided by the Board of Directors. In every such case, subject to the provision mentioned in the beginning of this Article, the dividend shall be paid in respect of such a share in accordance with such a condition.</w:t>
      </w:r>
    </w:p>
    <w:p>
      <w:pPr>
        <w:spacing w:after="0" w:line="132" w:lineRule="exact"/>
        <w:rPr>
          <w:rFonts w:ascii="Arial" w:cs="Arial" w:eastAsia="Arial" w:hAnsi="Arial"/>
          <w:sz w:val="17"/>
          <w:szCs w:val="17"/>
          <w:color w:val="auto"/>
        </w:rPr>
      </w:pPr>
    </w:p>
    <w:p>
      <w:pPr>
        <w:jc w:val="both"/>
        <w:ind w:left="440" w:right="119" w:hanging="315"/>
        <w:spacing w:after="0" w:line="259" w:lineRule="auto"/>
        <w:tabs>
          <w:tab w:leader="none" w:pos="42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At the time of declaration of a dividend the Company may decide that such a dividend shall be paid in part or in whole, by way of distribution of certain properties, especially by way of distribution of fully paid up shares or debentures or debenture stock of the Company, or by way of distribution of fully paid up shares or debentures or debenture stock of any other Company or in one or more of the aforesaid ways.</w:t>
      </w:r>
    </w:p>
    <w:p>
      <w:pPr>
        <w:spacing w:after="0" w:line="159" w:lineRule="exact"/>
        <w:rPr>
          <w:rFonts w:ascii="Arial" w:cs="Arial" w:eastAsia="Arial" w:hAnsi="Arial"/>
          <w:sz w:val="18"/>
          <w:szCs w:val="18"/>
          <w:color w:val="auto"/>
        </w:rPr>
      </w:pPr>
    </w:p>
    <w:p>
      <w:pPr>
        <w:jc w:val="both"/>
        <w:ind w:left="440" w:right="119" w:hanging="315"/>
        <w:spacing w:after="0" w:line="264" w:lineRule="auto"/>
        <w:tabs>
          <w:tab w:leader="none" w:pos="43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directors may, from time to time, pay to the members on account of the forthcoming dividend such interim dividend as shall be deemed just with regard to the situation of the Company and subject to provisions of Sections 301 to 307 of the Law.</w:t>
      </w:r>
    </w:p>
    <w:p>
      <w:pPr>
        <w:spacing w:after="0" w:line="140" w:lineRule="exact"/>
        <w:rPr>
          <w:rFonts w:ascii="Arial" w:cs="Arial" w:eastAsia="Arial" w:hAnsi="Arial"/>
          <w:sz w:val="18"/>
          <w:szCs w:val="18"/>
          <w:color w:val="auto"/>
        </w:rPr>
      </w:pPr>
    </w:p>
    <w:p>
      <w:pPr>
        <w:ind w:left="440" w:right="119" w:hanging="315"/>
        <w:spacing w:after="0" w:line="277" w:lineRule="auto"/>
        <w:tabs>
          <w:tab w:leader="none" w:pos="40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Board of Directors may put a lien on any dividend on which the Company has a charge, and it may use it to pay any debts, obligations or commitments with respect to which the charge exists.</w:t>
      </w:r>
    </w:p>
    <w:p>
      <w:pPr>
        <w:spacing w:after="0" w:line="129" w:lineRule="exact"/>
        <w:rPr>
          <w:rFonts w:ascii="Arial" w:cs="Arial" w:eastAsia="Arial" w:hAnsi="Arial"/>
          <w:sz w:val="18"/>
          <w:szCs w:val="18"/>
          <w:color w:val="auto"/>
        </w:rPr>
      </w:pPr>
    </w:p>
    <w:p>
      <w:pPr>
        <w:jc w:val="both"/>
        <w:ind w:left="440" w:right="119" w:hanging="315"/>
        <w:spacing w:after="0" w:line="264" w:lineRule="auto"/>
        <w:tabs>
          <w:tab w:leader="none" w:pos="40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transfer of shares shall not transfer the right to a dividend which has been declared after the transfer but before the registration of the transfer. The person registered in the register as a member on the date appointed by the Company for that purpose shall be the one entitled to receive a dividend.</w:t>
      </w:r>
    </w:p>
    <w:p>
      <w:pPr>
        <w:spacing w:after="0" w:line="154" w:lineRule="exact"/>
        <w:rPr>
          <w:rFonts w:ascii="Arial" w:cs="Arial" w:eastAsia="Arial" w:hAnsi="Arial"/>
          <w:sz w:val="18"/>
          <w:szCs w:val="18"/>
          <w:color w:val="auto"/>
        </w:rPr>
      </w:pPr>
    </w:p>
    <w:p>
      <w:pPr>
        <w:jc w:val="both"/>
        <w:ind w:left="440" w:right="119" w:hanging="315"/>
        <w:spacing w:after="0" w:line="286" w:lineRule="auto"/>
        <w:tabs>
          <w:tab w:leader="none" w:pos="41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 may declare a dividend to be paid to the members, at a General Meeting, according to their rights and benefits in the profits and to decide the time of payment. A dividend in excess of that proposed by the Board of Directors shall not be declared. However, the Company may declare at a General Meeting a smaller dividend.</w:t>
      </w:r>
    </w:p>
    <w:p>
      <w:pPr>
        <w:spacing w:after="0" w:line="125" w:lineRule="exact"/>
        <w:rPr>
          <w:rFonts w:ascii="Arial" w:cs="Arial" w:eastAsia="Arial" w:hAnsi="Arial"/>
          <w:sz w:val="17"/>
          <w:szCs w:val="17"/>
          <w:color w:val="auto"/>
        </w:rPr>
      </w:pPr>
    </w:p>
    <w:p>
      <w:pPr>
        <w:ind w:left="440" w:right="119" w:hanging="315"/>
        <w:spacing w:after="0" w:line="277" w:lineRule="auto"/>
        <w:tabs>
          <w:tab w:leader="none" w:pos="41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notice of the declaration of a dividend, whether an interim dividend or otherwise, shall be given to the members registered in the register, in the manner provided for in these Articles.</w:t>
      </w:r>
    </w:p>
    <w:p>
      <w:pPr>
        <w:spacing w:after="0" w:line="129" w:lineRule="exact"/>
        <w:rPr>
          <w:rFonts w:ascii="Arial" w:cs="Arial" w:eastAsia="Arial" w:hAnsi="Arial"/>
          <w:sz w:val="18"/>
          <w:szCs w:val="18"/>
          <w:color w:val="auto"/>
        </w:rPr>
      </w:pPr>
    </w:p>
    <w:p>
      <w:pPr>
        <w:jc w:val="both"/>
        <w:ind w:left="440" w:right="119" w:hanging="315"/>
        <w:spacing w:after="0" w:line="255" w:lineRule="auto"/>
        <w:tabs>
          <w:tab w:leader="none" w:pos="42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no other provision is given, the dividend may be paid by check or payment order to be mailed to the registered address of a member or person entitled thereto in the register or, in the case of registered joint owners, to the addresses of one of the joint owners as registered in the register. Every such check shall be made out to the person it is sent to. The receipt of the person who, on the date of declaration of dividend, is registered as the holder of any share or, in the case of joint holders, of one of the joint holders, shall serve as a release with respect to payments made in connection with that share.</w:t>
      </w:r>
    </w:p>
    <w:p>
      <w:pPr>
        <w:spacing w:after="0" w:line="166" w:lineRule="exact"/>
        <w:rPr>
          <w:rFonts w:ascii="Arial" w:cs="Arial" w:eastAsia="Arial" w:hAnsi="Arial"/>
          <w:sz w:val="18"/>
          <w:szCs w:val="18"/>
          <w:color w:val="auto"/>
        </w:rPr>
      </w:pPr>
    </w:p>
    <w:p>
      <w:pPr>
        <w:ind w:left="820" w:right="119" w:hanging="695"/>
        <w:spacing w:after="0" w:line="264" w:lineRule="auto"/>
        <w:tabs>
          <w:tab w:leader="none" w:pos="41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If at any time the share capital shall be divided into different classes of shares, the distribution of fully paid up shares, from funds pursuant to Article 94 below, shall be made in one of the two following manners as to be decided upon by the Board of Directors:</w:t>
      </w:r>
    </w:p>
    <w:p>
      <w:pPr>
        <w:spacing w:after="0" w:line="140" w:lineRule="exact"/>
        <w:rPr>
          <w:rFonts w:ascii="Arial" w:cs="Arial" w:eastAsia="Arial" w:hAnsi="Arial"/>
          <w:sz w:val="18"/>
          <w:szCs w:val="18"/>
          <w:color w:val="auto"/>
        </w:rPr>
      </w:pPr>
    </w:p>
    <w:p>
      <w:pPr>
        <w:ind w:left="1160" w:right="119" w:hanging="387"/>
        <w:spacing w:after="0" w:line="277" w:lineRule="auto"/>
        <w:tabs>
          <w:tab w:leader="none" w:pos="1147" w:val="left"/>
        </w:tabs>
        <w:numPr>
          <w:ilvl w:val="2"/>
          <w:numId w:val="207"/>
        </w:numPr>
        <w:rPr>
          <w:rFonts w:ascii="Arial" w:cs="Arial" w:eastAsia="Arial" w:hAnsi="Arial"/>
          <w:sz w:val="18"/>
          <w:szCs w:val="18"/>
          <w:color w:val="auto"/>
        </w:rPr>
      </w:pPr>
      <w:r>
        <w:rPr>
          <w:rFonts w:ascii="Arial" w:cs="Arial" w:eastAsia="Arial" w:hAnsi="Arial"/>
          <w:sz w:val="18"/>
          <w:szCs w:val="18"/>
          <w:color w:val="auto"/>
        </w:rPr>
        <w:t>In such a manner so that all the holders of a share entitled to fully paid up shares shall receive one uniform class of shares; or</w:t>
      </w:r>
    </w:p>
    <w:p>
      <w:pPr>
        <w:spacing w:after="0" w:line="102" w:lineRule="exact"/>
        <w:rPr>
          <w:rFonts w:ascii="Arial" w:cs="Arial" w:eastAsia="Arial" w:hAnsi="Arial"/>
          <w:sz w:val="18"/>
          <w:szCs w:val="18"/>
          <w:color w:val="auto"/>
        </w:rPr>
      </w:pPr>
    </w:p>
    <w:p>
      <w:pPr>
        <w:ind w:left="1160" w:right="119" w:hanging="387"/>
        <w:spacing w:after="0" w:line="308" w:lineRule="auto"/>
        <w:tabs>
          <w:tab w:leader="none" w:pos="1263" w:val="left"/>
        </w:tabs>
        <w:numPr>
          <w:ilvl w:val="2"/>
          <w:numId w:val="207"/>
        </w:numPr>
        <w:rPr>
          <w:rFonts w:ascii="Arial" w:cs="Arial" w:eastAsia="Arial" w:hAnsi="Arial"/>
          <w:sz w:val="17"/>
          <w:szCs w:val="17"/>
          <w:color w:val="auto"/>
        </w:rPr>
      </w:pPr>
      <w:r>
        <w:rPr>
          <w:rFonts w:ascii="Arial" w:cs="Arial" w:eastAsia="Arial" w:hAnsi="Arial"/>
          <w:sz w:val="17"/>
          <w:szCs w:val="17"/>
          <w:color w:val="auto"/>
        </w:rPr>
        <w:t>In such manner so that each holder of shares entitled to fully paid up shares as aforesaid shall receive shares of the class of shares held by him and entitling him to fully paid up shares, as aforesaid.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5" w:name="page186"/>
    <w:bookmarkEnd w:id="185"/>
    <w:p>
      <w:pPr>
        <w:jc w:val="both"/>
        <w:ind w:left="800" w:right="119" w:hanging="369"/>
        <w:spacing w:after="0" w:line="287" w:lineRule="auto"/>
        <w:tabs>
          <w:tab w:leader="none" w:pos="79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 order to give effect to any resolution in connection with distribution of dividends, or distribution of property, fully paid-up shares or debentures, the Board of Directors may resolve any difficulty that shall arise with distribution as it shall deem necessary, especially to issue certificates for fractional shares and to determine the value of certain property for purposes of distribution, and to decide that payment in cash shall be made to the member on the basis of the value decided for that purpose, or that fractions the value of which is less than one New Israeli Shekel shall not be taken into account for the purpose of co-ordinating the rights of all the parties. The Board of Directors shall be permitted, in this regard, to grant cash or property to trustees in escrow for the benefit of persons entitled thereto, as the directors shall see beneficial. Wherever required, an agreement shall be submitted to the registrar of companies and the directors may appoint a person to execute such an agreement in the name of the persons entitled to a dividend, property, fully paid up shares or debentures as shares or debentures as aforesaid, and such an appointment shall be valid.</w:t>
      </w:r>
    </w:p>
    <w:p>
      <w:pPr>
        <w:spacing w:after="0" w:line="172" w:lineRule="exact"/>
        <w:rPr>
          <w:rFonts w:ascii="Arial" w:cs="Arial" w:eastAsia="Arial" w:hAnsi="Arial"/>
          <w:sz w:val="16"/>
          <w:szCs w:val="16"/>
          <w:color w:val="auto"/>
        </w:rPr>
      </w:pPr>
    </w:p>
    <w:p>
      <w:pPr>
        <w:ind w:left="760" w:hanging="329"/>
        <w:spacing w:after="0"/>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shall not be obligated to pay interest on a dividend.</w:t>
      </w:r>
    </w:p>
    <w:p>
      <w:pPr>
        <w:spacing w:after="0" w:line="225" w:lineRule="exact"/>
        <w:rPr>
          <w:rFonts w:ascii="Arial" w:cs="Arial" w:eastAsia="Arial" w:hAnsi="Arial"/>
          <w:sz w:val="18"/>
          <w:szCs w:val="18"/>
          <w:color w:val="auto"/>
        </w:rPr>
      </w:pPr>
    </w:p>
    <w:p>
      <w:pPr>
        <w:jc w:val="both"/>
        <w:ind w:left="800" w:right="119" w:hanging="369"/>
        <w:spacing w:after="0" w:line="264" w:lineRule="auto"/>
        <w:tabs>
          <w:tab w:leader="none" w:pos="79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Board of Directors may, with respect to all dividends not collected within one year after their declaration, invest or use them in another way for the benefit of the Company, until they shall be demanded. The Company shall not pay interest for dividends or interest not collected.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ACCOUNTS AND AUDIT</w:t>
      </w:r>
    </w:p>
    <w:p>
      <w:pPr>
        <w:spacing w:after="0" w:line="229" w:lineRule="exact"/>
        <w:rPr>
          <w:sz w:val="20"/>
          <w:szCs w:val="20"/>
          <w:color w:val="auto"/>
        </w:rPr>
      </w:pPr>
    </w:p>
    <w:p>
      <w:pPr>
        <w:ind w:left="820" w:right="119" w:hanging="695"/>
        <w:spacing w:after="0" w:line="277" w:lineRule="auto"/>
        <w:tabs>
          <w:tab w:leader="none" w:pos="46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The Board of Directors shall cause correct accounts to be kept in accordance with the provisions of the Law or any other applicable law:</w:t>
      </w:r>
    </w:p>
    <w:p>
      <w:pPr>
        <w:spacing w:after="0" w:line="170" w:lineRule="exact"/>
        <w:rPr>
          <w:rFonts w:ascii="Arial" w:cs="Arial" w:eastAsia="Arial" w:hAnsi="Arial"/>
          <w:sz w:val="18"/>
          <w:szCs w:val="18"/>
          <w:color w:val="auto"/>
        </w:rPr>
      </w:pPr>
    </w:p>
    <w:p>
      <w:pPr>
        <w:ind w:left="1280" w:hanging="345"/>
        <w:spacing w:after="0"/>
        <w:tabs>
          <w:tab w:leader="none" w:pos="128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of the assets and liabilities of the Company;</w:t>
      </w:r>
    </w:p>
    <w:p>
      <w:pPr>
        <w:spacing w:after="0" w:line="225" w:lineRule="exact"/>
        <w:rPr>
          <w:rFonts w:ascii="Arial" w:cs="Arial" w:eastAsia="Arial" w:hAnsi="Arial"/>
          <w:sz w:val="18"/>
          <w:szCs w:val="18"/>
          <w:color w:val="auto"/>
        </w:rPr>
      </w:pPr>
    </w:p>
    <w:p>
      <w:pPr>
        <w:ind w:left="1320" w:right="119" w:hanging="385"/>
        <w:spacing w:after="0" w:line="277" w:lineRule="auto"/>
        <w:tabs>
          <w:tab w:leader="none" w:pos="1374" w:val="left"/>
        </w:tabs>
        <w:numPr>
          <w:ilvl w:val="2"/>
          <w:numId w:val="209"/>
        </w:numPr>
        <w:rPr>
          <w:rFonts w:ascii="Arial" w:cs="Arial" w:eastAsia="Arial" w:hAnsi="Arial"/>
          <w:sz w:val="18"/>
          <w:szCs w:val="18"/>
          <w:color w:val="auto"/>
        </w:rPr>
      </w:pPr>
      <w:r>
        <w:rPr>
          <w:rFonts w:ascii="Arial" w:cs="Arial" w:eastAsia="Arial" w:hAnsi="Arial"/>
          <w:sz w:val="18"/>
          <w:szCs w:val="18"/>
          <w:color w:val="auto"/>
        </w:rPr>
        <w:t>of any amount of money received or expended by the Company and the matters for which such sum of money is expended or received; and</w:t>
      </w:r>
    </w:p>
    <w:p>
      <w:pPr>
        <w:spacing w:after="0" w:line="170" w:lineRule="exact"/>
        <w:rPr>
          <w:rFonts w:ascii="Arial" w:cs="Arial" w:eastAsia="Arial" w:hAnsi="Arial"/>
          <w:sz w:val="18"/>
          <w:szCs w:val="18"/>
          <w:color w:val="auto"/>
        </w:rPr>
      </w:pPr>
    </w:p>
    <w:p>
      <w:pPr>
        <w:ind w:left="1340" w:hanging="405"/>
        <w:spacing w:after="0"/>
        <w:tabs>
          <w:tab w:leader="none" w:pos="134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of all purchases and sales made by the Company.</w:t>
      </w:r>
    </w:p>
    <w:p>
      <w:pPr>
        <w:spacing w:after="0" w:line="225" w:lineRule="exact"/>
        <w:rPr>
          <w:rFonts w:ascii="Arial" w:cs="Arial" w:eastAsia="Arial" w:hAnsi="Arial"/>
          <w:sz w:val="18"/>
          <w:szCs w:val="18"/>
          <w:color w:val="auto"/>
        </w:rPr>
      </w:pPr>
    </w:p>
    <w:p>
      <w:pPr>
        <w:ind w:left="940" w:right="159" w:hanging="383"/>
        <w:spacing w:after="0" w:line="277" w:lineRule="auto"/>
        <w:tabs>
          <w:tab w:leader="none" w:pos="90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account books shall be kept in the office or at such other place as the Board of Directors deem fit and they shall also be open for inspection by the directors.</w:t>
      </w:r>
    </w:p>
    <w:p>
      <w:pPr>
        <w:spacing w:after="0" w:line="170" w:lineRule="exact"/>
        <w:rPr>
          <w:rFonts w:ascii="Arial" w:cs="Arial" w:eastAsia="Arial" w:hAnsi="Arial"/>
          <w:sz w:val="18"/>
          <w:szCs w:val="18"/>
          <w:color w:val="auto"/>
        </w:rPr>
      </w:pPr>
    </w:p>
    <w:p>
      <w:pPr>
        <w:jc w:val="both"/>
        <w:ind w:left="440" w:right="119" w:hanging="315"/>
        <w:spacing w:after="0" w:line="259" w:lineRule="auto"/>
        <w:tabs>
          <w:tab w:leader="none" w:pos="40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shall prepare (i) financial reports that shall include a balance sheet as of December 31, and a profit and loss account for the preceding financial year; and (ii) unaudited, but reviewed quarterly financial statements within forty five (45) days after the end of each quarter. In addition, the Company shall prepare any additional financial reports as shall be required by accepted bookkeeping rules.</w:t>
      </w:r>
    </w:p>
    <w:p>
      <w:pPr>
        <w:spacing w:after="0" w:line="186" w:lineRule="exact"/>
        <w:rPr>
          <w:rFonts w:ascii="Arial" w:cs="Arial" w:eastAsia="Arial" w:hAnsi="Arial"/>
          <w:sz w:val="18"/>
          <w:szCs w:val="18"/>
          <w:color w:val="auto"/>
        </w:rPr>
      </w:pPr>
    </w:p>
    <w:p>
      <w:pPr>
        <w:ind w:left="940" w:right="119" w:hanging="815"/>
        <w:spacing w:after="0" w:line="286" w:lineRule="auto"/>
        <w:tabs>
          <w:tab w:leader="none" w:pos="46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 The company shall prepare annual financial reports within three (3) months following the end of each fiscal year. At least once in every fiscal year the accounts of the Company shall be audited and the correctness of the profit and loss account and balance sheet certified by one or more duly qualified auditors.</w:t>
      </w:r>
    </w:p>
    <w:p>
      <w:pPr>
        <w:spacing w:after="0" w:line="165" w:lineRule="exact"/>
        <w:rPr>
          <w:rFonts w:ascii="Arial" w:cs="Arial" w:eastAsia="Arial" w:hAnsi="Arial"/>
          <w:sz w:val="17"/>
          <w:szCs w:val="17"/>
          <w:color w:val="auto"/>
        </w:rPr>
      </w:pPr>
    </w:p>
    <w:p>
      <w:pPr>
        <w:jc w:val="both"/>
        <w:ind w:left="940" w:right="119" w:hanging="383"/>
        <w:spacing w:after="0" w:line="254" w:lineRule="auto"/>
        <w:tabs>
          <w:tab w:leader="none" w:pos="96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appointment, authorities, rights and duties of the auditor(s) of the Company, shall be regulated by the Board of Directors and applicable law, provided, however, that in exercising its authority to fix the remuneration of the auditor(s), the members in the General Meeting may, by Ordinary Resolution, act (and in the absence of any action in connection therewith shall be deemed to have so acted) to authorize the Board of Directors to fix such remuneration subject to such criteria or standards, and if so such criteria or standards, if any, as may be provided in such Ordinary Resolution, and if no such criteria or standards are so provided, such remuneration shall be fixed in an amount commensurate with the volume and nature of the services rendered by such auditor(s).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left="440" w:right="119" w:hanging="315"/>
        <w:spacing w:after="0" w:line="264" w:lineRule="auto"/>
        <w:tabs>
          <w:tab w:leader="none" w:pos="41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notice or any other document may be served by the Company upon any member either personally or by sending it by facsimile, or telefax, addressed to such member at his address, wherever situated, as appearing in the register of members.</w:t>
      </w:r>
    </w:p>
    <w:p>
      <w:pPr>
        <w:spacing w:after="0" w:line="181" w:lineRule="exact"/>
        <w:rPr>
          <w:rFonts w:ascii="Arial" w:cs="Arial" w:eastAsia="Arial" w:hAnsi="Arial"/>
          <w:sz w:val="18"/>
          <w:szCs w:val="18"/>
          <w:color w:val="auto"/>
        </w:rPr>
      </w:pPr>
    </w:p>
    <w:p>
      <w:pPr>
        <w:ind w:left="480" w:right="119" w:hanging="355"/>
        <w:spacing w:after="0" w:line="342" w:lineRule="auto"/>
        <w:tabs>
          <w:tab w:leader="none" w:pos="49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All notices directed to be given to the members shall, with respect to any shares to which persons are jointly entitled, be given to one of the joint holders, and any notice so given shall be sufficient notice to the holders of such share.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6" w:name="page187"/>
    <w:bookmarkEnd w:id="186"/>
    <w:p>
      <w:pPr>
        <w:jc w:val="both"/>
        <w:ind w:left="480" w:right="119" w:hanging="355"/>
        <w:spacing w:after="0" w:line="279" w:lineRule="auto"/>
        <w:tabs>
          <w:tab w:leader="none" w:pos="524"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Prior and timely notice of the convening of a General Meeting shall be given to each applicable shareholder, wherever situated, at the last address provided by such shareholder. Any member registered in the register who shall, from time to time, furnish the Company with an address at which notices may be served, shall be entitled to receive all notices he is entitled to receive according to these Articles at that address.</w:t>
      </w:r>
    </w:p>
    <w:p>
      <w:pPr>
        <w:spacing w:after="0" w:line="171" w:lineRule="exact"/>
        <w:rPr>
          <w:rFonts w:ascii="Arial" w:cs="Arial" w:eastAsia="Arial" w:hAnsi="Arial"/>
          <w:sz w:val="17"/>
          <w:szCs w:val="17"/>
          <w:color w:val="auto"/>
        </w:rPr>
      </w:pPr>
    </w:p>
    <w:p>
      <w:pPr>
        <w:jc w:val="both"/>
        <w:ind w:left="480" w:right="119" w:hanging="355"/>
        <w:spacing w:after="0" w:line="276" w:lineRule="auto"/>
        <w:tabs>
          <w:tab w:leader="none" w:pos="47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 notice may be given by the Company to the persons entitled to a share in consequence of the death or bankruptcy of a member by sending it through the post in a prepaid letter or postcard or telefax, addressed to them by name, at the address, if any, in Israel furnished for the purpose by the persons claiming to be so entitled or, until such an address has been so furnished, by giving the notice in any manner in which the same might have been given if the death or bankruptcy had not occurred.</w:t>
      </w:r>
    </w:p>
    <w:p>
      <w:pPr>
        <w:spacing w:after="0" w:line="172" w:lineRule="exact"/>
        <w:rPr>
          <w:rFonts w:ascii="Arial" w:cs="Arial" w:eastAsia="Arial" w:hAnsi="Arial"/>
          <w:sz w:val="17"/>
          <w:szCs w:val="17"/>
          <w:color w:val="auto"/>
        </w:rPr>
      </w:pPr>
    </w:p>
    <w:p>
      <w:pPr>
        <w:jc w:val="both"/>
        <w:ind w:left="480" w:right="119" w:hanging="355"/>
        <w:spacing w:after="0" w:line="255" w:lineRule="auto"/>
        <w:tabs>
          <w:tab w:leader="none" w:pos="4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notice or other document if served or sent by post shall be deemed to have been served or delivered ten (10) days after the time when the letter or postcard or telefax containing the same was delivered to the post or at such time as the telefax was sent, and in proving such service it shall be sufficient to prove that the letter or postcard or telefax containing the notice was properly addressed and delivered at the post office or sent by telefax. Any list kept in the ordinary manner in any mail list of the Company or any copy of any telefax in the Company’s possession shall be prima facie proof of the delivery.</w:t>
      </w:r>
    </w:p>
    <w:p>
      <w:pPr>
        <w:spacing w:after="0" w:line="193" w:lineRule="exact"/>
        <w:rPr>
          <w:rFonts w:ascii="Arial" w:cs="Arial" w:eastAsia="Arial" w:hAnsi="Arial"/>
          <w:sz w:val="18"/>
          <w:szCs w:val="18"/>
          <w:color w:val="auto"/>
        </w:rPr>
      </w:pPr>
    </w:p>
    <w:p>
      <w:pPr>
        <w:ind w:left="940" w:right="119" w:hanging="815"/>
        <w:spacing w:after="0" w:line="277" w:lineRule="auto"/>
        <w:tabs>
          <w:tab w:leader="none" w:pos="4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In any case where it is necessary to give prior notice of a certain number of days or a notice valid for a certain period, the date of delivery shall be taken into account in the number of days or period.</w:t>
      </w:r>
    </w:p>
    <w:p>
      <w:pPr>
        <w:spacing w:after="0" w:line="170" w:lineRule="exact"/>
        <w:rPr>
          <w:rFonts w:ascii="Arial" w:cs="Arial" w:eastAsia="Arial" w:hAnsi="Arial"/>
          <w:sz w:val="18"/>
          <w:szCs w:val="18"/>
          <w:color w:val="auto"/>
        </w:rPr>
      </w:pPr>
    </w:p>
    <w:p>
      <w:pPr>
        <w:jc w:val="both"/>
        <w:ind w:left="940" w:right="119" w:hanging="383"/>
        <w:spacing w:after="0" w:line="259" w:lineRule="auto"/>
        <w:tabs>
          <w:tab w:leader="none" w:pos="94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 addition to, but not as substitution therefore, the furnishing of a notice pursuant to the above Articles 99-104, the Company may furnish a notice to the shareholders entitled to receive notice, or to part of them, by publication of a notice in a newspaper distributed in the area wherein the office is located, or any other place, in Israel or abroad, as the Board of Directors shall determine.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REORGANIZATION OF THE COMPANY</w:t>
      </w:r>
    </w:p>
    <w:p>
      <w:pPr>
        <w:spacing w:after="0" w:line="229" w:lineRule="exact"/>
        <w:rPr>
          <w:sz w:val="20"/>
          <w:szCs w:val="20"/>
          <w:color w:val="auto"/>
        </w:rPr>
      </w:pPr>
    </w:p>
    <w:p>
      <w:pPr>
        <w:jc w:val="both"/>
        <w:ind w:left="480" w:right="119" w:hanging="355"/>
        <w:spacing w:after="0" w:line="268" w:lineRule="auto"/>
        <w:tabs>
          <w:tab w:leader="none" w:pos="51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Subject to the provisions of these Articles, at the time of sale of the Company’s material assets the Board of Directors may, or at the time of liquidation of the Company the liquidators may, if authorized by a Special Resolution of the Company, receive shares paid in full or in part, debentures or other securities of any other Company, whether already existing at that time or whether about to be established for the purpose of acquiring the property of the Company, or a part thereof. The Board of Directors (if the profits of the Company so permit) or the liquidators (at the time of liquidation) may distribute among the members the shares or aforesaid securities or any other property of the Company without realizing them, or deposit them with trustees for the members, and every Special Resolution can resolve as to the distribution or the setting aside of cash, the shares or other securities and the rights or property of the Company in a manner not entirely identical with the legal rights of the members of the Company, or its participants, and such resolution may value the securities or property aforesaid at such price and in such manner as the meeting shall decide. All shareholders shall be required to accept all valuation or distribution decided as aforesaid and to waive all their rights in this regard, except, in the case where the Company is at a liquidation stage or in the process of liquidation, with respect to such legal rights (if any) which according to the provisions of the law cannot be altered or renounced.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INSURANCE</w:t>
      </w:r>
    </w:p>
    <w:p>
      <w:pPr>
        <w:spacing w:after="0" w:line="229" w:lineRule="exact"/>
        <w:rPr>
          <w:sz w:val="20"/>
          <w:szCs w:val="20"/>
          <w:color w:val="auto"/>
        </w:rPr>
      </w:pPr>
    </w:p>
    <w:p>
      <w:pPr>
        <w:jc w:val="both"/>
        <w:ind w:left="480" w:right="119" w:hanging="355"/>
        <w:spacing w:after="0" w:line="279" w:lineRule="auto"/>
        <w:tabs>
          <w:tab w:leader="none" w:pos="49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Subject to the provisions of the Law and to the extent permitted under law, and subject further to </w:t>
      </w:r>
      <w:r>
        <w:rPr>
          <w:rFonts w:ascii="Arial" w:cs="Arial" w:eastAsia="Arial" w:hAnsi="Arial"/>
          <w:sz w:val="17"/>
          <w:szCs w:val="17"/>
          <w:u w:val="single" w:color="auto"/>
          <w:color w:val="auto"/>
        </w:rPr>
        <w:t>Article 111</w:t>
      </w:r>
      <w:r>
        <w:rPr>
          <w:rFonts w:ascii="Arial" w:cs="Arial" w:eastAsia="Arial" w:hAnsi="Arial"/>
          <w:sz w:val="17"/>
          <w:szCs w:val="17"/>
          <w:color w:val="auto"/>
        </w:rPr>
        <w:t>, the Company may enter into a contract for the insurance of all or part of the liability of any of its Office Holders (as such term is defined in the Law) imposed on him in consequence of an act which such Office Holder has performed by virtue of being an Office Holder, including, in respect of one of the following:</w:t>
      </w:r>
    </w:p>
    <w:p>
      <w:pPr>
        <w:spacing w:after="0" w:line="171" w:lineRule="exact"/>
        <w:rPr>
          <w:rFonts w:ascii="Arial" w:cs="Arial" w:eastAsia="Arial" w:hAnsi="Arial"/>
          <w:sz w:val="17"/>
          <w:szCs w:val="17"/>
          <w:color w:val="auto"/>
        </w:rPr>
      </w:pPr>
    </w:p>
    <w:p>
      <w:pPr>
        <w:ind w:left="900" w:hanging="343"/>
        <w:spacing w:after="0"/>
        <w:tabs>
          <w:tab w:leader="none" w:pos="9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 breach of his duty of care to the Company or to another person;</w:t>
      </w:r>
    </w:p>
    <w:p>
      <w:pPr>
        <w:spacing w:after="0" w:line="225" w:lineRule="exact"/>
        <w:rPr>
          <w:rFonts w:ascii="Arial" w:cs="Arial" w:eastAsia="Arial" w:hAnsi="Arial"/>
          <w:sz w:val="18"/>
          <w:szCs w:val="18"/>
          <w:color w:val="auto"/>
        </w:rPr>
      </w:pPr>
    </w:p>
    <w:p>
      <w:pPr>
        <w:ind w:left="940" w:right="119" w:hanging="383"/>
        <w:spacing w:after="0" w:line="308" w:lineRule="auto"/>
        <w:tabs>
          <w:tab w:leader="none" w:pos="951"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 breach of his fiduciary duty to the Company; provided that the Office Holder acted in good faith and had reasonable cause to assume that such act would not prejudice the interests of the Company;</w:t>
      </w:r>
    </w:p>
    <w:p>
      <w:pPr>
        <w:spacing w:after="0" w:line="146" w:lineRule="exact"/>
        <w:rPr>
          <w:rFonts w:ascii="Arial" w:cs="Arial" w:eastAsia="Arial" w:hAnsi="Arial"/>
          <w:sz w:val="17"/>
          <w:szCs w:val="17"/>
          <w:color w:val="auto"/>
        </w:rPr>
      </w:pPr>
    </w:p>
    <w:p>
      <w:pPr>
        <w:ind w:left="900" w:hanging="343"/>
        <w:spacing w:after="0"/>
        <w:tabs>
          <w:tab w:leader="none" w:pos="9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 financial obligation imposed on him in favor of another person; and</w:t>
      </w:r>
    </w:p>
    <w:p>
      <w:pPr>
        <w:spacing w:after="0" w:line="225" w:lineRule="exact"/>
        <w:rPr>
          <w:rFonts w:ascii="Arial" w:cs="Arial" w:eastAsia="Arial" w:hAnsi="Arial"/>
          <w:sz w:val="18"/>
          <w:szCs w:val="18"/>
          <w:color w:val="auto"/>
        </w:rPr>
      </w:pPr>
    </w:p>
    <w:p>
      <w:pPr>
        <w:ind w:left="940" w:right="119" w:hanging="383"/>
        <w:spacing w:after="0" w:line="277" w:lineRule="auto"/>
        <w:tabs>
          <w:tab w:leader="none" w:pos="96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other circumstances arising under the law with respect to which the Company may, or will be able to, insure an Office Holder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7" w:name="page188"/>
    <w:bookmarkEnd w:id="187"/>
    <w:p>
      <w:pPr>
        <w:ind w:left="120"/>
        <w:spacing w:after="0"/>
        <w:rPr>
          <w:sz w:val="20"/>
          <w:szCs w:val="20"/>
          <w:color w:val="auto"/>
        </w:rPr>
      </w:pPr>
      <w:r>
        <w:rPr>
          <w:rFonts w:ascii="Arial" w:cs="Arial" w:eastAsia="Arial" w:hAnsi="Arial"/>
          <w:sz w:val="18"/>
          <w:szCs w:val="18"/>
          <w:b w:val="1"/>
          <w:bCs w:val="1"/>
          <w:u w:val="single" w:color="auto"/>
          <w:color w:val="auto"/>
        </w:rPr>
        <w:t>INDEMNITY</w:t>
      </w:r>
    </w:p>
    <w:p>
      <w:pPr>
        <w:spacing w:after="0" w:line="229" w:lineRule="exact"/>
        <w:rPr>
          <w:sz w:val="20"/>
          <w:szCs w:val="20"/>
          <w:color w:val="auto"/>
        </w:rPr>
      </w:pPr>
    </w:p>
    <w:p>
      <w:pPr>
        <w:jc w:val="both"/>
        <w:ind w:left="480" w:right="119" w:hanging="355"/>
        <w:spacing w:after="0" w:line="257" w:lineRule="auto"/>
        <w:tabs>
          <w:tab w:leader="none" w:pos="4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Law and to the extent permitted under any applicable law, and subject further to </w:t>
      </w:r>
      <w:r>
        <w:rPr>
          <w:rFonts w:ascii="Arial" w:cs="Arial" w:eastAsia="Arial" w:hAnsi="Arial"/>
          <w:sz w:val="18"/>
          <w:szCs w:val="18"/>
          <w:u w:val="single" w:color="auto"/>
          <w:color w:val="auto"/>
        </w:rPr>
        <w:t>Article 111</w:t>
      </w:r>
      <w:r>
        <w:rPr>
          <w:rFonts w:ascii="Arial" w:cs="Arial" w:eastAsia="Arial" w:hAnsi="Arial"/>
          <w:sz w:val="18"/>
          <w:szCs w:val="18"/>
          <w:color w:val="auto"/>
        </w:rPr>
        <w:t>, the Company may indemnify an Office Holder, retroactively, in respect of any liability or expense for which indemnification may be provided under the Law, including the following liabilities or expenses, imposed on such Office Holder or incurred by him in consequence of an act which he has performed by virtue of being an Office Holder:</w:t>
      </w:r>
    </w:p>
    <w:p>
      <w:pPr>
        <w:spacing w:after="0" w:line="188" w:lineRule="exact"/>
        <w:rPr>
          <w:rFonts w:ascii="Arial" w:cs="Arial" w:eastAsia="Arial" w:hAnsi="Arial"/>
          <w:sz w:val="18"/>
          <w:szCs w:val="18"/>
          <w:color w:val="auto"/>
        </w:rPr>
      </w:pPr>
    </w:p>
    <w:p>
      <w:pPr>
        <w:jc w:val="both"/>
        <w:ind w:left="940" w:right="119" w:hanging="383"/>
        <w:spacing w:after="0" w:line="276" w:lineRule="auto"/>
        <w:tabs>
          <w:tab w:leader="none" w:pos="91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 financial liability imposed on such Office Holder in favor of any person pursuant to a judgment, including a judgment rendered in the context of a settlement or an arbitrator’s award approved by a court; the term “</w:t>
      </w:r>
      <w:r>
        <w:rPr>
          <w:rFonts w:ascii="Arial" w:cs="Arial" w:eastAsia="Arial" w:hAnsi="Arial"/>
          <w:sz w:val="17"/>
          <w:szCs w:val="17"/>
          <w:b w:val="1"/>
          <w:bCs w:val="1"/>
          <w:color w:val="auto"/>
        </w:rPr>
        <w:t>person</w:t>
      </w:r>
      <w:r>
        <w:rPr>
          <w:rFonts w:ascii="Arial" w:cs="Arial" w:eastAsia="Arial" w:hAnsi="Arial"/>
          <w:sz w:val="17"/>
          <w:szCs w:val="17"/>
          <w:color w:val="auto"/>
        </w:rPr>
        <w:t xml:space="preserve">” in this </w:t>
      </w:r>
      <w:r>
        <w:rPr>
          <w:rFonts w:ascii="Arial" w:cs="Arial" w:eastAsia="Arial" w:hAnsi="Arial"/>
          <w:sz w:val="17"/>
          <w:szCs w:val="17"/>
          <w:u w:val="single" w:color="auto"/>
          <w:color w:val="auto"/>
        </w:rPr>
        <w:t>Article 107</w:t>
      </w:r>
      <w:r>
        <w:rPr>
          <w:rFonts w:ascii="Arial" w:cs="Arial" w:eastAsia="Arial" w:hAnsi="Arial"/>
          <w:sz w:val="17"/>
          <w:szCs w:val="17"/>
          <w:color w:val="auto"/>
        </w:rPr>
        <w:t xml:space="preserve"> shall include, without limitation, a natural person, firm, partnership, joint venture, trust, company, corporation, limited liability entity, unincorporated organization, estate, government, municipality, or any political, governmental, regulatory or similar agency or body;</w:t>
      </w:r>
    </w:p>
    <w:p>
      <w:pPr>
        <w:spacing w:after="0" w:line="172" w:lineRule="exact"/>
        <w:rPr>
          <w:rFonts w:ascii="Arial" w:cs="Arial" w:eastAsia="Arial" w:hAnsi="Arial"/>
          <w:sz w:val="17"/>
          <w:szCs w:val="17"/>
          <w:color w:val="auto"/>
        </w:rPr>
      </w:pPr>
    </w:p>
    <w:p>
      <w:pPr>
        <w:jc w:val="both"/>
        <w:ind w:left="940" w:right="119" w:hanging="383"/>
        <w:spacing w:after="0" w:line="268" w:lineRule="auto"/>
        <w:tabs>
          <w:tab w:leader="none" w:pos="958" w:val="left"/>
        </w:tabs>
        <w:numPr>
          <w:ilvl w:val="1"/>
          <w:numId w:val="215"/>
        </w:numPr>
        <w:rPr>
          <w:rFonts w:ascii="Arial" w:cs="Arial" w:eastAsia="Arial" w:hAnsi="Arial"/>
          <w:sz w:val="17"/>
          <w:szCs w:val="17"/>
          <w:color w:val="auto"/>
        </w:rPr>
      </w:pPr>
      <w:r>
        <w:rPr>
          <w:rFonts w:ascii="Arial" w:cs="Arial" w:eastAsia="Arial" w:hAnsi="Arial"/>
          <w:sz w:val="17"/>
          <w:szCs w:val="17"/>
          <w:color w:val="auto"/>
        </w:rPr>
        <w:t xml:space="preserve">reasonable Litigation Expenses (as defined below) expended incurred by an Office Holder as a result of an investigation or any proceeding instituted against him by an authority that is authorized to conduct an investigation or proceeding, and that was concluded without filing an indictment against the Office Holder and without imposing on the Office Holder a financial obligation in lieu of a criminal proceeding, or that was concluded without filing an indictment against the Office Holder but with imposing a financial obligation in lieu of a criminal proceeding in an offence that does not require proof of </w:t>
      </w:r>
      <w:r>
        <w:rPr>
          <w:rFonts w:ascii="Arial" w:cs="Arial" w:eastAsia="Arial" w:hAnsi="Arial"/>
          <w:sz w:val="17"/>
          <w:szCs w:val="17"/>
          <w:i w:val="1"/>
          <w:iCs w:val="1"/>
          <w:color w:val="auto"/>
        </w:rPr>
        <w:t>mens rea</w:t>
      </w:r>
      <w:r>
        <w:rPr>
          <w:rFonts w:ascii="Arial" w:cs="Arial" w:eastAsia="Arial" w:hAnsi="Arial"/>
          <w:sz w:val="17"/>
          <w:szCs w:val="17"/>
          <w:color w:val="auto"/>
        </w:rPr>
        <w:t>. In this section the terms “conclusion of a proceeding without filing an indictment in a matter in which a criminal investigation has been instigated” and “financial liability in lieu of a criminal proceeding” shall have the meaning ascribed to such terms under the Law. The term “</w:t>
      </w:r>
      <w:r>
        <w:rPr>
          <w:rFonts w:ascii="Arial" w:cs="Arial" w:eastAsia="Arial" w:hAnsi="Arial"/>
          <w:sz w:val="17"/>
          <w:szCs w:val="17"/>
          <w:b w:val="1"/>
          <w:bCs w:val="1"/>
          <w:color w:val="auto"/>
        </w:rPr>
        <w:t>Litigation Expenses</w:t>
      </w:r>
      <w:r>
        <w:rPr>
          <w:rFonts w:ascii="Arial" w:cs="Arial" w:eastAsia="Arial" w:hAnsi="Arial"/>
          <w:sz w:val="17"/>
          <w:szCs w:val="17"/>
          <w:color w:val="auto"/>
        </w:rPr>
        <w:t xml:space="preserve">” in this </w:t>
      </w:r>
      <w:r>
        <w:rPr>
          <w:rFonts w:ascii="Arial" w:cs="Arial" w:eastAsia="Arial" w:hAnsi="Arial"/>
          <w:sz w:val="17"/>
          <w:szCs w:val="17"/>
          <w:u w:val="single" w:color="auto"/>
          <w:color w:val="auto"/>
        </w:rPr>
        <w:t>Article 107</w:t>
      </w:r>
      <w:r>
        <w:rPr>
          <w:rFonts w:ascii="Arial" w:cs="Arial" w:eastAsia="Arial" w:hAnsi="Arial"/>
          <w:sz w:val="17"/>
          <w:szCs w:val="17"/>
          <w:color w:val="auto"/>
        </w:rPr>
        <w:t xml:space="preserve"> shall include, without limitation, attorneys’ fees and all other costs, expenses and obligations paid or incurred in connection with investigating, defending, being a witness in or participating in (including on appeal), or preparing to defend, be a witness in or participate in any claim relating to any matter for which indemnification hereunder may be provided;</w:t>
      </w:r>
    </w:p>
    <w:p>
      <w:pPr>
        <w:spacing w:after="0" w:line="187" w:lineRule="exact"/>
        <w:rPr>
          <w:rFonts w:ascii="Arial" w:cs="Arial" w:eastAsia="Arial" w:hAnsi="Arial"/>
          <w:sz w:val="17"/>
          <w:szCs w:val="17"/>
          <w:color w:val="auto"/>
        </w:rPr>
      </w:pPr>
    </w:p>
    <w:p>
      <w:pPr>
        <w:jc w:val="both"/>
        <w:ind w:left="940" w:right="119" w:hanging="383"/>
        <w:spacing w:after="0" w:line="259" w:lineRule="auto"/>
        <w:tabs>
          <w:tab w:leader="none" w:pos="92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reasonable litigation expenses, including attorneys’ fees, incurred by an Officer or charged to him by a court, in a proceeding instituted against him by the Company or on its behalf or by another person, or in a criminal charge from which he was acquitted or in which he was convicted of an offence that does not require proof of </w:t>
      </w:r>
      <w:r>
        <w:rPr>
          <w:rFonts w:ascii="Arial" w:cs="Arial" w:eastAsia="Arial" w:hAnsi="Arial"/>
          <w:sz w:val="18"/>
          <w:szCs w:val="18"/>
          <w:i w:val="1"/>
          <w:iCs w:val="1"/>
          <w:color w:val="auto"/>
        </w:rPr>
        <w:t>mens rea</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940" w:right="439" w:hanging="383"/>
        <w:spacing w:after="0" w:line="277" w:lineRule="auto"/>
        <w:tabs>
          <w:tab w:leader="none" w:pos="90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other event, occurrence or circumstances in respect of which the Company may lawfully indemnify an Office Holder of the Company.</w:t>
      </w:r>
    </w:p>
    <w:p>
      <w:pPr>
        <w:spacing w:after="0" w:line="170" w:lineRule="exact"/>
        <w:rPr>
          <w:rFonts w:ascii="Arial" w:cs="Arial" w:eastAsia="Arial" w:hAnsi="Arial"/>
          <w:sz w:val="18"/>
          <w:szCs w:val="18"/>
          <w:color w:val="auto"/>
        </w:rPr>
      </w:pPr>
    </w:p>
    <w:p>
      <w:pPr>
        <w:jc w:val="both"/>
        <w:ind w:left="480" w:right="119" w:hanging="355"/>
        <w:spacing w:after="0" w:line="259" w:lineRule="auto"/>
        <w:tabs>
          <w:tab w:leader="none" w:pos="49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Law and to the extent permitted under law, and subject further to </w:t>
      </w:r>
      <w:r>
        <w:rPr>
          <w:rFonts w:ascii="Arial" w:cs="Arial" w:eastAsia="Arial" w:hAnsi="Arial"/>
          <w:sz w:val="18"/>
          <w:szCs w:val="18"/>
          <w:u w:val="single" w:color="auto"/>
          <w:color w:val="auto"/>
        </w:rPr>
        <w:t>Article 107</w:t>
      </w:r>
      <w:r>
        <w:rPr>
          <w:rFonts w:ascii="Arial" w:cs="Arial" w:eastAsia="Arial" w:hAnsi="Arial"/>
          <w:sz w:val="18"/>
          <w:szCs w:val="18"/>
          <w:color w:val="auto"/>
        </w:rPr>
        <w:t>, the Company may undertake to indemnify an Office Holder, in advance, in respect of the following liabilities or expenses, imposed on such Office Holder or incurred by him in consequence of an act which he has performed by virtue of being an Office Holder:</w:t>
      </w:r>
    </w:p>
    <w:p>
      <w:pPr>
        <w:spacing w:after="0" w:line="186" w:lineRule="exact"/>
        <w:rPr>
          <w:rFonts w:ascii="Arial" w:cs="Arial" w:eastAsia="Arial" w:hAnsi="Arial"/>
          <w:sz w:val="18"/>
          <w:szCs w:val="18"/>
          <w:color w:val="auto"/>
        </w:rPr>
      </w:pPr>
    </w:p>
    <w:p>
      <w:pPr>
        <w:jc w:val="both"/>
        <w:ind w:left="940" w:right="119" w:hanging="383"/>
        <w:spacing w:after="0" w:line="257" w:lineRule="auto"/>
        <w:tabs>
          <w:tab w:leader="none" w:pos="91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Article 107(a)</w:t>
      </w:r>
      <w:r>
        <w:rPr>
          <w:rFonts w:ascii="Arial" w:cs="Arial" w:eastAsia="Arial" w:hAnsi="Arial"/>
          <w:sz w:val="18"/>
          <w:szCs w:val="18"/>
          <w:color w:val="auto"/>
        </w:rPr>
        <w:t>, provided that the undertaking to indemnity shall be limited to events which the Board of Directors believes are predictable in light of the Company’s business de facto at the time the undertaking to indemnify is granted, and to amounts or criterion that the Board of Directors had determined to be reasonable in the circumstances, and that the undertaking to indemnity shall specify such predictable event and the amounts or criterion so determined.</w:t>
      </w:r>
    </w:p>
    <w:p>
      <w:pPr>
        <w:spacing w:after="0" w:line="188" w:lineRule="exact"/>
        <w:rPr>
          <w:rFonts w:ascii="Arial" w:cs="Arial" w:eastAsia="Arial" w:hAnsi="Arial"/>
          <w:sz w:val="18"/>
          <w:szCs w:val="18"/>
          <w:color w:val="auto"/>
        </w:rPr>
      </w:pPr>
    </w:p>
    <w:p>
      <w:pPr>
        <w:ind w:left="900" w:hanging="343"/>
        <w:spacing w:after="0"/>
        <w:tabs>
          <w:tab w:leader="none" w:pos="9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As set forth in Articles 107(b) to 107(c), and to the extent permitted by law, in Article 107(d).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RELEASE</w:t>
      </w:r>
    </w:p>
    <w:p>
      <w:pPr>
        <w:spacing w:after="0" w:line="229" w:lineRule="exact"/>
        <w:rPr>
          <w:sz w:val="20"/>
          <w:szCs w:val="20"/>
          <w:color w:val="auto"/>
        </w:rPr>
      </w:pPr>
    </w:p>
    <w:p>
      <w:pPr>
        <w:jc w:val="both"/>
        <w:ind w:left="480" w:right="119" w:hanging="355"/>
        <w:spacing w:after="0" w:line="264" w:lineRule="auto"/>
        <w:tabs>
          <w:tab w:leader="none" w:pos="49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Subject to the provisions of the Law and to the extent permitted under law, and subject further to Article 111, the Company may release, in advance, an Office Holder from all or any part of the liability due to damages arising out of the breach of duty of care towards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8" w:name="page189"/>
    <w:bookmarkEnd w:id="188"/>
    <w:p>
      <w:pPr>
        <w:ind w:left="120"/>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ind w:left="480" w:right="119" w:hanging="355"/>
        <w:spacing w:after="0" w:line="264" w:lineRule="auto"/>
        <w:tabs>
          <w:tab w:leader="none" w:pos="5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subject to applicable law, these Articles are not intended, and shall not be interpreted, to restrict the Company in any manner in respect of the procurement of insurance and/or in respect of indemnification:</w:t>
      </w:r>
    </w:p>
    <w:p>
      <w:pPr>
        <w:spacing w:after="0" w:line="181" w:lineRule="exact"/>
        <w:rPr>
          <w:rFonts w:ascii="Arial" w:cs="Arial" w:eastAsia="Arial" w:hAnsi="Arial"/>
          <w:sz w:val="18"/>
          <w:szCs w:val="18"/>
          <w:color w:val="auto"/>
        </w:rPr>
      </w:pPr>
    </w:p>
    <w:p>
      <w:pPr>
        <w:ind w:left="940" w:right="119" w:hanging="383"/>
        <w:spacing w:after="0" w:line="277" w:lineRule="auto"/>
        <w:tabs>
          <w:tab w:leader="none" w:pos="899"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 connection with any person who is not an Office Holder, including, without limitation, any employee, agent, consultant or contractor of the Company who is not an Office Holder; and/or</w:t>
      </w:r>
    </w:p>
    <w:p>
      <w:pPr>
        <w:spacing w:after="0" w:line="170" w:lineRule="exact"/>
        <w:rPr>
          <w:rFonts w:ascii="Arial" w:cs="Arial" w:eastAsia="Arial" w:hAnsi="Arial"/>
          <w:sz w:val="18"/>
          <w:szCs w:val="18"/>
          <w:color w:val="auto"/>
        </w:rPr>
      </w:pPr>
    </w:p>
    <w:p>
      <w:pPr>
        <w:ind w:left="940" w:right="939" w:hanging="383"/>
        <w:spacing w:after="0" w:line="277" w:lineRule="auto"/>
        <w:tabs>
          <w:tab w:leader="none" w:pos="90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 connection with any Office Holder to the extent that such insurance and/or indemnification is not specifically prohibited under law;</w:t>
      </w:r>
    </w:p>
    <w:p>
      <w:pPr>
        <w:spacing w:after="0" w:line="170" w:lineRule="exact"/>
        <w:rPr>
          <w:sz w:val="20"/>
          <w:szCs w:val="20"/>
          <w:color w:val="auto"/>
        </w:rPr>
      </w:pPr>
    </w:p>
    <w:p>
      <w:pPr>
        <w:ind w:left="940" w:right="119"/>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has an Audit Committee, the procurement of any such insurance and/or the provision of any such indemnification shall be approved by the Audit Committee of the Company.</w:t>
      </w:r>
    </w:p>
    <w:p>
      <w:pPr>
        <w:spacing w:after="0" w:line="147" w:lineRule="exact"/>
        <w:rPr>
          <w:sz w:val="20"/>
          <w:szCs w:val="20"/>
          <w:color w:val="auto"/>
        </w:rPr>
      </w:pPr>
    </w:p>
    <w:p>
      <w:pPr>
        <w:jc w:val="both"/>
        <w:ind w:left="480" w:right="119" w:hanging="355"/>
        <w:spacing w:after="0" w:line="286" w:lineRule="auto"/>
        <w:tabs>
          <w:tab w:leader="none" w:pos="46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Notwithstanding anything to the contrary in these Articles or any other agreement or instrument, the Company shall not insure, indemnify or release the Office Holder with respect to events or circumstances for which insurance, indemnification or release are not permitted under law.</w:t>
      </w:r>
    </w:p>
    <w:p>
      <w:pPr>
        <w:spacing w:after="0" w:line="165" w:lineRule="exact"/>
        <w:rPr>
          <w:rFonts w:ascii="Arial" w:cs="Arial" w:eastAsia="Arial" w:hAnsi="Arial"/>
          <w:sz w:val="17"/>
          <w:szCs w:val="17"/>
          <w:color w:val="auto"/>
        </w:rPr>
      </w:pPr>
    </w:p>
    <w:p>
      <w:pPr>
        <w:jc w:val="both"/>
        <w:ind w:left="480" w:right="119" w:hanging="355"/>
        <w:spacing w:after="0" w:line="279" w:lineRule="auto"/>
        <w:tabs>
          <w:tab w:leader="none" w:pos="47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amendment to the Companies Law or other applicable law adversely affecting the right of any Office Holder to be indemnified, insured or released pursuant to Articles 106 to 110 above shall be prospective in effect, and shall not affect the Company’s obligation or ability to indemnify or insure an Office Holder for any act or omission occurring prior to such amendment, unless otherwise provided by applicable law.</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WINDING UP</w:t>
      </w:r>
    </w:p>
    <w:p>
      <w:pPr>
        <w:spacing w:after="0" w:line="229" w:lineRule="exact"/>
        <w:rPr>
          <w:sz w:val="20"/>
          <w:szCs w:val="20"/>
          <w:color w:val="auto"/>
        </w:rPr>
      </w:pPr>
    </w:p>
    <w:p>
      <w:pPr>
        <w:ind w:left="940" w:right="119" w:hanging="815"/>
        <w:spacing w:after="0" w:line="286" w:lineRule="auto"/>
        <w:tabs>
          <w:tab w:leader="none" w:pos="47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 In the event of winding up of the Company, the Company’s property distributable among the shareholders shall be distributed in the rate proportionate to the sum paid on account of the nominal value of the shares held by them, of any class, without taking into account premiums paid in excess of the nominal value.</w:t>
      </w:r>
    </w:p>
    <w:p>
      <w:pPr>
        <w:spacing w:after="0" w:line="165" w:lineRule="exact"/>
        <w:rPr>
          <w:rFonts w:ascii="Arial" w:cs="Arial" w:eastAsia="Arial" w:hAnsi="Arial"/>
          <w:sz w:val="17"/>
          <w:szCs w:val="17"/>
          <w:color w:val="auto"/>
        </w:rPr>
      </w:pPr>
    </w:p>
    <w:p>
      <w:pPr>
        <w:jc w:val="both"/>
        <w:ind w:left="920" w:right="119" w:hanging="381"/>
        <w:spacing w:after="0" w:line="272" w:lineRule="auto"/>
        <w:tabs>
          <w:tab w:leader="none" w:pos="929" w:val="left"/>
        </w:tabs>
        <w:numPr>
          <w:ilvl w:val="1"/>
          <w:numId w:val="219"/>
        </w:numPr>
        <w:rPr>
          <w:rFonts w:ascii="Arial" w:cs="Arial" w:eastAsia="Arial" w:hAnsi="Arial"/>
          <w:sz w:val="17"/>
          <w:szCs w:val="17"/>
          <w:color w:val="auto"/>
        </w:rPr>
      </w:pPr>
      <w:r>
        <w:rPr>
          <w:rFonts w:ascii="Arial" w:cs="Arial" w:eastAsia="Arial" w:hAnsi="Arial"/>
          <w:sz w:val="17"/>
          <w:szCs w:val="17"/>
          <w:color w:val="auto"/>
        </w:rPr>
        <w:t>If the Company is voluntarily wound up, the liquidators may, divide among the members the property as is, and they shall be entitled with a similar authorization to deposit any part of the Company’s property with trustees in escrow for the benefit of members, as they deem correct. A resolution confirming such a distribution may confirm also a distribution in a manner other than in accordance with the legal rights of the members and it may grant special rights to any class of members. However, in the event of the adoption of a resolution enabling a distribution not in accordance with the legal rights of the members, a member adversely affected thereby shall have the right to object pursuant to the provisions of the Law.</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WINDING UP OF BUSINESS</w:t>
      </w:r>
    </w:p>
    <w:p>
      <w:pPr>
        <w:spacing w:after="0" w:line="229" w:lineRule="exact"/>
        <w:rPr>
          <w:sz w:val="20"/>
          <w:szCs w:val="20"/>
          <w:color w:val="auto"/>
        </w:rPr>
      </w:pPr>
    </w:p>
    <w:p>
      <w:pPr>
        <w:jc w:val="both"/>
        <w:ind w:left="480" w:right="119" w:hanging="355"/>
        <w:spacing w:after="0" w:line="289" w:lineRule="auto"/>
        <w:tabs>
          <w:tab w:leader="none" w:pos="46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 the event that at the time of liquidation of the Company the Company’s property available for distribution among the members shall not suffice to return all the paid up capital and subject to, and without derogating from, any rights or surplus rights or existing restrictions at that time of any special class of shares forming part of the capital of the Company, such property shall be divided so that the losses shall, as much as possible, be borne by the members in a pro-rata rate to the paid up capital or that shall have been paid at the commencement of the liquidation on the shares held by each of them. If, at the time of liquidation, the Company’s property designated for distribution among the members is in excess of the amount necessary for the return of all capital paid up at the beginning of the liquidation, it shall belong and be delivered to the members pro rata to the amount paid on the nominal value of each share held by them at the commencement of the liquidation.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9" w:name="page190"/>
    <w:bookmarkEnd w:id="189"/>
    <w:p>
      <w:pPr>
        <w:ind w:left="778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4"/>
          <w:szCs w:val="14"/>
          <w:b w:val="1"/>
          <w:bCs w:val="1"/>
          <w:color w:val="auto"/>
        </w:rPr>
        <w:t>ORNIT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IGITAL</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w:t>
      </w:r>
      <w:r>
        <w:rPr>
          <w:rFonts w:ascii="Arial" w:cs="Arial" w:eastAsia="Arial" w:hAnsi="Arial"/>
          <w:sz w:val="14"/>
          <w:szCs w:val="14"/>
          <w:b w:val="1"/>
          <w:bCs w:val="1"/>
          <w:color w:val="auto"/>
        </w:rPr>
        <w:t>HARE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4"/>
          <w:szCs w:val="14"/>
          <w:b w:val="1"/>
          <w:bCs w:val="1"/>
          <w:color w:val="auto"/>
        </w:rPr>
        <w:t>AS AMENDED</w:t>
      </w:r>
      <w:r>
        <w:rPr>
          <w:rFonts w:ascii="Arial" w:cs="Arial" w:eastAsia="Arial" w:hAnsi="Arial"/>
          <w:sz w:val="22"/>
          <w:szCs w:val="22"/>
          <w:b w:val="1"/>
          <w:bCs w:val="1"/>
          <w:color w:val="auto"/>
        </w:rPr>
        <w:t xml:space="preserve">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15, 2005)</w:t>
      </w:r>
    </w:p>
    <w:p>
      <w:pPr>
        <w:spacing w:after="0" w:line="247" w:lineRule="exact"/>
        <w:rPr>
          <w:sz w:val="20"/>
          <w:szCs w:val="20"/>
          <w:color w:val="auto"/>
        </w:rPr>
      </w:pPr>
    </w:p>
    <w:p>
      <w:pPr>
        <w:ind w:left="560" w:hanging="435"/>
        <w:spacing w:after="0"/>
        <w:tabs>
          <w:tab w:leader="none" w:pos="560"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URPOSE</w:t>
      </w:r>
    </w:p>
    <w:p>
      <w:pPr>
        <w:spacing w:after="0" w:line="233" w:lineRule="exact"/>
        <w:rPr>
          <w:sz w:val="20"/>
          <w:szCs w:val="20"/>
          <w:color w:val="auto"/>
        </w:rPr>
      </w:pPr>
    </w:p>
    <w:p>
      <w:pPr>
        <w:jc w:val="both"/>
        <w:ind w:left="580" w:right="119"/>
        <w:spacing w:after="0" w:line="286" w:lineRule="auto"/>
        <w:rPr>
          <w:sz w:val="20"/>
          <w:szCs w:val="20"/>
          <w:color w:val="auto"/>
        </w:rPr>
      </w:pPr>
      <w:r>
        <w:rPr>
          <w:rFonts w:ascii="Arial" w:cs="Arial" w:eastAsia="Arial" w:hAnsi="Arial"/>
          <w:sz w:val="17"/>
          <w:szCs w:val="17"/>
          <w:color w:val="auto"/>
        </w:rPr>
        <w:t>The purpose of this Share Option Plan is to secure for Kornit digital Ltd. and its shareholders the benefits arising from ownership of share capital by employees, officers and directors of the Company and its Affiliates (as defined below), who are expected to contribute to the Company’s future growth and success.</w:t>
      </w:r>
    </w:p>
    <w:p>
      <w:pPr>
        <w:spacing w:after="0" w:line="179" w:lineRule="exact"/>
        <w:rPr>
          <w:sz w:val="20"/>
          <w:szCs w:val="20"/>
          <w:color w:val="auto"/>
        </w:rPr>
      </w:pPr>
    </w:p>
    <w:p>
      <w:pPr>
        <w:ind w:left="560" w:hanging="435"/>
        <w:spacing w:after="0"/>
        <w:tabs>
          <w:tab w:leader="none" w:pos="560" w:val="left"/>
        </w:tabs>
        <w:numPr>
          <w:ilvl w:val="0"/>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2.1  D</w:t>
      </w:r>
      <w:r>
        <w:rPr>
          <w:rFonts w:ascii="Arial" w:cs="Arial" w:eastAsia="Arial" w:hAnsi="Arial"/>
          <w:sz w:val="13"/>
          <w:szCs w:val="13"/>
          <w:color w:val="auto"/>
        </w:rPr>
        <w:t>EFINED</w:t>
      </w:r>
      <w:r>
        <w:rPr>
          <w:rFonts w:ascii="Arial" w:cs="Arial" w:eastAsia="Arial" w:hAnsi="Arial"/>
          <w:sz w:val="20"/>
          <w:szCs w:val="20"/>
          <w:color w:val="auto"/>
        </w:rPr>
        <w:t xml:space="preserve"> T</w:t>
      </w:r>
      <w:r>
        <w:rPr>
          <w:rFonts w:ascii="Arial" w:cs="Arial" w:eastAsia="Arial" w:hAnsi="Arial"/>
          <w:sz w:val="13"/>
          <w:szCs w:val="13"/>
          <w:color w:val="auto"/>
        </w:rPr>
        <w:t>ERMS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Initially capitalized terms, as used in this Plan, shall have the meaning ascribed thereto as set forth below:</w:t>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500" w:type="dxa"/>
            <w:vAlign w:val="bottom"/>
          </w:tcPr>
          <w:p>
            <w:pPr>
              <w:ind w:left="400"/>
              <w:spacing w:after="0"/>
              <w:rPr>
                <w:sz w:val="20"/>
                <w:szCs w:val="20"/>
                <w:color w:val="auto"/>
              </w:rPr>
            </w:pPr>
            <w:r>
              <w:rPr>
                <w:rFonts w:ascii="Arial" w:cs="Arial" w:eastAsia="Arial" w:hAnsi="Arial"/>
                <w:sz w:val="18"/>
                <w:szCs w:val="18"/>
                <w:color w:val="auto"/>
              </w:rPr>
              <w:t>“Administrator”</w:t>
            </w: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means the Board of Directors of the Company, or the compensation committee</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2"/>
              </w:rPr>
              <w:t>appointed by the Board. Subject to the Articles of Association of the Company, as</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6"/>
              </w:rPr>
              <w:t>may be amended from time to time, the Administrator, if it is a committee, shall</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consist of such number of members (but not less than two (2)) as may be</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determined by the Board.</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“Affiliate(s)”</w:t>
            </w:r>
          </w:p>
        </w:tc>
        <w:tc>
          <w:tcPr>
            <w:tcW w:w="6260" w:type="dxa"/>
            <w:vAlign w:val="bottom"/>
          </w:tcPr>
          <w:p>
            <w:pPr>
              <w:ind w:left="220"/>
              <w:spacing w:after="0"/>
              <w:rPr>
                <w:sz w:val="20"/>
                <w:szCs w:val="20"/>
                <w:color w:val="auto"/>
              </w:rPr>
            </w:pPr>
            <w:r>
              <w:rPr>
                <w:rFonts w:ascii="Arial" w:cs="Arial" w:eastAsia="Arial" w:hAnsi="Arial"/>
                <w:sz w:val="18"/>
                <w:szCs w:val="18"/>
                <w:color w:val="auto"/>
                <w:w w:val="94"/>
              </w:rPr>
              <w:t>means a present or future company that either (i) Controls Kornit digital Ltd. or is</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Controlled by Kornit digital Ltd.; or (ii) is Controlled by the same person or entity</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that Controls Kornit digital Ltd.</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“Allocate” or “Allocated”</w:t>
            </w: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with respect to Options, means the allocation of Options by the Company to the</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Trustee on behalf of a Participant.</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“Cause”</w:t>
            </w:r>
          </w:p>
        </w:tc>
        <w:tc>
          <w:tcPr>
            <w:tcW w:w="6260" w:type="dxa"/>
            <w:vAlign w:val="bottom"/>
          </w:tcPr>
          <w:p>
            <w:pPr>
              <w:ind w:left="220"/>
              <w:spacing w:after="0"/>
              <w:rPr>
                <w:sz w:val="20"/>
                <w:szCs w:val="20"/>
                <w:color w:val="auto"/>
              </w:rPr>
            </w:pPr>
            <w:r>
              <w:rPr>
                <w:rFonts w:ascii="Arial" w:cs="Arial" w:eastAsia="Arial" w:hAnsi="Arial"/>
                <w:sz w:val="18"/>
                <w:szCs w:val="18"/>
                <w:color w:val="auto"/>
                <w:w w:val="98"/>
              </w:rPr>
              <w:t>means,  when  used  in  connection  with  the  termination  of  a  Participant’s</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4"/>
              </w:rPr>
              <w:t>employment with, or service to the Company or an Affiliate, as a result of a basis</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6"/>
              </w:rPr>
              <w:t>for termination, including, but not limited to: dishonesty toward the Company or</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6"/>
              </w:rPr>
              <w:t>Affiliate,  insubordination,  substantial  malfeasance  or  nonfeasance  of  duty,</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8"/>
              </w:rPr>
              <w:t>unauthorized disclosure of confidential information, and conduct substantially</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4"/>
              </w:rPr>
              <w:t>prejudicial to the business of the Company or Affiliate; or, any substantial breach</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7"/>
              </w:rPr>
              <w:t>by the Participant of (i) his or her employment or service agreement or (ii) any</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other obligations toward Company or Affiliate.</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“Commencement Date”</w:t>
            </w:r>
          </w:p>
        </w:tc>
        <w:tc>
          <w:tcPr>
            <w:tcW w:w="6260" w:type="dxa"/>
            <w:vAlign w:val="bottom"/>
          </w:tcPr>
          <w:p>
            <w:pPr>
              <w:ind w:left="220"/>
              <w:spacing w:after="0"/>
              <w:rPr>
                <w:sz w:val="20"/>
                <w:szCs w:val="20"/>
                <w:color w:val="auto"/>
              </w:rPr>
            </w:pPr>
            <w:r>
              <w:rPr>
                <w:rFonts w:ascii="Arial" w:cs="Arial" w:eastAsia="Arial" w:hAnsi="Arial"/>
                <w:sz w:val="18"/>
                <w:szCs w:val="18"/>
                <w:color w:val="auto"/>
                <w:w w:val="89"/>
              </w:rPr>
              <w:t>means the date of commencement of the vesting schedule with respect to a Grant of</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1"/>
              </w:rPr>
              <w:t>Options which, unless otherwise determined by the Administrator, shall be the date</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on which such Grant of Options shall be Allocated.</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“Company”</w:t>
            </w:r>
          </w:p>
        </w:tc>
        <w:tc>
          <w:tcPr>
            <w:tcW w:w="6260" w:type="dxa"/>
            <w:vAlign w:val="bottom"/>
          </w:tcPr>
          <w:p>
            <w:pPr>
              <w:ind w:left="220"/>
              <w:spacing w:after="0"/>
              <w:rPr>
                <w:sz w:val="20"/>
                <w:szCs w:val="20"/>
                <w:color w:val="auto"/>
              </w:rPr>
            </w:pPr>
            <w:r>
              <w:rPr>
                <w:rFonts w:ascii="Arial" w:cs="Arial" w:eastAsia="Arial" w:hAnsi="Arial"/>
                <w:sz w:val="18"/>
                <w:szCs w:val="18"/>
                <w:color w:val="auto"/>
                <w:w w:val="94"/>
              </w:rPr>
              <w:t>means Kornit digital Ltd., a company incorporated under the laws of the State of</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Israel.</w:t>
            </w:r>
          </w:p>
        </w:tc>
      </w:tr>
      <w:tr>
        <w:trPr>
          <w:trHeight w:val="432"/>
        </w:trPr>
        <w:tc>
          <w:tcPr>
            <w:tcW w:w="2500" w:type="dxa"/>
            <w:vAlign w:val="bottom"/>
          </w:tcPr>
          <w:p>
            <w:pPr>
              <w:ind w:left="400"/>
              <w:spacing w:after="0"/>
              <w:rPr>
                <w:sz w:val="20"/>
                <w:szCs w:val="20"/>
                <w:color w:val="auto"/>
              </w:rPr>
            </w:pPr>
            <w:r>
              <w:rPr>
                <w:rFonts w:ascii="Arial" w:cs="Arial" w:eastAsia="Arial" w:hAnsi="Arial"/>
                <w:sz w:val="18"/>
                <w:szCs w:val="18"/>
                <w:color w:val="auto"/>
              </w:rPr>
              <w:t>“Control” or “Controlled”</w:t>
            </w:r>
          </w:p>
        </w:tc>
        <w:tc>
          <w:tcPr>
            <w:tcW w:w="6260" w:type="dxa"/>
            <w:vAlign w:val="bottom"/>
          </w:tcPr>
          <w:p>
            <w:pPr>
              <w:ind w:left="220"/>
              <w:spacing w:after="0"/>
              <w:rPr>
                <w:sz w:val="20"/>
                <w:szCs w:val="20"/>
                <w:color w:val="auto"/>
              </w:rPr>
            </w:pPr>
            <w:r>
              <w:rPr>
                <w:rFonts w:ascii="Arial" w:cs="Arial" w:eastAsia="Arial" w:hAnsi="Arial"/>
                <w:sz w:val="18"/>
                <w:szCs w:val="18"/>
                <w:color w:val="auto"/>
              </w:rPr>
              <w:t>shall have the meaning ascribed thereto in Section 102.</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“Disability”</w:t>
            </w:r>
          </w:p>
        </w:tc>
        <w:tc>
          <w:tcPr>
            <w:tcW w:w="6260" w:type="dxa"/>
            <w:vAlign w:val="bottom"/>
          </w:tcPr>
          <w:p>
            <w:pPr>
              <w:ind w:left="220"/>
              <w:spacing w:after="0"/>
              <w:rPr>
                <w:sz w:val="20"/>
                <w:szCs w:val="20"/>
                <w:color w:val="auto"/>
              </w:rPr>
            </w:pPr>
            <w:r>
              <w:rPr>
                <w:rFonts w:ascii="Arial" w:cs="Arial" w:eastAsia="Arial" w:hAnsi="Arial"/>
                <w:sz w:val="18"/>
                <w:szCs w:val="18"/>
                <w:color w:val="auto"/>
              </w:rPr>
              <w:t>means physical or mental impairment or sickness of a Participant, making it</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impossible for the Participant to continue such Participant’s employment with or</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service to the Company or Affiliate.</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“Exercise Price”</w:t>
            </w:r>
          </w:p>
        </w:tc>
        <w:tc>
          <w:tcPr>
            <w:tcW w:w="6260" w:type="dxa"/>
            <w:vAlign w:val="bottom"/>
          </w:tcPr>
          <w:p>
            <w:pPr>
              <w:ind w:left="220"/>
              <w:spacing w:after="0"/>
              <w:rPr>
                <w:sz w:val="20"/>
                <w:szCs w:val="20"/>
                <w:color w:val="auto"/>
              </w:rPr>
            </w:pPr>
            <w:r>
              <w:rPr>
                <w:rFonts w:ascii="Arial" w:cs="Arial" w:eastAsia="Arial" w:hAnsi="Arial"/>
                <w:sz w:val="18"/>
                <w:szCs w:val="18"/>
                <w:color w:val="auto"/>
                <w:w w:val="93"/>
              </w:rPr>
              <w:t>means, the price determined by the Administrator in accordance with Section 7.1</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below which is to be paid to the Company in order to exercise a Granted Option</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and convert such Option into an Underlying Share.</w:t>
            </w:r>
          </w:p>
        </w:tc>
      </w:tr>
      <w:tr>
        <w:trPr>
          <w:trHeight w:val="284"/>
        </w:trPr>
        <w:tc>
          <w:tcPr>
            <w:tcW w:w="25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190" w:name="page191"/>
    <w:bookmarkEnd w:id="190"/>
    <w:p>
      <w:pPr>
        <w:ind w:left="540"/>
        <w:spacing w:after="0"/>
        <w:tabs>
          <w:tab w:leader="none" w:pos="2840" w:val="left"/>
        </w:tabs>
        <w:rPr>
          <w:sz w:val="20"/>
          <w:szCs w:val="20"/>
          <w:color w:val="auto"/>
        </w:rPr>
      </w:pPr>
      <w:r>
        <w:rPr>
          <w:rFonts w:ascii="Arial" w:cs="Arial" w:eastAsia="Arial" w:hAnsi="Arial"/>
          <w:sz w:val="18"/>
          <w:szCs w:val="18"/>
          <w:color w:val="auto"/>
        </w:rPr>
        <w:t>“Grant Letter”</w:t>
      </w:r>
      <w:r>
        <w:rPr>
          <w:sz w:val="20"/>
          <w:szCs w:val="20"/>
          <w:color w:val="auto"/>
        </w:rPr>
        <w:tab/>
      </w:r>
      <w:r>
        <w:rPr>
          <w:rFonts w:ascii="Arial" w:cs="Arial" w:eastAsia="Arial" w:hAnsi="Arial"/>
          <w:sz w:val="18"/>
          <w:szCs w:val="18"/>
          <w:color w:val="auto"/>
        </w:rPr>
        <w:t>means a letter from the Company or Affiliate to a Participant in which the</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Participant is notified of the decision to Grant to the Participant Options according</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to the terms of the Plan. The Grant Letter shall specify (i) the Tax Track that the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Company selected according to Section 11 of the Plan; (ii) the Exercise Price; (iii)</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the vesting period; and (iv) the number of Options Granted to the Participant.</w:t>
      </w:r>
    </w:p>
    <w:p>
      <w:pPr>
        <w:spacing w:after="0" w:line="222"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“Grant of Options”</w:t>
      </w:r>
      <w:r>
        <w:rPr>
          <w:sz w:val="20"/>
          <w:szCs w:val="20"/>
          <w:color w:val="auto"/>
        </w:rPr>
        <w:tab/>
      </w:r>
      <w:r>
        <w:rPr>
          <w:rFonts w:ascii="Arial" w:cs="Arial" w:eastAsia="Arial" w:hAnsi="Arial"/>
          <w:sz w:val="18"/>
          <w:szCs w:val="18"/>
          <w:color w:val="auto"/>
        </w:rPr>
        <w:t>with respect to Options, means the grant of Options by the Company to a</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Participant pursuant to a Grant Letter.</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“Holding Period”</w:t>
      </w:r>
      <w:r>
        <w:rPr>
          <w:sz w:val="20"/>
          <w:szCs w:val="20"/>
          <w:color w:val="auto"/>
        </w:rPr>
        <w:tab/>
      </w:r>
      <w:r>
        <w:rPr>
          <w:rFonts w:ascii="Arial" w:cs="Arial" w:eastAsia="Arial" w:hAnsi="Arial"/>
          <w:sz w:val="16"/>
          <w:szCs w:val="16"/>
          <w:color w:val="auto"/>
        </w:rPr>
        <w:t>means the period in which the Allocated Options granted to a Participant or, upon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exercise thereof the Underlying Shares, are to be held by the Trustee on behalf of</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the Participant, in accordance with Section 102, and pursuant to the Tax Track</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which the Company selects.</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7"/>
          <w:szCs w:val="17"/>
          <w:color w:val="auto"/>
        </w:rPr>
        <w:t>“IPO”</w:t>
      </w:r>
      <w:r>
        <w:rPr>
          <w:sz w:val="20"/>
          <w:szCs w:val="20"/>
          <w:color w:val="auto"/>
        </w:rPr>
        <w:tab/>
      </w:r>
      <w:r>
        <w:rPr>
          <w:rFonts w:ascii="Arial" w:cs="Arial" w:eastAsia="Arial" w:hAnsi="Arial"/>
          <w:sz w:val="17"/>
          <w:szCs w:val="17"/>
          <w:color w:val="auto"/>
        </w:rPr>
        <w:t>means the initial public offering of shares of the Company and the listing of such</w:t>
      </w:r>
    </w:p>
    <w:p>
      <w:pPr>
        <w:spacing w:after="0" w:line="35" w:lineRule="exact"/>
        <w:rPr>
          <w:sz w:val="20"/>
          <w:szCs w:val="20"/>
          <w:color w:val="auto"/>
        </w:rPr>
      </w:pPr>
    </w:p>
    <w:p>
      <w:pPr>
        <w:ind w:left="2860" w:right="119"/>
        <w:spacing w:after="0" w:line="261" w:lineRule="auto"/>
        <w:rPr>
          <w:sz w:val="20"/>
          <w:szCs w:val="20"/>
          <w:color w:val="auto"/>
        </w:rPr>
      </w:pPr>
      <w:r>
        <w:rPr>
          <w:rFonts w:ascii="Arial" w:cs="Arial" w:eastAsia="Arial" w:hAnsi="Arial"/>
          <w:sz w:val="18"/>
          <w:szCs w:val="18"/>
          <w:color w:val="auto"/>
        </w:rPr>
        <w:t>shares for trading on any recognized stock exchange or over-the-counter or computerized securities trading system.</w:t>
      </w:r>
    </w:p>
    <w:p>
      <w:pPr>
        <w:spacing w:after="0" w:line="184"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“Law”</w:t>
      </w:r>
      <w:r>
        <w:rPr>
          <w:sz w:val="20"/>
          <w:szCs w:val="20"/>
          <w:color w:val="auto"/>
        </w:rPr>
        <w:tab/>
      </w:r>
      <w:r>
        <w:rPr>
          <w:rFonts w:ascii="Arial" w:cs="Arial" w:eastAsia="Arial" w:hAnsi="Arial"/>
          <w:sz w:val="18"/>
          <w:szCs w:val="18"/>
          <w:color w:val="auto"/>
        </w:rPr>
        <w:t>means the laws of the State of Israel as are in effect from time to time.</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“Merger Transaction”</w:t>
      </w:r>
      <w:r>
        <w:rPr>
          <w:sz w:val="20"/>
          <w:szCs w:val="20"/>
          <w:color w:val="auto"/>
        </w:rPr>
        <w:tab/>
      </w:r>
      <w:r>
        <w:rPr>
          <w:rFonts w:ascii="Arial" w:cs="Arial" w:eastAsia="Arial" w:hAnsi="Arial"/>
          <w:sz w:val="18"/>
          <w:szCs w:val="18"/>
          <w:color w:val="auto"/>
        </w:rPr>
        <w:t>(i) a sale of all or substantially all of the assets of the Company; or (ii) a sale</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(including an exchange) of all or substantially all of the shares of the capital stock</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of the Company; or (iii) a merger, consolidation or like transaction of the Company</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with or into another corporation.</w:t>
      </w:r>
    </w:p>
    <w:p>
      <w:pPr>
        <w:spacing w:after="0" w:line="207"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“Notice of Exercise”</w:t>
      </w:r>
      <w:r>
        <w:rPr>
          <w:sz w:val="20"/>
          <w:szCs w:val="20"/>
          <w:color w:val="auto"/>
        </w:rPr>
        <w:tab/>
      </w:r>
      <w:r>
        <w:rPr>
          <w:rFonts w:ascii="Arial" w:cs="Arial" w:eastAsia="Arial" w:hAnsi="Arial"/>
          <w:sz w:val="16"/>
          <w:szCs w:val="16"/>
          <w:color w:val="auto"/>
        </w:rPr>
        <w:t xml:space="preserve">shall have the meaning set forth in Section </w:t>
      </w:r>
      <w:r>
        <w:rPr>
          <w:rFonts w:ascii="Arial" w:cs="Arial" w:eastAsia="Arial" w:hAnsi="Arial"/>
          <w:sz w:val="16"/>
          <w:szCs w:val="16"/>
          <w:b w:val="1"/>
          <w:bCs w:val="1"/>
          <w:color w:val="auto"/>
        </w:rPr>
        <w:t>7.4</w:t>
      </w:r>
      <w:r>
        <w:rPr>
          <w:rFonts w:ascii="Arial" w:cs="Arial" w:eastAsia="Arial" w:hAnsi="Arial"/>
          <w:sz w:val="16"/>
          <w:szCs w:val="16"/>
          <w:color w:val="auto"/>
        </w:rPr>
        <w:t xml:space="preserve"> below.</w:t>
      </w:r>
    </w:p>
    <w:p>
      <w:pPr>
        <w:spacing w:after="0" w:line="229"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“Option”</w:t>
      </w:r>
      <w:r>
        <w:rPr>
          <w:sz w:val="20"/>
          <w:szCs w:val="20"/>
          <w:color w:val="auto"/>
        </w:rPr>
        <w:tab/>
      </w:r>
      <w:r>
        <w:rPr>
          <w:rFonts w:ascii="Arial" w:cs="Arial" w:eastAsia="Arial" w:hAnsi="Arial"/>
          <w:sz w:val="18"/>
          <w:szCs w:val="18"/>
          <w:color w:val="auto"/>
        </w:rPr>
        <w:t>means an option to purchase one Share of the Company.</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7"/>
          <w:szCs w:val="17"/>
          <w:color w:val="auto"/>
        </w:rPr>
        <w:t>“Participant”</w:t>
      </w:r>
      <w:r>
        <w:rPr>
          <w:sz w:val="20"/>
          <w:szCs w:val="20"/>
          <w:color w:val="auto"/>
        </w:rPr>
        <w:tab/>
      </w:r>
      <w:r>
        <w:rPr>
          <w:rFonts w:ascii="Arial" w:cs="Arial" w:eastAsia="Arial" w:hAnsi="Arial"/>
          <w:sz w:val="17"/>
          <w:szCs w:val="17"/>
          <w:color w:val="auto"/>
        </w:rPr>
        <w:t>means an employee, officer or director of the Company or any Affiliate (provided</w:t>
      </w:r>
    </w:p>
    <w:p>
      <w:pPr>
        <w:spacing w:after="0" w:line="35" w:lineRule="exact"/>
        <w:rPr>
          <w:sz w:val="20"/>
          <w:szCs w:val="20"/>
          <w:color w:val="auto"/>
        </w:rPr>
      </w:pPr>
    </w:p>
    <w:p>
      <w:pPr>
        <w:ind w:left="2860" w:right="119"/>
        <w:spacing w:after="0" w:line="290" w:lineRule="auto"/>
        <w:rPr>
          <w:sz w:val="20"/>
          <w:szCs w:val="20"/>
          <w:color w:val="auto"/>
        </w:rPr>
      </w:pPr>
      <w:r>
        <w:rPr>
          <w:rFonts w:ascii="Arial" w:cs="Arial" w:eastAsia="Arial" w:hAnsi="Arial"/>
          <w:sz w:val="17"/>
          <w:szCs w:val="17"/>
          <w:color w:val="auto"/>
        </w:rPr>
        <w:t>that such person does not Control the Company as such term is defined in the Tax Ordinance), on behalf of whom an Option is Granted pursuant to the Plan.</w:t>
      </w:r>
    </w:p>
    <w:p>
      <w:pPr>
        <w:spacing w:after="0" w:line="162"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“Plan” or “Option Plan”</w:t>
      </w:r>
      <w:r>
        <w:rPr>
          <w:sz w:val="20"/>
          <w:szCs w:val="20"/>
          <w:color w:val="auto"/>
        </w:rPr>
        <w:tab/>
      </w:r>
      <w:r>
        <w:rPr>
          <w:rFonts w:ascii="Arial" w:cs="Arial" w:eastAsia="Arial" w:hAnsi="Arial"/>
          <w:sz w:val="16"/>
          <w:szCs w:val="16"/>
          <w:color w:val="auto"/>
        </w:rPr>
        <w:t>means this Share Option Plan, as may be amended from time to time.</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7"/>
          <w:szCs w:val="17"/>
          <w:color w:val="auto"/>
        </w:rPr>
        <w:t>“Retirement”</w:t>
      </w:r>
      <w:r>
        <w:rPr>
          <w:sz w:val="20"/>
          <w:szCs w:val="20"/>
          <w:color w:val="auto"/>
        </w:rPr>
        <w:tab/>
      </w:r>
      <w:r>
        <w:rPr>
          <w:rFonts w:ascii="Arial" w:cs="Arial" w:eastAsia="Arial" w:hAnsi="Arial"/>
          <w:sz w:val="17"/>
          <w:szCs w:val="17"/>
          <w:color w:val="auto"/>
        </w:rPr>
        <w:t>means the termination of a Participant’s employment as a result of his or her</w:t>
      </w:r>
    </w:p>
    <w:p>
      <w:pPr>
        <w:spacing w:after="0" w:line="35" w:lineRule="exact"/>
        <w:rPr>
          <w:sz w:val="20"/>
          <w:szCs w:val="20"/>
          <w:color w:val="auto"/>
        </w:rPr>
      </w:pPr>
    </w:p>
    <w:p>
      <w:pPr>
        <w:ind w:left="2860" w:right="119"/>
        <w:spacing w:after="0" w:line="261" w:lineRule="auto"/>
        <w:rPr>
          <w:sz w:val="20"/>
          <w:szCs w:val="20"/>
          <w:color w:val="auto"/>
        </w:rPr>
      </w:pPr>
      <w:r>
        <w:rPr>
          <w:rFonts w:ascii="Arial" w:cs="Arial" w:eastAsia="Arial" w:hAnsi="Arial"/>
          <w:sz w:val="18"/>
          <w:szCs w:val="18"/>
          <w:color w:val="auto"/>
        </w:rPr>
        <w:t>reaching the earlier of (i) the age of retirement as defined by Law; or (ii) the age of retirement specified in the Participant’s employment agreement.</w:t>
      </w:r>
    </w:p>
    <w:p>
      <w:pPr>
        <w:spacing w:after="0" w:line="184"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means Section 102 of the Tax Ordinance.</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“Section 102 Rules”</w:t>
      </w:r>
      <w:r>
        <w:rPr>
          <w:sz w:val="20"/>
          <w:szCs w:val="20"/>
          <w:color w:val="auto"/>
        </w:rPr>
        <w:tab/>
      </w:r>
      <w:r>
        <w:rPr>
          <w:rFonts w:ascii="Arial" w:cs="Arial" w:eastAsia="Arial" w:hAnsi="Arial"/>
          <w:sz w:val="17"/>
          <w:szCs w:val="17"/>
          <w:color w:val="auto"/>
        </w:rPr>
        <w:t>means the Income Tax Rules (Tax Relief for Issuance of Shares to Employees),</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2003.</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means an ordinary share of the Company, having a par value of NIS 0.1.</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“Tax Ordinance”</w:t>
      </w:r>
      <w:r>
        <w:rPr>
          <w:sz w:val="20"/>
          <w:szCs w:val="20"/>
          <w:color w:val="auto"/>
        </w:rPr>
        <w:tab/>
      </w:r>
      <w:r>
        <w:rPr>
          <w:rFonts w:ascii="Arial" w:cs="Arial" w:eastAsia="Arial" w:hAnsi="Arial"/>
          <w:sz w:val="16"/>
          <w:szCs w:val="16"/>
          <w:color w:val="auto"/>
        </w:rPr>
        <w:t>means the Israeli Income Tax Ordinance [New Version], 1961, as amended, and</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any regulations, rules, orders or procedures promulgated thereunder.</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“Tax Track”</w:t>
      </w:r>
      <w:r>
        <w:rPr>
          <w:sz w:val="20"/>
          <w:szCs w:val="20"/>
          <w:color w:val="auto"/>
        </w:rPr>
        <w:tab/>
      </w:r>
      <w:r>
        <w:rPr>
          <w:rFonts w:ascii="Arial" w:cs="Arial" w:eastAsia="Arial" w:hAnsi="Arial"/>
          <w:sz w:val="16"/>
          <w:szCs w:val="16"/>
          <w:color w:val="auto"/>
        </w:rPr>
        <w:t>means one of the three tax tracks described under Section 102, specifically: (1) the</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“Capital Gains Track Through a Trustee”; (2) “Income Tax Track Through a</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Trustee”; or (3) the “Income Tax Track Without a Trustee”; each as defined in</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Sections 11.1-11.2 of this Plan, respectively.</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“Term of the Options”</w:t>
      </w:r>
      <w:r>
        <w:rPr>
          <w:sz w:val="20"/>
          <w:szCs w:val="20"/>
          <w:color w:val="auto"/>
        </w:rPr>
        <w:tab/>
      </w:r>
      <w:r>
        <w:rPr>
          <w:rFonts w:ascii="Arial" w:cs="Arial" w:eastAsia="Arial" w:hAnsi="Arial"/>
          <w:sz w:val="16"/>
          <w:szCs w:val="16"/>
          <w:color w:val="auto"/>
        </w:rPr>
        <w:t>means, with respect to Granted but unexercised Options, the time period set forth in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b w:val="1"/>
          <w:bCs w:val="1"/>
          <w:color w:val="auto"/>
        </w:rPr>
        <w:t>9</w:t>
      </w:r>
      <w:r>
        <w:rPr>
          <w:rFonts w:ascii="Arial" w:cs="Arial" w:eastAsia="Arial" w:hAnsi="Arial"/>
          <w:sz w:val="18"/>
          <w:szCs w:val="18"/>
          <w:color w:val="auto"/>
        </w:rPr>
        <w:t xml:space="preserve"> below.</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6"/>
          <w:szCs w:val="16"/>
          <w:color w:val="auto"/>
        </w:rPr>
        <w:t>“Trustee”</w:t>
      </w:r>
      <w:r>
        <w:rPr>
          <w:sz w:val="20"/>
          <w:szCs w:val="20"/>
          <w:color w:val="auto"/>
        </w:rPr>
        <w:tab/>
      </w:r>
      <w:r>
        <w:rPr>
          <w:rFonts w:ascii="Arial" w:cs="Arial" w:eastAsia="Arial" w:hAnsi="Arial"/>
          <w:sz w:val="16"/>
          <w:szCs w:val="16"/>
          <w:color w:val="auto"/>
        </w:rPr>
        <w:t>means a Trustee appointed by the Company to hold in trust, Allocated Options and</w:t>
      </w:r>
    </w:p>
    <w:p>
      <w:pPr>
        <w:spacing w:after="0" w:line="46" w:lineRule="exact"/>
        <w:rPr>
          <w:sz w:val="20"/>
          <w:szCs w:val="20"/>
          <w:color w:val="auto"/>
        </w:rPr>
      </w:pPr>
    </w:p>
    <w:p>
      <w:pPr>
        <w:ind w:left="2860" w:right="119"/>
        <w:spacing w:after="0" w:line="261" w:lineRule="auto"/>
        <w:rPr>
          <w:sz w:val="20"/>
          <w:szCs w:val="20"/>
          <w:color w:val="auto"/>
        </w:rPr>
      </w:pPr>
      <w:r>
        <w:rPr>
          <w:rFonts w:ascii="Arial" w:cs="Arial" w:eastAsia="Arial" w:hAnsi="Arial"/>
          <w:sz w:val="18"/>
          <w:szCs w:val="18"/>
          <w:color w:val="auto"/>
        </w:rPr>
        <w:t>the Underlying Shares issued upon exercise of such Options, on behalf of Participants.</w:t>
      </w:r>
    </w:p>
    <w:p>
      <w:pPr>
        <w:spacing w:after="0" w:line="184"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“Underlying Shares”</w:t>
      </w:r>
      <w:r>
        <w:rPr>
          <w:sz w:val="20"/>
          <w:szCs w:val="20"/>
          <w:color w:val="auto"/>
        </w:rPr>
        <w:tab/>
      </w:r>
      <w:r>
        <w:rPr>
          <w:rFonts w:ascii="Arial" w:cs="Arial" w:eastAsia="Arial" w:hAnsi="Arial"/>
          <w:sz w:val="17"/>
          <w:szCs w:val="17"/>
          <w:color w:val="auto"/>
        </w:rPr>
        <w:t>means Shares issued or to be issued upon exercise of Granted Options all in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accordance with the Plan.</w:t>
      </w:r>
    </w:p>
    <w:p>
      <w:pPr>
        <w:sectPr>
          <w:pgSz w:w="11900" w:h="16838" w:orient="portrait"/>
          <w:cols w:equalWidth="0" w:num="1">
            <w:col w:w="9019"/>
          </w:cols>
          <w:pgMar w:left="1440" w:top="125"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91" w:name="page192"/>
    <w:bookmarkEnd w:id="191"/>
    <w:p>
      <w:pPr>
        <w:ind w:left="120"/>
        <w:spacing w:after="0"/>
        <w:rPr>
          <w:sz w:val="20"/>
          <w:szCs w:val="20"/>
          <w:color w:val="auto"/>
        </w:rPr>
      </w:pPr>
      <w:r>
        <w:rPr>
          <w:rFonts w:ascii="Arial" w:cs="Arial" w:eastAsia="Arial" w:hAnsi="Arial"/>
          <w:sz w:val="22"/>
          <w:szCs w:val="22"/>
          <w:color w:val="auto"/>
        </w:rPr>
        <w:t>2.2  G</w:t>
      </w:r>
      <w:r>
        <w:rPr>
          <w:rFonts w:ascii="Arial" w:cs="Arial" w:eastAsia="Arial" w:hAnsi="Arial"/>
          <w:sz w:val="14"/>
          <w:szCs w:val="14"/>
          <w:color w:val="auto"/>
        </w:rPr>
        <w:t>ENERAL</w:t>
      </w:r>
    </w:p>
    <w:p>
      <w:pPr>
        <w:spacing w:after="0" w:line="227"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Without derogating from the meanings ascribed to the capitalized terms above, all singular references in this Plan shall include the plural and vice versa, and reference to one gender shall include the other, unless otherwise required by the context.</w:t>
      </w:r>
    </w:p>
    <w:p>
      <w:pPr>
        <w:spacing w:after="0" w:line="195" w:lineRule="exact"/>
        <w:rPr>
          <w:sz w:val="20"/>
          <w:szCs w:val="20"/>
          <w:color w:val="auto"/>
        </w:rPr>
      </w:pPr>
    </w:p>
    <w:p>
      <w:pPr>
        <w:ind w:left="560" w:hanging="435"/>
        <w:spacing w:after="0"/>
        <w:tabs>
          <w:tab w:leader="none" w:pos="560"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VAILABLE FOR</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33" w:lineRule="exact"/>
        <w:rPr>
          <w:sz w:val="20"/>
          <w:szCs w:val="20"/>
          <w:color w:val="auto"/>
        </w:rPr>
      </w:pPr>
    </w:p>
    <w:p>
      <w:pPr>
        <w:jc w:val="both"/>
        <w:ind w:left="580" w:right="119"/>
        <w:spacing w:after="0" w:line="312" w:lineRule="auto"/>
        <w:rPr>
          <w:sz w:val="20"/>
          <w:szCs w:val="20"/>
          <w:color w:val="auto"/>
        </w:rPr>
      </w:pPr>
      <w:r>
        <w:rPr>
          <w:rFonts w:ascii="Arial" w:cs="Arial" w:eastAsia="Arial" w:hAnsi="Arial"/>
          <w:sz w:val="16"/>
          <w:szCs w:val="16"/>
          <w:color w:val="auto"/>
        </w:rPr>
        <w:t>The total number of Underlying Shares reserved for issuance under the Plan and any modification thereof, shall be determined from time to time by the Board of Directors of the Company. Such number of Shares shall be subject to adjustment as required for the implementation of the provisions of the Plan, in accordance with Section 4 below.</w:t>
      </w:r>
    </w:p>
    <w:p>
      <w:pPr>
        <w:spacing w:after="0" w:line="147"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In the event that Options Allocated under the Plan expire or otherwise terminate in accordance with the provisions of the Plan, such expired or terminated Options shall become available for future Grants and Allocations under the Plan.</w:t>
      </w:r>
    </w:p>
    <w:p>
      <w:pPr>
        <w:spacing w:after="0" w:line="195" w:lineRule="exact"/>
        <w:rPr>
          <w:sz w:val="20"/>
          <w:szCs w:val="20"/>
          <w:color w:val="auto"/>
        </w:rPr>
      </w:pPr>
    </w:p>
    <w:p>
      <w:pPr>
        <w:ind w:left="540" w:hanging="415"/>
        <w:spacing w:after="0"/>
        <w:tabs>
          <w:tab w:leader="none" w:pos="54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DJUSTMENTS</w:t>
      </w:r>
    </w:p>
    <w:p>
      <w:pPr>
        <w:spacing w:after="0" w:line="233" w:lineRule="exact"/>
        <w:rPr>
          <w:sz w:val="20"/>
          <w:szCs w:val="20"/>
          <w:color w:val="auto"/>
        </w:rPr>
      </w:pPr>
    </w:p>
    <w:p>
      <w:pPr>
        <w:jc w:val="both"/>
        <w:ind w:left="580" w:right="119"/>
        <w:spacing w:after="0" w:line="289" w:lineRule="auto"/>
        <w:rPr>
          <w:sz w:val="20"/>
          <w:szCs w:val="20"/>
          <w:color w:val="auto"/>
        </w:rPr>
      </w:pPr>
      <w:r>
        <w:rPr>
          <w:rFonts w:ascii="Arial" w:cs="Arial" w:eastAsia="Arial" w:hAnsi="Arial"/>
          <w:sz w:val="16"/>
          <w:szCs w:val="16"/>
          <w:color w:val="auto"/>
        </w:rPr>
        <w:t>In the event that any dividend or other distribution (whether in the form of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may (in its sole discretion) adjust the number and class of Shares that may be delivered under the Plan and/or the number, class, and price of Shares covered by each outstanding Option or Share Purchase Right. Upon the occurrence of any such adjustment, references in this Plan to Shares and Underlying Shares shall be construed to mean the Shares of the Company subject to the Plan as so determined by the Administrator, following such adjustment.</w:t>
      </w:r>
    </w:p>
    <w:p>
      <w:pPr>
        <w:spacing w:after="0" w:line="167"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If the Change in Capitalization is the distribution of a cash dividend, the Company shall transfer to the Trustee the amount of dividend resulting from the Underlying Shares held by the Trustee for the benefit of Participants in accordance with the provisions of this Plan. The Trustee shall deduct all applicable taxes from the dividend amount and transfer the remaining dividend amount to such Participants.</w:t>
      </w:r>
    </w:p>
    <w:p>
      <w:pPr>
        <w:spacing w:after="0" w:line="201" w:lineRule="exact"/>
        <w:rPr>
          <w:sz w:val="20"/>
          <w:szCs w:val="20"/>
          <w:color w:val="auto"/>
        </w:rPr>
      </w:pPr>
    </w:p>
    <w:p>
      <w:pPr>
        <w:ind w:left="560" w:hanging="435"/>
        <w:spacing w:after="0"/>
        <w:tabs>
          <w:tab w:leader="none" w:pos="56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DMINISTRATION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5.1  P</w:t>
      </w:r>
      <w:r>
        <w:rPr>
          <w:rFonts w:ascii="Arial" w:cs="Arial" w:eastAsia="Arial" w:hAnsi="Arial"/>
          <w:sz w:val="13"/>
          <w:szCs w:val="13"/>
          <w:color w:val="auto"/>
        </w:rPr>
        <w:t>OWER</w:t>
      </w:r>
    </w:p>
    <w:p>
      <w:pPr>
        <w:spacing w:after="0" w:line="218"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Subject to the Law, the Articles of Association of the Company, and any resolution to the contrary by the Company’s Board of Directors, the Administrator is authorized, in its sole and absolute discretion, to exercise all powers and authorities either specifically granted to it under the Plan or necessary or advisable in the administration of the Plan; including, without limitation,</w:t>
      </w:r>
    </w:p>
    <w:p>
      <w:pPr>
        <w:spacing w:after="0" w:line="187" w:lineRule="exact"/>
        <w:rPr>
          <w:sz w:val="20"/>
          <w:szCs w:val="20"/>
          <w:color w:val="auto"/>
        </w:rPr>
      </w:pPr>
    </w:p>
    <w:p>
      <w:pPr>
        <w:ind w:left="1000" w:hanging="425"/>
        <w:spacing w:after="0"/>
        <w:tabs>
          <w:tab w:leader="none" w:pos="1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determine:</w:t>
      </w:r>
    </w:p>
    <w:p>
      <w:pPr>
        <w:spacing w:after="0" w:line="225" w:lineRule="exact"/>
        <w:rPr>
          <w:rFonts w:ascii="Arial" w:cs="Arial" w:eastAsia="Arial" w:hAnsi="Arial"/>
          <w:sz w:val="18"/>
          <w:szCs w:val="18"/>
          <w:color w:val="auto"/>
        </w:rPr>
      </w:pPr>
    </w:p>
    <w:p>
      <w:pPr>
        <w:ind w:left="1320" w:hanging="349"/>
        <w:spacing w:after="0"/>
        <w:tabs>
          <w:tab w:leader="none" w:pos="132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Participants in the Plan, and the number of Options to be Granted for each Participant’s benefit;</w:t>
      </w:r>
    </w:p>
    <w:p>
      <w:pPr>
        <w:spacing w:after="0" w:line="236" w:lineRule="exact"/>
        <w:rPr>
          <w:rFonts w:ascii="Arial" w:cs="Arial" w:eastAsia="Arial" w:hAnsi="Arial"/>
          <w:sz w:val="17"/>
          <w:szCs w:val="17"/>
          <w:color w:val="auto"/>
        </w:rPr>
      </w:pPr>
    </w:p>
    <w:p>
      <w:pPr>
        <w:ind w:left="1320" w:hanging="349"/>
        <w:spacing w:after="0"/>
        <w:tabs>
          <w:tab w:leader="none" w:pos="13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time or times at which Options shall be Granted;</w:t>
      </w:r>
    </w:p>
    <w:p>
      <w:pPr>
        <w:spacing w:after="0" w:line="225" w:lineRule="exact"/>
        <w:rPr>
          <w:rFonts w:ascii="Arial" w:cs="Arial" w:eastAsia="Arial" w:hAnsi="Arial"/>
          <w:sz w:val="18"/>
          <w:szCs w:val="18"/>
          <w:color w:val="auto"/>
        </w:rPr>
      </w:pPr>
    </w:p>
    <w:p>
      <w:pPr>
        <w:ind w:left="1340" w:hanging="369"/>
        <w:spacing w:after="0"/>
        <w:tabs>
          <w:tab w:leader="none" w:pos="13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Exercise Price for any Granted Option (subject to the approval of the Board);</w:t>
      </w:r>
    </w:p>
    <w:p>
      <w:pPr>
        <w:spacing w:after="0" w:line="225" w:lineRule="exact"/>
        <w:rPr>
          <w:rFonts w:ascii="Arial" w:cs="Arial" w:eastAsia="Arial" w:hAnsi="Arial"/>
          <w:sz w:val="18"/>
          <w:szCs w:val="18"/>
          <w:color w:val="auto"/>
        </w:rPr>
      </w:pPr>
    </w:p>
    <w:p>
      <w:pPr>
        <w:ind w:left="1340" w:right="119" w:hanging="369"/>
        <w:spacing w:after="0" w:line="277" w:lineRule="auto"/>
        <w:tabs>
          <w:tab w:leader="none" w:pos="136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whether, to what extent, and under what circumstances an Option may be settled, canceled, forfeited, exchanged, or surrendered;</w:t>
      </w:r>
    </w:p>
    <w:p>
      <w:pPr>
        <w:spacing w:after="0" w:line="170" w:lineRule="exact"/>
        <w:rPr>
          <w:rFonts w:ascii="Arial" w:cs="Arial" w:eastAsia="Arial" w:hAnsi="Arial"/>
          <w:sz w:val="18"/>
          <w:szCs w:val="18"/>
          <w:color w:val="auto"/>
        </w:rPr>
      </w:pPr>
    </w:p>
    <w:p>
      <w:pPr>
        <w:ind w:left="1340" w:right="119" w:hanging="369"/>
        <w:spacing w:after="0" w:line="277" w:lineRule="auto"/>
        <w:tabs>
          <w:tab w:leader="none" w:pos="141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terms and conditions in addition to those specified in the Plan under which an Option may be Granted; and</w:t>
      </w:r>
    </w:p>
    <w:p>
      <w:pPr>
        <w:spacing w:after="0" w:line="170" w:lineRule="exact"/>
        <w:rPr>
          <w:rFonts w:ascii="Arial" w:cs="Arial" w:eastAsia="Arial" w:hAnsi="Arial"/>
          <w:sz w:val="18"/>
          <w:szCs w:val="18"/>
          <w:color w:val="auto"/>
        </w:rPr>
      </w:pPr>
    </w:p>
    <w:p>
      <w:pPr>
        <w:ind w:left="1340" w:right="119" w:hanging="369"/>
        <w:spacing w:after="0" w:line="277" w:lineRule="auto"/>
        <w:tabs>
          <w:tab w:leader="none" w:pos="1423"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measures, and to take actions, as deemed necessary or advisable for the administration and implementation of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45" w:right="1440" w:bottom="1440" w:gutter="0" w:footer="0" w:header="0"/>
        </w:sectPr>
      </w:pPr>
    </w:p>
    <w:bookmarkStart w:id="192" w:name="page193"/>
    <w:bookmarkEnd w:id="192"/>
    <w:p>
      <w:pPr>
        <w:ind w:left="980" w:hanging="423"/>
        <w:spacing w:after="0"/>
        <w:tabs>
          <w:tab w:leader="none" w:pos="9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interpret the provisions of the Plan and to take all actions resulting therefrom including without limitation;</w:t>
      </w:r>
    </w:p>
    <w:p>
      <w:pPr>
        <w:spacing w:after="0" w:line="248" w:lineRule="exact"/>
        <w:rPr>
          <w:rFonts w:ascii="Arial" w:cs="Arial" w:eastAsia="Arial" w:hAnsi="Arial"/>
          <w:sz w:val="16"/>
          <w:szCs w:val="16"/>
          <w:color w:val="auto"/>
        </w:rPr>
      </w:pPr>
    </w:p>
    <w:p>
      <w:pPr>
        <w:ind w:left="1340" w:right="119" w:hanging="369"/>
        <w:spacing w:after="0" w:line="277" w:lineRule="auto"/>
        <w:tabs>
          <w:tab w:leader="none" w:pos="142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subject to Section 7, to accelerate the date on which any Allocated Option under the Plan becomes exercisable;</w:t>
      </w:r>
    </w:p>
    <w:p>
      <w:pPr>
        <w:spacing w:after="0" w:line="170" w:lineRule="exact"/>
        <w:rPr>
          <w:rFonts w:ascii="Arial" w:cs="Arial" w:eastAsia="Arial" w:hAnsi="Arial"/>
          <w:sz w:val="18"/>
          <w:szCs w:val="18"/>
          <w:color w:val="auto"/>
        </w:rPr>
      </w:pPr>
    </w:p>
    <w:p>
      <w:pPr>
        <w:ind w:left="1340" w:right="119" w:hanging="369"/>
        <w:spacing w:after="0" w:line="277" w:lineRule="auto"/>
        <w:tabs>
          <w:tab w:leader="none" w:pos="137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to waive or amend Plan provisions relating to exercise of Options, including exercise of Options after termination of employment, for any reason; and</w:t>
      </w:r>
    </w:p>
    <w:p>
      <w:pPr>
        <w:spacing w:after="0" w:line="170" w:lineRule="exact"/>
        <w:rPr>
          <w:rFonts w:ascii="Arial" w:cs="Arial" w:eastAsia="Arial" w:hAnsi="Arial"/>
          <w:sz w:val="18"/>
          <w:szCs w:val="18"/>
          <w:color w:val="auto"/>
        </w:rPr>
      </w:pPr>
    </w:p>
    <w:p>
      <w:pPr>
        <w:ind w:left="1340" w:hanging="369"/>
        <w:spacing w:after="0"/>
        <w:tabs>
          <w:tab w:leader="none" w:pos="13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to amend any of the terms of the Plan, or any prior determinations of the Administrator;</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5.2  L</w:t>
      </w:r>
      <w:r>
        <w:rPr>
          <w:rFonts w:ascii="Arial" w:cs="Arial" w:eastAsia="Arial" w:hAnsi="Arial"/>
          <w:sz w:val="13"/>
          <w:szCs w:val="13"/>
          <w:color w:val="auto"/>
        </w:rPr>
        <w:t>IMITATIONS</w:t>
      </w:r>
    </w:p>
    <w:p>
      <w:pPr>
        <w:spacing w:after="0" w:line="218"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Notwithstanding the provisions of Section 5.1 above, no interpretations, determinations or actions of the Administrator shall contradict the provisions of Section 102, and no waiver or amendment with respect to the Plan shall have a material adverse affect on any Participant’s rights in connection with any Granted Option under the Plan without receiving the consent of such Participant.</w:t>
      </w:r>
    </w:p>
    <w:p>
      <w:pPr>
        <w:spacing w:after="0" w:line="201" w:lineRule="exact"/>
        <w:rPr>
          <w:sz w:val="20"/>
          <w:szCs w:val="20"/>
          <w:color w:val="auto"/>
        </w:rPr>
      </w:pPr>
    </w:p>
    <w:p>
      <w:pPr>
        <w:ind w:left="560" w:hanging="435"/>
        <w:spacing w:after="0"/>
        <w:tabs>
          <w:tab w:leader="none" w:pos="56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LLOCATION OF OPTIONS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6.1  C</w:t>
      </w:r>
      <w:r>
        <w:rPr>
          <w:rFonts w:ascii="Arial" w:cs="Arial" w:eastAsia="Arial" w:hAnsi="Arial"/>
          <w:sz w:val="13"/>
          <w:szCs w:val="13"/>
          <w:color w:val="auto"/>
        </w:rPr>
        <w:t>ONDITIONS FOR</w:t>
      </w:r>
      <w:r>
        <w:rPr>
          <w:rFonts w:ascii="Arial" w:cs="Arial" w:eastAsia="Arial" w:hAnsi="Arial"/>
          <w:sz w:val="20"/>
          <w:szCs w:val="20"/>
          <w:color w:val="auto"/>
        </w:rPr>
        <w:t xml:space="preserve"> A</w:t>
      </w:r>
      <w:r>
        <w:rPr>
          <w:rFonts w:ascii="Arial" w:cs="Arial" w:eastAsia="Arial" w:hAnsi="Arial"/>
          <w:sz w:val="13"/>
          <w:szCs w:val="13"/>
          <w:color w:val="auto"/>
        </w:rPr>
        <w:t>LLOCATION OF</w:t>
      </w:r>
      <w:r>
        <w:rPr>
          <w:rFonts w:ascii="Arial" w:cs="Arial" w:eastAsia="Arial" w:hAnsi="Arial"/>
          <w:sz w:val="20"/>
          <w:szCs w:val="20"/>
          <w:color w:val="auto"/>
        </w:rPr>
        <w:t xml:space="preserve"> O</w:t>
      </w:r>
      <w:r>
        <w:rPr>
          <w:rFonts w:ascii="Arial" w:cs="Arial" w:eastAsia="Arial" w:hAnsi="Arial"/>
          <w:sz w:val="13"/>
          <w:szCs w:val="13"/>
          <w:color w:val="auto"/>
        </w:rPr>
        <w:t>PTIONS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Options may be Allocated at any time after:</w:t>
      </w:r>
    </w:p>
    <w:p>
      <w:pPr>
        <w:spacing w:after="0" w:line="225" w:lineRule="exact"/>
        <w:rPr>
          <w:sz w:val="20"/>
          <w:szCs w:val="20"/>
          <w:color w:val="auto"/>
        </w:rPr>
      </w:pPr>
    </w:p>
    <w:p>
      <w:pPr>
        <w:ind w:left="940" w:hanging="383"/>
        <w:spacing w:after="0"/>
        <w:tabs>
          <w:tab w:leader="none" w:pos="9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Plan has been approved by the necessary corporate bodies of the Company; and</w:t>
      </w:r>
    </w:p>
    <w:p>
      <w:pPr>
        <w:spacing w:after="0" w:line="225" w:lineRule="exact"/>
        <w:rPr>
          <w:rFonts w:ascii="Arial" w:cs="Arial" w:eastAsia="Arial" w:hAnsi="Arial"/>
          <w:sz w:val="18"/>
          <w:szCs w:val="18"/>
          <w:color w:val="auto"/>
        </w:rPr>
      </w:pPr>
    </w:p>
    <w:p>
      <w:pPr>
        <w:ind w:left="940" w:right="119" w:hanging="383"/>
        <w:spacing w:after="0" w:line="308" w:lineRule="auto"/>
        <w:tabs>
          <w:tab w:leader="none" w:pos="94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30-day waiting period beginning on the date on which the Company has filed all required documents with the Israeli Tax Authorities as specified in Section 102 and the Rules, has elapsed; and</w:t>
      </w:r>
    </w:p>
    <w:p>
      <w:pPr>
        <w:spacing w:after="0" w:line="146" w:lineRule="exact"/>
        <w:rPr>
          <w:rFonts w:ascii="Arial" w:cs="Arial" w:eastAsia="Arial" w:hAnsi="Arial"/>
          <w:sz w:val="17"/>
          <w:szCs w:val="17"/>
          <w:color w:val="auto"/>
        </w:rPr>
      </w:pPr>
    </w:p>
    <w:p>
      <w:pPr>
        <w:ind w:left="940" w:hanging="383"/>
        <w:spacing w:after="0"/>
        <w:tabs>
          <w:tab w:leader="none" w:pos="9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other approvals, consents or requirements necessary by Law have been received or met.</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color w:val="auto"/>
        </w:rPr>
        <w:t>D</w:t>
      </w:r>
      <w:r>
        <w:rPr>
          <w:rFonts w:ascii="Arial" w:cs="Arial" w:eastAsia="Arial" w:hAnsi="Arial"/>
          <w:sz w:val="13"/>
          <w:szCs w:val="13"/>
          <w:b w:val="1"/>
          <w:bCs w:val="1"/>
          <w:color w:val="auto"/>
        </w:rPr>
        <w:t>ATE OF</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LLOCATION</w:t>
      </w:r>
    </w:p>
    <w:p>
      <w:pPr>
        <w:spacing w:after="0" w:line="224"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The date on which Options shall be deemed Allocated under the Plan shall be the date on which the Company shall notify the Trustee that such Allocated Options have been Allocated in the name of the Trustee on behalf of a Participant.</w:t>
      </w:r>
    </w:p>
    <w:p>
      <w:pPr>
        <w:spacing w:after="0" w:line="195" w:lineRule="exact"/>
        <w:rPr>
          <w:sz w:val="20"/>
          <w:szCs w:val="20"/>
          <w:color w:val="auto"/>
        </w:rPr>
      </w:pPr>
    </w:p>
    <w:p>
      <w:pPr>
        <w:ind w:left="560" w:hanging="435"/>
        <w:spacing w:after="0"/>
        <w:tabs>
          <w:tab w:leader="none" w:pos="56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XERCISE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7.1  E</w:t>
      </w:r>
      <w:r>
        <w:rPr>
          <w:rFonts w:ascii="Arial" w:cs="Arial" w:eastAsia="Arial" w:hAnsi="Arial"/>
          <w:sz w:val="13"/>
          <w:szCs w:val="13"/>
          <w:color w:val="auto"/>
        </w:rPr>
        <w:t>XERCISE</w:t>
      </w:r>
      <w:r>
        <w:rPr>
          <w:rFonts w:ascii="Arial" w:cs="Arial" w:eastAsia="Arial" w:hAnsi="Arial"/>
          <w:sz w:val="20"/>
          <w:szCs w:val="20"/>
          <w:color w:val="auto"/>
        </w:rPr>
        <w:t xml:space="preserve"> P</w:t>
      </w:r>
      <w:r>
        <w:rPr>
          <w:rFonts w:ascii="Arial" w:cs="Arial" w:eastAsia="Arial" w:hAnsi="Arial"/>
          <w:sz w:val="13"/>
          <w:szCs w:val="13"/>
          <w:color w:val="auto"/>
        </w:rPr>
        <w:t>RICE</w:t>
      </w:r>
    </w:p>
    <w:p>
      <w:pPr>
        <w:spacing w:after="0" w:line="218"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The Exercise Price per Underlying Share deliverable upon the exercise of an Option shall be determined by the Administrator. The Exercise Price shall be set forth in the Grant Letter.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7.2  V</w:t>
      </w:r>
      <w:r>
        <w:rPr>
          <w:rFonts w:ascii="Arial" w:cs="Arial" w:eastAsia="Arial" w:hAnsi="Arial"/>
          <w:sz w:val="13"/>
          <w:szCs w:val="13"/>
          <w:color w:val="auto"/>
        </w:rPr>
        <w:t>ESTING</w:t>
      </w:r>
      <w:r>
        <w:rPr>
          <w:rFonts w:ascii="Arial" w:cs="Arial" w:eastAsia="Arial" w:hAnsi="Arial"/>
          <w:sz w:val="20"/>
          <w:szCs w:val="20"/>
          <w:color w:val="auto"/>
        </w:rPr>
        <w:t xml:space="preserve"> S</w:t>
      </w:r>
      <w:r>
        <w:rPr>
          <w:rFonts w:ascii="Arial" w:cs="Arial" w:eastAsia="Arial" w:hAnsi="Arial"/>
          <w:sz w:val="13"/>
          <w:szCs w:val="13"/>
          <w:color w:val="auto"/>
        </w:rPr>
        <w:t>CHEDULE</w:t>
      </w:r>
    </w:p>
    <w:p>
      <w:pPr>
        <w:spacing w:after="0" w:line="218"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Unless otherwise determined by the Administrator, all Options allocated on a certain date shall, subject to continued employment with or service to the Company or Affiliate by the Participant, become vested and exercisable in accordance with the vesting schedule specified in the Grant Letter.</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7.3  M</w:t>
      </w:r>
      <w:r>
        <w:rPr>
          <w:rFonts w:ascii="Arial" w:cs="Arial" w:eastAsia="Arial" w:hAnsi="Arial"/>
          <w:sz w:val="13"/>
          <w:szCs w:val="13"/>
          <w:color w:val="auto"/>
        </w:rPr>
        <w:t>INIMUM</w:t>
      </w:r>
      <w:r>
        <w:rPr>
          <w:rFonts w:ascii="Arial" w:cs="Arial" w:eastAsia="Arial" w:hAnsi="Arial"/>
          <w:sz w:val="20"/>
          <w:szCs w:val="20"/>
          <w:color w:val="auto"/>
        </w:rPr>
        <w:t xml:space="preserve"> E</w:t>
      </w:r>
      <w:r>
        <w:rPr>
          <w:rFonts w:ascii="Arial" w:cs="Arial" w:eastAsia="Arial" w:hAnsi="Arial"/>
          <w:sz w:val="13"/>
          <w:szCs w:val="13"/>
          <w:color w:val="auto"/>
        </w:rPr>
        <w:t>XERCISE</w:t>
      </w:r>
    </w:p>
    <w:p>
      <w:pPr>
        <w:spacing w:after="0" w:line="218"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No exercise of Options by any Participant shall be for an aggregate Exercise Price of less than $500, or such other minimum sum determined by the Administrator, unless the exercise is of all of the Participant’s Options that are vested as of the date of exercise.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3" w:name="page194"/>
    <w:bookmarkEnd w:id="193"/>
    <w:p>
      <w:pPr>
        <w:ind w:left="580"/>
        <w:spacing w:after="0"/>
        <w:rPr>
          <w:sz w:val="20"/>
          <w:szCs w:val="20"/>
          <w:color w:val="auto"/>
        </w:rPr>
      </w:pPr>
      <w:r>
        <w:rPr>
          <w:rFonts w:ascii="Arial" w:cs="Arial" w:eastAsia="Arial" w:hAnsi="Arial"/>
          <w:sz w:val="18"/>
          <w:szCs w:val="18"/>
          <w:color w:val="auto"/>
        </w:rPr>
        <w:t>An Option may not be exercised for fractional shares or for less than ten Shares.</w:t>
      </w:r>
    </w:p>
    <w:p>
      <w:pPr>
        <w:spacing w:after="0" w:line="225" w:lineRule="exact"/>
        <w:rPr>
          <w:sz w:val="20"/>
          <w:szCs w:val="20"/>
          <w:color w:val="auto"/>
        </w:rPr>
      </w:pPr>
    </w:p>
    <w:p>
      <w:pPr>
        <w:ind w:left="580" w:right="119"/>
        <w:spacing w:after="0" w:line="277" w:lineRule="auto"/>
        <w:rPr>
          <w:sz w:val="20"/>
          <w:szCs w:val="20"/>
          <w:color w:val="auto"/>
        </w:rPr>
      </w:pPr>
      <w:r>
        <w:rPr>
          <w:rFonts w:ascii="Arial" w:cs="Arial" w:eastAsia="Arial" w:hAnsi="Arial"/>
          <w:sz w:val="18"/>
          <w:szCs w:val="18"/>
          <w:color w:val="auto"/>
        </w:rPr>
        <w:t>The exercise of a portion of the Options Granted shall not cause the expiration, termination or cancellation of the remaining unexercised Options held by the Trustee on behalf of the Participant.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7.4  M</w:t>
      </w:r>
      <w:r>
        <w:rPr>
          <w:rFonts w:ascii="Arial" w:cs="Arial" w:eastAsia="Arial" w:hAnsi="Arial"/>
          <w:sz w:val="13"/>
          <w:szCs w:val="13"/>
          <w:color w:val="auto"/>
        </w:rPr>
        <w:t>ANNER OF</w:t>
      </w:r>
      <w:r>
        <w:rPr>
          <w:rFonts w:ascii="Arial" w:cs="Arial" w:eastAsia="Arial" w:hAnsi="Arial"/>
          <w:sz w:val="20"/>
          <w:szCs w:val="20"/>
          <w:color w:val="auto"/>
        </w:rPr>
        <w:t xml:space="preserve"> E</w:t>
      </w:r>
      <w:r>
        <w:rPr>
          <w:rFonts w:ascii="Arial" w:cs="Arial" w:eastAsia="Arial" w:hAnsi="Arial"/>
          <w:sz w:val="13"/>
          <w:szCs w:val="13"/>
          <w:color w:val="auto"/>
        </w:rPr>
        <w:t>XERCISE</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 Option may be exercised by and upon the fulfillment of the following: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Notice of Exercise</w:t>
      </w:r>
    </w:p>
    <w:p>
      <w:pPr>
        <w:spacing w:after="0" w:line="225" w:lineRule="exact"/>
        <w:rPr>
          <w:sz w:val="20"/>
          <w:szCs w:val="20"/>
          <w:color w:val="auto"/>
        </w:rPr>
      </w:pPr>
    </w:p>
    <w:p>
      <w:pPr>
        <w:jc w:val="both"/>
        <w:ind w:left="940" w:right="119" w:hanging="55"/>
        <w:spacing w:after="0" w:line="259" w:lineRule="auto"/>
        <w:rPr>
          <w:sz w:val="20"/>
          <w:szCs w:val="20"/>
          <w:color w:val="auto"/>
        </w:rPr>
      </w:pPr>
      <w:r>
        <w:rPr>
          <w:rFonts w:ascii="Arial" w:cs="Arial" w:eastAsia="Arial" w:hAnsi="Arial"/>
          <w:sz w:val="18"/>
          <w:szCs w:val="18"/>
          <w:color w:val="auto"/>
        </w:rPr>
        <w:t>The signing by the Participant, and delivery to both the Company (at its principal office) and the Trustee (if the Options are held by a Trustee), of an exercise notice form as prescribed by the Administrator, including but not limited to: (i) the identity of the Participant, (ii) the number of Options to be exercised, and (iii) the Exercise Price to be paid (the “Notice of Exercise”).</w:t>
      </w:r>
    </w:p>
    <w:p>
      <w:pPr>
        <w:spacing w:after="0" w:line="187" w:lineRule="exact"/>
        <w:rPr>
          <w:sz w:val="20"/>
          <w:szCs w:val="20"/>
          <w:color w:val="auto"/>
        </w:rPr>
      </w:pPr>
    </w:p>
    <w:p>
      <w:pPr>
        <w:ind w:left="940" w:hanging="383"/>
        <w:spacing w:after="0"/>
        <w:tabs>
          <w:tab w:leader="none" w:pos="94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225" w:lineRule="exact"/>
        <w:rPr>
          <w:rFonts w:ascii="Arial" w:cs="Arial" w:eastAsia="Arial" w:hAnsi="Arial"/>
          <w:sz w:val="18"/>
          <w:szCs w:val="18"/>
          <w:color w:val="auto"/>
        </w:rPr>
      </w:pPr>
    </w:p>
    <w:p>
      <w:pPr>
        <w:ind w:left="940" w:right="119" w:hanging="16"/>
        <w:spacing w:after="0" w:line="342" w:lineRule="auto"/>
        <w:rPr>
          <w:rFonts w:ascii="Arial" w:cs="Arial" w:eastAsia="Arial" w:hAnsi="Arial"/>
          <w:sz w:val="18"/>
          <w:szCs w:val="18"/>
          <w:color w:val="auto"/>
        </w:rPr>
      </w:pPr>
      <w:r>
        <w:rPr>
          <w:rFonts w:ascii="Arial" w:cs="Arial" w:eastAsia="Arial" w:hAnsi="Arial"/>
          <w:sz w:val="16"/>
          <w:szCs w:val="16"/>
          <w:color w:val="auto"/>
        </w:rPr>
        <w:t>The payment by the Participant to the Company, in such manner as shall be determined by the Administrator, of the Exercise Price with respect to all the Options exercised, as set forth in the Notice of Exercise.</w:t>
      </w:r>
    </w:p>
    <w:p>
      <w:pPr>
        <w:spacing w:after="0" w:line="123" w:lineRule="exact"/>
        <w:rPr>
          <w:rFonts w:ascii="Arial" w:cs="Arial" w:eastAsia="Arial" w:hAnsi="Arial"/>
          <w:sz w:val="18"/>
          <w:szCs w:val="18"/>
          <w:color w:val="auto"/>
        </w:rPr>
      </w:pPr>
    </w:p>
    <w:p>
      <w:pPr>
        <w:ind w:left="940" w:hanging="383"/>
        <w:spacing w:after="0"/>
        <w:tabs>
          <w:tab w:leader="none" w:pos="94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Allocation of Shares</w:t>
      </w:r>
    </w:p>
    <w:p>
      <w:pPr>
        <w:spacing w:after="0" w:line="225" w:lineRule="exact"/>
        <w:rPr>
          <w:rFonts w:ascii="Arial" w:cs="Arial" w:eastAsia="Arial" w:hAnsi="Arial"/>
          <w:sz w:val="18"/>
          <w:szCs w:val="18"/>
          <w:color w:val="auto"/>
        </w:rPr>
      </w:pPr>
    </w:p>
    <w:p>
      <w:pPr>
        <w:jc w:val="both"/>
        <w:ind w:left="940" w:right="119" w:hanging="16"/>
        <w:spacing w:after="0" w:line="286" w:lineRule="auto"/>
        <w:rPr>
          <w:rFonts w:ascii="Arial" w:cs="Arial" w:eastAsia="Arial" w:hAnsi="Arial"/>
          <w:sz w:val="18"/>
          <w:szCs w:val="18"/>
          <w:color w:val="auto"/>
        </w:rPr>
      </w:pPr>
      <w:r>
        <w:rPr>
          <w:rFonts w:ascii="Arial" w:cs="Arial" w:eastAsia="Arial" w:hAnsi="Arial"/>
          <w:sz w:val="17"/>
          <w:szCs w:val="17"/>
          <w:color w:val="auto"/>
        </w:rPr>
        <w:t>Upon the delivery of a duly signed Notice of Exercise and the payment to the Company of the Exercise Price with respect to all the Options specified therein, the Company shall issue the Underlying Shares to the Trustee (according to the applicable Holding Period) or to the Participant, as the case may be.</w:t>
      </w:r>
    </w:p>
    <w:p>
      <w:pPr>
        <w:spacing w:after="0" w:line="179" w:lineRule="exact"/>
        <w:rPr>
          <w:rFonts w:ascii="Arial" w:cs="Arial" w:eastAsia="Arial" w:hAnsi="Arial"/>
          <w:sz w:val="18"/>
          <w:szCs w:val="18"/>
          <w:color w:val="auto"/>
        </w:rPr>
      </w:pPr>
    </w:p>
    <w:p>
      <w:pPr>
        <w:ind w:left="560" w:hanging="435"/>
        <w:spacing w:after="0"/>
        <w:tabs>
          <w:tab w:leader="none" w:pos="560" w:val="left"/>
        </w:tabs>
        <w:numPr>
          <w:ilvl w:val="0"/>
          <w:numId w:val="232"/>
        </w:numPr>
        <w:rPr>
          <w:rFonts w:ascii="Arial" w:cs="Arial" w:eastAsia="Arial" w:hAnsi="Arial"/>
          <w:sz w:val="22"/>
          <w:szCs w:val="22"/>
          <w:b w:val="1"/>
          <w:bCs w:val="1"/>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AIVER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p>
    <w:p>
      <w:pPr>
        <w:spacing w:after="0" w:line="233" w:lineRule="exact"/>
        <w:rPr>
          <w:sz w:val="20"/>
          <w:szCs w:val="20"/>
          <w:color w:val="auto"/>
        </w:rPr>
      </w:pPr>
    </w:p>
    <w:p>
      <w:pPr>
        <w:jc w:val="both"/>
        <w:ind w:left="580" w:right="119"/>
        <w:spacing w:after="0" w:line="286" w:lineRule="auto"/>
        <w:rPr>
          <w:sz w:val="20"/>
          <w:szCs w:val="20"/>
          <w:color w:val="auto"/>
        </w:rPr>
      </w:pPr>
      <w:r>
        <w:rPr>
          <w:rFonts w:ascii="Arial" w:cs="Arial" w:eastAsia="Arial" w:hAnsi="Arial"/>
          <w:sz w:val="17"/>
          <w:szCs w:val="17"/>
          <w:color w:val="auto"/>
        </w:rPr>
        <w:t>At any time prior to the expiration of any Granted (but unexercised) Options, a Participant may waive his rights to the Options or to some of the Options by a written notice to the Company’s principal office. Such notice shall specify the number of Options, which the Participant waives, and shall be signed by the Participant.</w:t>
      </w:r>
    </w:p>
    <w:p>
      <w:pPr>
        <w:spacing w:after="0" w:line="166"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Upon receipt by the Company of a notice of waiver of such rights, such Options shall expire and shall become available for future Grants and Allocations under the Plan.</w:t>
      </w:r>
    </w:p>
    <w:p>
      <w:pPr>
        <w:spacing w:after="0" w:line="184" w:lineRule="exact"/>
        <w:rPr>
          <w:sz w:val="20"/>
          <w:szCs w:val="20"/>
          <w:color w:val="auto"/>
        </w:rPr>
      </w:pPr>
    </w:p>
    <w:p>
      <w:pPr>
        <w:ind w:left="560" w:hanging="435"/>
        <w:spacing w:after="0"/>
        <w:tabs>
          <w:tab w:leader="none" w:pos="56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 OF THE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33" w:lineRule="exact"/>
        <w:rPr>
          <w:sz w:val="20"/>
          <w:szCs w:val="20"/>
          <w:color w:val="auto"/>
        </w:rPr>
      </w:pPr>
    </w:p>
    <w:p>
      <w:pPr>
        <w:jc w:val="both"/>
        <w:ind w:left="580" w:right="119"/>
        <w:spacing w:after="0" w:line="211" w:lineRule="auto"/>
        <w:rPr>
          <w:sz w:val="20"/>
          <w:szCs w:val="20"/>
          <w:color w:val="auto"/>
        </w:rPr>
      </w:pPr>
      <w:r>
        <w:rPr>
          <w:rFonts w:ascii="Arial" w:cs="Arial" w:eastAsia="Arial" w:hAnsi="Arial"/>
          <w:sz w:val="18"/>
          <w:szCs w:val="18"/>
          <w:color w:val="auto"/>
        </w:rPr>
        <w:t>Unless earlier terminated pursuant to the provisions of this Plan, all Granted but unexercised Options shall expire and cease to be exercisable at 5:00 p.m. Israel time on the 7</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anniversary of the Commencement Date of such Options.</w:t>
      </w:r>
    </w:p>
    <w:p>
      <w:pPr>
        <w:spacing w:after="0" w:line="218" w:lineRule="exact"/>
        <w:rPr>
          <w:sz w:val="20"/>
          <w:szCs w:val="20"/>
          <w:color w:val="auto"/>
        </w:rPr>
      </w:pPr>
    </w:p>
    <w:p>
      <w:pPr>
        <w:ind w:left="560" w:hanging="435"/>
        <w:spacing w:after="0"/>
        <w:tabs>
          <w:tab w:leader="none" w:pos="56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ERMINATION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MPLOYMENT</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10.1 T</w:t>
      </w:r>
      <w:r>
        <w:rPr>
          <w:rFonts w:ascii="Arial" w:cs="Arial" w:eastAsia="Arial" w:hAnsi="Arial"/>
          <w:sz w:val="13"/>
          <w:szCs w:val="13"/>
          <w:color w:val="auto"/>
        </w:rPr>
        <w:t>ERMINATION OF</w:t>
      </w:r>
      <w:r>
        <w:rPr>
          <w:rFonts w:ascii="Arial" w:cs="Arial" w:eastAsia="Arial" w:hAnsi="Arial"/>
          <w:sz w:val="20"/>
          <w:szCs w:val="20"/>
          <w:color w:val="auto"/>
        </w:rPr>
        <w:t xml:space="preserve"> E</w:t>
      </w:r>
      <w:r>
        <w:rPr>
          <w:rFonts w:ascii="Arial" w:cs="Arial" w:eastAsia="Arial" w:hAnsi="Arial"/>
          <w:sz w:val="13"/>
          <w:szCs w:val="13"/>
          <w:color w:val="auto"/>
        </w:rPr>
        <w:t>MPLOYMENT</w:t>
      </w:r>
    </w:p>
    <w:p>
      <w:pPr>
        <w:spacing w:after="0" w:line="218" w:lineRule="exact"/>
        <w:rPr>
          <w:sz w:val="20"/>
          <w:szCs w:val="20"/>
          <w:color w:val="auto"/>
        </w:rPr>
      </w:pPr>
    </w:p>
    <w:p>
      <w:pPr>
        <w:jc w:val="both"/>
        <w:ind w:left="580" w:right="119"/>
        <w:spacing w:after="0" w:line="255" w:lineRule="auto"/>
        <w:rPr>
          <w:sz w:val="20"/>
          <w:szCs w:val="20"/>
          <w:color w:val="auto"/>
        </w:rPr>
      </w:pPr>
      <w:r>
        <w:rPr>
          <w:rFonts w:ascii="Arial" w:cs="Arial" w:eastAsia="Arial" w:hAnsi="Arial"/>
          <w:sz w:val="18"/>
          <w:szCs w:val="18"/>
          <w:color w:val="auto"/>
        </w:rPr>
        <w:t>If a Participant ceases to be an employee, director, or officer of the Company or Affiliate for any reason (“Termination of Employment”) other than death, Retirement, Disability or Cause, then any vested but unexercised Options on the date of Termination of Employment (as shall be determined by the Company or Affiliate, in its sole discretion), Allocated on the Participant’s behalf (“Exercisable Options”) may be exercised, if not previously expired, not later than the earlier of (i) 90 days after the date of Termination of Employment; or (ii) the Term of the Options.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other Granted Options for the benefit of Participant shall expire upon the date of Termination of Employment.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4" w:name="page195"/>
    <w:bookmarkEnd w:id="194"/>
    <w:p>
      <w:pPr>
        <w:ind w:left="120"/>
        <w:spacing w:after="0"/>
        <w:rPr>
          <w:sz w:val="20"/>
          <w:szCs w:val="20"/>
          <w:color w:val="auto"/>
        </w:rPr>
      </w:pPr>
      <w:r>
        <w:rPr>
          <w:rFonts w:ascii="Arial" w:cs="Arial" w:eastAsia="Arial" w:hAnsi="Arial"/>
          <w:sz w:val="20"/>
          <w:szCs w:val="20"/>
          <w:color w:val="auto"/>
        </w:rPr>
        <w:t>10.2 T</w:t>
      </w:r>
      <w:r>
        <w:rPr>
          <w:rFonts w:ascii="Arial" w:cs="Arial" w:eastAsia="Arial" w:hAnsi="Arial"/>
          <w:sz w:val="13"/>
          <w:szCs w:val="13"/>
          <w:color w:val="auto"/>
        </w:rPr>
        <w:t>ERMINATION FOR</w:t>
      </w:r>
      <w:r>
        <w:rPr>
          <w:rFonts w:ascii="Arial" w:cs="Arial" w:eastAsia="Arial" w:hAnsi="Arial"/>
          <w:sz w:val="20"/>
          <w:szCs w:val="20"/>
          <w:color w:val="auto"/>
        </w:rPr>
        <w:t xml:space="preserve"> C</w:t>
      </w:r>
      <w:r>
        <w:rPr>
          <w:rFonts w:ascii="Arial" w:cs="Arial" w:eastAsia="Arial" w:hAnsi="Arial"/>
          <w:sz w:val="13"/>
          <w:szCs w:val="13"/>
          <w:color w:val="auto"/>
        </w:rPr>
        <w:t>AUSE</w:t>
      </w:r>
    </w:p>
    <w:p>
      <w:pPr>
        <w:spacing w:after="0" w:line="219" w:lineRule="exact"/>
        <w:rPr>
          <w:sz w:val="20"/>
          <w:szCs w:val="20"/>
          <w:color w:val="auto"/>
        </w:rPr>
      </w:pPr>
    </w:p>
    <w:p>
      <w:pPr>
        <w:jc w:val="both"/>
        <w:ind w:left="580" w:right="119"/>
        <w:spacing w:after="0" w:line="312" w:lineRule="auto"/>
        <w:rPr>
          <w:sz w:val="20"/>
          <w:szCs w:val="20"/>
          <w:color w:val="auto"/>
        </w:rPr>
      </w:pPr>
      <w:r>
        <w:rPr>
          <w:rFonts w:ascii="Arial" w:cs="Arial" w:eastAsia="Arial" w:hAnsi="Arial"/>
          <w:sz w:val="16"/>
          <w:szCs w:val="16"/>
          <w:color w:val="auto"/>
        </w:rPr>
        <w:t>In the event of Termination of Employment of a Participant for Cause, the Participant’s right to exercise any unexercised Options, Granted to such Participant, whether vested or not on the date of Termination of Employment, shall cease as of such date of Termination of Employment, and the Options shall thereupon expire.</w:t>
      </w:r>
    </w:p>
    <w:p>
      <w:pPr>
        <w:spacing w:after="0" w:line="147"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If subsequent to the Participant’s Termination of Employment, but prior to the exercise of Options Granted to such Participant, the Administrator determines that either prior or subsequent to the Participant’s Termination of Employment, the Participant engaged in conduct which would constitute Cause, then the Participant’s right to exercise the Options Granted to such Participant shall immediately cease upon such determination and the Options shall thereupon expire.</w:t>
      </w:r>
    </w:p>
    <w:p>
      <w:pPr>
        <w:spacing w:after="0" w:line="188"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The determination by the Administrator as to the occurrence of Cause shall be final and conclusive for all purposes of this Plan.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10.3 T</w:t>
      </w:r>
      <w:r>
        <w:rPr>
          <w:rFonts w:ascii="Arial" w:cs="Arial" w:eastAsia="Arial" w:hAnsi="Arial"/>
          <w:sz w:val="13"/>
          <w:szCs w:val="13"/>
          <w:color w:val="auto"/>
        </w:rPr>
        <w:t>ERMINATION BY</w:t>
      </w:r>
      <w:r>
        <w:rPr>
          <w:rFonts w:ascii="Arial" w:cs="Arial" w:eastAsia="Arial" w:hAnsi="Arial"/>
          <w:sz w:val="20"/>
          <w:szCs w:val="20"/>
          <w:color w:val="auto"/>
        </w:rPr>
        <w:t xml:space="preserve"> R</w:t>
      </w:r>
      <w:r>
        <w:rPr>
          <w:rFonts w:ascii="Arial" w:cs="Arial" w:eastAsia="Arial" w:hAnsi="Arial"/>
          <w:sz w:val="13"/>
          <w:szCs w:val="13"/>
          <w:color w:val="auto"/>
        </w:rPr>
        <w:t>EASON OF</w:t>
      </w:r>
      <w:r>
        <w:rPr>
          <w:rFonts w:ascii="Arial" w:cs="Arial" w:eastAsia="Arial" w:hAnsi="Arial"/>
          <w:sz w:val="20"/>
          <w:szCs w:val="20"/>
          <w:color w:val="auto"/>
        </w:rPr>
        <w:t xml:space="preserve"> D</w:t>
      </w:r>
      <w:r>
        <w:rPr>
          <w:rFonts w:ascii="Arial" w:cs="Arial" w:eastAsia="Arial" w:hAnsi="Arial"/>
          <w:sz w:val="13"/>
          <w:szCs w:val="13"/>
          <w:color w:val="auto"/>
        </w:rPr>
        <w:t>EATH</w:t>
      </w:r>
      <w:r>
        <w:rPr>
          <w:rFonts w:ascii="Arial" w:cs="Arial" w:eastAsia="Arial" w:hAnsi="Arial"/>
          <w:sz w:val="20"/>
          <w:szCs w:val="20"/>
          <w:color w:val="auto"/>
        </w:rPr>
        <w:t>, R</w:t>
      </w:r>
      <w:r>
        <w:rPr>
          <w:rFonts w:ascii="Arial" w:cs="Arial" w:eastAsia="Arial" w:hAnsi="Arial"/>
          <w:sz w:val="13"/>
          <w:szCs w:val="13"/>
          <w:color w:val="auto"/>
        </w:rPr>
        <w:t>ETIREMENT</w:t>
      </w:r>
      <w:r>
        <w:rPr>
          <w:rFonts w:ascii="Arial" w:cs="Arial" w:eastAsia="Arial" w:hAnsi="Arial"/>
          <w:sz w:val="20"/>
          <w:szCs w:val="20"/>
          <w:color w:val="auto"/>
        </w:rPr>
        <w:t xml:space="preserve">, </w:t>
      </w:r>
      <w:r>
        <w:rPr>
          <w:rFonts w:ascii="Arial" w:cs="Arial" w:eastAsia="Arial" w:hAnsi="Arial"/>
          <w:sz w:val="13"/>
          <w:szCs w:val="13"/>
          <w:color w:val="auto"/>
        </w:rPr>
        <w:t>OR</w:t>
      </w:r>
      <w:r>
        <w:rPr>
          <w:rFonts w:ascii="Arial" w:cs="Arial" w:eastAsia="Arial" w:hAnsi="Arial"/>
          <w:sz w:val="20"/>
          <w:szCs w:val="20"/>
          <w:color w:val="auto"/>
        </w:rPr>
        <w:t xml:space="preserve"> D</w:t>
      </w:r>
      <w:r>
        <w:rPr>
          <w:rFonts w:ascii="Arial" w:cs="Arial" w:eastAsia="Arial" w:hAnsi="Arial"/>
          <w:sz w:val="13"/>
          <w:szCs w:val="13"/>
          <w:color w:val="auto"/>
        </w:rPr>
        <w:t>ISABILITY</w:t>
      </w:r>
    </w:p>
    <w:p>
      <w:pPr>
        <w:spacing w:after="0" w:line="218"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In the event of Termination of Employment of a Participant by reason of death, Retirement, or Disability, any vested but unexercised Options shall be exercisable in the case of death, by his or her estate, personal representative or beneficiary, or in the case of Retirement or Disability, by the Participant or his or her personal representative (as the case may be), until the earlier of (i)12 months after the date of Termination of Employment; or (ii) the Term of the Options.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other Granted Options for the benefit of Participant shall expire upon the date of Termination of Employment.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10.4 E</w:t>
      </w:r>
      <w:r>
        <w:rPr>
          <w:rFonts w:ascii="Arial" w:cs="Arial" w:eastAsia="Arial" w:hAnsi="Arial"/>
          <w:sz w:val="13"/>
          <w:szCs w:val="13"/>
          <w:color w:val="auto"/>
        </w:rPr>
        <w:t>XCEPTIONS</w:t>
      </w:r>
    </w:p>
    <w:p>
      <w:pPr>
        <w:spacing w:after="0" w:line="218" w:lineRule="exact"/>
        <w:rPr>
          <w:sz w:val="20"/>
          <w:szCs w:val="20"/>
          <w:color w:val="auto"/>
        </w:rPr>
      </w:pPr>
    </w:p>
    <w:p>
      <w:pPr>
        <w:jc w:val="both"/>
        <w:ind w:left="580" w:right="119"/>
        <w:spacing w:after="0" w:line="308" w:lineRule="auto"/>
        <w:rPr>
          <w:sz w:val="20"/>
          <w:szCs w:val="20"/>
          <w:color w:val="auto"/>
        </w:rPr>
      </w:pPr>
      <w:r>
        <w:rPr>
          <w:rFonts w:ascii="Arial" w:cs="Arial" w:eastAsia="Arial" w:hAnsi="Arial"/>
          <w:sz w:val="17"/>
          <w:szCs w:val="17"/>
          <w:color w:val="auto"/>
        </w:rPr>
        <w:t>In special circumstances, pertaining to the Termination of Employment of a certain Participant, the Administrator may in its discretion decide to extend any of the periods stated above in Sections 10.1-10.3.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10.5 T</w:t>
      </w:r>
      <w:r>
        <w:rPr>
          <w:rFonts w:ascii="Arial" w:cs="Arial" w:eastAsia="Arial" w:hAnsi="Arial"/>
          <w:sz w:val="13"/>
          <w:szCs w:val="13"/>
          <w:color w:val="auto"/>
        </w:rPr>
        <w:t>RANSFER OF</w:t>
      </w:r>
      <w:r>
        <w:rPr>
          <w:rFonts w:ascii="Arial" w:cs="Arial" w:eastAsia="Arial" w:hAnsi="Arial"/>
          <w:sz w:val="20"/>
          <w:szCs w:val="20"/>
          <w:color w:val="auto"/>
        </w:rPr>
        <w:t xml:space="preserve"> E</w:t>
      </w:r>
      <w:r>
        <w:rPr>
          <w:rFonts w:ascii="Arial" w:cs="Arial" w:eastAsia="Arial" w:hAnsi="Arial"/>
          <w:sz w:val="13"/>
          <w:szCs w:val="13"/>
          <w:color w:val="auto"/>
        </w:rPr>
        <w:t>MPLOYMENT OR</w:t>
      </w:r>
      <w:r>
        <w:rPr>
          <w:rFonts w:ascii="Arial" w:cs="Arial" w:eastAsia="Arial" w:hAnsi="Arial"/>
          <w:sz w:val="20"/>
          <w:szCs w:val="20"/>
          <w:color w:val="auto"/>
        </w:rPr>
        <w:t xml:space="preserve"> S</w:t>
      </w:r>
      <w:r>
        <w:rPr>
          <w:rFonts w:ascii="Arial" w:cs="Arial" w:eastAsia="Arial" w:hAnsi="Arial"/>
          <w:sz w:val="13"/>
          <w:szCs w:val="13"/>
          <w:color w:val="auto"/>
        </w:rPr>
        <w:t>ERVICE</w:t>
      </w:r>
    </w:p>
    <w:p>
      <w:pPr>
        <w:spacing w:after="0" w:line="218"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Subject to the receipt of appropriate approvals from the Israeli Tax Authorities, a Participant’s right to Options or the exercise thereof that were Granted to him or her under this Plan, shall not be terminated or expire solely as a result of the fact that the Participant’s employment or service as an employee, officer or director changes from the Company to an Affiliate or vice versa.</w:t>
      </w:r>
    </w:p>
    <w:p>
      <w:pPr>
        <w:spacing w:after="0" w:line="201" w:lineRule="exact"/>
        <w:rPr>
          <w:sz w:val="20"/>
          <w:szCs w:val="20"/>
          <w:color w:val="auto"/>
        </w:rPr>
      </w:pPr>
    </w:p>
    <w:p>
      <w:pPr>
        <w:ind w:left="540" w:hanging="415"/>
        <w:spacing w:after="0"/>
        <w:tabs>
          <w:tab w:leader="none" w:pos="540"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RUST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RRANGEMENT AND</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OLDING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ERIOD</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11.1 T</w:t>
      </w:r>
      <w:r>
        <w:rPr>
          <w:rFonts w:ascii="Arial" w:cs="Arial" w:eastAsia="Arial" w:hAnsi="Arial"/>
          <w:sz w:val="13"/>
          <w:szCs w:val="13"/>
          <w:color w:val="auto"/>
        </w:rPr>
        <w:t>RUSTEE</w:t>
      </w:r>
      <w:r>
        <w:rPr>
          <w:rFonts w:ascii="Arial" w:cs="Arial" w:eastAsia="Arial" w:hAnsi="Arial"/>
          <w:sz w:val="20"/>
          <w:szCs w:val="20"/>
          <w:color w:val="auto"/>
        </w:rPr>
        <w:t xml:space="preserve"> T</w:t>
      </w:r>
      <w:r>
        <w:rPr>
          <w:rFonts w:ascii="Arial" w:cs="Arial" w:eastAsia="Arial" w:hAnsi="Arial"/>
          <w:sz w:val="13"/>
          <w:szCs w:val="13"/>
          <w:color w:val="auto"/>
        </w:rPr>
        <w:t>AX</w:t>
      </w:r>
      <w:r>
        <w:rPr>
          <w:rFonts w:ascii="Arial" w:cs="Arial" w:eastAsia="Arial" w:hAnsi="Arial"/>
          <w:sz w:val="20"/>
          <w:szCs w:val="20"/>
          <w:color w:val="auto"/>
        </w:rPr>
        <w:t xml:space="preserve"> T</w:t>
      </w:r>
      <w:r>
        <w:rPr>
          <w:rFonts w:ascii="Arial" w:cs="Arial" w:eastAsia="Arial" w:hAnsi="Arial"/>
          <w:sz w:val="13"/>
          <w:szCs w:val="13"/>
          <w:color w:val="auto"/>
        </w:rPr>
        <w:t>RACKS</w:t>
      </w:r>
    </w:p>
    <w:p>
      <w:pPr>
        <w:spacing w:after="0" w:line="218" w:lineRule="exact"/>
        <w:rPr>
          <w:sz w:val="20"/>
          <w:szCs w:val="20"/>
          <w:color w:val="auto"/>
        </w:rPr>
      </w:pPr>
    </w:p>
    <w:p>
      <w:pPr>
        <w:jc w:val="both"/>
        <w:ind w:left="580" w:right="119"/>
        <w:spacing w:after="0" w:line="279" w:lineRule="auto"/>
        <w:rPr>
          <w:sz w:val="20"/>
          <w:szCs w:val="20"/>
          <w:color w:val="auto"/>
        </w:rPr>
      </w:pPr>
      <w:r>
        <w:rPr>
          <w:rFonts w:ascii="Arial" w:cs="Arial" w:eastAsia="Arial" w:hAnsi="Arial"/>
          <w:sz w:val="17"/>
          <w:szCs w:val="17"/>
          <w:color w:val="auto"/>
        </w:rPr>
        <w:t>If the Company elects to Grant Options through (i) the Capital Gains Track Through a Trustee, or (ii) the Income Tax Track Through a Trustee, then, in accordance with the requirements of Section 102, the Company shall appoint a Trustee who will hold in trust on behalf of each Participant the Allocated Options and the Underlying Shares issued upon exercise of such Options in trust on behalf of each Participant.</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Holding Period for the Options will be as follows:</w:t>
      </w:r>
    </w:p>
    <w:p>
      <w:pPr>
        <w:spacing w:after="0" w:line="225" w:lineRule="exact"/>
        <w:rPr>
          <w:sz w:val="20"/>
          <w:szCs w:val="20"/>
          <w:color w:val="auto"/>
        </w:rPr>
      </w:pPr>
    </w:p>
    <w:p>
      <w:pPr>
        <w:jc w:val="both"/>
        <w:ind w:left="940" w:right="119" w:hanging="383"/>
        <w:spacing w:after="0" w:line="259" w:lineRule="auto"/>
        <w:tabs>
          <w:tab w:leader="none" w:pos="946"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The Capital Gains Tax Track Through a Trustee </w:t>
      </w:r>
      <w:r>
        <w:rPr>
          <w:rFonts w:ascii="Arial" w:cs="Arial" w:eastAsia="Arial" w:hAnsi="Arial"/>
          <w:sz w:val="18"/>
          <w:szCs w:val="18"/>
          <w:color w:val="auto"/>
        </w:rPr>
        <w:t>— if the Company elects to Allocate the Options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this track, then the Holding Period will be 24 months from the end of the tax year in which the Options were Allocated to the Trustee on behalf of the Participant, or such period as may be approved by the Israeli Tax Authorities or imposed by Law.</w:t>
      </w:r>
    </w:p>
    <w:p>
      <w:pPr>
        <w:spacing w:after="0" w:line="186" w:lineRule="exact"/>
        <w:rPr>
          <w:rFonts w:ascii="Arial" w:cs="Arial" w:eastAsia="Arial" w:hAnsi="Arial"/>
          <w:sz w:val="18"/>
          <w:szCs w:val="18"/>
          <w:color w:val="auto"/>
        </w:rPr>
      </w:pPr>
    </w:p>
    <w:p>
      <w:pPr>
        <w:jc w:val="both"/>
        <w:ind w:left="940" w:right="119" w:hanging="383"/>
        <w:spacing w:after="0" w:line="259" w:lineRule="auto"/>
        <w:tabs>
          <w:tab w:leader="none" w:pos="937"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Income Tax Track Through a Trustee </w:t>
      </w:r>
      <w:r>
        <w:rPr>
          <w:rFonts w:ascii="Arial" w:cs="Arial" w:eastAsia="Arial" w:hAnsi="Arial"/>
          <w:sz w:val="18"/>
          <w:szCs w:val="18"/>
          <w:color w:val="auto"/>
        </w:rPr>
        <w:t>— if the Company elects to Allocate Options according to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track, then the Holding Period will be 12 months from the end of the tax year in which the Options were Allocated to the Trustee on behalf of the Participant, or such period as may be approved by the Israeli Tax Authorities or imposed by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5" w:name="page196"/>
    <w:bookmarkEnd w:id="195"/>
    <w:p>
      <w:pPr>
        <w:jc w:val="both"/>
        <w:ind w:left="580" w:right="119"/>
        <w:spacing w:after="0" w:line="279" w:lineRule="auto"/>
        <w:rPr>
          <w:sz w:val="20"/>
          <w:szCs w:val="20"/>
          <w:color w:val="auto"/>
        </w:rPr>
      </w:pPr>
      <w:r>
        <w:rPr>
          <w:rFonts w:ascii="Arial" w:cs="Arial" w:eastAsia="Arial" w:hAnsi="Arial"/>
          <w:sz w:val="17"/>
          <w:szCs w:val="17"/>
          <w:color w:val="auto"/>
        </w:rPr>
        <w:t>Subject to Section 102 and the Rules, Participants shall not be able to receive from the Trustee, nor shall they be able to sell or dispose of Underlying Shares before the end of the applicable Holding Period. If a Participant sells or removes the Underlying Shares form the Trustee before the end of the applicable Holding Period (“Breach”), the Participant shall pay all applicable taxes imposed on such Breach by Section 7 of the Rules.</w:t>
      </w:r>
    </w:p>
    <w:p>
      <w:pPr>
        <w:spacing w:after="0" w:line="185"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In the event of a distribution of rights, including an issuance of bonus shares, in connection with Options originally Allocated (the “Additional Rights”), all such Additional Rights shall be Allocated and/or issued to the Trustee for the benefit of Participants, and shall be held by the Trustee for the remainder of the Holding Period applicable to the Options originally Allocated. Such Additional Rights shall be treated in accordance with the provisions of the applicable Tax Track.</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11.2 I</w:t>
      </w:r>
      <w:r>
        <w:rPr>
          <w:rFonts w:ascii="Arial" w:cs="Arial" w:eastAsia="Arial" w:hAnsi="Arial"/>
          <w:sz w:val="13"/>
          <w:szCs w:val="13"/>
          <w:color w:val="auto"/>
        </w:rPr>
        <w:t>NCOME</w:t>
      </w:r>
      <w:r>
        <w:rPr>
          <w:rFonts w:ascii="Arial" w:cs="Arial" w:eastAsia="Arial" w:hAnsi="Arial"/>
          <w:sz w:val="20"/>
          <w:szCs w:val="20"/>
          <w:color w:val="auto"/>
        </w:rPr>
        <w:t xml:space="preserve"> T</w:t>
      </w:r>
      <w:r>
        <w:rPr>
          <w:rFonts w:ascii="Arial" w:cs="Arial" w:eastAsia="Arial" w:hAnsi="Arial"/>
          <w:sz w:val="13"/>
          <w:szCs w:val="13"/>
          <w:color w:val="auto"/>
        </w:rPr>
        <w:t>AX</w:t>
      </w:r>
      <w:r>
        <w:rPr>
          <w:rFonts w:ascii="Arial" w:cs="Arial" w:eastAsia="Arial" w:hAnsi="Arial"/>
          <w:sz w:val="20"/>
          <w:szCs w:val="20"/>
          <w:color w:val="auto"/>
        </w:rPr>
        <w:t xml:space="preserve"> T</w:t>
      </w:r>
      <w:r>
        <w:rPr>
          <w:rFonts w:ascii="Arial" w:cs="Arial" w:eastAsia="Arial" w:hAnsi="Arial"/>
          <w:sz w:val="13"/>
          <w:szCs w:val="13"/>
          <w:color w:val="auto"/>
        </w:rPr>
        <w:t>RACK</w:t>
      </w:r>
      <w:r>
        <w:rPr>
          <w:rFonts w:ascii="Arial" w:cs="Arial" w:eastAsia="Arial" w:hAnsi="Arial"/>
          <w:sz w:val="20"/>
          <w:szCs w:val="20"/>
          <w:color w:val="auto"/>
        </w:rPr>
        <w:t xml:space="preserve"> W</w:t>
      </w:r>
      <w:r>
        <w:rPr>
          <w:rFonts w:ascii="Arial" w:cs="Arial" w:eastAsia="Arial" w:hAnsi="Arial"/>
          <w:sz w:val="13"/>
          <w:szCs w:val="13"/>
          <w:color w:val="auto"/>
        </w:rPr>
        <w:t>ITHOUT A</w:t>
      </w:r>
      <w:r>
        <w:rPr>
          <w:rFonts w:ascii="Arial" w:cs="Arial" w:eastAsia="Arial" w:hAnsi="Arial"/>
          <w:sz w:val="20"/>
          <w:szCs w:val="20"/>
          <w:color w:val="auto"/>
        </w:rPr>
        <w:t xml:space="preserve"> T</w:t>
      </w:r>
      <w:r>
        <w:rPr>
          <w:rFonts w:ascii="Arial" w:cs="Arial" w:eastAsia="Arial" w:hAnsi="Arial"/>
          <w:sz w:val="13"/>
          <w:szCs w:val="13"/>
          <w:color w:val="auto"/>
        </w:rPr>
        <w:t>RUSTEE</w:t>
      </w:r>
    </w:p>
    <w:p>
      <w:pPr>
        <w:spacing w:after="0" w:line="232" w:lineRule="exact"/>
        <w:rPr>
          <w:sz w:val="20"/>
          <w:szCs w:val="20"/>
          <w:color w:val="auto"/>
        </w:rPr>
      </w:pPr>
    </w:p>
    <w:p>
      <w:pPr>
        <w:jc w:val="both"/>
        <w:ind w:left="580" w:right="119"/>
        <w:spacing w:after="0" w:line="312" w:lineRule="auto"/>
        <w:rPr>
          <w:sz w:val="20"/>
          <w:szCs w:val="20"/>
          <w:color w:val="auto"/>
        </w:rPr>
      </w:pPr>
      <w:r>
        <w:rPr>
          <w:rFonts w:ascii="Arial" w:cs="Arial" w:eastAsia="Arial" w:hAnsi="Arial"/>
          <w:sz w:val="16"/>
          <w:szCs w:val="16"/>
          <w:color w:val="auto"/>
        </w:rPr>
        <w:t>If the Company elects to Allocate Options according to the provisions of this track, then the Options will not be subject to a Holding Period. However, upon exercise of Options under this Tax Track, the Trustee shall hold such Underlying Shares for the benefit of the Participant in accordance with the provisions of Section 15 of this Plan.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11.3 T</w:t>
      </w:r>
      <w:r>
        <w:rPr>
          <w:rFonts w:ascii="Arial" w:cs="Arial" w:eastAsia="Arial" w:hAnsi="Arial"/>
          <w:sz w:val="13"/>
          <w:szCs w:val="13"/>
          <w:color w:val="auto"/>
        </w:rPr>
        <w:t>RACK</w:t>
      </w:r>
      <w:r>
        <w:rPr>
          <w:rFonts w:ascii="Arial" w:cs="Arial" w:eastAsia="Arial" w:hAnsi="Arial"/>
          <w:sz w:val="20"/>
          <w:szCs w:val="20"/>
          <w:color w:val="auto"/>
        </w:rPr>
        <w:t xml:space="preserve"> S</w:t>
      </w:r>
      <w:r>
        <w:rPr>
          <w:rFonts w:ascii="Arial" w:cs="Arial" w:eastAsia="Arial" w:hAnsi="Arial"/>
          <w:sz w:val="13"/>
          <w:szCs w:val="13"/>
          <w:color w:val="auto"/>
        </w:rPr>
        <w:t>ELECTION</w:t>
      </w:r>
    </w:p>
    <w:p>
      <w:pPr>
        <w:spacing w:after="0" w:line="245" w:lineRule="exact"/>
        <w:rPr>
          <w:sz w:val="20"/>
          <w:szCs w:val="20"/>
          <w:color w:val="auto"/>
        </w:rPr>
      </w:pPr>
    </w:p>
    <w:p>
      <w:pPr>
        <w:jc w:val="both"/>
        <w:ind w:left="580" w:right="119"/>
        <w:spacing w:after="0" w:line="308" w:lineRule="auto"/>
        <w:rPr>
          <w:sz w:val="20"/>
          <w:szCs w:val="20"/>
          <w:color w:val="auto"/>
        </w:rPr>
      </w:pPr>
      <w:r>
        <w:rPr>
          <w:rFonts w:ascii="Arial" w:cs="Arial" w:eastAsia="Arial" w:hAnsi="Arial"/>
          <w:sz w:val="17"/>
          <w:szCs w:val="17"/>
          <w:color w:val="auto"/>
        </w:rPr>
        <w:t>The Company, in its sole discretion, shall elect under which of above three Tax Tracks each Option is Granted and shall notify the Participant in the Grant Letter, which Tax Track applies to each Granted Option.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11.4 C</w:t>
      </w:r>
      <w:r>
        <w:rPr>
          <w:rFonts w:ascii="Arial" w:cs="Arial" w:eastAsia="Arial" w:hAnsi="Arial"/>
          <w:sz w:val="13"/>
          <w:szCs w:val="13"/>
          <w:color w:val="auto"/>
        </w:rPr>
        <w:t>ONCURRENT</w:t>
      </w:r>
      <w:r>
        <w:rPr>
          <w:rFonts w:ascii="Arial" w:cs="Arial" w:eastAsia="Arial" w:hAnsi="Arial"/>
          <w:sz w:val="20"/>
          <w:szCs w:val="20"/>
          <w:color w:val="auto"/>
        </w:rPr>
        <w:t xml:space="preserve"> C</w:t>
      </w:r>
      <w:r>
        <w:rPr>
          <w:rFonts w:ascii="Arial" w:cs="Arial" w:eastAsia="Arial" w:hAnsi="Arial"/>
          <w:sz w:val="13"/>
          <w:szCs w:val="13"/>
          <w:color w:val="auto"/>
        </w:rPr>
        <w:t>ONDITIONS</w:t>
      </w:r>
    </w:p>
    <w:p>
      <w:pPr>
        <w:spacing w:after="0" w:line="232"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The Holding Period, if any, is in addition to the vesting period as specified in the Grant Letter. The Holding Period and vesting period may run concurrently, but neither is a substitute for the other, and each are independent terms and conditions for Options Granted.</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11.5 T</w:t>
      </w:r>
      <w:r>
        <w:rPr>
          <w:rFonts w:ascii="Arial" w:cs="Arial" w:eastAsia="Arial" w:hAnsi="Arial"/>
          <w:sz w:val="13"/>
          <w:szCs w:val="13"/>
          <w:color w:val="auto"/>
        </w:rPr>
        <w:t>RUST</w:t>
      </w:r>
      <w:r>
        <w:rPr>
          <w:rFonts w:ascii="Arial" w:cs="Arial" w:eastAsia="Arial" w:hAnsi="Arial"/>
          <w:sz w:val="20"/>
          <w:szCs w:val="20"/>
          <w:color w:val="auto"/>
        </w:rPr>
        <w:t xml:space="preserve"> A</w:t>
      </w:r>
      <w:r>
        <w:rPr>
          <w:rFonts w:ascii="Arial" w:cs="Arial" w:eastAsia="Arial" w:hAnsi="Arial"/>
          <w:sz w:val="13"/>
          <w:szCs w:val="13"/>
          <w:color w:val="auto"/>
        </w:rPr>
        <w:t>GREEMENT</w:t>
      </w:r>
    </w:p>
    <w:p>
      <w:pPr>
        <w:spacing w:after="0" w:line="232" w:lineRule="exact"/>
        <w:rPr>
          <w:sz w:val="20"/>
          <w:szCs w:val="20"/>
          <w:color w:val="auto"/>
        </w:rPr>
      </w:pPr>
    </w:p>
    <w:p>
      <w:pPr>
        <w:jc w:val="both"/>
        <w:ind w:left="580" w:right="119"/>
        <w:spacing w:after="0" w:line="342" w:lineRule="auto"/>
        <w:rPr>
          <w:sz w:val="20"/>
          <w:szCs w:val="20"/>
          <w:color w:val="auto"/>
        </w:rPr>
      </w:pPr>
      <w:r>
        <w:rPr>
          <w:rFonts w:ascii="Arial" w:cs="Arial" w:eastAsia="Arial" w:hAnsi="Arial"/>
          <w:sz w:val="16"/>
          <w:szCs w:val="16"/>
          <w:color w:val="auto"/>
        </w:rPr>
        <w:t>The terms and conditions applicable to the trust relating to the Tax Track selected by the Company, as appropriate, shall be set forth in an agreement signed by the Company and the Trustee (the “Trust Agreement”).</w:t>
      </w:r>
    </w:p>
    <w:p>
      <w:pPr>
        <w:spacing w:after="0" w:line="151" w:lineRule="exact"/>
        <w:rPr>
          <w:sz w:val="20"/>
          <w:szCs w:val="20"/>
          <w:color w:val="auto"/>
        </w:rPr>
      </w:pPr>
    </w:p>
    <w:p>
      <w:pPr>
        <w:ind w:left="560" w:hanging="435"/>
        <w:spacing w:after="0"/>
        <w:tabs>
          <w:tab w:leader="none" w:pos="560" w:val="left"/>
        </w:tabs>
        <w:numPr>
          <w:ilvl w:val="0"/>
          <w:numId w:val="237"/>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ELD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RUST</w:t>
      </w:r>
    </w:p>
    <w:p>
      <w:pPr>
        <w:spacing w:after="0" w:line="260"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No Underlying Shares or Additional Rights issued by the Company to the Trustee, shall be held by the Trustee on behalf of the Participant for a period longer than seven (7) years after the end of the Term of the Options. The Administrator shall instruct the Trustee as to the transfer of these Shares.</w:t>
      </w:r>
    </w:p>
    <w:p>
      <w:pPr>
        <w:spacing w:after="0" w:line="209" w:lineRule="exact"/>
        <w:rPr>
          <w:sz w:val="20"/>
          <w:szCs w:val="20"/>
          <w:color w:val="auto"/>
        </w:rPr>
      </w:pPr>
    </w:p>
    <w:p>
      <w:pPr>
        <w:ind w:left="560" w:hanging="435"/>
        <w:spacing w:after="0"/>
        <w:tabs>
          <w:tab w:leader="none" w:pos="560"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IGHTS AS A</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HAREHOLDER</w:t>
      </w:r>
    </w:p>
    <w:p>
      <w:pPr>
        <w:spacing w:after="0" w:line="246"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Unless otherwise specified in the Plan, a Participant shall not have any rights as a shareholder with respect to Shares issued under this Plan, until such time as the Shares shall be registered in the name of the Participant in the Company’s register of shareholders.</w:t>
      </w:r>
    </w:p>
    <w:p>
      <w:pPr>
        <w:spacing w:after="0" w:line="222" w:lineRule="exact"/>
        <w:rPr>
          <w:sz w:val="20"/>
          <w:szCs w:val="20"/>
          <w:color w:val="auto"/>
        </w:rPr>
      </w:pPr>
    </w:p>
    <w:p>
      <w:pPr>
        <w:ind w:left="560" w:hanging="435"/>
        <w:spacing w:after="0"/>
        <w:tabs>
          <w:tab w:leader="none" w:pos="560"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PECIAL</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p>
    <w:p>
      <w:pPr>
        <w:spacing w:after="0" w:line="246" w:lineRule="exact"/>
        <w:rPr>
          <w:sz w:val="20"/>
          <w:szCs w:val="20"/>
          <w:color w:val="auto"/>
        </w:rPr>
      </w:pPr>
    </w:p>
    <w:p>
      <w:pPr>
        <w:jc w:val="both"/>
        <w:ind w:left="580" w:right="119"/>
        <w:spacing w:after="0" w:line="312" w:lineRule="auto"/>
        <w:rPr>
          <w:sz w:val="20"/>
          <w:szCs w:val="20"/>
          <w:color w:val="auto"/>
        </w:rPr>
      </w:pPr>
      <w:r>
        <w:rPr>
          <w:rFonts w:ascii="Arial" w:cs="Arial" w:eastAsia="Arial" w:hAnsi="Arial"/>
          <w:sz w:val="16"/>
          <w:szCs w:val="16"/>
          <w:color w:val="auto"/>
        </w:rPr>
        <w:t>Nothing contained in this Plan shall confer upon any Participant any right with respect to the continuation of employment by or service to the Company or Affiliate or to interfere in any way with the right of the Company or Affiliate, to terminate such employment or service or to increase or decrease the compensation of the Participant.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6" w:name="page197"/>
    <w:bookmarkEnd w:id="196"/>
    <w:p>
      <w:pPr>
        <w:ind w:left="560" w:hanging="435"/>
        <w:spacing w:after="0"/>
        <w:tabs>
          <w:tab w:leader="none" w:pos="560"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ESTRICTIONS 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ALE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15.1 O</w:t>
      </w:r>
      <w:r>
        <w:rPr>
          <w:rFonts w:ascii="Arial" w:cs="Arial" w:eastAsia="Arial" w:hAnsi="Arial"/>
          <w:sz w:val="13"/>
          <w:szCs w:val="13"/>
          <w:color w:val="auto"/>
        </w:rPr>
        <w:t>PTIONS</w:t>
      </w:r>
    </w:p>
    <w:p>
      <w:pPr>
        <w:spacing w:after="0" w:line="218"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Options may not be sold, assigned, transferred, pledged, hypothecated or otherwise disposed of, except by will or the laws of descent.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15.2 S</w:t>
      </w:r>
      <w:r>
        <w:rPr>
          <w:rFonts w:ascii="Arial" w:cs="Arial" w:eastAsia="Arial" w:hAnsi="Arial"/>
          <w:sz w:val="13"/>
          <w:szCs w:val="13"/>
          <w:color w:val="auto"/>
        </w:rPr>
        <w:t>HARES</w:t>
      </w:r>
    </w:p>
    <w:p>
      <w:pPr>
        <w:spacing w:after="0" w:line="218"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Unless otherwise determined by the Administrator, prior to the Company’s IPO, the Shares may not be sold assigned, transferred, pledged, hypothecated or otherwise disposed of, except as stated below in this Section 15. Unless otherwise determined by the Administrator, any Underlying Shares issued upon exercise of Options, granted under any of the tax tracks detailed in Section 11 above, will be held by the Trustee until the earlier to occur of a Merger, as detailed in Section 15.3 below, or an IPO.</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15.3 M</w:t>
      </w:r>
      <w:r>
        <w:rPr>
          <w:rFonts w:ascii="Arial" w:cs="Arial" w:eastAsia="Arial" w:hAnsi="Arial"/>
          <w:sz w:val="13"/>
          <w:szCs w:val="13"/>
          <w:color w:val="auto"/>
        </w:rPr>
        <w:t>ERGERS</w:t>
      </w:r>
    </w:p>
    <w:p>
      <w:pPr>
        <w:spacing w:after="0" w:line="218"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In the event of a Merger Transaction, then, subject to obtaining the applicable approvals of the Israeli Tax Authorities, the Administrator in its sole discretion, shall decide:</w:t>
      </w:r>
    </w:p>
    <w:p>
      <w:pPr>
        <w:spacing w:after="0" w:line="170" w:lineRule="exact"/>
        <w:rPr>
          <w:sz w:val="20"/>
          <w:szCs w:val="20"/>
          <w:color w:val="auto"/>
        </w:rPr>
      </w:pPr>
    </w:p>
    <w:p>
      <w:pPr>
        <w:ind w:left="940" w:hanging="383"/>
        <w:spacing w:after="0"/>
        <w:tabs>
          <w:tab w:leader="none" w:pos="9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and how unvested Options shall be canceled, replaced or accelerated;</w:t>
      </w:r>
    </w:p>
    <w:p>
      <w:pPr>
        <w:spacing w:after="0" w:line="225" w:lineRule="exact"/>
        <w:rPr>
          <w:rFonts w:ascii="Arial" w:cs="Arial" w:eastAsia="Arial" w:hAnsi="Arial"/>
          <w:sz w:val="18"/>
          <w:szCs w:val="18"/>
          <w:color w:val="auto"/>
        </w:rPr>
      </w:pPr>
    </w:p>
    <w:p>
      <w:pPr>
        <w:jc w:val="both"/>
        <w:ind w:left="940" w:right="119" w:hanging="383"/>
        <w:spacing w:after="0" w:line="264" w:lineRule="auto"/>
        <w:tabs>
          <w:tab w:leader="none" w:pos="97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and how vested Options (including Options with respect to which the vesting period has been accelerated according to Section 15.3.(a) shall be exercised, replaced and/or sold by the Trustee or the Company (as the case may be) on the behalf of Participants; and</w:t>
      </w:r>
    </w:p>
    <w:p>
      <w:pPr>
        <w:spacing w:after="0" w:line="181" w:lineRule="exact"/>
        <w:rPr>
          <w:rFonts w:ascii="Arial" w:cs="Arial" w:eastAsia="Arial" w:hAnsi="Arial"/>
          <w:sz w:val="18"/>
          <w:szCs w:val="18"/>
          <w:color w:val="auto"/>
        </w:rPr>
      </w:pPr>
    </w:p>
    <w:p>
      <w:pPr>
        <w:ind w:left="940" w:right="119" w:hanging="383"/>
        <w:spacing w:after="0" w:line="277" w:lineRule="auto"/>
        <w:tabs>
          <w:tab w:leader="none" w:pos="9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how Underlying Shares issued upon exercise of the Options and held by the Trustee on behalf of Participants shall be replaced and/or sold by the Trustee on behalf of the Participant.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15.4 A</w:t>
      </w:r>
      <w:r>
        <w:rPr>
          <w:rFonts w:ascii="Arial" w:cs="Arial" w:eastAsia="Arial" w:hAnsi="Arial"/>
          <w:sz w:val="13"/>
          <w:szCs w:val="13"/>
          <w:color w:val="auto"/>
        </w:rPr>
        <w:t>CCELERATION</w:t>
      </w:r>
      <w:r>
        <w:rPr>
          <w:rFonts w:ascii="Arial" w:cs="Arial" w:eastAsia="Arial" w:hAnsi="Arial"/>
          <w:sz w:val="20"/>
          <w:szCs w:val="20"/>
          <w:color w:val="auto"/>
        </w:rPr>
        <w:t xml:space="preserve"> P</w:t>
      </w:r>
      <w:r>
        <w:rPr>
          <w:rFonts w:ascii="Arial" w:cs="Arial" w:eastAsia="Arial" w:hAnsi="Arial"/>
          <w:sz w:val="13"/>
          <w:szCs w:val="13"/>
          <w:color w:val="auto"/>
        </w:rPr>
        <w:t>ROVISION</w:t>
      </w:r>
    </w:p>
    <w:p>
      <w:pPr>
        <w:spacing w:after="0" w:line="245" w:lineRule="exact"/>
        <w:rPr>
          <w:sz w:val="20"/>
          <w:szCs w:val="20"/>
          <w:color w:val="auto"/>
        </w:rPr>
      </w:pPr>
    </w:p>
    <w:p>
      <w:pPr>
        <w:jc w:val="both"/>
        <w:ind w:left="580" w:right="119"/>
        <w:spacing w:after="0" w:line="308" w:lineRule="auto"/>
        <w:rPr>
          <w:sz w:val="20"/>
          <w:szCs w:val="20"/>
          <w:color w:val="auto"/>
        </w:rPr>
      </w:pPr>
      <w:r>
        <w:rPr>
          <w:rFonts w:ascii="Arial" w:cs="Arial" w:eastAsia="Arial" w:hAnsi="Arial"/>
          <w:sz w:val="17"/>
          <w:szCs w:val="17"/>
          <w:color w:val="auto"/>
        </w:rPr>
        <w:t>The Administrator, in its sole discretion, may decide to add a provision in certain Grant Letters, according to which in case of a Merger, all or some of the unvested Options, shall automatically accelerate.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15.5 L</w:t>
      </w:r>
      <w:r>
        <w:rPr>
          <w:rFonts w:ascii="Arial" w:cs="Arial" w:eastAsia="Arial" w:hAnsi="Arial"/>
          <w:sz w:val="13"/>
          <w:szCs w:val="13"/>
          <w:color w:val="auto"/>
        </w:rPr>
        <w:t>OCK</w:t>
      </w:r>
      <w:r>
        <w:rPr>
          <w:rFonts w:ascii="Arial" w:cs="Arial" w:eastAsia="Arial" w:hAnsi="Arial"/>
          <w:sz w:val="20"/>
          <w:szCs w:val="20"/>
          <w:color w:val="auto"/>
        </w:rPr>
        <w:t xml:space="preserve"> U</w:t>
      </w:r>
      <w:r>
        <w:rPr>
          <w:rFonts w:ascii="Arial" w:cs="Arial" w:eastAsia="Arial" w:hAnsi="Arial"/>
          <w:sz w:val="13"/>
          <w:szCs w:val="13"/>
          <w:color w:val="auto"/>
        </w:rPr>
        <w:t>P</w:t>
      </w:r>
    </w:p>
    <w:p>
      <w:pPr>
        <w:spacing w:after="0" w:line="245"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Notwithstanding the Holding Period, following the Company’s IPO, at the request of the underwriter, the Administrator may determine that the Underlying Shares issued pursuant to the exercise of Options may be subject to a lock-up period of up to180 days, or such longer period of time as may be recommended by the Company’s Board of Directors, during which time Participants shall not be allowed to sell Shares.</w:t>
      </w:r>
    </w:p>
    <w:p>
      <w:pPr>
        <w:spacing w:after="0" w:line="228" w:lineRule="exact"/>
        <w:rPr>
          <w:sz w:val="20"/>
          <w:szCs w:val="20"/>
          <w:color w:val="auto"/>
        </w:rPr>
      </w:pPr>
    </w:p>
    <w:p>
      <w:pPr>
        <w:ind w:left="560" w:hanging="435"/>
        <w:spacing w:after="0"/>
        <w:tabs>
          <w:tab w:leader="none" w:pos="560" w:val="left"/>
        </w:tabs>
        <w:numPr>
          <w:ilvl w:val="0"/>
          <w:numId w:val="242"/>
        </w:numPr>
        <w:rPr>
          <w:rFonts w:ascii="Arial" w:cs="Arial" w:eastAsia="Arial" w:hAnsi="Arial"/>
          <w:sz w:val="22"/>
          <w:szCs w:val="22"/>
          <w:b w:val="1"/>
          <w:bCs w:val="1"/>
          <w:color w:val="auto"/>
        </w:rPr>
      </w:pPr>
      <w:r>
        <w:rPr>
          <w:rFonts w:ascii="Arial" w:cs="Arial" w:eastAsia="Arial" w:hAnsi="Arial"/>
          <w:sz w:val="22"/>
          <w:szCs w:val="22"/>
          <w:b w:val="1"/>
          <w:bCs w:val="1"/>
          <w:color w:val="auto"/>
        </w:rPr>
        <w:t>V</w:t>
      </w:r>
      <w:r>
        <w:rPr>
          <w:rFonts w:ascii="Arial" w:cs="Arial" w:eastAsia="Arial" w:hAnsi="Arial"/>
          <w:sz w:val="14"/>
          <w:szCs w:val="14"/>
          <w:b w:val="1"/>
          <w:bCs w:val="1"/>
          <w:color w:val="auto"/>
        </w:rPr>
        <w:t>OTING</w:t>
      </w:r>
    </w:p>
    <w:p>
      <w:pPr>
        <w:spacing w:after="0" w:line="260"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Until consummation of the Company’s IPO, Shares issued to a Participant or to the Trustee for the benefit of a Participant, shall be voted by an irrevocable proxy assigned to a representative appointed by the Company’s Board of Directors (the “Representative”).</w:t>
      </w:r>
    </w:p>
    <w:p>
      <w:pPr>
        <w:spacing w:after="0" w:line="181" w:lineRule="exact"/>
        <w:rPr>
          <w:sz w:val="20"/>
          <w:szCs w:val="20"/>
          <w:color w:val="auto"/>
        </w:rPr>
      </w:pPr>
    </w:p>
    <w:p>
      <w:pPr>
        <w:ind w:left="940" w:hanging="383"/>
        <w:spacing w:after="0"/>
        <w:tabs>
          <w:tab w:leader="none" w:pos="9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Company’s Board of Directors may, at its discretion, replace the Representative from time to time.</w:t>
      </w:r>
    </w:p>
    <w:p>
      <w:pPr>
        <w:spacing w:after="0" w:line="236" w:lineRule="exact"/>
        <w:rPr>
          <w:rFonts w:ascii="Arial" w:cs="Arial" w:eastAsia="Arial" w:hAnsi="Arial"/>
          <w:sz w:val="17"/>
          <w:szCs w:val="17"/>
          <w:color w:val="auto"/>
        </w:rPr>
      </w:pPr>
    </w:p>
    <w:p>
      <w:pPr>
        <w:ind w:left="940" w:right="119" w:hanging="383"/>
        <w:spacing w:after="0" w:line="342" w:lineRule="auto"/>
        <w:tabs>
          <w:tab w:leader="none" w:pos="99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Shares subject to proxy shall be voted by the Representative on any issue or resolution brought before the shareholders of the Company in accordance with instructions of the Board of Directors of the Company.</w:t>
      </w:r>
    </w:p>
    <w:p>
      <w:pPr>
        <w:spacing w:after="0" w:line="123" w:lineRule="exact"/>
        <w:rPr>
          <w:rFonts w:ascii="Arial" w:cs="Arial" w:eastAsia="Arial" w:hAnsi="Arial"/>
          <w:sz w:val="16"/>
          <w:szCs w:val="16"/>
          <w:color w:val="auto"/>
        </w:rPr>
      </w:pPr>
    </w:p>
    <w:p>
      <w:pPr>
        <w:ind w:left="940" w:right="119" w:hanging="383"/>
        <w:spacing w:after="0" w:line="277" w:lineRule="auto"/>
        <w:tabs>
          <w:tab w:leader="none" w:pos="111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Participant, upon execution of the irrevocable proxy specified above, undertakes to hold the Representative harmless from any and all claims related or connected to said proxy.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97" w:name="page198"/>
    <w:bookmarkEnd w:id="197"/>
    <w:p>
      <w:pPr>
        <w:jc w:val="both"/>
        <w:ind w:left="940" w:right="119" w:hanging="383"/>
        <w:spacing w:after="0" w:line="290" w:lineRule="auto"/>
        <w:tabs>
          <w:tab w:leader="none" w:pos="102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Representative shall be indemnified and held harmless by the Company against any cost or expense (including attorneys’ fees) reasonably incurred by the Representative, or any liability (including any sum paid in settlement of a claim with the approval of the Company) arising out of any act or omission to act in connection with the voting of the Shares subject to proxy, unless arising out of the Representative’s own fraud or gross negligence, to the extent permitted by applicable law. In the event the Representative shall have indemnification by virtue of other functions or services he or she performs for the Company or Affiliate (whether by agreement, insurance policy or decision of the appropriate corporate body(ies) of the Company and/or Affiliate) , this indemnification shall be in addition to any such other indemnification.</w:t>
      </w:r>
    </w:p>
    <w:p>
      <w:pPr>
        <w:spacing w:after="0" w:line="180" w:lineRule="exact"/>
        <w:rPr>
          <w:rFonts w:ascii="Arial" w:cs="Arial" w:eastAsia="Arial" w:hAnsi="Arial"/>
          <w:sz w:val="16"/>
          <w:szCs w:val="16"/>
          <w:color w:val="auto"/>
        </w:rPr>
      </w:pPr>
    </w:p>
    <w:p>
      <w:pPr>
        <w:ind w:left="560" w:hanging="435"/>
        <w:spacing w:after="0"/>
        <w:tabs>
          <w:tab w:leader="none" w:pos="560" w:val="left"/>
        </w:tabs>
        <w:numPr>
          <w:ilvl w:val="0"/>
          <w:numId w:val="245"/>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AX</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ATTERS</w:t>
      </w:r>
    </w:p>
    <w:p>
      <w:pPr>
        <w:spacing w:after="0" w:line="219" w:lineRule="exact"/>
        <w:rPr>
          <w:sz w:val="20"/>
          <w:szCs w:val="20"/>
          <w:color w:val="auto"/>
        </w:rPr>
      </w:pPr>
    </w:p>
    <w:p>
      <w:pPr>
        <w:jc w:val="both"/>
        <w:ind w:left="580" w:right="119"/>
        <w:spacing w:after="0" w:line="255" w:lineRule="auto"/>
        <w:rPr>
          <w:sz w:val="20"/>
          <w:szCs w:val="20"/>
          <w:color w:val="auto"/>
        </w:rPr>
      </w:pPr>
      <w:r>
        <w:rPr>
          <w:rFonts w:ascii="Arial" w:cs="Arial" w:eastAsia="Arial" w:hAnsi="Arial"/>
          <w:sz w:val="18"/>
          <w:szCs w:val="18"/>
          <w:color w:val="auto"/>
        </w:rPr>
        <w:t>This Plan shall be governed by, and shall conform with and be interpreted so as to comply with, the requirements of Section 102 and any written approval from the Israeli Tax Authorities. All tax consequences under any applicable law (other than stamp duty) which may arise from the Grant or Allocation of Options, from the exercise thereof or from the holding or sale of Underlying Shares (or other securities issued under the Plan) by or on behalf of the Participant, shall be borne solely by the Participant. The Participant shall indemnify the Company and/or Affiliate, as the case may be, and hold them harmless, against and from any liability for any such tax or any penalty, interest or indexing.</w:t>
      </w:r>
    </w:p>
    <w:p>
      <w:pPr>
        <w:spacing w:after="0" w:line="162"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If the Company elects to Allocate Options according to the provisions of the Income Tax Track Without a Trustee (Section 11.2 of this Plan), and if prior to the exercise of any and/or all of these Options, such Participant ceases to be an employee, director, or officer of the Company or Affiliate, the Participant shall deposit with the Company a guarantee or other security as required by law, in order to ensure the payment of applicable taxes upon the Exercise of such Options.</w:t>
      </w:r>
    </w:p>
    <w:p>
      <w:pPr>
        <w:spacing w:after="0" w:line="189" w:lineRule="exact"/>
        <w:rPr>
          <w:sz w:val="20"/>
          <w:szCs w:val="20"/>
          <w:color w:val="auto"/>
        </w:rPr>
      </w:pPr>
    </w:p>
    <w:p>
      <w:pPr>
        <w:ind w:left="540" w:hanging="415"/>
        <w:spacing w:after="0"/>
        <w:tabs>
          <w:tab w:leader="none" w:pos="540" w:val="left"/>
        </w:tabs>
        <w:numPr>
          <w:ilvl w:val="0"/>
          <w:numId w:val="246"/>
        </w:numPr>
        <w:rPr>
          <w:rFonts w:ascii="Arial" w:cs="Arial" w:eastAsia="Arial" w:hAnsi="Arial"/>
          <w:sz w:val="18"/>
          <w:szCs w:val="18"/>
          <w:b w:val="1"/>
          <w:bCs w:val="1"/>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ITHHOLDING</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AXES</w:t>
      </w:r>
    </w:p>
    <w:p>
      <w:pPr>
        <w:spacing w:after="0" w:line="233" w:lineRule="exact"/>
        <w:rPr>
          <w:sz w:val="20"/>
          <w:szCs w:val="20"/>
          <w:color w:val="auto"/>
        </w:rPr>
      </w:pPr>
    </w:p>
    <w:p>
      <w:pPr>
        <w:jc w:val="both"/>
        <w:ind w:left="580" w:right="119"/>
        <w:spacing w:after="0" w:line="289" w:lineRule="auto"/>
        <w:rPr>
          <w:sz w:val="20"/>
          <w:szCs w:val="20"/>
          <w:color w:val="auto"/>
        </w:rPr>
      </w:pPr>
      <w:r>
        <w:rPr>
          <w:rFonts w:ascii="Arial" w:cs="Arial" w:eastAsia="Arial" w:hAnsi="Arial"/>
          <w:sz w:val="16"/>
          <w:szCs w:val="16"/>
          <w:color w:val="auto"/>
        </w:rPr>
        <w:t>Whenever an amount with respect to withholding tax relating to Options Granted to a Participant and/or Underlying Shares issued upon the exercise thereof is due from the Participant and/or the Company and/or an Affiliate, the Company and/or an Affiliate shall have the right to demand from a Participant such amount sufficient to satisfy any applicable withholding tax requirements related thereto, and whenever Shares or any other non-cash assets are to be delivered pursuant to the exercise of an Option, or transferred thereafter, the Company and/or an Affiliate shall have the right to require the Participant to remit to the Company and/or to the Affiliate, or to the Trustee an amount in cash sufficient to satisfy any applicable withholding tax requirements related thereto. If such amount is not timely remitted, the Company and/or the Affiliate shall have the right to withhold or set-off (subject to Law) such Shares or any other non-cash assets pending payment by the Participant of such amounts.</w:t>
      </w:r>
    </w:p>
    <w:p>
      <w:pPr>
        <w:spacing w:after="0" w:line="140" w:lineRule="exact"/>
        <w:rPr>
          <w:sz w:val="20"/>
          <w:szCs w:val="20"/>
          <w:color w:val="auto"/>
        </w:rPr>
      </w:pPr>
    </w:p>
    <w:p>
      <w:pPr>
        <w:jc w:val="both"/>
        <w:ind w:left="580" w:right="119"/>
        <w:spacing w:after="0" w:line="255" w:lineRule="auto"/>
        <w:rPr>
          <w:sz w:val="20"/>
          <w:szCs w:val="20"/>
          <w:color w:val="auto"/>
        </w:rPr>
      </w:pPr>
      <w:r>
        <w:rPr>
          <w:rFonts w:ascii="Arial" w:cs="Arial" w:eastAsia="Arial" w:hAnsi="Arial"/>
          <w:sz w:val="18"/>
          <w:szCs w:val="18"/>
          <w:color w:val="auto"/>
        </w:rPr>
        <w:t>Until all taxes have been paid in accordance with Rule 7 of the Section 102 Rules, Options and/or Underlying Shares may not be sold, transferred, assigned, pledged, encumbered, or otherwise willfully hypothecated or disposed of, and no power of attorney or deed of transfer, whether for immediate or future use may be validly given. Notwithstanding the foregoing, the Options and/or Underlying Shares may be validly transferred in accordance with Section 20 below, provided that the transferee thereof shall be subject to the provisions of Section 102 and the Section 102 Rules as would have been applicable to the deceased Participant were he or she to have survived.</w:t>
      </w:r>
    </w:p>
    <w:p>
      <w:pPr>
        <w:spacing w:after="0" w:line="190" w:lineRule="exact"/>
        <w:rPr>
          <w:sz w:val="20"/>
          <w:szCs w:val="20"/>
          <w:color w:val="auto"/>
        </w:rPr>
      </w:pPr>
    </w:p>
    <w:p>
      <w:pPr>
        <w:ind w:left="560" w:hanging="435"/>
        <w:spacing w:after="0"/>
        <w:tabs>
          <w:tab w:leader="none" w:pos="56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RANSFER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19" w:lineRule="exact"/>
        <w:rPr>
          <w:sz w:val="20"/>
          <w:szCs w:val="20"/>
          <w:color w:val="auto"/>
        </w:rPr>
      </w:pPr>
    </w:p>
    <w:p>
      <w:pPr>
        <w:ind w:left="580" w:right="119"/>
        <w:spacing w:after="0" w:line="277" w:lineRule="auto"/>
        <w:rPr>
          <w:sz w:val="20"/>
          <w:szCs w:val="20"/>
          <w:color w:val="auto"/>
        </w:rPr>
      </w:pPr>
      <w:r>
        <w:rPr>
          <w:rFonts w:ascii="Arial" w:cs="Arial" w:eastAsia="Arial" w:hAnsi="Arial"/>
          <w:sz w:val="18"/>
          <w:szCs w:val="18"/>
          <w:color w:val="auto"/>
        </w:rPr>
        <w:t>The Trustee shall not transfer Options to any third party, including a Participant, except in accordance with instructions received from the Administrator.</w:t>
      </w:r>
    </w:p>
    <w:p>
      <w:pPr>
        <w:spacing w:after="0" w:line="157" w:lineRule="exact"/>
        <w:rPr>
          <w:sz w:val="20"/>
          <w:szCs w:val="20"/>
          <w:color w:val="auto"/>
        </w:rPr>
      </w:pPr>
    </w:p>
    <w:p>
      <w:pPr>
        <w:ind w:left="560" w:hanging="435"/>
        <w:spacing w:after="0"/>
        <w:tabs>
          <w:tab w:leader="none" w:pos="560" w:val="left"/>
        </w:tabs>
        <w:numPr>
          <w:ilvl w:val="0"/>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RANSFER OF</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EATH</w:t>
      </w:r>
    </w:p>
    <w:p>
      <w:pPr>
        <w:spacing w:after="0" w:line="219"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No transfer of any right to an Option or Underlying Share issued upon the exercise thereof by will or by the laws of descent shall be effective to bind the Company unless the Company shall have been furnished with the following signed and notarized documents:</w:t>
      </w:r>
    </w:p>
    <w:p>
      <w:pPr>
        <w:spacing w:after="0" w:line="168" w:lineRule="exact"/>
        <w:rPr>
          <w:sz w:val="20"/>
          <w:szCs w:val="20"/>
          <w:color w:val="auto"/>
        </w:rPr>
      </w:pPr>
    </w:p>
    <w:p>
      <w:pPr>
        <w:ind w:left="940" w:right="119" w:hanging="383"/>
        <w:spacing w:after="0" w:line="277" w:lineRule="auto"/>
        <w:tabs>
          <w:tab w:leader="none" w:pos="9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written request for such transfer and a copy of the legal documents creating and confirming the right of the person acting with respect to the Participant’s estate and of the transferee;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8" w:name="page199"/>
    <w:bookmarkEnd w:id="198"/>
    <w:p>
      <w:pPr>
        <w:ind w:left="940" w:right="119" w:hanging="383"/>
        <w:spacing w:after="0" w:line="342" w:lineRule="auto"/>
        <w:tabs>
          <w:tab w:leader="none" w:pos="94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 written consent by the transferee to pay any amounts in connection with the Options and Underlying Shares any payment due according to the provisions of the Plan and otherwise abide by all the terms of the Plan; and</w:t>
      </w:r>
    </w:p>
    <w:p>
      <w:pPr>
        <w:spacing w:after="0" w:line="123" w:lineRule="exact"/>
        <w:rPr>
          <w:rFonts w:ascii="Arial" w:cs="Arial" w:eastAsia="Arial" w:hAnsi="Arial"/>
          <w:sz w:val="16"/>
          <w:szCs w:val="16"/>
          <w:color w:val="auto"/>
        </w:rPr>
      </w:pPr>
    </w:p>
    <w:p>
      <w:pPr>
        <w:ind w:left="940" w:right="119" w:hanging="383"/>
        <w:spacing w:after="0" w:line="308" w:lineRule="auto"/>
        <w:tabs>
          <w:tab w:leader="none" w:pos="962"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any such other evidence as the Administrator may deem necessary to establish the right to the transfer of the Option or Underlying Share issued upon the exercise thereof and the validity of the transfer.</w:t>
      </w:r>
    </w:p>
    <w:p>
      <w:pPr>
        <w:spacing w:after="0" w:line="160" w:lineRule="exact"/>
        <w:rPr>
          <w:rFonts w:ascii="Arial" w:cs="Arial" w:eastAsia="Arial" w:hAnsi="Arial"/>
          <w:sz w:val="17"/>
          <w:szCs w:val="17"/>
          <w:color w:val="auto"/>
        </w:rPr>
      </w:pPr>
    </w:p>
    <w:p>
      <w:pPr>
        <w:ind w:left="560" w:hanging="435"/>
        <w:spacing w:after="0"/>
        <w:tabs>
          <w:tab w:leader="none" w:pos="560"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THERS TO</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33" w:lineRule="exact"/>
        <w:rPr>
          <w:sz w:val="20"/>
          <w:szCs w:val="20"/>
          <w:color w:val="auto"/>
        </w:rPr>
      </w:pPr>
    </w:p>
    <w:p>
      <w:pPr>
        <w:ind w:left="580" w:right="119"/>
        <w:spacing w:after="0" w:line="277" w:lineRule="auto"/>
        <w:rPr>
          <w:sz w:val="20"/>
          <w:szCs w:val="20"/>
          <w:color w:val="auto"/>
        </w:rPr>
      </w:pPr>
      <w:r>
        <w:rPr>
          <w:rFonts w:ascii="Arial" w:cs="Arial" w:eastAsia="Arial" w:hAnsi="Arial"/>
          <w:sz w:val="18"/>
          <w:szCs w:val="18"/>
          <w:color w:val="auto"/>
        </w:rPr>
        <w:t>Subject to the provisions of the Plan, no person other than the Participant shall have any right with respect to Options Granted to the Participant’s under the Plan.</w:t>
      </w:r>
    </w:p>
    <w:p>
      <w:pPr>
        <w:spacing w:after="0" w:line="184" w:lineRule="exact"/>
        <w:rPr>
          <w:sz w:val="20"/>
          <w:szCs w:val="20"/>
          <w:color w:val="auto"/>
        </w:rPr>
      </w:pPr>
    </w:p>
    <w:p>
      <w:pPr>
        <w:ind w:left="560" w:hanging="435"/>
        <w:spacing w:after="0"/>
        <w:tabs>
          <w:tab w:leader="none" w:pos="560" w:val="left"/>
        </w:tabs>
        <w:numPr>
          <w:ilvl w:val="0"/>
          <w:numId w:val="252"/>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XPENSES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ECEIPTS</w:t>
      </w:r>
    </w:p>
    <w:p>
      <w:pPr>
        <w:spacing w:after="0" w:line="233"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The expenses incurred in connection with the administration and implementation of the Plan (including any applicable stamp duty) shall be borne by the Company. Any proceeds received by the Company in connection with the exercise of any Option may be used for general corporate purposes.</w:t>
      </w:r>
    </w:p>
    <w:p>
      <w:pPr>
        <w:spacing w:after="0" w:line="195" w:lineRule="exact"/>
        <w:rPr>
          <w:sz w:val="20"/>
          <w:szCs w:val="20"/>
          <w:color w:val="auto"/>
        </w:rPr>
      </w:pPr>
    </w:p>
    <w:p>
      <w:pPr>
        <w:ind w:left="560" w:hanging="435"/>
        <w:spacing w:after="0"/>
        <w:tabs>
          <w:tab w:leader="none" w:pos="560" w:val="left"/>
        </w:tabs>
        <w:numPr>
          <w:ilvl w:val="0"/>
          <w:numId w:val="253"/>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EQUIRED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PPROVALS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Plan is subject to the receipt of all approvals required under Section 102 and the Law.</w:t>
      </w:r>
    </w:p>
    <w:p>
      <w:pPr>
        <w:spacing w:after="0" w:line="239" w:lineRule="exact"/>
        <w:rPr>
          <w:sz w:val="20"/>
          <w:szCs w:val="20"/>
          <w:color w:val="auto"/>
        </w:rPr>
      </w:pPr>
    </w:p>
    <w:p>
      <w:pPr>
        <w:ind w:left="560" w:hanging="435"/>
        <w:spacing w:after="0"/>
        <w:tabs>
          <w:tab w:leader="none" w:pos="56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PPLICABLE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p>
    <w:p>
      <w:pPr>
        <w:spacing w:after="0" w:line="233" w:lineRule="exact"/>
        <w:rPr>
          <w:sz w:val="20"/>
          <w:szCs w:val="20"/>
          <w:color w:val="auto"/>
        </w:rPr>
      </w:pPr>
    </w:p>
    <w:p>
      <w:pPr>
        <w:ind w:left="580" w:right="119"/>
        <w:spacing w:after="0" w:line="277" w:lineRule="auto"/>
        <w:rPr>
          <w:sz w:val="20"/>
          <w:szCs w:val="20"/>
          <w:color w:val="auto"/>
        </w:rPr>
      </w:pPr>
      <w:r>
        <w:rPr>
          <w:rFonts w:ascii="Arial" w:cs="Arial" w:eastAsia="Arial" w:hAnsi="Arial"/>
          <w:sz w:val="18"/>
          <w:szCs w:val="18"/>
          <w:color w:val="auto"/>
        </w:rPr>
        <w:t>This Plan and all documents delivered or executed by the Company or Affiliate in connection herewith shall be governed by, and construed and administered in accordance with the Law.</w:t>
      </w:r>
    </w:p>
    <w:p>
      <w:pPr>
        <w:spacing w:after="0" w:line="184" w:lineRule="exact"/>
        <w:rPr>
          <w:sz w:val="20"/>
          <w:szCs w:val="20"/>
          <w:color w:val="auto"/>
        </w:rPr>
      </w:pPr>
    </w:p>
    <w:p>
      <w:pPr>
        <w:ind w:left="560" w:hanging="435"/>
        <w:spacing w:after="0"/>
        <w:tabs>
          <w:tab w:leader="none" w:pos="560"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REATMENT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ARTICIPANTS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is no obligation for uniformity of treatment of Participants.</w:t>
      </w:r>
    </w:p>
    <w:p>
      <w:pPr>
        <w:spacing w:after="0" w:line="239" w:lineRule="exact"/>
        <w:rPr>
          <w:sz w:val="20"/>
          <w:szCs w:val="20"/>
          <w:color w:val="auto"/>
        </w:rPr>
      </w:pPr>
    </w:p>
    <w:p>
      <w:pPr>
        <w:ind w:left="560" w:hanging="435"/>
        <w:spacing w:after="0"/>
        <w:tabs>
          <w:tab w:leader="none" w:pos="560"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ONFLICTS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the event of any conflict between the terms of the Plan and the Grant Letter, the Plan shall prevail.</w:t>
      </w:r>
    </w:p>
    <w:p>
      <w:pPr>
        <w:spacing w:after="0" w:line="239" w:lineRule="exact"/>
        <w:rPr>
          <w:sz w:val="20"/>
          <w:szCs w:val="20"/>
          <w:color w:val="auto"/>
        </w:rPr>
      </w:pPr>
    </w:p>
    <w:p>
      <w:pPr>
        <w:ind w:left="560" w:hanging="435"/>
        <w:spacing w:after="0"/>
        <w:tabs>
          <w:tab w:leader="none" w:pos="560" w:val="left"/>
        </w:tabs>
        <w:numPr>
          <w:ilvl w:val="0"/>
          <w:numId w:val="257"/>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PTIONEE</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NDERTAKINGS</w:t>
      </w:r>
    </w:p>
    <w:p>
      <w:pPr>
        <w:spacing w:after="0" w:line="233" w:lineRule="exact"/>
        <w:rPr>
          <w:sz w:val="20"/>
          <w:szCs w:val="20"/>
          <w:color w:val="auto"/>
        </w:rPr>
      </w:pPr>
    </w:p>
    <w:p>
      <w:pPr>
        <w:jc w:val="both"/>
        <w:ind w:left="580" w:right="119"/>
        <w:spacing w:after="0" w:line="276" w:lineRule="auto"/>
        <w:rPr>
          <w:sz w:val="20"/>
          <w:szCs w:val="20"/>
          <w:color w:val="auto"/>
        </w:rPr>
      </w:pPr>
      <w:r>
        <w:rPr>
          <w:rFonts w:ascii="Arial" w:cs="Arial" w:eastAsia="Arial" w:hAnsi="Arial"/>
          <w:sz w:val="17"/>
          <w:szCs w:val="17"/>
          <w:color w:val="auto"/>
        </w:rPr>
        <w:t>By entering into this Plan, the Optionee shall (1) agree and acknowledges that he or she have received and read the Plan, and the Grant Letter; (2) undertake all the provisions set forth in: Section 102 (including provisions regarding the applicable Tax Track that the Company has selected), the 102 Rules, the Plan, the Grant Letter and the Trust Agreement; and (3) subject to the provisions of Section 102 and the Rules, undertake not to sell or release the Underlying Shares from trust before the end of the Holding Period (if 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9" w:name="page200"/>
    <w:bookmarkEnd w:id="199"/>
    <w:p>
      <w:pPr>
        <w:jc w:val="right"/>
        <w:ind w:right="119"/>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SHARE INCENTIVE PLAN</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w:t>
      </w:r>
      <w:r>
        <w:rPr>
          <w:rFonts w:ascii="Arial" w:cs="Arial" w:eastAsia="Arial" w:hAnsi="Arial"/>
          <w:sz w:val="22"/>
          <w:szCs w:val="22"/>
          <w:b w:val="1"/>
          <w:bCs w:val="1"/>
          <w:color w:val="auto"/>
        </w:rPr>
        <w:t>: O</w:t>
      </w:r>
      <w:r>
        <w:rPr>
          <w:rFonts w:ascii="Arial" w:cs="Arial" w:eastAsia="Arial" w:hAnsi="Arial"/>
          <w:sz w:val="14"/>
          <w:szCs w:val="14"/>
          <w:b w:val="1"/>
          <w:bCs w:val="1"/>
          <w:color w:val="auto"/>
        </w:rPr>
        <w:t>CTOBER</w:t>
      </w:r>
      <w:r>
        <w:rPr>
          <w:rFonts w:ascii="Arial" w:cs="Arial" w:eastAsia="Arial" w:hAnsi="Arial"/>
          <w:sz w:val="22"/>
          <w:szCs w:val="22"/>
          <w:b w:val="1"/>
          <w:bCs w:val="1"/>
          <w:color w:val="auto"/>
        </w:rPr>
        <w:t xml:space="preserve"> 21, 2012</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175895</wp:posOffset>
            </wp:positionV>
            <wp:extent cx="55740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200" w:name="page201"/>
    <w:bookmarkEnd w:id="200"/>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SHARE INCENTIVE PLAN</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defined, terms used herein shall have the meaning ascribed to them in Section 2 hereof.</w:t>
      </w:r>
    </w:p>
    <w:p>
      <w:pPr>
        <w:spacing w:after="0" w:line="239" w:lineRule="exact"/>
        <w:rPr>
          <w:sz w:val="20"/>
          <w:szCs w:val="20"/>
          <w:color w:val="auto"/>
        </w:rPr>
      </w:pPr>
    </w:p>
    <w:p>
      <w:pPr>
        <w:ind w:left="560" w:hanging="435"/>
        <w:spacing w:after="0"/>
        <w:tabs>
          <w:tab w:leader="none" w:pos="560" w:val="left"/>
        </w:tabs>
        <w:numPr>
          <w:ilvl w:val="0"/>
          <w:numId w:val="258"/>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 TYPES OF AWARDS; CONSTRUCTION</w:t>
      </w:r>
      <w:r>
        <w:rPr>
          <w:rFonts w:ascii="Arial" w:cs="Arial" w:eastAsia="Arial" w:hAnsi="Arial"/>
          <w:sz w:val="22"/>
          <w:szCs w:val="22"/>
          <w:b w:val="1"/>
          <w:bCs w:val="1"/>
          <w:color w:val="auto"/>
        </w:rPr>
        <w:t>.</w:t>
      </w:r>
    </w:p>
    <w:p>
      <w:pPr>
        <w:spacing w:after="0" w:line="229" w:lineRule="exact"/>
        <w:rPr>
          <w:sz w:val="20"/>
          <w:szCs w:val="20"/>
          <w:color w:val="auto"/>
        </w:rPr>
      </w:pPr>
    </w:p>
    <w:p>
      <w:pPr>
        <w:jc w:val="both"/>
        <w:ind w:left="940" w:right="119" w:hanging="377"/>
        <w:spacing w:after="0" w:line="27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w:t>
      </w:r>
      <w:r>
        <w:rPr>
          <w:sz w:val="20"/>
          <w:szCs w:val="20"/>
          <w:color w:val="auto"/>
        </w:rPr>
        <w:t xml:space="preserve"> </w:t>
      </w:r>
      <w:r>
        <w:rPr>
          <w:rFonts w:ascii="Arial" w:cs="Arial" w:eastAsia="Arial" w:hAnsi="Arial"/>
          <w:sz w:val="17"/>
          <w:szCs w:val="17"/>
          <w:color w:val="auto"/>
        </w:rPr>
        <w:t>The purpose of this 2012 Share Incentive Plan (as amended, the “</w:t>
      </w:r>
      <w:r>
        <w:rPr>
          <w:rFonts w:ascii="Arial" w:cs="Arial" w:eastAsia="Arial" w:hAnsi="Arial"/>
          <w:sz w:val="17"/>
          <w:szCs w:val="17"/>
          <w:b w:val="1"/>
          <w:bCs w:val="1"/>
          <w:color w:val="auto"/>
        </w:rPr>
        <w:t>Plan</w:t>
      </w:r>
      <w:r>
        <w:rPr>
          <w:rFonts w:ascii="Arial" w:cs="Arial" w:eastAsia="Arial" w:hAnsi="Arial"/>
          <w:sz w:val="17"/>
          <w:szCs w:val="17"/>
          <w:color w:val="auto"/>
        </w:rPr>
        <w:t>”) is to afford an incentive to employees, directors, officers, consultants, advisors, and any other person or entity whose services are considered valuable (collectively, the “</w:t>
      </w:r>
      <w:r>
        <w:rPr>
          <w:rFonts w:ascii="Arial" w:cs="Arial" w:eastAsia="Arial" w:hAnsi="Arial"/>
          <w:sz w:val="17"/>
          <w:szCs w:val="17"/>
          <w:b w:val="1"/>
          <w:bCs w:val="1"/>
          <w:color w:val="auto"/>
        </w:rPr>
        <w:t>Service Providers</w:t>
      </w:r>
      <w:r>
        <w:rPr>
          <w:rFonts w:ascii="Arial" w:cs="Arial" w:eastAsia="Arial" w:hAnsi="Arial"/>
          <w:sz w:val="17"/>
          <w:szCs w:val="17"/>
          <w:color w:val="auto"/>
        </w:rPr>
        <w:t>”) to Kornit Digital Ltd., an Israeli company (the “</w:t>
      </w:r>
      <w:r>
        <w:rPr>
          <w:rFonts w:ascii="Arial" w:cs="Arial" w:eastAsia="Arial" w:hAnsi="Arial"/>
          <w:sz w:val="17"/>
          <w:szCs w:val="17"/>
          <w:b w:val="1"/>
          <w:bCs w:val="1"/>
          <w:color w:val="auto"/>
        </w:rPr>
        <w:t>Company</w:t>
      </w:r>
      <w:r>
        <w:rPr>
          <w:rFonts w:ascii="Arial" w:cs="Arial" w:eastAsia="Arial" w:hAnsi="Arial"/>
          <w:sz w:val="17"/>
          <w:szCs w:val="17"/>
          <w:color w:val="auto"/>
        </w:rPr>
        <w:t>”), or any Affiliate of the Company, which now exists or hereafter is organized or acquired by the Company, to continue as Service Providers, to increase their efforts on behalf of the Company or Affiliate and to promote the success of the Company’s business, by providing such Service Providers with opportunities to acquire a proprietary interest in the Company by the issuance of Ordinary Shares of the Company, and the grant of options to purchase Shares, restricted Shares awards (“</w:t>
      </w:r>
      <w:r>
        <w:rPr>
          <w:rFonts w:ascii="Arial" w:cs="Arial" w:eastAsia="Arial" w:hAnsi="Arial"/>
          <w:sz w:val="17"/>
          <w:szCs w:val="17"/>
          <w:b w:val="1"/>
          <w:bCs w:val="1"/>
          <w:color w:val="auto"/>
        </w:rPr>
        <w:t>Restricted Shares</w:t>
      </w:r>
      <w:r>
        <w:rPr>
          <w:rFonts w:ascii="Arial" w:cs="Arial" w:eastAsia="Arial" w:hAnsi="Arial"/>
          <w:sz w:val="17"/>
          <w:szCs w:val="17"/>
          <w:color w:val="auto"/>
        </w:rPr>
        <w:t>”) and other Share-based Awards pursuant to the Plan.</w:t>
      </w:r>
    </w:p>
    <w:p>
      <w:pPr>
        <w:spacing w:after="0" w:line="151"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Types of Awards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Plan is intended to enable the Company to issue Awards under varying tax regimes, including, without limitation:</w:t>
      </w:r>
    </w:p>
    <w:p>
      <w:pPr>
        <w:spacing w:after="0" w:line="157" w:lineRule="exact"/>
        <w:rPr>
          <w:sz w:val="20"/>
          <w:szCs w:val="20"/>
          <w:color w:val="auto"/>
        </w:rPr>
      </w:pPr>
    </w:p>
    <w:p>
      <w:pPr>
        <w:jc w:val="both"/>
        <w:ind w:left="1320" w:right="119" w:hanging="385"/>
        <w:spacing w:after="0" w:line="257" w:lineRule="auto"/>
        <w:tabs>
          <w:tab w:leader="none" w:pos="146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pursuant and subject to the provisions of Section 102 of the Ordinance, and all regulations and interpretations adopted thereunder, including without limitation the Income Tax Rules (Tax Benefits in Stock Issuance to Employees) 5763-2003 (the “</w:t>
      </w:r>
      <w:r>
        <w:rPr>
          <w:rFonts w:ascii="Arial" w:cs="Arial" w:eastAsia="Arial" w:hAnsi="Arial"/>
          <w:sz w:val="18"/>
          <w:szCs w:val="18"/>
          <w:b w:val="1"/>
          <w:bCs w:val="1"/>
          <w:color w:val="auto"/>
        </w:rPr>
        <w:t>Rules</w:t>
      </w:r>
      <w:r>
        <w:rPr>
          <w:rFonts w:ascii="Arial" w:cs="Arial" w:eastAsia="Arial" w:hAnsi="Arial"/>
          <w:sz w:val="18"/>
          <w:szCs w:val="18"/>
          <w:color w:val="auto"/>
        </w:rPr>
        <w:t>”) or such other rules published by the Israeli Income Tax Authorities (the “</w:t>
      </w:r>
      <w:r>
        <w:rPr>
          <w:rFonts w:ascii="Arial" w:cs="Arial" w:eastAsia="Arial" w:hAnsi="Arial"/>
          <w:sz w:val="18"/>
          <w:szCs w:val="18"/>
          <w:b w:val="1"/>
          <w:bCs w:val="1"/>
          <w:color w:val="auto"/>
        </w:rPr>
        <w:t>ITA</w:t>
      </w:r>
      <w:r>
        <w:rPr>
          <w:rFonts w:ascii="Arial" w:cs="Arial" w:eastAsia="Arial" w:hAnsi="Arial"/>
          <w:sz w:val="18"/>
          <w:szCs w:val="18"/>
          <w:color w:val="auto"/>
        </w:rPr>
        <w:t>”) (such Awards, “</w:t>
      </w:r>
      <w:r>
        <w:rPr>
          <w:rFonts w:ascii="Arial" w:cs="Arial" w:eastAsia="Arial" w:hAnsi="Arial"/>
          <w:sz w:val="18"/>
          <w:szCs w:val="18"/>
          <w:b w:val="1"/>
          <w:bCs w:val="1"/>
          <w:color w:val="auto"/>
        </w:rPr>
        <w:t>102 Awards</w:t>
      </w:r>
      <w:r>
        <w:rPr>
          <w:rFonts w:ascii="Arial" w:cs="Arial" w:eastAsia="Arial" w:hAnsi="Arial"/>
          <w:sz w:val="18"/>
          <w:szCs w:val="18"/>
          <w:color w:val="auto"/>
        </w:rPr>
        <w:t>”). 102 Awards may either be granted to a Trustee or without a trustee;</w:t>
      </w:r>
    </w:p>
    <w:p>
      <w:pPr>
        <w:spacing w:after="0" w:line="170" w:lineRule="exact"/>
        <w:rPr>
          <w:rFonts w:ascii="Arial" w:cs="Arial" w:eastAsia="Arial" w:hAnsi="Arial"/>
          <w:sz w:val="18"/>
          <w:szCs w:val="18"/>
          <w:color w:val="auto"/>
        </w:rPr>
      </w:pPr>
    </w:p>
    <w:p>
      <w:pPr>
        <w:ind w:left="1340" w:hanging="405"/>
        <w:spacing w:after="0"/>
        <w:tabs>
          <w:tab w:leader="none" w:pos="13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pursuant to Section 3(9) of the Ordinance (such Awards, “</w:t>
      </w:r>
      <w:r>
        <w:rPr>
          <w:rFonts w:ascii="Arial" w:cs="Arial" w:eastAsia="Arial" w:hAnsi="Arial"/>
          <w:sz w:val="18"/>
          <w:szCs w:val="18"/>
          <w:b w:val="1"/>
          <w:bCs w:val="1"/>
          <w:color w:val="auto"/>
        </w:rPr>
        <w:t>3(9) Awards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20" w:right="119" w:hanging="385"/>
        <w:spacing w:after="0" w:line="312" w:lineRule="auto"/>
        <w:tabs>
          <w:tab w:leader="none" w:pos="136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Incentive Stock Options within the meaning of Section 422 of the Code, or the corresponding provision of any subsequently enacted United States federal tax statute, as amended from time to time, to be granted to Service Providers who are deemed to be residents of the U.S. for purposes of taxation;</w:t>
      </w:r>
    </w:p>
    <w:p>
      <w:pPr>
        <w:spacing w:after="0" w:line="133" w:lineRule="exact"/>
        <w:rPr>
          <w:rFonts w:ascii="Arial" w:cs="Arial" w:eastAsia="Arial" w:hAnsi="Arial"/>
          <w:sz w:val="16"/>
          <w:szCs w:val="16"/>
          <w:color w:val="auto"/>
        </w:rPr>
      </w:pPr>
    </w:p>
    <w:p>
      <w:pPr>
        <w:ind w:left="1320" w:right="119" w:hanging="385"/>
        <w:spacing w:after="0" w:line="277" w:lineRule="auto"/>
        <w:tabs>
          <w:tab w:leader="none" w:pos="138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Nonqualified Stock Options to be granted to Service Providers who are deemed to be residents of the U.S. for purposes of taxation; and</w:t>
      </w:r>
    </w:p>
    <w:p>
      <w:pPr>
        <w:spacing w:after="0" w:line="156" w:lineRule="exact"/>
        <w:rPr>
          <w:rFonts w:ascii="Arial" w:cs="Arial" w:eastAsia="Arial" w:hAnsi="Arial"/>
          <w:sz w:val="18"/>
          <w:szCs w:val="18"/>
          <w:color w:val="auto"/>
        </w:rPr>
      </w:pPr>
    </w:p>
    <w:p>
      <w:pPr>
        <w:ind w:left="1280" w:hanging="345"/>
        <w:spacing w:after="0"/>
        <w:tabs>
          <w:tab w:leader="none" w:pos="1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other stock-based Awards pursuant to Section 12 hereof.</w:t>
      </w:r>
    </w:p>
    <w:p>
      <w:pPr>
        <w:spacing w:after="0" w:line="198" w:lineRule="exact"/>
        <w:rPr>
          <w:sz w:val="20"/>
          <w:szCs w:val="20"/>
          <w:color w:val="auto"/>
        </w:rPr>
      </w:pPr>
    </w:p>
    <w:p>
      <w:pPr>
        <w:jc w:val="both"/>
        <w:ind w:left="940" w:right="119"/>
        <w:spacing w:after="0" w:line="257" w:lineRule="auto"/>
        <w:rPr>
          <w:sz w:val="20"/>
          <w:szCs w:val="20"/>
          <w:color w:val="auto"/>
        </w:rPr>
      </w:pPr>
      <w:r>
        <w:rPr>
          <w:rFonts w:ascii="Arial" w:cs="Arial" w:eastAsia="Arial" w:hAnsi="Arial"/>
          <w:sz w:val="18"/>
          <w:szCs w:val="18"/>
          <w:color w:val="auto"/>
        </w:rPr>
        <w:t>In addition to the issuance of Awards under the relevant tax regimes in the United States of America and the State of Israel, the Plan contemplates issuances to Grantees in other jurisdictions with respect to which the Committee is empowered to make the requisite adjustments in the Plan and set forth the relevant conditions in the Company’s agreement with the Grantee in order to comply with the requirements of the tax regimes in any such jurisdictions.</w:t>
      </w:r>
    </w:p>
    <w:p>
      <w:pPr>
        <w:spacing w:after="0" w:line="175" w:lineRule="exact"/>
        <w:rPr>
          <w:sz w:val="20"/>
          <w:szCs w:val="20"/>
          <w:color w:val="auto"/>
        </w:rPr>
      </w:pPr>
    </w:p>
    <w:p>
      <w:pPr>
        <w:jc w:val="both"/>
        <w:ind w:left="940" w:right="119"/>
        <w:spacing w:after="0" w:line="277" w:lineRule="auto"/>
        <w:rPr>
          <w:sz w:val="20"/>
          <w:szCs w:val="20"/>
          <w:color w:val="auto"/>
        </w:rPr>
      </w:pPr>
      <w:r>
        <w:rPr>
          <w:rFonts w:ascii="Arial" w:cs="Arial" w:eastAsia="Arial" w:hAnsi="Arial"/>
          <w:sz w:val="18"/>
          <w:szCs w:val="18"/>
          <w:color w:val="auto"/>
        </w:rPr>
        <w:t>The Plan contemplates the issuance of Awards by the Company, both as a private company and as a publicly traded company.</w:t>
      </w:r>
    </w:p>
    <w:p>
      <w:pPr>
        <w:spacing w:after="0" w:line="157"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Construction</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To the extent any provision herein conflicts with the conditions of any relevant tax law or regulation which are relied upon for tax relief in respect of a particular Award to a Grantee, the provisions of such law or regulation shall prevail over those of the Plan and the Committee is empowered hereunder to interpret and enforce the said prevailing provisions.</w:t>
      </w:r>
    </w:p>
    <w:p>
      <w:pPr>
        <w:spacing w:after="0" w:line="174" w:lineRule="exact"/>
        <w:rPr>
          <w:sz w:val="20"/>
          <w:szCs w:val="20"/>
          <w:color w:val="auto"/>
        </w:rPr>
      </w:pPr>
    </w:p>
    <w:p>
      <w:pPr>
        <w:ind w:left="560" w:hanging="435"/>
        <w:spacing w:after="0"/>
        <w:tabs>
          <w:tab w:leader="none" w:pos="560" w:val="left"/>
        </w:tabs>
        <w:numPr>
          <w:ilvl w:val="0"/>
          <w:numId w:val="260"/>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Terms Generally</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w:t>
      </w:r>
    </w:p>
    <w:p>
      <w:pPr>
        <w:sectPr>
          <w:pgSz w:w="11900" w:h="16838" w:orient="portrait"/>
          <w:cols w:equalWidth="0" w:num="1">
            <w:col w:w="9019"/>
          </w:cols>
          <w:pgMar w:left="1440" w:top="112" w:right="1440" w:bottom="1440" w:gutter="0" w:footer="0" w:header="0"/>
        </w:sectPr>
      </w:pP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201" w:name="page202"/>
    <w:bookmarkEnd w:id="201"/>
    <w:p>
      <w:pPr>
        <w:jc w:val="both"/>
        <w:ind w:left="940" w:right="119"/>
        <w:spacing w:after="0" w:line="286" w:lineRule="auto"/>
        <w:rPr>
          <w:sz w:val="20"/>
          <w:szCs w:val="20"/>
          <w:color w:val="auto"/>
        </w:rPr>
      </w:pPr>
      <w:r>
        <w:rPr>
          <w:rFonts w:ascii="Arial" w:cs="Arial" w:eastAsia="Arial" w:hAnsi="Arial"/>
          <w:sz w:val="16"/>
          <w:szCs w:val="16"/>
          <w:color w:val="auto"/>
        </w:rPr>
        <w:t>limitation”. Unless the context requires otherwise (i)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w:t>
      </w:r>
    </w:p>
    <w:p>
      <w:pPr>
        <w:spacing w:after="0" w:line="2" w:lineRule="exact"/>
        <w:rPr>
          <w:sz w:val="20"/>
          <w:szCs w:val="20"/>
          <w:color w:val="auto"/>
        </w:rPr>
      </w:pPr>
    </w:p>
    <w:p>
      <w:pPr>
        <w:jc w:val="both"/>
        <w:ind w:left="940" w:right="119" w:hanging="5"/>
        <w:spacing w:after="0" w:line="281" w:lineRule="auto"/>
        <w:tabs>
          <w:tab w:leader="none" w:pos="121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references to any law, constitution, statute, treaty, regulation, rule or ordinance, including any section or other part thereof shall refer to that it as amended from time to time and shall include any successor law,</w:t>
      </w:r>
    </w:p>
    <w:p>
      <w:pPr>
        <w:spacing w:after="0" w:line="1" w:lineRule="exact"/>
        <w:rPr>
          <w:rFonts w:ascii="Arial" w:cs="Arial" w:eastAsia="Arial" w:hAnsi="Arial"/>
          <w:sz w:val="16"/>
          <w:szCs w:val="16"/>
          <w:color w:val="auto"/>
        </w:rPr>
      </w:pPr>
    </w:p>
    <w:p>
      <w:pPr>
        <w:jc w:val="both"/>
        <w:ind w:left="940" w:right="119" w:hanging="5"/>
        <w:spacing w:after="0" w:line="253" w:lineRule="auto"/>
        <w:tabs>
          <w:tab w:leader="none" w:pos="129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reference to a person shall means an individual, partnership, corporation, limited liability company, association, trust, unincorporated organization, or a government or agency or political subdivision thereof, (iv) the words “herein”, “hereof” and “hereunder”, and words of similar import, shall be construed to refer to this Plan in its entirety and not to any particular provision hereof and (v) all references herein to Sections shall be construed to refer to Sections to this Plan.</w:t>
      </w:r>
    </w:p>
    <w:p>
      <w:pPr>
        <w:spacing w:after="0" w:line="191" w:lineRule="exact"/>
        <w:rPr>
          <w:sz w:val="20"/>
          <w:szCs w:val="20"/>
          <w:color w:val="auto"/>
        </w:rPr>
      </w:pPr>
    </w:p>
    <w:p>
      <w:pPr>
        <w:ind w:left="560"/>
        <w:spacing w:after="0"/>
        <w:tabs>
          <w:tab w:leader="none" w:pos="2180" w:val="left"/>
        </w:tabs>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Defined Terms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terms shall have the meanings ascribed to them in this Section 2:</w:t>
      </w:r>
    </w:p>
    <w:p>
      <w:pPr>
        <w:spacing w:after="0" w:line="221" w:lineRule="exact"/>
        <w:rPr>
          <w:sz w:val="20"/>
          <w:szCs w:val="20"/>
          <w:color w:val="auto"/>
        </w:rPr>
      </w:pPr>
    </w:p>
    <w:p>
      <w:pPr>
        <w:jc w:val="both"/>
        <w:ind w:left="1520" w:right="119" w:hanging="647"/>
        <w:spacing w:after="0" w:line="256" w:lineRule="auto"/>
        <w:tabs>
          <w:tab w:leader="none" w:pos="1500" w:val="left"/>
        </w:tabs>
        <w:rPr>
          <w:sz w:val="20"/>
          <w:szCs w:val="20"/>
          <w:color w:val="auto"/>
        </w:rPr>
      </w:pPr>
      <w:r>
        <w:rPr>
          <w:rFonts w:ascii="Arial" w:cs="Arial" w:eastAsia="Arial" w:hAnsi="Arial"/>
          <w:sz w:val="18"/>
          <w:szCs w:val="18"/>
          <w:color w:val="auto"/>
        </w:rPr>
        <w:t>2.2.1.</w:t>
        <w:tab/>
        <w:t>“</w:t>
      </w:r>
      <w:r>
        <w:rPr>
          <w:rFonts w:ascii="Arial" w:cs="Arial" w:eastAsia="Arial" w:hAnsi="Arial"/>
          <w:sz w:val="18"/>
          <w:szCs w:val="18"/>
          <w:b w:val="1"/>
          <w:bCs w:val="1"/>
          <w:color w:val="auto"/>
        </w:rPr>
        <w:t>Affiliate</w:t>
      </w:r>
      <w:r>
        <w:rPr>
          <w:rFonts w:ascii="Arial" w:cs="Arial" w:eastAsia="Arial" w:hAnsi="Arial"/>
          <w:sz w:val="18"/>
          <w:szCs w:val="18"/>
          <w:color w:val="auto"/>
        </w:rPr>
        <w:t>” shall mean an affiliate of, or person affiliated with, a specified person or company or other trade or business that directly, or indirectly through one or more intermediaries, controls, is controlled by or is under common control with such person within the meaning of Rule 405 of Regulation C under the Securities Act, including, without limitation, any Subsidiary. For the purpose of Options granted pursuant to Section 102 shall mean also an “employing company” within the meaning of Section 102(a) of the Ordinance.</w:t>
      </w:r>
    </w:p>
    <w:p>
      <w:pPr>
        <w:spacing w:after="0" w:line="188" w:lineRule="exact"/>
        <w:rPr>
          <w:sz w:val="20"/>
          <w:szCs w:val="20"/>
          <w:color w:val="auto"/>
        </w:rPr>
      </w:pPr>
    </w:p>
    <w:p>
      <w:pPr>
        <w:jc w:val="both"/>
        <w:ind w:left="1580" w:right="119" w:hanging="647"/>
        <w:spacing w:after="0" w:line="303" w:lineRule="auto"/>
        <w:tabs>
          <w:tab w:leader="none" w:pos="15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or trading system on which the Shares are then traded or listed.</w:t>
      </w:r>
    </w:p>
    <w:p>
      <w:pPr>
        <w:spacing w:after="0" w:line="151" w:lineRule="exact"/>
        <w:rPr>
          <w:sz w:val="20"/>
          <w:szCs w:val="20"/>
          <w:color w:val="auto"/>
        </w:rPr>
      </w:pPr>
    </w:p>
    <w:p>
      <w:pPr>
        <w:jc w:val="both"/>
        <w:ind w:left="1580" w:right="119" w:hanging="647"/>
        <w:spacing w:after="0" w:line="282" w:lineRule="auto"/>
        <w:tabs>
          <w:tab w:leader="none" w:pos="1560" w:val="left"/>
        </w:tabs>
        <w:rPr>
          <w:sz w:val="20"/>
          <w:szCs w:val="20"/>
          <w:color w:val="auto"/>
        </w:rPr>
      </w:pPr>
      <w:r>
        <w:rPr>
          <w:rFonts w:ascii="Arial" w:cs="Arial" w:eastAsia="Arial" w:hAnsi="Arial"/>
          <w:sz w:val="18"/>
          <w:szCs w:val="18"/>
          <w:color w:val="auto"/>
        </w:rPr>
        <w:t>2.2.3.</w:t>
        <w:tab/>
        <w:t>“</w:t>
      </w:r>
      <w:r>
        <w:rPr>
          <w:rFonts w:ascii="Arial" w:cs="Arial" w:eastAsia="Arial" w:hAnsi="Arial"/>
          <w:sz w:val="18"/>
          <w:szCs w:val="18"/>
          <w:b w:val="1"/>
          <w:bCs w:val="1"/>
          <w:color w:val="auto"/>
        </w:rPr>
        <w:t>Award</w:t>
      </w:r>
      <w:r>
        <w:rPr>
          <w:rFonts w:ascii="Arial" w:cs="Arial" w:eastAsia="Arial" w:hAnsi="Arial"/>
          <w:sz w:val="18"/>
          <w:szCs w:val="18"/>
          <w:color w:val="auto"/>
        </w:rPr>
        <w:t>” shall mean any Restricted Share, Option or any other Share-based award, granted to a Grantee under the Plan and any share issued pursuant to the exercise thereof.</w:t>
      </w:r>
    </w:p>
    <w:p>
      <w:pPr>
        <w:spacing w:after="0" w:line="162"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shall mean the Board of Directors of the Company.</w:t>
      </w:r>
    </w:p>
    <w:p>
      <w:pPr>
        <w:spacing w:after="0" w:line="225"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shall mean the United States Internal Revenue Code of 1986, as amended.</w:t>
      </w:r>
    </w:p>
    <w:p>
      <w:pPr>
        <w:spacing w:after="0" w:line="225" w:lineRule="exact"/>
        <w:rPr>
          <w:sz w:val="20"/>
          <w:szCs w:val="20"/>
          <w:color w:val="auto"/>
        </w:rPr>
      </w:pPr>
    </w:p>
    <w:p>
      <w:pPr>
        <w:jc w:val="both"/>
        <w:ind w:left="1580" w:right="119" w:hanging="647"/>
        <w:spacing w:after="0" w:line="282" w:lineRule="auto"/>
        <w:tabs>
          <w:tab w:leader="none" w:pos="1560" w:val="left"/>
        </w:tabs>
        <w:rPr>
          <w:sz w:val="20"/>
          <w:szCs w:val="20"/>
          <w:color w:val="auto"/>
        </w:rPr>
      </w:pPr>
      <w:r>
        <w:rPr>
          <w:rFonts w:ascii="Arial" w:cs="Arial" w:eastAsia="Arial" w:hAnsi="Arial"/>
          <w:sz w:val="18"/>
          <w:szCs w:val="18"/>
          <w:color w:val="auto"/>
        </w:rPr>
        <w:t>2.2.6.</w:t>
        <w:tab/>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established by the Board to administer the Plan, subject to Section 3.1.</w:t>
      </w:r>
    </w:p>
    <w:p>
      <w:pPr>
        <w:spacing w:after="0" w:line="162" w:lineRule="exact"/>
        <w:rPr>
          <w:sz w:val="20"/>
          <w:szCs w:val="20"/>
          <w:color w:val="auto"/>
        </w:rPr>
      </w:pPr>
    </w:p>
    <w:p>
      <w:pPr>
        <w:jc w:val="both"/>
        <w:ind w:left="1580" w:right="119" w:hanging="647"/>
        <w:spacing w:after="0" w:line="282" w:lineRule="auto"/>
        <w:tabs>
          <w:tab w:leader="none" w:pos="1560" w:val="left"/>
        </w:tabs>
        <w:rPr>
          <w:sz w:val="20"/>
          <w:szCs w:val="20"/>
          <w:color w:val="auto"/>
        </w:rPr>
      </w:pPr>
      <w:r>
        <w:rPr>
          <w:rFonts w:ascii="Arial" w:cs="Arial" w:eastAsia="Arial" w:hAnsi="Arial"/>
          <w:sz w:val="18"/>
          <w:szCs w:val="18"/>
          <w:color w:val="auto"/>
        </w:rPr>
        <w:t>2.2.7.</w:t>
        <w:tab/>
        <w:t>“</w:t>
      </w:r>
      <w:r>
        <w:rPr>
          <w:rFonts w:ascii="Arial" w:cs="Arial" w:eastAsia="Arial" w:hAnsi="Arial"/>
          <w:sz w:val="18"/>
          <w:szCs w:val="18"/>
          <w:b w:val="1"/>
          <w:bCs w:val="1"/>
          <w:color w:val="auto"/>
        </w:rPr>
        <w:t>Companies Law</w:t>
      </w:r>
      <w:r>
        <w:rPr>
          <w:rFonts w:ascii="Arial" w:cs="Arial" w:eastAsia="Arial" w:hAnsi="Arial"/>
          <w:sz w:val="18"/>
          <w:szCs w:val="18"/>
          <w:color w:val="auto"/>
        </w:rPr>
        <w:t>” shall mean the Israel Companies Law-1999 and the regulations promulgated thereunder, all as amended from time to time.</w:t>
      </w:r>
    </w:p>
    <w:p>
      <w:pPr>
        <w:spacing w:after="0" w:line="162"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shall have the meaning set forth in Section 32(9) of the Ordinance.</w:t>
      </w:r>
    </w:p>
    <w:p>
      <w:pPr>
        <w:spacing w:after="0" w:line="225" w:lineRule="exact"/>
        <w:rPr>
          <w:sz w:val="20"/>
          <w:szCs w:val="20"/>
          <w:color w:val="auto"/>
        </w:rPr>
      </w:pPr>
    </w:p>
    <w:p>
      <w:pPr>
        <w:jc w:val="both"/>
        <w:ind w:left="1540" w:right="119" w:hanging="647"/>
        <w:spacing w:after="0" w:line="256" w:lineRule="auto"/>
        <w:tabs>
          <w:tab w:leader="none" w:pos="1520" w:val="left"/>
        </w:tabs>
        <w:rPr>
          <w:sz w:val="20"/>
          <w:szCs w:val="20"/>
          <w:color w:val="auto"/>
        </w:rPr>
      </w:pPr>
      <w:r>
        <w:rPr>
          <w:rFonts w:ascii="Arial" w:cs="Arial" w:eastAsia="Arial" w:hAnsi="Arial"/>
          <w:sz w:val="18"/>
          <w:szCs w:val="18"/>
          <w:color w:val="auto"/>
        </w:rPr>
        <w:t>2.2.9.</w:t>
        <w:tab/>
        <w:t>“</w:t>
      </w:r>
      <w:r>
        <w:rPr>
          <w:rFonts w:ascii="Arial" w:cs="Arial" w:eastAsia="Arial" w:hAnsi="Arial"/>
          <w:sz w:val="18"/>
          <w:szCs w:val="18"/>
          <w:b w:val="1"/>
          <w:bCs w:val="1"/>
          <w:color w:val="auto"/>
        </w:rPr>
        <w:t>Disability</w:t>
      </w:r>
      <w:r>
        <w:rPr>
          <w:rFonts w:ascii="Arial" w:cs="Arial" w:eastAsia="Arial" w:hAnsi="Arial"/>
          <w:sz w:val="18"/>
          <w:szCs w:val="18"/>
          <w:color w:val="auto"/>
        </w:rPr>
        <w:t>” shall mean (i) the inability of a Grantee to engage in any substantial gainful activity by reason of any medically determinable physical or mental impairment which can be expected to result in death or which has lasted or can be expected to last for a continuous period of not less than 12 months, as determined by a medical doctor satisfactory to the Committee or, if applicable, (ii) as “permanent and total disability” as defined in Section 22(e)(3) of the Code, as amended from time to time.</w:t>
      </w:r>
    </w:p>
    <w:p>
      <w:pPr>
        <w:spacing w:after="0" w:line="188"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2.2.10. “</w:t>
      </w:r>
      <w:r>
        <w:rPr>
          <w:rFonts w:ascii="Arial" w:cs="Arial" w:eastAsia="Arial" w:hAnsi="Arial"/>
          <w:sz w:val="18"/>
          <w:szCs w:val="18"/>
          <w:b w:val="1"/>
          <w:bCs w:val="1"/>
          <w:color w:val="auto"/>
        </w:rPr>
        <w:t>Employee</w:t>
      </w:r>
      <w:r>
        <w:rPr>
          <w:rFonts w:ascii="Arial" w:cs="Arial" w:eastAsia="Arial" w:hAnsi="Arial"/>
          <w:sz w:val="18"/>
          <w:szCs w:val="18"/>
          <w:color w:val="auto"/>
        </w:rPr>
        <w:t>” shall mean a person who is employed by the Company or any of its Affiliates, including, for the purpose of Section 102, an individual who is serving as an “office holder” as defined under the Companies Law, but excluding any Controlling Shareholder.</w:t>
      </w:r>
    </w:p>
    <w:p>
      <w:pPr>
        <w:spacing w:after="0" w:line="176" w:lineRule="exact"/>
        <w:rPr>
          <w:sz w:val="20"/>
          <w:szCs w:val="20"/>
          <w:color w:val="auto"/>
        </w:rPr>
      </w:pPr>
    </w:p>
    <w:p>
      <w:pPr>
        <w:jc w:val="both"/>
        <w:ind w:left="1560" w:right="119" w:hanging="647"/>
        <w:spacing w:after="0" w:line="266" w:lineRule="auto"/>
        <w:tabs>
          <w:tab w:leader="none" w:pos="1540" w:val="left"/>
        </w:tabs>
        <w:rPr>
          <w:sz w:val="20"/>
          <w:szCs w:val="20"/>
          <w:color w:val="auto"/>
        </w:rPr>
      </w:pPr>
      <w:r>
        <w:rPr>
          <w:rFonts w:ascii="Arial" w:cs="Arial" w:eastAsia="Arial" w:hAnsi="Arial"/>
          <w:sz w:val="18"/>
          <w:szCs w:val="18"/>
          <w:color w:val="auto"/>
        </w:rPr>
        <w:t>2.2.11.</w:t>
        <w:tab/>
        <w:t>“</w:t>
      </w:r>
      <w:r>
        <w:rPr>
          <w:rFonts w:ascii="Arial" w:cs="Arial" w:eastAsia="Arial" w:hAnsi="Arial"/>
          <w:sz w:val="18"/>
          <w:szCs w:val="18"/>
          <w:b w:val="1"/>
          <w:bCs w:val="1"/>
          <w:color w:val="auto"/>
        </w:rPr>
        <w:t>Exercise Period</w:t>
      </w:r>
      <w:r>
        <w:rPr>
          <w:rFonts w:ascii="Arial" w:cs="Arial" w:eastAsia="Arial" w:hAnsi="Arial"/>
          <w:sz w:val="18"/>
          <w:szCs w:val="18"/>
          <w:color w:val="auto"/>
        </w:rPr>
        <w:t>” shall mean the period, commencing on the date of grant of an Option, during which an Option shall be exercisable, subject to any vesting provisions thereof and the termination provisions hereof.</w:t>
      </w:r>
    </w:p>
    <w:p>
      <w:pPr>
        <w:spacing w:after="0" w:line="1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2.2.12. “</w:t>
      </w: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exercise price for each Share covered by an Option.</w:t>
      </w:r>
    </w:p>
    <w:p>
      <w:pPr>
        <w:spacing w:after="0" w:line="225"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2.2.13. “</w:t>
      </w:r>
      <w:r>
        <w:rPr>
          <w:rFonts w:ascii="Arial" w:cs="Arial" w:eastAsia="Arial" w:hAnsi="Arial"/>
          <w:sz w:val="18"/>
          <w:szCs w:val="18"/>
          <w:b w:val="1"/>
          <w:bCs w:val="1"/>
          <w:color w:val="auto"/>
        </w:rPr>
        <w:t>Fair Market Value</w:t>
      </w:r>
      <w:r>
        <w:rPr>
          <w:rFonts w:ascii="Arial" w:cs="Arial" w:eastAsia="Arial" w:hAnsi="Arial"/>
          <w:sz w:val="18"/>
          <w:szCs w:val="18"/>
          <w:color w:val="auto"/>
        </w:rPr>
        <w:t>” per share as of a particular date shall mean (i) the closing sales price per Share on the securities exchange on which the Shares are principally traded for the last preceding date on which</w:t>
      </w:r>
    </w:p>
    <w:p>
      <w:pPr>
        <w:sectPr>
          <w:pgSz w:w="11900" w:h="16838" w:orient="portrait"/>
          <w:cols w:equalWidth="0" w:num="1">
            <w:col w:w="9019"/>
          </w:cols>
          <w:pgMar w:left="1440" w:top="125" w:right="1440" w:bottom="1440"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02" w:name="page203"/>
    <w:bookmarkEnd w:id="202"/>
    <w:p>
      <w:pPr>
        <w:jc w:val="both"/>
        <w:ind w:left="1580" w:right="119"/>
        <w:spacing w:after="0" w:line="268" w:lineRule="auto"/>
        <w:rPr>
          <w:sz w:val="20"/>
          <w:szCs w:val="20"/>
          <w:color w:val="auto"/>
        </w:rPr>
      </w:pPr>
      <w:r>
        <w:rPr>
          <w:rFonts w:ascii="Arial" w:cs="Arial" w:eastAsia="Arial" w:hAnsi="Arial"/>
          <w:sz w:val="17"/>
          <w:szCs w:val="17"/>
          <w:color w:val="auto"/>
        </w:rPr>
        <w:t>there was a sale of such Shares on such exchange; or (ii) if the Shares are listed on Nasdaq, the last reported price per Share on Nasdaq on the last preceding date on which there was a sale of such Share on Nasdaq; or (iii) if the Shares are then traded in an over-the-counter market, the average of the closing bid and asked prices for the Shares in such over-the-counter market for the last preceding date on which there was a sale of such Shares in such market; (iv) if the Shares are not then listed on a securities exchange or market or traded in an over-the-counter market, such value as the Committee, in its sole discretion, shall determine, with full authority to determine the method for making such determination (which may be Black-Scholes model or any other method), and which determination shall be conclusive and binding on all parties, and shall be made after such consultations with outside legal, accounting and other experts as the Committee may deem advisable. The Committee may maintain a written record of its method of determining such value. If the Shares are listed or quoted on more than one established stock exchange or national market system, the Committee shall determine the appropriate exchange or system for the purpose of determination of Fair Market Value.</w:t>
      </w:r>
    </w:p>
    <w:p>
      <w:pPr>
        <w:spacing w:after="0" w:line="181" w:lineRule="exact"/>
        <w:rPr>
          <w:sz w:val="20"/>
          <w:szCs w:val="20"/>
          <w:color w:val="auto"/>
        </w:rPr>
      </w:pPr>
    </w:p>
    <w:p>
      <w:pPr>
        <w:jc w:val="both"/>
        <w:ind w:left="1580" w:right="119" w:hanging="647"/>
        <w:spacing w:after="0" w:line="282" w:lineRule="auto"/>
        <w:rPr>
          <w:sz w:val="20"/>
          <w:szCs w:val="20"/>
          <w:color w:val="auto"/>
        </w:rPr>
      </w:pPr>
      <w:r>
        <w:rPr>
          <w:rFonts w:ascii="Arial" w:cs="Arial" w:eastAsia="Arial" w:hAnsi="Arial"/>
          <w:sz w:val="18"/>
          <w:szCs w:val="18"/>
          <w:color w:val="auto"/>
        </w:rPr>
        <w:t>2.2.14. “</w:t>
      </w:r>
      <w:r>
        <w:rPr>
          <w:rFonts w:ascii="Arial" w:cs="Arial" w:eastAsia="Arial" w:hAnsi="Arial"/>
          <w:sz w:val="18"/>
          <w:szCs w:val="18"/>
          <w:b w:val="1"/>
          <w:bCs w:val="1"/>
          <w:color w:val="auto"/>
        </w:rPr>
        <w:t>Grantee</w:t>
      </w:r>
      <w:r>
        <w:rPr>
          <w:rFonts w:ascii="Arial" w:cs="Arial" w:eastAsia="Arial" w:hAnsi="Arial"/>
          <w:sz w:val="18"/>
          <w:szCs w:val="18"/>
          <w:color w:val="auto"/>
        </w:rPr>
        <w:t>” shall mean a person who receives a grant of Award under the Plan, and who at the time of grant is a Service Provider of the Company or any Affiliate thereof.</w:t>
      </w:r>
    </w:p>
    <w:p>
      <w:pPr>
        <w:spacing w:after="0" w:line="162" w:lineRule="exact"/>
        <w:rPr>
          <w:sz w:val="20"/>
          <w:szCs w:val="20"/>
          <w:color w:val="auto"/>
        </w:rPr>
      </w:pPr>
    </w:p>
    <w:p>
      <w:pPr>
        <w:jc w:val="both"/>
        <w:ind w:left="1580" w:right="119" w:hanging="647"/>
        <w:spacing w:after="0" w:line="282" w:lineRule="auto"/>
        <w:rPr>
          <w:sz w:val="20"/>
          <w:szCs w:val="20"/>
          <w:color w:val="auto"/>
        </w:rPr>
      </w:pPr>
      <w:r>
        <w:rPr>
          <w:rFonts w:ascii="Arial" w:cs="Arial" w:eastAsia="Arial" w:hAnsi="Arial"/>
          <w:sz w:val="18"/>
          <w:szCs w:val="18"/>
          <w:color w:val="auto"/>
        </w:rPr>
        <w:t>2.2.15. “</w:t>
      </w:r>
      <w:r>
        <w:rPr>
          <w:rFonts w:ascii="Arial" w:cs="Arial" w:eastAsia="Arial" w:hAnsi="Arial"/>
          <w:sz w:val="18"/>
          <w:szCs w:val="18"/>
          <w:b w:val="1"/>
          <w:bCs w:val="1"/>
          <w:color w:val="auto"/>
        </w:rPr>
        <w:t>Non-Employee</w:t>
      </w:r>
      <w:r>
        <w:rPr>
          <w:rFonts w:ascii="Arial" w:cs="Arial" w:eastAsia="Arial" w:hAnsi="Arial"/>
          <w:sz w:val="18"/>
          <w:szCs w:val="18"/>
          <w:color w:val="auto"/>
        </w:rPr>
        <w:t>” shall mean a consultant, adviser, service provider, Controlling Shareholder or any other person who is not an Employee.</w:t>
      </w:r>
    </w:p>
    <w:p>
      <w:pPr>
        <w:spacing w:after="0" w:line="162"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2.2.16.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shall mean any Option granted to Service Provider who is deemed to be residents of the U.S. for purposes of taxation, which Option is not designated as, or does not meet the conditions for, an Incentive Stock Option.</w:t>
      </w:r>
    </w:p>
    <w:p>
      <w:pPr>
        <w:spacing w:after="0" w:line="176"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2.2.17. “</w:t>
      </w:r>
      <w:r>
        <w:rPr>
          <w:rFonts w:ascii="Arial" w:cs="Arial" w:eastAsia="Arial" w:hAnsi="Arial"/>
          <w:sz w:val="18"/>
          <w:szCs w:val="18"/>
          <w:b w:val="1"/>
          <w:bCs w:val="1"/>
          <w:color w:val="auto"/>
        </w:rPr>
        <w:t>Options</w:t>
      </w:r>
      <w:r>
        <w:rPr>
          <w:rFonts w:ascii="Arial" w:cs="Arial" w:eastAsia="Arial" w:hAnsi="Arial"/>
          <w:sz w:val="18"/>
          <w:szCs w:val="18"/>
          <w:color w:val="auto"/>
        </w:rPr>
        <w:t>” shall mean all options to purchase Shares granted as 102 Awards, 3(9) Awards, Incentive Stock Options and Non-Qualified Stock Options, as well as options to purchase Shares issued under other tax regimes.</w:t>
      </w:r>
    </w:p>
    <w:p>
      <w:pPr>
        <w:spacing w:after="0" w:line="176" w:lineRule="exact"/>
        <w:rPr>
          <w:sz w:val="20"/>
          <w:szCs w:val="20"/>
          <w:color w:val="auto"/>
        </w:rPr>
      </w:pPr>
    </w:p>
    <w:p>
      <w:pPr>
        <w:jc w:val="both"/>
        <w:ind w:left="1580" w:right="119" w:hanging="647"/>
        <w:spacing w:after="0" w:line="282" w:lineRule="auto"/>
        <w:rPr>
          <w:sz w:val="20"/>
          <w:szCs w:val="20"/>
          <w:color w:val="auto"/>
        </w:rPr>
      </w:pPr>
      <w:r>
        <w:rPr>
          <w:rFonts w:ascii="Arial" w:cs="Arial" w:eastAsia="Arial" w:hAnsi="Arial"/>
          <w:sz w:val="18"/>
          <w:szCs w:val="18"/>
          <w:color w:val="auto"/>
        </w:rPr>
        <w:t>2.2.18. “</w:t>
      </w:r>
      <w:r>
        <w:rPr>
          <w:rFonts w:ascii="Arial" w:cs="Arial" w:eastAsia="Arial" w:hAnsi="Arial"/>
          <w:sz w:val="18"/>
          <w:szCs w:val="18"/>
          <w:b w:val="1"/>
          <w:bCs w:val="1"/>
          <w:color w:val="auto"/>
        </w:rPr>
        <w:t>Ordinance</w:t>
      </w:r>
      <w:r>
        <w:rPr>
          <w:rFonts w:ascii="Arial" w:cs="Arial" w:eastAsia="Arial" w:hAnsi="Arial"/>
          <w:sz w:val="18"/>
          <w:szCs w:val="18"/>
          <w:color w:val="auto"/>
        </w:rPr>
        <w:t>” shall mean the Israeli Income Tax Ordinance (New Version) 1961, and the regulations promulgated thereunder, all as amended from time to time.</w:t>
      </w:r>
    </w:p>
    <w:p>
      <w:pPr>
        <w:spacing w:after="0" w:line="162" w:lineRule="exact"/>
        <w:rPr>
          <w:sz w:val="20"/>
          <w:szCs w:val="20"/>
          <w:color w:val="auto"/>
        </w:rPr>
      </w:pPr>
    </w:p>
    <w:p>
      <w:pPr>
        <w:jc w:val="both"/>
        <w:ind w:left="1580" w:right="119" w:hanging="647"/>
        <w:spacing w:after="0" w:line="277" w:lineRule="auto"/>
        <w:tabs>
          <w:tab w:leader="none" w:pos="156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shall mean any company (other than the Company), which now exists or is hereafter organized, (i)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if applicable, (ii) as defined in Section 424(e) of the Code.</w:t>
      </w:r>
    </w:p>
    <w:p>
      <w:pPr>
        <w:spacing w:after="0" w:line="168"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2.2.20. “</w:t>
      </w:r>
      <w:r>
        <w:rPr>
          <w:rFonts w:ascii="Arial" w:cs="Arial" w:eastAsia="Arial" w:hAnsi="Arial"/>
          <w:sz w:val="18"/>
          <w:szCs w:val="18"/>
          <w:b w:val="1"/>
          <w:bCs w:val="1"/>
          <w:color w:val="auto"/>
        </w:rPr>
        <w:t>Retirement</w:t>
      </w:r>
      <w:r>
        <w:rPr>
          <w:rFonts w:ascii="Arial" w:cs="Arial" w:eastAsia="Arial" w:hAnsi="Arial"/>
          <w:sz w:val="18"/>
          <w:szCs w:val="18"/>
          <w:color w:val="auto"/>
        </w:rPr>
        <w:t>” shall mean a Grantee’s retirement pursuant to applicable law or in accordance with the terms of any tax-qualified retirement plan maintained by the Company or any of its affiliates in which the Grantee participates.</w:t>
      </w:r>
    </w:p>
    <w:p>
      <w:pPr>
        <w:spacing w:after="0" w:line="1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2.2.21. “</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Securities Act of 1933, as amended.</w:t>
      </w:r>
    </w:p>
    <w:p>
      <w:pPr>
        <w:spacing w:after="0" w:line="225" w:lineRule="exact"/>
        <w:rPr>
          <w:sz w:val="20"/>
          <w:szCs w:val="20"/>
          <w:color w:val="auto"/>
        </w:rPr>
      </w:pPr>
    </w:p>
    <w:p>
      <w:pPr>
        <w:jc w:val="both"/>
        <w:ind w:left="1580" w:right="119" w:hanging="647"/>
        <w:spacing w:after="0" w:line="347" w:lineRule="auto"/>
        <w:rPr>
          <w:sz w:val="20"/>
          <w:szCs w:val="20"/>
          <w:color w:val="auto"/>
        </w:rPr>
      </w:pPr>
      <w:r>
        <w:rPr>
          <w:rFonts w:ascii="Arial" w:cs="Arial" w:eastAsia="Arial" w:hAnsi="Arial"/>
          <w:sz w:val="16"/>
          <w:szCs w:val="16"/>
          <w:color w:val="auto"/>
        </w:rPr>
        <w:t>2.2.22. “</w:t>
      </w:r>
      <w:r>
        <w:rPr>
          <w:rFonts w:ascii="Arial" w:cs="Arial" w:eastAsia="Arial" w:hAnsi="Arial"/>
          <w:sz w:val="16"/>
          <w:szCs w:val="16"/>
          <w:b w:val="1"/>
          <w:bCs w:val="1"/>
          <w:color w:val="auto"/>
        </w:rPr>
        <w:t>Shares</w:t>
      </w:r>
      <w:r>
        <w:rPr>
          <w:rFonts w:ascii="Arial" w:cs="Arial" w:eastAsia="Arial" w:hAnsi="Arial"/>
          <w:sz w:val="16"/>
          <w:szCs w:val="16"/>
          <w:color w:val="auto"/>
        </w:rPr>
        <w:t>” shall mean Ordinary Shares, par value NIS 0.01 of the Company, or shares of such other class of shares of the Company as shall be designated by the Board in respect of the relevant Award.</w:t>
      </w:r>
    </w:p>
    <w:p>
      <w:pPr>
        <w:spacing w:after="0" w:line="116" w:lineRule="exact"/>
        <w:rPr>
          <w:sz w:val="20"/>
          <w:szCs w:val="20"/>
          <w:color w:val="auto"/>
        </w:rPr>
      </w:pPr>
    </w:p>
    <w:p>
      <w:pPr>
        <w:jc w:val="both"/>
        <w:ind w:left="1580" w:right="119" w:hanging="647"/>
        <w:spacing w:after="0" w:line="256" w:lineRule="auto"/>
        <w:rPr>
          <w:sz w:val="20"/>
          <w:szCs w:val="20"/>
          <w:color w:val="auto"/>
        </w:rPr>
      </w:pPr>
      <w:r>
        <w:rPr>
          <w:rFonts w:ascii="Arial" w:cs="Arial" w:eastAsia="Arial" w:hAnsi="Arial"/>
          <w:sz w:val="18"/>
          <w:szCs w:val="18"/>
          <w:color w:val="auto"/>
        </w:rPr>
        <w:t>2.2.23. “</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company (other than the Company), which now exists or is hereafter organized or acquired by the Company, (i)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if applicable, (ii) as defined in Section 424(f) of the Code.</w:t>
      </w:r>
    </w:p>
    <w:p>
      <w:pPr>
        <w:spacing w:after="0" w:line="188" w:lineRule="exact"/>
        <w:rPr>
          <w:sz w:val="20"/>
          <w:szCs w:val="20"/>
          <w:color w:val="auto"/>
        </w:rPr>
      </w:pPr>
    </w:p>
    <w:p>
      <w:pPr>
        <w:jc w:val="both"/>
        <w:ind w:left="1580" w:right="119" w:hanging="647"/>
        <w:spacing w:after="0" w:line="289" w:lineRule="auto"/>
        <w:rPr>
          <w:sz w:val="20"/>
          <w:szCs w:val="20"/>
          <w:color w:val="auto"/>
        </w:rPr>
      </w:pPr>
      <w:r>
        <w:rPr>
          <w:rFonts w:ascii="Arial" w:cs="Arial" w:eastAsia="Arial" w:hAnsi="Arial"/>
          <w:sz w:val="17"/>
          <w:szCs w:val="17"/>
          <w:color w:val="auto"/>
        </w:rPr>
        <w:t>2.2.24. “</w:t>
      </w:r>
      <w:r>
        <w:rPr>
          <w:rFonts w:ascii="Arial" w:cs="Arial" w:eastAsia="Arial" w:hAnsi="Arial"/>
          <w:sz w:val="17"/>
          <w:szCs w:val="17"/>
          <w:b w:val="1"/>
          <w:bCs w:val="1"/>
          <w:color w:val="auto"/>
        </w:rPr>
        <w:t>Ten Percent Shareholder</w:t>
      </w:r>
      <w:r>
        <w:rPr>
          <w:rFonts w:ascii="Arial" w:cs="Arial" w:eastAsia="Arial" w:hAnsi="Arial"/>
          <w:sz w:val="17"/>
          <w:szCs w:val="17"/>
          <w:color w:val="auto"/>
        </w:rPr>
        <w:t>” shall mean a Grantee who, at the time an Incentive Stock Option is granted, owns shares possessing more than ten percent (10%) of the total combined voting power of all classes of shares of the Company or any Parent or Subsidiary.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03" w:name="page204"/>
    <w:bookmarkEnd w:id="203"/>
    <w:p>
      <w:pPr>
        <w:jc w:val="both"/>
        <w:ind w:left="1580" w:right="119" w:hanging="647"/>
        <w:spacing w:after="0" w:line="266" w:lineRule="auto"/>
        <w:rPr>
          <w:sz w:val="20"/>
          <w:szCs w:val="20"/>
          <w:color w:val="auto"/>
        </w:rPr>
      </w:pPr>
      <w:r>
        <w:rPr>
          <w:rFonts w:ascii="Arial" w:cs="Arial" w:eastAsia="Arial" w:hAnsi="Arial"/>
          <w:sz w:val="18"/>
          <w:szCs w:val="18"/>
          <w:color w:val="auto"/>
        </w:rPr>
        <w:t>2.2.25. “</w:t>
      </w:r>
      <w:r>
        <w:rPr>
          <w:rFonts w:ascii="Arial" w:cs="Arial" w:eastAsia="Arial" w:hAnsi="Arial"/>
          <w:sz w:val="18"/>
          <w:szCs w:val="18"/>
          <w:b w:val="1"/>
          <w:bCs w:val="1"/>
          <w:color w:val="auto"/>
        </w:rPr>
        <w:t>Trustee</w:t>
      </w:r>
      <w:r>
        <w:rPr>
          <w:rFonts w:ascii="Arial" w:cs="Arial" w:eastAsia="Arial" w:hAnsi="Arial"/>
          <w:sz w:val="18"/>
          <w:szCs w:val="18"/>
          <w:color w:val="auto"/>
        </w:rPr>
        <w:t>” shall mean the trustee appointed by the Committee or the Board, as the case may be, to hold the respective Options and/or Shares (and, in relation with 102 Awards, approved by the Israeli tax authorities), if so appointed.</w:t>
      </w:r>
    </w:p>
    <w:p>
      <w:pPr>
        <w:spacing w:after="0" w:line="180" w:lineRule="exact"/>
        <w:rPr>
          <w:sz w:val="20"/>
          <w:szCs w:val="20"/>
          <w:color w:val="auto"/>
        </w:rPr>
      </w:pPr>
    </w:p>
    <w:p>
      <w:pPr>
        <w:ind w:left="940" w:right="119" w:hanging="377"/>
        <w:spacing w:after="0" w:line="25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Other Defined Terms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following terms shall have the meanings ascribed to them in the Sections set forth below:</w:t>
      </w:r>
    </w:p>
    <w:p>
      <w:pPr>
        <w:spacing w:after="0" w:line="200" w:lineRule="exact"/>
        <w:rPr>
          <w:sz w:val="20"/>
          <w:szCs w:val="20"/>
          <w:color w:val="auto"/>
        </w:rPr>
      </w:pP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1460" w:type="dxa"/>
            <w:vAlign w:val="bottom"/>
          </w:tcPr>
          <w:p>
            <w:pPr>
              <w:ind w:left="900"/>
              <w:spacing w:after="0"/>
              <w:rPr>
                <w:sz w:val="20"/>
                <w:szCs w:val="20"/>
                <w:color w:val="auto"/>
              </w:rPr>
            </w:pPr>
            <w:r>
              <w:rPr>
                <w:rFonts w:ascii="Arial" w:cs="Arial" w:eastAsia="Arial" w:hAnsi="Arial"/>
                <w:sz w:val="18"/>
                <w:szCs w:val="18"/>
                <w:b w:val="1"/>
                <w:bCs w:val="1"/>
                <w:color w:val="auto"/>
                <w:w w:val="82"/>
              </w:rPr>
              <w:t>Section</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Awards</w:t>
            </w:r>
          </w:p>
        </w:tc>
        <w:tc>
          <w:tcPr>
            <w:tcW w:w="1460" w:type="dxa"/>
            <w:vAlign w:val="bottom"/>
          </w:tcPr>
          <w:p>
            <w:pPr>
              <w:ind w:left="900"/>
              <w:spacing w:after="0"/>
              <w:rPr>
                <w:sz w:val="20"/>
                <w:szCs w:val="20"/>
                <w:color w:val="auto"/>
              </w:rPr>
            </w:pPr>
            <w:r>
              <w:rPr>
                <w:rFonts w:ascii="Arial" w:cs="Arial" w:eastAsia="Arial" w:hAnsi="Arial"/>
                <w:sz w:val="18"/>
                <w:szCs w:val="18"/>
                <w:color w:val="auto"/>
              </w:rPr>
              <w:t>1.2(i)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Capital Gains Track Options</w:t>
            </w:r>
          </w:p>
        </w:tc>
        <w:tc>
          <w:tcPr>
            <w:tcW w:w="1460" w:type="dxa"/>
            <w:vAlign w:val="bottom"/>
          </w:tcPr>
          <w:p>
            <w:pPr>
              <w:ind w:left="900"/>
              <w:spacing w:after="0"/>
              <w:rPr>
                <w:sz w:val="20"/>
                <w:szCs w:val="20"/>
                <w:color w:val="auto"/>
              </w:rPr>
            </w:pPr>
            <w:r>
              <w:rPr>
                <w:rFonts w:ascii="Arial" w:cs="Arial" w:eastAsia="Arial" w:hAnsi="Arial"/>
                <w:sz w:val="18"/>
                <w:szCs w:val="18"/>
                <w:color w:val="auto"/>
              </w:rPr>
              <w:t>9.1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Non-Trustee Options</w:t>
            </w:r>
          </w:p>
        </w:tc>
        <w:tc>
          <w:tcPr>
            <w:tcW w:w="1460" w:type="dxa"/>
            <w:vAlign w:val="bottom"/>
          </w:tcPr>
          <w:p>
            <w:pPr>
              <w:ind w:left="900"/>
              <w:spacing w:after="0"/>
              <w:rPr>
                <w:sz w:val="20"/>
                <w:szCs w:val="20"/>
                <w:color w:val="auto"/>
              </w:rPr>
            </w:pPr>
            <w:r>
              <w:rPr>
                <w:rFonts w:ascii="Arial" w:cs="Arial" w:eastAsia="Arial" w:hAnsi="Arial"/>
                <w:sz w:val="18"/>
                <w:szCs w:val="18"/>
                <w:color w:val="auto"/>
              </w:rPr>
              <w:t>9.2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Ordinary Income Track Options</w:t>
            </w:r>
          </w:p>
        </w:tc>
        <w:tc>
          <w:tcPr>
            <w:tcW w:w="1460" w:type="dxa"/>
            <w:vAlign w:val="bottom"/>
          </w:tcPr>
          <w:p>
            <w:pPr>
              <w:ind w:left="900"/>
              <w:spacing w:after="0"/>
              <w:rPr>
                <w:sz w:val="20"/>
                <w:szCs w:val="20"/>
                <w:color w:val="auto"/>
              </w:rPr>
            </w:pPr>
            <w:r>
              <w:rPr>
                <w:rFonts w:ascii="Arial" w:cs="Arial" w:eastAsia="Arial" w:hAnsi="Arial"/>
                <w:sz w:val="18"/>
                <w:szCs w:val="18"/>
                <w:color w:val="auto"/>
              </w:rPr>
              <w:t>9.1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Trustee Options</w:t>
            </w:r>
          </w:p>
        </w:tc>
        <w:tc>
          <w:tcPr>
            <w:tcW w:w="1460" w:type="dxa"/>
            <w:vAlign w:val="bottom"/>
          </w:tcPr>
          <w:p>
            <w:pPr>
              <w:ind w:left="900"/>
              <w:spacing w:after="0"/>
              <w:rPr>
                <w:sz w:val="20"/>
                <w:szCs w:val="20"/>
                <w:color w:val="auto"/>
              </w:rPr>
            </w:pPr>
            <w:r>
              <w:rPr>
                <w:rFonts w:ascii="Arial" w:cs="Arial" w:eastAsia="Arial" w:hAnsi="Arial"/>
                <w:sz w:val="18"/>
                <w:szCs w:val="18"/>
                <w:color w:val="auto"/>
              </w:rPr>
              <w:t>9.1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3(9) Awards</w:t>
            </w:r>
          </w:p>
        </w:tc>
        <w:tc>
          <w:tcPr>
            <w:tcW w:w="1460" w:type="dxa"/>
            <w:vAlign w:val="bottom"/>
          </w:tcPr>
          <w:p>
            <w:pPr>
              <w:ind w:left="900"/>
              <w:spacing w:after="0"/>
              <w:rPr>
                <w:sz w:val="20"/>
                <w:szCs w:val="20"/>
                <w:color w:val="auto"/>
              </w:rPr>
            </w:pPr>
            <w:r>
              <w:rPr>
                <w:rFonts w:ascii="Arial" w:cs="Arial" w:eastAsia="Arial" w:hAnsi="Arial"/>
                <w:sz w:val="18"/>
                <w:szCs w:val="18"/>
                <w:color w:val="auto"/>
              </w:rPr>
              <w:t>1.2(ii)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Cause</w:t>
            </w:r>
          </w:p>
        </w:tc>
        <w:tc>
          <w:tcPr>
            <w:tcW w:w="1460" w:type="dxa"/>
            <w:vAlign w:val="bottom"/>
          </w:tcPr>
          <w:p>
            <w:pPr>
              <w:ind w:left="900"/>
              <w:spacing w:after="0"/>
              <w:rPr>
                <w:sz w:val="20"/>
                <w:szCs w:val="20"/>
                <w:color w:val="auto"/>
              </w:rPr>
            </w:pPr>
            <w:r>
              <w:rPr>
                <w:rFonts w:ascii="Arial" w:cs="Arial" w:eastAsia="Arial" w:hAnsi="Arial"/>
                <w:sz w:val="18"/>
                <w:szCs w:val="18"/>
                <w:color w:val="auto"/>
              </w:rPr>
              <w:t>6.6.3</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Company</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Effective Date</w:t>
            </w:r>
          </w:p>
        </w:tc>
        <w:tc>
          <w:tcPr>
            <w:tcW w:w="1460" w:type="dxa"/>
            <w:vAlign w:val="bottom"/>
          </w:tcPr>
          <w:p>
            <w:pPr>
              <w:ind w:left="900"/>
              <w:spacing w:after="0"/>
              <w:rPr>
                <w:sz w:val="20"/>
                <w:szCs w:val="20"/>
                <w:color w:val="auto"/>
              </w:rPr>
            </w:pPr>
            <w:r>
              <w:rPr>
                <w:rFonts w:ascii="Arial" w:cs="Arial" w:eastAsia="Arial" w:hAnsi="Arial"/>
                <w:sz w:val="18"/>
                <w:szCs w:val="18"/>
                <w:color w:val="auto"/>
              </w:rPr>
              <w:t>25.1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Election</w:t>
            </w:r>
          </w:p>
        </w:tc>
        <w:tc>
          <w:tcPr>
            <w:tcW w:w="1460" w:type="dxa"/>
            <w:vAlign w:val="bottom"/>
          </w:tcPr>
          <w:p>
            <w:pPr>
              <w:ind w:left="900"/>
              <w:spacing w:after="0"/>
              <w:rPr>
                <w:sz w:val="20"/>
                <w:szCs w:val="20"/>
                <w:color w:val="auto"/>
              </w:rPr>
            </w:pPr>
            <w:r>
              <w:rPr>
                <w:rFonts w:ascii="Arial" w:cs="Arial" w:eastAsia="Arial" w:hAnsi="Arial"/>
                <w:sz w:val="18"/>
                <w:szCs w:val="18"/>
                <w:color w:val="auto"/>
              </w:rPr>
              <w:t>9.2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Eligible 102 Grantees</w:t>
            </w:r>
          </w:p>
        </w:tc>
        <w:tc>
          <w:tcPr>
            <w:tcW w:w="1460" w:type="dxa"/>
            <w:vAlign w:val="bottom"/>
          </w:tcPr>
          <w:p>
            <w:pPr>
              <w:ind w:left="900"/>
              <w:spacing w:after="0"/>
              <w:rPr>
                <w:sz w:val="20"/>
                <w:szCs w:val="20"/>
                <w:color w:val="auto"/>
              </w:rPr>
            </w:pPr>
            <w:r>
              <w:rPr>
                <w:rFonts w:ascii="Arial" w:cs="Arial" w:eastAsia="Arial" w:hAnsi="Arial"/>
                <w:sz w:val="18"/>
                <w:szCs w:val="18"/>
                <w:color w:val="auto"/>
              </w:rPr>
              <w:t>4.2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ISO Shares</w:t>
            </w:r>
          </w:p>
        </w:tc>
        <w:tc>
          <w:tcPr>
            <w:tcW w:w="1460" w:type="dxa"/>
            <w:vAlign w:val="bottom"/>
          </w:tcPr>
          <w:p>
            <w:pPr>
              <w:ind w:left="900"/>
              <w:spacing w:after="0"/>
              <w:rPr>
                <w:sz w:val="20"/>
                <w:szCs w:val="20"/>
                <w:color w:val="auto"/>
              </w:rPr>
            </w:pPr>
            <w:r>
              <w:rPr>
                <w:rFonts w:ascii="Arial" w:cs="Arial" w:eastAsia="Arial" w:hAnsi="Arial"/>
                <w:sz w:val="18"/>
                <w:szCs w:val="18"/>
                <w:color w:val="auto"/>
              </w:rPr>
              <w:t>8.3</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ITA</w:t>
            </w:r>
          </w:p>
        </w:tc>
        <w:tc>
          <w:tcPr>
            <w:tcW w:w="1460" w:type="dxa"/>
            <w:vAlign w:val="bottom"/>
          </w:tcPr>
          <w:p>
            <w:pPr>
              <w:ind w:left="900"/>
              <w:spacing w:after="0"/>
              <w:rPr>
                <w:sz w:val="20"/>
                <w:szCs w:val="20"/>
                <w:color w:val="auto"/>
              </w:rPr>
            </w:pPr>
            <w:r>
              <w:rPr>
                <w:rFonts w:ascii="Arial" w:cs="Arial" w:eastAsia="Arial" w:hAnsi="Arial"/>
                <w:sz w:val="18"/>
                <w:szCs w:val="18"/>
                <w:color w:val="auto"/>
              </w:rPr>
              <w:t>1.2(i)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Market Stand-Off</w:t>
            </w:r>
          </w:p>
        </w:tc>
        <w:tc>
          <w:tcPr>
            <w:tcW w:w="1460" w:type="dxa"/>
            <w:vAlign w:val="bottom"/>
          </w:tcPr>
          <w:p>
            <w:pPr>
              <w:ind w:left="900"/>
              <w:spacing w:after="0"/>
              <w:rPr>
                <w:sz w:val="20"/>
                <w:szCs w:val="20"/>
                <w:color w:val="auto"/>
              </w:rPr>
            </w:pPr>
            <w:r>
              <w:rPr>
                <w:rFonts w:ascii="Arial" w:cs="Arial" w:eastAsia="Arial" w:hAnsi="Arial"/>
                <w:sz w:val="18"/>
                <w:szCs w:val="18"/>
                <w:color w:val="auto"/>
              </w:rPr>
              <w:t>17</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Merger/Sale</w:t>
            </w:r>
          </w:p>
        </w:tc>
        <w:tc>
          <w:tcPr>
            <w:tcW w:w="1460" w:type="dxa"/>
            <w:vAlign w:val="bottom"/>
          </w:tcPr>
          <w:p>
            <w:pPr>
              <w:ind w:left="900"/>
              <w:spacing w:after="0"/>
              <w:rPr>
                <w:sz w:val="20"/>
                <w:szCs w:val="20"/>
                <w:color w:val="auto"/>
              </w:rPr>
            </w:pPr>
            <w:r>
              <w:rPr>
                <w:rFonts w:ascii="Arial" w:cs="Arial" w:eastAsia="Arial" w:hAnsi="Arial"/>
                <w:sz w:val="18"/>
                <w:szCs w:val="18"/>
                <w:color w:val="auto"/>
              </w:rPr>
              <w:t>14.2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Option Agreement</w:t>
            </w:r>
          </w:p>
        </w:tc>
        <w:tc>
          <w:tcPr>
            <w:tcW w:w="1460" w:type="dxa"/>
            <w:vAlign w:val="bottom"/>
          </w:tcPr>
          <w:p>
            <w:pPr>
              <w:ind w:left="900"/>
              <w:spacing w:after="0"/>
              <w:rPr>
                <w:sz w:val="20"/>
                <w:szCs w:val="20"/>
                <w:color w:val="auto"/>
              </w:rPr>
            </w:pPr>
            <w:r>
              <w:rPr>
                <w:rFonts w:ascii="Arial" w:cs="Arial" w:eastAsia="Arial" w:hAnsi="Arial"/>
                <w:sz w:val="18"/>
                <w:szCs w:val="18"/>
                <w:color w:val="auto"/>
              </w:rPr>
              <w:t>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Plan</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Required Holding Period</w:t>
            </w:r>
          </w:p>
        </w:tc>
        <w:tc>
          <w:tcPr>
            <w:tcW w:w="1460" w:type="dxa"/>
            <w:vAlign w:val="bottom"/>
          </w:tcPr>
          <w:p>
            <w:pPr>
              <w:ind w:left="900"/>
              <w:spacing w:after="0"/>
              <w:rPr>
                <w:sz w:val="20"/>
                <w:szCs w:val="20"/>
                <w:color w:val="auto"/>
              </w:rPr>
            </w:pPr>
            <w:r>
              <w:rPr>
                <w:rFonts w:ascii="Arial" w:cs="Arial" w:eastAsia="Arial" w:hAnsi="Arial"/>
                <w:sz w:val="18"/>
                <w:szCs w:val="18"/>
                <w:color w:val="auto"/>
              </w:rPr>
              <w:t>9.4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Restricted Period</w:t>
            </w:r>
          </w:p>
        </w:tc>
        <w:tc>
          <w:tcPr>
            <w:tcW w:w="1460" w:type="dxa"/>
            <w:vAlign w:val="bottom"/>
          </w:tcPr>
          <w:p>
            <w:pPr>
              <w:ind w:left="900"/>
              <w:spacing w:after="0"/>
              <w:rPr>
                <w:sz w:val="20"/>
                <w:szCs w:val="20"/>
                <w:color w:val="auto"/>
              </w:rPr>
            </w:pPr>
            <w:r>
              <w:rPr>
                <w:rFonts w:ascii="Arial" w:cs="Arial" w:eastAsia="Arial" w:hAnsi="Arial"/>
                <w:sz w:val="18"/>
                <w:szCs w:val="18"/>
                <w:color w:val="auto"/>
              </w:rPr>
              <w:t>11.4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Restricted Share Agreement</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Restricted Share Unit Agreement</w:t>
            </w:r>
          </w:p>
        </w:tc>
        <w:tc>
          <w:tcPr>
            <w:tcW w:w="1460" w:type="dxa"/>
            <w:vAlign w:val="bottom"/>
          </w:tcPr>
          <w:p>
            <w:pPr>
              <w:ind w:left="900"/>
              <w:spacing w:after="0"/>
              <w:rPr>
                <w:sz w:val="20"/>
                <w:szCs w:val="20"/>
                <w:color w:val="auto"/>
              </w:rPr>
            </w:pPr>
            <w:r>
              <w:rPr>
                <w:rFonts w:ascii="Arial" w:cs="Arial" w:eastAsia="Arial" w:hAnsi="Arial"/>
                <w:sz w:val="18"/>
                <w:szCs w:val="18"/>
                <w:color w:val="auto"/>
              </w:rPr>
              <w:t>12.1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Restricted Shares</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RSU</w:t>
            </w:r>
          </w:p>
        </w:tc>
        <w:tc>
          <w:tcPr>
            <w:tcW w:w="1460" w:type="dxa"/>
            <w:vAlign w:val="bottom"/>
          </w:tcPr>
          <w:p>
            <w:pPr>
              <w:ind w:left="900"/>
              <w:spacing w:after="0"/>
              <w:rPr>
                <w:sz w:val="20"/>
                <w:szCs w:val="20"/>
                <w:color w:val="auto"/>
              </w:rPr>
            </w:pPr>
            <w:r>
              <w:rPr>
                <w:rFonts w:ascii="Arial" w:cs="Arial" w:eastAsia="Arial" w:hAnsi="Arial"/>
                <w:sz w:val="18"/>
                <w:szCs w:val="18"/>
                <w:color w:val="auto"/>
              </w:rPr>
              <w:t>12.1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Rules</w:t>
            </w:r>
          </w:p>
        </w:tc>
        <w:tc>
          <w:tcPr>
            <w:tcW w:w="1460" w:type="dxa"/>
            <w:vAlign w:val="bottom"/>
          </w:tcPr>
          <w:p>
            <w:pPr>
              <w:ind w:left="900"/>
              <w:spacing w:after="0"/>
              <w:rPr>
                <w:sz w:val="20"/>
                <w:szCs w:val="20"/>
                <w:color w:val="auto"/>
              </w:rPr>
            </w:pPr>
            <w:r>
              <w:rPr>
                <w:rFonts w:ascii="Arial" w:cs="Arial" w:eastAsia="Arial" w:hAnsi="Arial"/>
                <w:sz w:val="18"/>
                <w:szCs w:val="18"/>
                <w:color w:val="auto"/>
              </w:rPr>
              <w:t>1.2(i)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Service Provider(s)</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Successor Corporation</w:t>
            </w:r>
          </w:p>
        </w:tc>
        <w:tc>
          <w:tcPr>
            <w:tcW w:w="1460" w:type="dxa"/>
            <w:vAlign w:val="bottom"/>
          </w:tcPr>
          <w:p>
            <w:pPr>
              <w:ind w:left="900"/>
              <w:spacing w:after="0"/>
              <w:rPr>
                <w:sz w:val="20"/>
                <w:szCs w:val="20"/>
                <w:color w:val="auto"/>
              </w:rPr>
            </w:pPr>
            <w:r>
              <w:rPr>
                <w:rFonts w:ascii="Arial" w:cs="Arial" w:eastAsia="Arial" w:hAnsi="Arial"/>
                <w:sz w:val="18"/>
                <w:szCs w:val="18"/>
                <w:color w:val="auto"/>
              </w:rPr>
              <w:t>14.2.1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Withholding Obligations</w:t>
            </w:r>
          </w:p>
        </w:tc>
        <w:tc>
          <w:tcPr>
            <w:tcW w:w="1460" w:type="dxa"/>
            <w:vAlign w:val="bottom"/>
          </w:tcPr>
          <w:p>
            <w:pPr>
              <w:ind w:left="900"/>
              <w:spacing w:after="0"/>
              <w:rPr>
                <w:sz w:val="20"/>
                <w:szCs w:val="20"/>
                <w:color w:val="auto"/>
              </w:rPr>
            </w:pPr>
            <w:r>
              <w:rPr>
                <w:rFonts w:ascii="Arial" w:cs="Arial" w:eastAsia="Arial" w:hAnsi="Arial"/>
                <w:sz w:val="18"/>
                <w:szCs w:val="18"/>
                <w:color w:val="auto"/>
              </w:rPr>
              <w:t>18.3</w:t>
            </w:r>
          </w:p>
        </w:tc>
      </w:tr>
    </w:tbl>
    <w:p>
      <w:pPr>
        <w:spacing w:after="0" w:line="175" w:lineRule="exact"/>
        <w:rPr>
          <w:sz w:val="20"/>
          <w:szCs w:val="20"/>
          <w:color w:val="auto"/>
        </w:rPr>
      </w:pPr>
    </w:p>
    <w:p>
      <w:pPr>
        <w:ind w:left="560" w:hanging="435"/>
        <w:spacing w:after="0"/>
        <w:tabs>
          <w:tab w:leader="none" w:pos="560" w:val="left"/>
        </w:tabs>
        <w:numPr>
          <w:ilvl w:val="0"/>
          <w:numId w:val="262"/>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940" w:right="119" w:hanging="377"/>
        <w:spacing w:after="0" w:line="273" w:lineRule="auto"/>
        <w:rPr>
          <w:sz w:val="20"/>
          <w:szCs w:val="20"/>
          <w:color w:val="auto"/>
        </w:rPr>
      </w:pPr>
      <w:r>
        <w:rPr>
          <w:rFonts w:ascii="Arial" w:cs="Arial" w:eastAsia="Arial" w:hAnsi="Arial"/>
          <w:sz w:val="17"/>
          <w:szCs w:val="17"/>
          <w:color w:val="auto"/>
        </w:rPr>
        <w:t>3.1. To the extent permitted under Applicable Law and the Memorandum of Association, Articles of Association and any other governing document of the Company, the Plan shall be administered by the Committee. In the event that the Board does not create a committee to administer the Plan, the Plan shall be administered by the Board in its entirety. In the event that an action necessary for the administration of the Plan is required under law to be taken by the Board, then such action shall be so taken by the Board. In any such event, all references herein to the Committee shall be construed as references to the Board.</w:t>
      </w:r>
    </w:p>
    <w:p>
      <w:pPr>
        <w:spacing w:after="0" w:line="178" w:lineRule="exact"/>
        <w:rPr>
          <w:sz w:val="20"/>
          <w:szCs w:val="20"/>
          <w:color w:val="auto"/>
        </w:rPr>
      </w:pPr>
    </w:p>
    <w:p>
      <w:pPr>
        <w:jc w:val="both"/>
        <w:ind w:left="940" w:right="119" w:hanging="377"/>
        <w:spacing w:after="0" w:line="271" w:lineRule="auto"/>
        <w:rPr>
          <w:sz w:val="20"/>
          <w:szCs w:val="20"/>
          <w:color w:val="auto"/>
        </w:rPr>
      </w:pPr>
      <w:r>
        <w:rPr>
          <w:rFonts w:ascii="Arial" w:cs="Arial" w:eastAsia="Arial" w:hAnsi="Arial"/>
          <w:sz w:val="17"/>
          <w:szCs w:val="17"/>
          <w:color w:val="auto"/>
        </w:rPr>
        <w:t>3.2. The Committee shall consist of two or more directors of the Company, as determined by the Board. The Board shall appoint the members of the Committee, may from time to time remove members from, or add members to, the Committee, and shall fill vacancies in the Committee however caused, provided that the composition of the Committee shall at all times be in compliance with any mandatory requirements of Applicable Law.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requirements of Applicable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4" w:name="page205"/>
    <w:bookmarkEnd w:id="204"/>
    <w:p>
      <w:pPr>
        <w:jc w:val="both"/>
        <w:ind w:left="940" w:right="119" w:hanging="377"/>
        <w:spacing w:after="0" w:line="302" w:lineRule="auto"/>
        <w:rPr>
          <w:sz w:val="20"/>
          <w:szCs w:val="20"/>
          <w:color w:val="auto"/>
        </w:rPr>
      </w:pPr>
      <w:r>
        <w:rPr>
          <w:rFonts w:ascii="Arial" w:cs="Arial" w:eastAsia="Arial" w:hAnsi="Arial"/>
          <w:sz w:val="16"/>
          <w:szCs w:val="16"/>
          <w:color w:val="auto"/>
        </w:rPr>
        <w:t>3.3. Subject to the terms and conditions of this Plan and any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141" w:lineRule="exact"/>
        <w:rPr>
          <w:sz w:val="20"/>
          <w:szCs w:val="20"/>
          <w:color w:val="auto"/>
        </w:rPr>
      </w:pPr>
    </w:p>
    <w:p>
      <w:pPr>
        <w:ind w:left="1420" w:hanging="485"/>
        <w:spacing w:after="0"/>
        <w:tabs>
          <w:tab w:leader="none" w:pos="14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eligible Grantees,</w:t>
      </w:r>
    </w:p>
    <w:p>
      <w:pPr>
        <w:spacing w:after="0" w:line="225" w:lineRule="exact"/>
        <w:rPr>
          <w:rFonts w:ascii="Arial" w:cs="Arial" w:eastAsia="Arial" w:hAnsi="Arial"/>
          <w:sz w:val="18"/>
          <w:szCs w:val="18"/>
          <w:color w:val="auto"/>
        </w:rPr>
      </w:pPr>
    </w:p>
    <w:p>
      <w:pPr>
        <w:jc w:val="both"/>
        <w:ind w:left="1460" w:right="119" w:hanging="525"/>
        <w:spacing w:after="0" w:line="264" w:lineRule="auto"/>
        <w:tabs>
          <w:tab w:leader="none" w:pos="160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grants of Awards and setting the terms and provisions of option agreements (which need not be identical) and any other agreements or instruments under which Awards are made, including, but not limited to, the number of Shares underlying each Award,</w:t>
      </w:r>
    </w:p>
    <w:p>
      <w:pPr>
        <w:spacing w:after="0" w:line="167" w:lineRule="exact"/>
        <w:rPr>
          <w:rFonts w:ascii="Arial" w:cs="Arial" w:eastAsia="Arial" w:hAnsi="Arial"/>
          <w:sz w:val="18"/>
          <w:szCs w:val="18"/>
          <w:color w:val="auto"/>
        </w:rPr>
      </w:pPr>
    </w:p>
    <w:p>
      <w:pPr>
        <w:ind w:left="1480" w:hanging="545"/>
        <w:spacing w:after="0"/>
        <w:tabs>
          <w:tab w:leader="none" w:pos="1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time or times at which Awards shall be granted,</w:t>
      </w:r>
    </w:p>
    <w:p>
      <w:pPr>
        <w:spacing w:after="0" w:line="211" w:lineRule="exact"/>
        <w:rPr>
          <w:rFonts w:ascii="Arial" w:cs="Arial" w:eastAsia="Arial" w:hAnsi="Arial"/>
          <w:sz w:val="18"/>
          <w:szCs w:val="18"/>
          <w:color w:val="auto"/>
        </w:rPr>
      </w:pPr>
    </w:p>
    <w:p>
      <w:pPr>
        <w:ind w:left="1420" w:hanging="485"/>
        <w:spacing w:after="0"/>
        <w:tabs>
          <w:tab w:leader="none" w:pos="14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schedule and conditions on which Awards may be exercised,</w:t>
      </w:r>
    </w:p>
    <w:p>
      <w:pPr>
        <w:spacing w:after="0" w:line="225" w:lineRule="exact"/>
        <w:rPr>
          <w:rFonts w:ascii="Arial" w:cs="Arial" w:eastAsia="Arial" w:hAnsi="Arial"/>
          <w:sz w:val="18"/>
          <w:szCs w:val="18"/>
          <w:color w:val="auto"/>
        </w:rPr>
      </w:pPr>
    </w:p>
    <w:p>
      <w:pPr>
        <w:ind w:left="1420" w:hanging="485"/>
        <w:spacing w:after="0"/>
        <w:tabs>
          <w:tab w:leader="none" w:pos="14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11" w:lineRule="exact"/>
        <w:rPr>
          <w:rFonts w:ascii="Arial" w:cs="Arial" w:eastAsia="Arial" w:hAnsi="Arial"/>
          <w:sz w:val="18"/>
          <w:szCs w:val="18"/>
          <w:color w:val="auto"/>
        </w:rPr>
      </w:pPr>
    </w:p>
    <w:p>
      <w:pPr>
        <w:ind w:left="1420" w:hanging="485"/>
        <w:spacing w:after="0"/>
        <w:tabs>
          <w:tab w:leader="none" w:pos="14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interpret the Plan,</w:t>
      </w:r>
    </w:p>
    <w:p>
      <w:pPr>
        <w:spacing w:after="0" w:line="211" w:lineRule="exact"/>
        <w:rPr>
          <w:rFonts w:ascii="Arial" w:cs="Arial" w:eastAsia="Arial" w:hAnsi="Arial"/>
          <w:sz w:val="18"/>
          <w:szCs w:val="18"/>
          <w:color w:val="auto"/>
        </w:rPr>
      </w:pPr>
    </w:p>
    <w:p>
      <w:pPr>
        <w:ind w:left="1460" w:right="119" w:hanging="525"/>
        <w:spacing w:after="0" w:line="277" w:lineRule="auto"/>
        <w:tabs>
          <w:tab w:leader="none" w:pos="150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and for carrying out the Plan, as it may deem appropriate,</w:t>
      </w:r>
    </w:p>
    <w:p>
      <w:pPr>
        <w:spacing w:after="0" w:line="170" w:lineRule="exact"/>
        <w:rPr>
          <w:rFonts w:ascii="Arial" w:cs="Arial" w:eastAsia="Arial" w:hAnsi="Arial"/>
          <w:sz w:val="18"/>
          <w:szCs w:val="18"/>
          <w:color w:val="auto"/>
        </w:rPr>
      </w:pPr>
    </w:p>
    <w:p>
      <w:pPr>
        <w:ind w:left="1480" w:hanging="545"/>
        <w:spacing w:after="0"/>
        <w:tabs>
          <w:tab w:leader="none" w:pos="1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Fair Market Value of the Shares,</w:t>
      </w:r>
    </w:p>
    <w:p>
      <w:pPr>
        <w:spacing w:after="0" w:line="211" w:lineRule="exact"/>
        <w:rPr>
          <w:rFonts w:ascii="Arial" w:cs="Arial" w:eastAsia="Arial" w:hAnsi="Arial"/>
          <w:sz w:val="18"/>
          <w:szCs w:val="18"/>
          <w:color w:val="auto"/>
        </w:rPr>
      </w:pPr>
    </w:p>
    <w:p>
      <w:pPr>
        <w:ind w:left="1460" w:right="119" w:hanging="525"/>
        <w:spacing w:after="0" w:line="277" w:lineRule="auto"/>
        <w:tabs>
          <w:tab w:leader="none" w:pos="143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tax track (capital gains, ordinary income track or any other track available under the Section 102 of the Ordinance) for the purpose of 102 Awards, and</w:t>
      </w:r>
    </w:p>
    <w:p>
      <w:pPr>
        <w:spacing w:after="0" w:line="156" w:lineRule="exact"/>
        <w:rPr>
          <w:rFonts w:ascii="Arial" w:cs="Arial" w:eastAsia="Arial" w:hAnsi="Arial"/>
          <w:sz w:val="18"/>
          <w:szCs w:val="18"/>
          <w:color w:val="auto"/>
        </w:rPr>
      </w:pPr>
    </w:p>
    <w:p>
      <w:pPr>
        <w:ind w:left="1460" w:right="119" w:hanging="525"/>
        <w:spacing w:after="0" w:line="277" w:lineRule="auto"/>
        <w:tabs>
          <w:tab w:leader="none" w:pos="143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other matter which is necessary or desirable for, or incidental to, the administration of the Plan and any Award thereunder.</w:t>
      </w:r>
    </w:p>
    <w:p>
      <w:pPr>
        <w:spacing w:after="0" w:line="170" w:lineRule="exact"/>
        <w:rPr>
          <w:sz w:val="20"/>
          <w:szCs w:val="20"/>
          <w:color w:val="auto"/>
        </w:rPr>
      </w:pPr>
    </w:p>
    <w:p>
      <w:pPr>
        <w:jc w:val="both"/>
        <w:ind w:left="940" w:right="119" w:hanging="377"/>
        <w:spacing w:after="0" w:line="288" w:lineRule="auto"/>
        <w:rPr>
          <w:sz w:val="20"/>
          <w:szCs w:val="20"/>
          <w:color w:val="auto"/>
        </w:rPr>
      </w:pPr>
      <w:r>
        <w:rPr>
          <w:rFonts w:ascii="Arial" w:cs="Arial" w:eastAsia="Arial" w:hAnsi="Arial"/>
          <w:sz w:val="16"/>
          <w:szCs w:val="16"/>
          <w:color w:val="auto"/>
        </w:rPr>
        <w:t>3.4. Grants of Awards shall be made pursuant to written notice to Grantees setting forth the terms of the Award. Such notice shall designate the type of Award as one of the following: (i) a 102 Award granted to a Trustee (either as a 102 Award (capital gain track) with Trustee or a 102 Award (ordinary income track) with Trustee),</w:t>
      </w:r>
    </w:p>
    <w:p>
      <w:pPr>
        <w:ind w:left="940" w:right="119" w:hanging="5"/>
        <w:spacing w:after="0" w:line="261" w:lineRule="auto"/>
        <w:tabs>
          <w:tab w:leader="none" w:pos="120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102 Award without a 102 Trustee, (iii) a 3(9) Award, (iv) Incentive Stock Option, (v) Nonqualified Stock Option, or (vi) any other type of Award.</w:t>
      </w:r>
    </w:p>
    <w:p>
      <w:pPr>
        <w:spacing w:after="0" w:line="170" w:lineRule="exact"/>
        <w:rPr>
          <w:sz w:val="20"/>
          <w:szCs w:val="20"/>
          <w:color w:val="auto"/>
        </w:rPr>
      </w:pPr>
    </w:p>
    <w:p>
      <w:pPr>
        <w:jc w:val="both"/>
        <w:ind w:left="940" w:right="119" w:hanging="377"/>
        <w:spacing w:after="0" w:line="342" w:lineRule="auto"/>
        <w:rPr>
          <w:sz w:val="20"/>
          <w:szCs w:val="20"/>
          <w:color w:val="auto"/>
        </w:rPr>
      </w:pPr>
      <w:r>
        <w:rPr>
          <w:rFonts w:ascii="Arial" w:cs="Arial" w:eastAsia="Arial" w:hAnsi="Arial"/>
          <w:sz w:val="16"/>
          <w:szCs w:val="16"/>
          <w:color w:val="auto"/>
        </w:rPr>
        <w:t>3.5. Subject to the mandatory provisions of Applicable Law, the grant of any Award, whether by the Committee or the Board, shall be deemed to include an authorization of the issuance of Shares upon the due exercise thereof.</w:t>
      </w:r>
    </w:p>
    <w:p>
      <w:pPr>
        <w:spacing w:after="0" w:line="110" w:lineRule="exact"/>
        <w:rPr>
          <w:sz w:val="20"/>
          <w:szCs w:val="20"/>
          <w:color w:val="auto"/>
        </w:rPr>
      </w:pPr>
    </w:p>
    <w:p>
      <w:pPr>
        <w:jc w:val="both"/>
        <w:ind w:left="940" w:right="119" w:hanging="377"/>
        <w:spacing w:after="0" w:line="271" w:lineRule="auto"/>
        <w:rPr>
          <w:sz w:val="20"/>
          <w:szCs w:val="20"/>
          <w:color w:val="auto"/>
        </w:rPr>
      </w:pPr>
      <w:r>
        <w:rPr>
          <w:rFonts w:ascii="Arial" w:cs="Arial" w:eastAsia="Arial" w:hAnsi="Arial"/>
          <w:sz w:val="17"/>
          <w:szCs w:val="17"/>
          <w:color w:val="auto"/>
        </w:rPr>
        <w:t>3.6. The authority granted hereunder includes the authority to modify Awards to eligible individuals who are foreign nationals or are individuals who are employed outside Israel to recognize differences in local law, tax policy or custom, in order to effectuate the purposes of the Plan but without amending the Plan. The Committee shall have the authority to grant, in its discretion, to the holder of an outstanding Award, in exchange for the surrender and cancellation of such Award, a new Award having an exercise price lower than provided in the Award so surrendered and canceled and containing such other terms and conditions as the Committee may prescribe in accordance with the provisions of the Plan or to set a new exercise price for the same Award lower than that previously provided in the Award.</w:t>
      </w:r>
    </w:p>
    <w:p>
      <w:pPr>
        <w:spacing w:after="0" w:line="179"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3.7. All decisions, determination and interpretations of the Committee shall be final and binding on all Grantees of any Awards under this Plan, unless otherwise determined by the Board. No member of the Committee shall be liable for any action taken or determination made in good faith with respect to the Plan or any Award granted hereunder.</w:t>
      </w:r>
    </w:p>
    <w:p>
      <w:pPr>
        <w:spacing w:after="0" w:line="201" w:lineRule="exact"/>
        <w:rPr>
          <w:sz w:val="20"/>
          <w:szCs w:val="20"/>
          <w:color w:val="auto"/>
        </w:rPr>
      </w:pPr>
    </w:p>
    <w:p>
      <w:pPr>
        <w:ind w:left="560" w:hanging="435"/>
        <w:spacing w:after="0"/>
        <w:tabs>
          <w:tab w:leader="none" w:pos="560" w:val="left"/>
        </w:tabs>
        <w:numPr>
          <w:ilvl w:val="0"/>
          <w:numId w:val="265"/>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4.1. Awards may be granted to Service Providers of the Company and any Affiliate thereof, taking into account the qualification under each tax regime pursuant to which such Awards are granted. A person who has been granted an Award hereunder may be granted additional Awards, if the Committee shall so determine, subject to the limitations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5" w:name="page206"/>
    <w:bookmarkEnd w:id="205"/>
    <w:p>
      <w:pPr>
        <w:jc w:val="both"/>
        <w:ind w:left="940" w:right="119"/>
        <w:spacing w:after="0" w:line="279" w:lineRule="auto"/>
        <w:rPr>
          <w:sz w:val="20"/>
          <w:szCs w:val="20"/>
          <w:color w:val="auto"/>
        </w:rPr>
      </w:pPr>
      <w:r>
        <w:rPr>
          <w:rFonts w:ascii="Arial" w:cs="Arial" w:eastAsia="Arial" w:hAnsi="Arial"/>
          <w:sz w:val="17"/>
          <w:szCs w:val="17"/>
          <w:color w:val="auto"/>
        </w:rPr>
        <w:t>herein. In determining the persons to whom Awards shall be granted and the number of Shares to be covered by each Award, the Committee shall take into account the duties of the respective persons, their present and potential contributions to the success of the Company and such other factors as the Committee shall deem relevant in connection with accomplishing the purpose of the Plan.</w:t>
      </w:r>
    </w:p>
    <w:p>
      <w:pPr>
        <w:spacing w:after="0" w:line="171" w:lineRule="exact"/>
        <w:rPr>
          <w:sz w:val="20"/>
          <w:szCs w:val="20"/>
          <w:color w:val="auto"/>
        </w:rPr>
      </w:pPr>
    </w:p>
    <w:p>
      <w:pPr>
        <w:jc w:val="both"/>
        <w:ind w:left="940" w:right="119" w:hanging="377"/>
        <w:spacing w:after="0" w:line="272" w:lineRule="auto"/>
        <w:rPr>
          <w:sz w:val="20"/>
          <w:szCs w:val="20"/>
          <w:color w:val="auto"/>
        </w:rPr>
      </w:pPr>
      <w:r>
        <w:rPr>
          <w:rFonts w:ascii="Arial" w:cs="Arial" w:eastAsia="Arial" w:hAnsi="Arial"/>
          <w:sz w:val="17"/>
          <w:szCs w:val="17"/>
          <w:color w:val="auto"/>
        </w:rPr>
        <w:t>4.2. Subject to Applicable Law, 102 Awards may not be granted to Controlling Shareholders and may only be granted to Employees, including officers and directors, of the Company or any Affiliate thereof, who are Israeli residents (“</w:t>
      </w:r>
      <w:r>
        <w:rPr>
          <w:rFonts w:ascii="Arial" w:cs="Arial" w:eastAsia="Arial" w:hAnsi="Arial"/>
          <w:sz w:val="17"/>
          <w:szCs w:val="17"/>
          <w:b w:val="1"/>
          <w:bCs w:val="1"/>
          <w:color w:val="auto"/>
        </w:rPr>
        <w:t>Eligible 102 Grantees</w:t>
      </w:r>
      <w:r>
        <w:rPr>
          <w:rFonts w:ascii="Arial" w:cs="Arial" w:eastAsia="Arial" w:hAnsi="Arial"/>
          <w:sz w:val="17"/>
          <w:szCs w:val="17"/>
          <w:color w:val="auto"/>
        </w:rPr>
        <w:t>”). Awards to Eligible 102 Grantees in Israel shall be 102 Awards. Eligible 102 Grantees may receive only 102 Awards, which may either be grants to a Trustee or grants under Section 102 without a trustee. Unless otherwise permitted by the Ordinance and the Rules, no 102 Awards to a Trustee may be granted until the expiration of thirty (30) days after the requisite filings under the Ordinance and the Rules have been appropriately made with the ITA.</w:t>
      </w:r>
    </w:p>
    <w:p>
      <w:pPr>
        <w:spacing w:after="0" w:line="178"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4.3. Subject to Applicable Law, Non-Employees who are Israeli residents and are not Eligible 102 Grantees may only be granted 3(9) Awards under this Plan.</w:t>
      </w:r>
    </w:p>
    <w:p>
      <w:pPr>
        <w:spacing w:after="0" w:line="184" w:lineRule="exact"/>
        <w:rPr>
          <w:sz w:val="20"/>
          <w:szCs w:val="20"/>
          <w:color w:val="auto"/>
        </w:rPr>
      </w:pPr>
    </w:p>
    <w:p>
      <w:pPr>
        <w:ind w:left="560" w:hanging="435"/>
        <w:spacing w:after="0"/>
        <w:tabs>
          <w:tab w:leader="none" w:pos="560" w:val="left"/>
        </w:tabs>
        <w:numPr>
          <w:ilvl w:val="0"/>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86" w:lineRule="auto"/>
        <w:rPr>
          <w:sz w:val="20"/>
          <w:szCs w:val="20"/>
          <w:color w:val="auto"/>
        </w:rPr>
      </w:pPr>
      <w:r>
        <w:rPr>
          <w:rFonts w:ascii="Arial" w:cs="Arial" w:eastAsia="Arial" w:hAnsi="Arial"/>
          <w:sz w:val="16"/>
          <w:szCs w:val="16"/>
          <w:color w:val="auto"/>
        </w:rPr>
        <w:t>The number of Shares reserved for the grant of Awards under the Plan shall initially be 44,790 Shares, or such number as may be reserved for such purpose from time to time. The class of said Shares shall be designated by the Board with respect to each Award and the notice of grant shall reflect such designation. Any share underlying an Award granted hereunder which has expired, or was cancelled or terminated or forfeited for any reason without having been exercised, shall be automatically, and without any further action on the part of the Company or any Grantee, returned to the “pool” of reserved Shares hereunder and shall again be available for grant for the purposes of this Plan (unless this Plan shall have been terminated) or unless the Board determines otherwise. The Board may, subject to any other approvals required under any Applicable Law, increase or decrease the number of Shares to be reserved under the Plan. Such Shares may, in whole or in part, be authorized but unissued Shares, or Shares that shall have been or may be reacquired by the Company (to the extent permitted pursuant to the Companies Law) or by a trustee appointed by the Board under the relevant provisions of the Ordinance, the Companies Law or any equivalent provision. Any Shares which are not subject to outstanding options at the termination of the Plan shall cease to be reserved for the purpose of the Plan, but until termination of the Plan, the Company shall at all times reserve a sufficient number of Shares to meet the requirements of the Plan.</w:t>
      </w:r>
    </w:p>
    <w:p>
      <w:pPr>
        <w:spacing w:after="0" w:line="186" w:lineRule="exact"/>
        <w:rPr>
          <w:sz w:val="20"/>
          <w:szCs w:val="20"/>
          <w:color w:val="auto"/>
        </w:rPr>
      </w:pPr>
    </w:p>
    <w:p>
      <w:pPr>
        <w:ind w:left="560" w:hanging="435"/>
        <w:spacing w:after="0"/>
        <w:tabs>
          <w:tab w:leader="none" w:pos="560" w:val="left"/>
        </w:tabs>
        <w:numPr>
          <w:ilvl w:val="0"/>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AND CONDITIONS OF OPTIONS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91" w:lineRule="auto"/>
        <w:rPr>
          <w:sz w:val="20"/>
          <w:szCs w:val="20"/>
          <w:color w:val="auto"/>
        </w:rPr>
      </w:pPr>
      <w:r>
        <w:rPr>
          <w:rFonts w:ascii="Arial" w:cs="Arial" w:eastAsia="Arial" w:hAnsi="Arial"/>
          <w:sz w:val="16"/>
          <w:szCs w:val="16"/>
          <w:color w:val="auto"/>
        </w:rPr>
        <w:t>Each Option granted pursuant to the Plan shall be evidenced by a written agreement between the Company and the Grantee or a written notice delivered by the Company and accepted by the Grantee (the “</w:t>
      </w:r>
      <w:r>
        <w:rPr>
          <w:rFonts w:ascii="Arial" w:cs="Arial" w:eastAsia="Arial" w:hAnsi="Arial"/>
          <w:sz w:val="16"/>
          <w:szCs w:val="16"/>
          <w:b w:val="1"/>
          <w:bCs w:val="1"/>
          <w:color w:val="auto"/>
        </w:rPr>
        <w:t>Option Agreement</w:t>
      </w:r>
      <w:r>
        <w:rPr>
          <w:rFonts w:ascii="Arial" w:cs="Arial" w:eastAsia="Arial" w:hAnsi="Arial"/>
          <w:sz w:val="16"/>
          <w:szCs w:val="16"/>
          <w:color w:val="auto"/>
        </w:rPr>
        <w:t>”), in such form and containing such terms and conditions as the Committee shall from time to time approve, which Option Agreement shall comply with and be subject to the following terms and conditions, unless otherwise specifically provided in such Option Agreement or the terms referred to in Sections 9 and 10 below. For purposes of interpreting this Section 6, a director’s service as a member of the Board or the services of an officer, as the case may be, shall be deemed to be employment with the Company or its Subsidiary or Affiliate.</w:t>
      </w:r>
    </w:p>
    <w:p>
      <w:pPr>
        <w:spacing w:after="0" w:line="167" w:lineRule="exact"/>
        <w:rPr>
          <w:sz w:val="20"/>
          <w:szCs w:val="20"/>
          <w:color w:val="auto"/>
        </w:rPr>
      </w:pPr>
    </w:p>
    <w:p>
      <w:pPr>
        <w:ind w:left="560"/>
        <w:spacing w:after="0"/>
        <w:tabs>
          <w:tab w:leader="none" w:pos="2440" w:val="left"/>
        </w:tabs>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Each Option Agreement shall state the number of Shares covered by the Option.</w:t>
      </w:r>
    </w:p>
    <w:p>
      <w:pPr>
        <w:spacing w:after="0" w:line="225" w:lineRule="exact"/>
        <w:rPr>
          <w:sz w:val="20"/>
          <w:szCs w:val="20"/>
          <w:color w:val="auto"/>
        </w:rPr>
      </w:pPr>
    </w:p>
    <w:p>
      <w:pPr>
        <w:jc w:val="both"/>
        <w:ind w:left="940" w:right="119" w:hanging="377"/>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Type of Option</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Option Agreement shall specifically state the type of Option granted thereunder and whether it constitutes an Incentive Stock Option, Nonqualified Stock Option, 102 Option Award and the relevant track, 3(9) Option Award, or otherwise.</w:t>
      </w:r>
    </w:p>
    <w:p>
      <w:pPr>
        <w:spacing w:after="0" w:line="181" w:lineRule="exact"/>
        <w:rPr>
          <w:sz w:val="20"/>
          <w:szCs w:val="20"/>
          <w:color w:val="auto"/>
        </w:rPr>
      </w:pPr>
    </w:p>
    <w:p>
      <w:pPr>
        <w:jc w:val="both"/>
        <w:ind w:left="940" w:right="119" w:hanging="377"/>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Option Agreement shall state the Exercise Price, which, in the case of an Incentive Stock Option, shall not be less than one hundred percent (100%) of the Fair Market Value of the Shares covered by the Option on the date of grant or such other amount as may be required pursuant to the Code. In the case of any other Option, the per share Exercise Price shall be equal to the amount determined by the Committee. In the case of an Incentive Stock Option granted to any Ten-Percent Shareholder, the Exercise Price shall be no less than 110% of the Fair Market Value of the Shares covered by the Option on the date of grant. In no event shall the Exercise Price of 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6" w:name="page207"/>
    <w:bookmarkEnd w:id="206"/>
    <w:p>
      <w:pPr>
        <w:jc w:val="both"/>
        <w:ind w:left="940" w:right="119"/>
        <w:spacing w:after="0" w:line="264" w:lineRule="auto"/>
        <w:rPr>
          <w:sz w:val="20"/>
          <w:szCs w:val="20"/>
          <w:color w:val="auto"/>
        </w:rPr>
      </w:pPr>
      <w:r>
        <w:rPr>
          <w:rFonts w:ascii="Arial" w:cs="Arial" w:eastAsia="Arial" w:hAnsi="Arial"/>
          <w:sz w:val="18"/>
          <w:szCs w:val="18"/>
          <w:color w:val="auto"/>
        </w:rPr>
        <w:t>Option be less than the par value of the shares for which such Option is exercisable. Subject to Section 3 and to the foregoing, the Committee may reduce the Exercise Price of any outstanding Option. The Exercise Price shall also be subject to adjustment as provided in Section 14 hereof.</w:t>
      </w:r>
    </w:p>
    <w:p>
      <w:pPr>
        <w:spacing w:after="0" w:line="181" w:lineRule="exact"/>
        <w:rPr>
          <w:sz w:val="20"/>
          <w:szCs w:val="20"/>
          <w:color w:val="auto"/>
        </w:rPr>
      </w:pPr>
    </w:p>
    <w:p>
      <w:pPr>
        <w:jc w:val="both"/>
        <w:ind w:left="940" w:right="119" w:hanging="377"/>
        <w:spacing w:after="0" w:line="28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r>
        <w:rPr>
          <w:sz w:val="20"/>
          <w:szCs w:val="20"/>
          <w:color w:val="auto"/>
        </w:rPr>
        <w:t xml:space="preserve"> </w:t>
      </w:r>
      <w:r>
        <w:rPr>
          <w:rFonts w:ascii="Arial" w:cs="Arial" w:eastAsia="Arial" w:hAnsi="Arial"/>
          <w:sz w:val="16"/>
          <w:szCs w:val="16"/>
          <w:color w:val="auto"/>
        </w:rPr>
        <w:t>An Option may be exercised, as to any or all Shares as to which the Option has become exercisable, by written notice delivered in person or by mail to the Secretary of the Company or to such other person as determined by the Committee, specifying the number of Shares with respect to which the Option is being exercised, accompanied by payment of the Exercise Price for such Shares in the manner specified in the following sentence. The Exercise Price shall be paid in full with respect to each Share, at the time of exercise, either in (i) cash, (ii) if the Company’s shares are publicly traded,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publicly traded,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or (iv) in such other manner as the Committee shall determine, which may include procedures for cashless exercise.</w:t>
      </w:r>
    </w:p>
    <w:p>
      <w:pPr>
        <w:spacing w:after="0" w:line="175" w:lineRule="exact"/>
        <w:rPr>
          <w:sz w:val="20"/>
          <w:szCs w:val="20"/>
          <w:color w:val="auto"/>
        </w:rPr>
      </w:pPr>
    </w:p>
    <w:p>
      <w:pPr>
        <w:jc w:val="both"/>
        <w:ind w:left="940" w:right="119" w:hanging="377"/>
        <w:spacing w:after="0" w:line="28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 and Vesting of Options</w:t>
      </w:r>
      <w:r>
        <w:rPr>
          <w:rFonts w:ascii="Arial" w:cs="Arial" w:eastAsia="Arial" w:hAnsi="Arial"/>
          <w:sz w:val="18"/>
          <w:szCs w:val="18"/>
          <w:color w:val="auto"/>
        </w:rPr>
        <w:t>.</w:t>
      </w:r>
      <w:r>
        <w:rPr>
          <w:sz w:val="20"/>
          <w:szCs w:val="20"/>
          <w:color w:val="auto"/>
        </w:rPr>
        <w:t xml:space="preserve"> </w:t>
      </w:r>
      <w:r>
        <w:rPr>
          <w:rFonts w:ascii="Arial" w:cs="Arial" w:eastAsia="Arial" w:hAnsi="Arial"/>
          <w:sz w:val="16"/>
          <w:szCs w:val="16"/>
          <w:color w:val="auto"/>
        </w:rPr>
        <w:t>Each Option Agreement shall provide the vesting schedule for the Option as determined by the Committee. To the extent permitted under Applicable Law, the Committee shall have the authority to determine the vesting schedule and accelerate the vesting of any outstanding Option at such time and under such circumstances as it, in its sole discretion, deems appropriate. Unless otherwise resolved by the Committee and stated in the Option Agreement, and subject to Sections 6.6 and 6.7 hereof, Options shall vest and become exercisable under the following schedule: fifty percent (50%) of the Shares covered by the Option, on the second anniversary of the date on which such Option is granted, provided that the Grantee remains continuously employed by or in the service of the Company or its Subsidiary or Affiliate for that respective two-year period, and twenty five percent (25%) of the Shares covered by the Option at the end of each subsequent anniversary, provided that the Grantee remains continuously employed by or in the service of the Company or its Subsidiary or Affiliate for that respective year, over the course of the following two (2) years of continued employment by or service for the Company or its Subsidiary or Affiliate. The Option Agreement may contain performance goals and measurements, and the provisions with respect to any Option need not be the same as the provisions with respect to any other Option. The Exercise Period of an Option will be seven (7) years from the date of grant of the Option unless otherwise determined by the Committee, but subject to the vesting provisions described above and the early termination provisions set forth in Sections 6.6 and 6.7 hereof; provided, however, that in the case of an Incentive Stock Option granted to a Ten Percent Shareholder, such Exercise Period shall not exceed five (5) years from the date of grant of such Option. At the expiration of the Exercise Period, all unexercised Options shall become null and void.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left="1320" w:right="119" w:hanging="377"/>
        <w:spacing w:after="0" w:line="285" w:lineRule="auto"/>
        <w:rPr>
          <w:sz w:val="20"/>
          <w:szCs w:val="20"/>
          <w:color w:val="auto"/>
        </w:rPr>
      </w:pPr>
      <w:r>
        <w:rPr>
          <w:rFonts w:ascii="Arial" w:cs="Arial" w:eastAsia="Arial" w:hAnsi="Arial"/>
          <w:sz w:val="16"/>
          <w:szCs w:val="16"/>
          <w:color w:val="auto"/>
        </w:rPr>
        <w:t>6.6.1. Except as provided in this Section 6.6 and in Section 6.7 hereof, an Option may not be exercised unless the Grantee is then in the employ of or maintaining a director, officer, consultant, advisor or supplier relationship with the Company or a Subsidiary or Affiliate thereof or, in the case of an Incentive Stock Option, a company or a parent or subsidiary company of such company issuing or assuming the Option in a transaction to which Section 424(a) of the Code applies, and unless the Grantee has remained continuously so employed or in the director, officer, supplier, consultant, or advisor relationship since the date of grant of the Option. In the event that the employment or director, officer or consultant, advisor or supplier relationship of a Grantee shall terminate (other than by reason of death, Disability or Retirement), all Options of such Grantee that are vested and exercisable at the time of such termination may, unless earlier terminated in accordance with their terms, be exercised within up to ninety (90) days after the date of such termination (or such different period as the Committee shall prescribe); provided, however, that if the Company (or the Subsidiary or Affiliate, when applicable) shall terminate the Grantee’s employment or service for Cause (as defined below) or if, whether or not the Grantee’s employment is terminated by either party, circumstances arise or are discovered with respect to the Grantee that would have constituted Cause for termination of his or her employment or service, all Options theretofore granted to such Grantee (whether vested or not) shall, to the extent not theretofore exercised, terminate on the date of such termination (or on which such circumstance arise or are discovered, as the case may be) unless otherwise determined by the Committee.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7" w:name="page208"/>
    <w:bookmarkEnd w:id="207"/>
    <w:p>
      <w:pPr>
        <w:jc w:val="both"/>
        <w:ind w:left="1740" w:right="119" w:hanging="647"/>
        <w:spacing w:after="0" w:line="270" w:lineRule="auto"/>
        <w:tabs>
          <w:tab w:leader="none" w:pos="1720" w:val="left"/>
        </w:tabs>
        <w:rPr>
          <w:sz w:val="20"/>
          <w:szCs w:val="20"/>
          <w:color w:val="auto"/>
        </w:rPr>
      </w:pPr>
      <w:r>
        <w:rPr>
          <w:rFonts w:ascii="Arial" w:cs="Arial" w:eastAsia="Arial" w:hAnsi="Arial"/>
          <w:sz w:val="18"/>
          <w:szCs w:val="18"/>
          <w:color w:val="auto"/>
        </w:rPr>
        <w:t>6.6.2.</w:t>
      </w:r>
      <w:r>
        <w:rPr>
          <w:sz w:val="20"/>
          <w:szCs w:val="20"/>
          <w:color w:val="auto"/>
        </w:rPr>
        <w:tab/>
      </w:r>
      <w:r>
        <w:rPr>
          <w:rFonts w:ascii="Arial" w:cs="Arial" w:eastAsia="Arial" w:hAnsi="Arial"/>
          <w:sz w:val="17"/>
          <w:szCs w:val="17"/>
          <w:color w:val="auto"/>
        </w:rPr>
        <w:t>In the case of a Grantee whose principal employer is a Subsidiary or Affiliate, the Grantee’s employment shall also be deemed terminated for purposes of this Section 6.6 as of the date on which such principal employer ceases to be a Subsidiary or Affiliate. Notwithstanding anything to the contrary, the Committee, in its absolute discretion may, on such terms and conditions as it may determine appropriate, extend the periods for which the Options held by any individual may continue to vest and be exercisable; provided, that such Options may lose their status as Incentive Stock Options under applicable law and be deemed Nonqualified Stock Options in the event that the period of vesting and/or exercisability of any option is extended beyond the later of: (i) one hundred and eighty (180) days after the date of cessation of employment or performance of services; or (ii) the applicable period under Section 6.7 below.</w:t>
      </w:r>
    </w:p>
    <w:p>
      <w:pPr>
        <w:spacing w:after="0" w:line="174" w:lineRule="exact"/>
        <w:rPr>
          <w:sz w:val="20"/>
          <w:szCs w:val="20"/>
          <w:color w:val="auto"/>
        </w:rPr>
      </w:pPr>
    </w:p>
    <w:p>
      <w:pPr>
        <w:jc w:val="both"/>
        <w:ind w:left="1740" w:right="119" w:hanging="647"/>
        <w:spacing w:after="0" w:line="285" w:lineRule="auto"/>
        <w:tabs>
          <w:tab w:leader="none" w:pos="1720" w:val="left"/>
        </w:tabs>
        <w:rPr>
          <w:sz w:val="20"/>
          <w:szCs w:val="20"/>
          <w:color w:val="auto"/>
        </w:rPr>
      </w:pPr>
      <w:r>
        <w:rPr>
          <w:rFonts w:ascii="Arial" w:cs="Arial" w:eastAsia="Arial" w:hAnsi="Arial"/>
          <w:sz w:val="18"/>
          <w:szCs w:val="18"/>
          <w:color w:val="auto"/>
        </w:rPr>
        <w:t>6.6.3.</w:t>
      </w:r>
      <w:r>
        <w:rPr>
          <w:sz w:val="20"/>
          <w:szCs w:val="20"/>
          <w:color w:val="auto"/>
        </w:rPr>
        <w:tab/>
      </w:r>
      <w:r>
        <w:rPr>
          <w:rFonts w:ascii="Arial" w:cs="Arial" w:eastAsia="Arial" w:hAnsi="Arial"/>
          <w:sz w:val="16"/>
          <w:szCs w:val="16"/>
          <w:color w:val="auto"/>
        </w:rPr>
        <w:t>For purposes of this Plan, the term “</w:t>
      </w:r>
      <w:r>
        <w:rPr>
          <w:rFonts w:ascii="Arial" w:cs="Arial" w:eastAsia="Arial" w:hAnsi="Arial"/>
          <w:sz w:val="16"/>
          <w:szCs w:val="16"/>
          <w:b w:val="1"/>
          <w:bCs w:val="1"/>
          <w:color w:val="auto"/>
        </w:rPr>
        <w:t>Cause</w:t>
      </w:r>
      <w:r>
        <w:rPr>
          <w:rFonts w:ascii="Arial" w:cs="Arial" w:eastAsia="Arial" w:hAnsi="Arial"/>
          <w:sz w:val="16"/>
          <w:szCs w:val="16"/>
          <w:color w:val="auto"/>
        </w:rPr>
        <w:t>” shall mean any of the following: (a) fraud, embezzlement or felony or similar act by the Grantee; (b) an act of moral turpitude by the Grantee, or any act that causes significant injury to the reputation, business, assets, operations or business relationship of the Company (or a Subsidiary or Affiliate, when applicable); (c) any material breach by the Grantee of an agreement between the Company or any Subsidiary or Affiliate and the Grantee (including material breach of confidentiality, non-competition or non-solicitation covenants) or of any duty of the Grantee to the Company or any Subsidiary or Affiliate thereof; or</w:t>
      </w:r>
    </w:p>
    <w:p>
      <w:pPr>
        <w:spacing w:after="0" w:line="2" w:lineRule="exact"/>
        <w:rPr>
          <w:sz w:val="20"/>
          <w:szCs w:val="20"/>
          <w:color w:val="auto"/>
        </w:rPr>
      </w:pPr>
    </w:p>
    <w:p>
      <w:pPr>
        <w:jc w:val="both"/>
        <w:ind w:left="1740" w:right="119" w:firstLine="5"/>
        <w:spacing w:after="0" w:line="255" w:lineRule="auto"/>
        <w:tabs>
          <w:tab w:leader="none" w:pos="204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circumstances that constitute grounds for termination for cause under the Grantee’s employment, consulting or service agreement with the Company or Subsidiary or Affiliate, to the extent applicable.</w:t>
      </w:r>
    </w:p>
    <w:p>
      <w:pPr>
        <w:spacing w:after="0" w:line="190" w:lineRule="exact"/>
        <w:rPr>
          <w:sz w:val="20"/>
          <w:szCs w:val="20"/>
          <w:color w:val="auto"/>
        </w:rPr>
      </w:pPr>
    </w:p>
    <w:p>
      <w:pPr>
        <w:jc w:val="both"/>
        <w:ind w:left="1020" w:right="119" w:hanging="521"/>
        <w:spacing w:after="0" w:line="285" w:lineRule="auto"/>
        <w:tabs>
          <w:tab w:leader="none" w:pos="10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Death, Disability or Retirement of Grantee</w:t>
      </w:r>
      <w:r>
        <w:rPr>
          <w:rFonts w:ascii="Arial" w:cs="Arial" w:eastAsia="Arial" w:hAnsi="Arial"/>
          <w:sz w:val="16"/>
          <w:szCs w:val="16"/>
          <w:color w:val="auto"/>
        </w:rPr>
        <w:t>. If a Grantee shall die while employed by, or performing service</w:t>
      </w:r>
      <w:r>
        <w:rPr>
          <w:rFonts w:ascii="Arial" w:cs="Arial" w:eastAsia="Arial" w:hAnsi="Arial"/>
          <w:sz w:val="16"/>
          <w:szCs w:val="16"/>
          <w:u w:val="single" w:color="auto"/>
          <w:color w:val="auto"/>
        </w:rPr>
        <w:t xml:space="preserve"> </w:t>
      </w:r>
      <w:r>
        <w:rPr>
          <w:rFonts w:ascii="Arial" w:cs="Arial" w:eastAsia="Arial" w:hAnsi="Arial"/>
          <w:sz w:val="16"/>
          <w:szCs w:val="16"/>
          <w:color w:val="auto"/>
        </w:rPr>
        <w:t>for, the Company or a Subsidiary, or within the three (3) month period after the date of termination of such Grantee’s employment or service (or within such different period as the Committee may have provided pursuant to Section 6.6 hereof), or if the Grantee’s employment or service shall terminate by reason of Disability, all Options theretofore granted to such Grantee may (to the extent otherwise vested and exercisable and unless earlier terminated in accordance with their terms), be exercised by the Grantee or by the Grantee’s estate or by a person who acquired the right to exercise such Options by bequest or inheritance or otherwise by result of death or Disability of the Grantee, at any time within one (1) year after the death or Disability of the Grantee (or such different period as the Committee shall prescribe).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 In the event that the employment or service of a Grantee shall terminate on account of such Grantee’s Retirement, all Options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178" w:lineRule="exact"/>
        <w:rPr>
          <w:sz w:val="20"/>
          <w:szCs w:val="20"/>
          <w:color w:val="auto"/>
        </w:rPr>
      </w:pPr>
    </w:p>
    <w:p>
      <w:pPr>
        <w:jc w:val="both"/>
        <w:ind w:left="1100" w:right="119" w:hanging="521"/>
        <w:spacing w:after="0" w:line="257" w:lineRule="auto"/>
        <w:tabs>
          <w:tab w:leader="none" w:pos="10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u w:val="single" w:color="auto"/>
          <w:color w:val="auto"/>
        </w:rPr>
        <w:t>Suspension of Vesting</w:t>
      </w:r>
      <w:r>
        <w:rPr>
          <w:rFonts w:ascii="Arial" w:cs="Arial" w:eastAsia="Arial" w:hAnsi="Arial"/>
          <w:sz w:val="18"/>
          <w:szCs w:val="18"/>
          <w:color w:val="auto"/>
        </w:rPr>
        <w:t>. Unless the Board of Directors or the Committee provides otherwise, vesting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Options granted hereunder shall be suspended during any unpaid leave of absence, other than in the case of any (a) leave of absence which was pre-approved by the Company for purposes of continuing the vesting of Options, or (b) transfers between locations of the Company or between the Company, any Affiliate, or any respective successor thereof.</w:t>
      </w:r>
    </w:p>
    <w:p>
      <w:pPr>
        <w:spacing w:after="0" w:line="188" w:lineRule="exact"/>
        <w:rPr>
          <w:sz w:val="20"/>
          <w:szCs w:val="20"/>
          <w:color w:val="auto"/>
        </w:rPr>
      </w:pPr>
    </w:p>
    <w:p>
      <w:pPr>
        <w:jc w:val="both"/>
        <w:ind w:left="1100" w:right="119" w:hanging="521"/>
        <w:spacing w:after="0" w:line="286" w:lineRule="auto"/>
        <w:tabs>
          <w:tab w:leader="none" w:pos="108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Voting Proxy</w:t>
      </w:r>
      <w:r>
        <w:rPr>
          <w:rFonts w:ascii="Arial" w:cs="Arial" w:eastAsia="Arial" w:hAnsi="Arial"/>
          <w:sz w:val="16"/>
          <w:szCs w:val="16"/>
          <w:color w:val="auto"/>
        </w:rPr>
        <w:t>. Until immediately after the listing for trading on a stock exchange or market or trading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system of the Company’s (or the Successor Corporation’s) shares, the right to vote any Shares acquired under this Plan pursuant to an Award shall, unless otherwise determined by the Committee, be given by the Grantee or the Trustee (if so requested from the Trustee and agreed by the Trustee), as the case may be, pursuant to an irrevocable proxy, to the person or persons designated by the Board. All Awards granted hereunder shall be conditioned upon the execution of such irrevocable proxy. So long as any such Shares are held by a Trustee (and unless a proxy was given by the Trustee as aforesaid), such Shares shall be voted by the Trustee, and unless the Trustee is directed otherwise by the Board, such Shares shall be voted in the same proportion as the result of the shareholder vote at the shareholders meeting or written consent in respect of which the Shares held by the Trustee are being voted. Any irrevocable proxy granted pursuant hereto shall be of no force or effect immediately after the listing for trading on a stock exchange or market or trading system of the Company’s (or the Successor Corporation’s) shares. The provisions of this Section shall apply to the Grantee and to any purchaser, assignee or transferee of any Shares.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08" w:name="page209"/>
    <w:bookmarkEnd w:id="208"/>
    <w:p>
      <w:pPr>
        <w:jc w:val="both"/>
        <w:ind w:left="1100" w:right="119" w:hanging="521"/>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Other Provisions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Option Agreement evidencing Awards under the Plan shall contain such other terms and conditions not inconsistent with the Plan as the Committee may determine, at or after the date of grant, including without limitation, provisions in connection with the restrictions on transferring the Awards, which shall be binding upon the Grantees and other terms and conditions as the Committee shall deem appropriate.</w:t>
      </w:r>
    </w:p>
    <w:p>
      <w:pPr>
        <w:spacing w:after="0" w:line="188" w:lineRule="exact"/>
        <w:rPr>
          <w:sz w:val="20"/>
          <w:szCs w:val="20"/>
          <w:color w:val="auto"/>
        </w:rPr>
      </w:pPr>
    </w:p>
    <w:p>
      <w:pPr>
        <w:jc w:val="both"/>
        <w:ind w:left="1100" w:right="119" w:hanging="521"/>
        <w:spacing w:after="0" w:line="25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Israeli Index Base for 102 Awards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102 Award will be subject to the Israeli index base of the Value of Benefit, as defined in Section 102(a) of the Ordinance, as determined by the Committee in its discretion, pursuant to the Rules, from time to time. In the event that the Company effects a public offering of its shares in any stock exchange outside of Israel, the Committee may amend retroactively the Israeli index base, pursuant to the Rules, without the Grantee’s consent.</w:t>
      </w:r>
    </w:p>
    <w:p>
      <w:pPr>
        <w:spacing w:after="0" w:line="202" w:lineRule="exact"/>
        <w:rPr>
          <w:sz w:val="20"/>
          <w:szCs w:val="20"/>
          <w:color w:val="auto"/>
        </w:rPr>
      </w:pPr>
    </w:p>
    <w:p>
      <w:pPr>
        <w:ind w:left="560" w:hanging="435"/>
        <w:spacing w:after="0"/>
        <w:tabs>
          <w:tab w:leader="none" w:pos="560" w:val="left"/>
        </w:tabs>
        <w:numPr>
          <w:ilvl w:val="0"/>
          <w:numId w:val="269"/>
        </w:numPr>
        <w:rPr>
          <w:rFonts w:ascii="Arial" w:cs="Arial" w:eastAsia="Arial" w:hAnsi="Arial"/>
          <w:sz w:val="22"/>
          <w:szCs w:val="22"/>
          <w:color w:val="auto"/>
        </w:rPr>
      </w:pPr>
      <w:r>
        <w:rPr>
          <w:rFonts w:ascii="Arial" w:cs="Arial" w:eastAsia="Arial" w:hAnsi="Arial"/>
          <w:sz w:val="22"/>
          <w:szCs w:val="22"/>
          <w:b w:val="1"/>
          <w:bCs w:val="1"/>
          <w:u w:val="single" w:color="auto"/>
          <w:color w:val="auto"/>
        </w:rPr>
        <w:t>NONQUALIFIED STOCK OPTIONS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86" w:lineRule="auto"/>
        <w:rPr>
          <w:sz w:val="20"/>
          <w:szCs w:val="20"/>
          <w:color w:val="auto"/>
        </w:rPr>
      </w:pPr>
      <w:r>
        <w:rPr>
          <w:rFonts w:ascii="Arial" w:cs="Arial" w:eastAsia="Arial" w:hAnsi="Arial"/>
          <w:sz w:val="17"/>
          <w:szCs w:val="17"/>
          <w:color w:val="auto"/>
        </w:rPr>
        <w:t>Options granted pursuant to this Section 7 are intended to constitute Nonqualified Stock Options and shall be subject to the general terms and conditions specified in Section 6 hereof and other provisions of the Plan, except for any provisions of the Plan applying to Options under different tax laws or regulations.</w:t>
      </w:r>
    </w:p>
    <w:p>
      <w:pPr>
        <w:spacing w:after="0" w:line="179" w:lineRule="exact"/>
        <w:rPr>
          <w:sz w:val="20"/>
          <w:szCs w:val="20"/>
          <w:color w:val="auto"/>
        </w:rPr>
      </w:pPr>
    </w:p>
    <w:p>
      <w:pPr>
        <w:ind w:left="560" w:hanging="435"/>
        <w:spacing w:after="0"/>
        <w:tabs>
          <w:tab w:leader="none" w:pos="560" w:val="left"/>
        </w:tabs>
        <w:numPr>
          <w:ilvl w:val="0"/>
          <w:numId w:val="270"/>
        </w:numPr>
        <w:rPr>
          <w:rFonts w:ascii="Arial" w:cs="Arial" w:eastAsia="Arial" w:hAnsi="Arial"/>
          <w:sz w:val="22"/>
          <w:szCs w:val="22"/>
          <w:color w:val="auto"/>
        </w:rPr>
      </w:pPr>
      <w:r>
        <w:rPr>
          <w:rFonts w:ascii="Arial" w:cs="Arial" w:eastAsia="Arial" w:hAnsi="Arial"/>
          <w:sz w:val="22"/>
          <w:szCs w:val="22"/>
          <w:b w:val="1"/>
          <w:bCs w:val="1"/>
          <w:u w:val="single" w:color="auto"/>
          <w:color w:val="auto"/>
        </w:rPr>
        <w:t>INCENTIVE STOCK OPTIONS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Options granted pursuant to this Section 8 are intended to constitute Incentive Stock Options and shall be granted subject to the following special terms and conditions, the general terms and conditions specified in Section 6 hereof and other provisions of the Plan, except for any provisions of the Plan applying to Options under different tax laws or regulations:</w:t>
      </w:r>
    </w:p>
    <w:p>
      <w:pPr>
        <w:spacing w:after="0" w:line="187" w:lineRule="exact"/>
        <w:rPr>
          <w:sz w:val="20"/>
          <w:szCs w:val="20"/>
          <w:color w:val="auto"/>
        </w:rPr>
      </w:pPr>
    </w:p>
    <w:p>
      <w:pPr>
        <w:jc w:val="both"/>
        <w:ind w:left="1040" w:right="119" w:hanging="521"/>
        <w:spacing w:after="0" w:line="269" w:lineRule="auto"/>
        <w:tabs>
          <w:tab w:leader="none" w:pos="10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Value of Shares</w:t>
      </w:r>
      <w:r>
        <w:rPr>
          <w:rFonts w:ascii="Arial" w:cs="Arial" w:eastAsia="Arial" w:hAnsi="Arial"/>
          <w:sz w:val="17"/>
          <w:szCs w:val="17"/>
          <w:color w:val="auto"/>
        </w:rPr>
        <w:t>. The aggregate Fair Market Value (determined as of the date the Incentive Stock Option is</w:t>
      </w:r>
      <w:r>
        <w:rPr>
          <w:rFonts w:ascii="Arial" w:cs="Arial" w:eastAsia="Arial" w:hAnsi="Arial"/>
          <w:sz w:val="17"/>
          <w:szCs w:val="17"/>
          <w:u w:val="single" w:color="auto"/>
          <w:color w:val="auto"/>
        </w:rPr>
        <w:t xml:space="preserve"> </w:t>
      </w:r>
      <w:r>
        <w:rPr>
          <w:rFonts w:ascii="Arial" w:cs="Arial" w:eastAsia="Arial" w:hAnsi="Arial"/>
          <w:sz w:val="17"/>
          <w:szCs w:val="17"/>
          <w:color w:val="auto"/>
        </w:rPr>
        <w:t>granted) of the Shares with respect to which all Incentive Stock Options granted under this Plan and all other option plans of any Subsidiary or Affiliate become exercisable for the first time by each Grantee during any calendar year shall not exceed one hundred thousand United States dollars ($100,000) with respect to such Grantee. To the extent that the aggregate Fair Market Value of Shares with respect to which the Incentive Stock Options are exercisable for the first time by any Grantee during any calendar years exceeds one hundred thousand United States dollars ($100,000), such Options shall be treated as Nonqualified Stock Options. The foregoing shall be applied by taking options into account in the order in which they were granted, with the Fair Market Value of any Share to be determined at the time of the grant of the Option. In the event the foregoing results in the portion of an Incentive Stock Option exceeding the one hundred thousand United States dollars ($100,000) limitation, only such excess shall be treated as a Nonqualified Stock Option.</w:t>
      </w:r>
    </w:p>
    <w:p>
      <w:pPr>
        <w:spacing w:after="0" w:line="180" w:lineRule="exact"/>
        <w:rPr>
          <w:sz w:val="20"/>
          <w:szCs w:val="20"/>
          <w:color w:val="auto"/>
        </w:rPr>
      </w:pPr>
    </w:p>
    <w:p>
      <w:pPr>
        <w:jc w:val="both"/>
        <w:ind w:left="1020" w:right="119" w:hanging="521"/>
        <w:spacing w:after="0" w:line="288" w:lineRule="auto"/>
        <w:tabs>
          <w:tab w:leader="none" w:pos="1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In the case of an Incentive Stock Option granted to a Ten Percent Shareholder, (i)</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Exercise Price shall not be less than one hundred and ten percent (110%) of the Fair Market Value of the Shares on the date of grant of such Incentive Stock Option, and (ii) the Exercise Period shall not exceed five</w:t>
      </w:r>
    </w:p>
    <w:p>
      <w:pPr>
        <w:ind w:left="1100"/>
        <w:spacing w:after="0"/>
        <w:rPr>
          <w:sz w:val="20"/>
          <w:szCs w:val="20"/>
          <w:color w:val="auto"/>
        </w:rPr>
      </w:pPr>
      <w:r>
        <w:rPr>
          <w:rFonts w:ascii="Arial" w:cs="Arial" w:eastAsia="Arial" w:hAnsi="Arial"/>
          <w:sz w:val="18"/>
          <w:szCs w:val="18"/>
          <w:color w:val="auto"/>
        </w:rPr>
        <w:t>(5) years from the date of grant of such Incentive Stock Option.</w:t>
      </w:r>
    </w:p>
    <w:p>
      <w:pPr>
        <w:spacing w:after="0" w:line="211" w:lineRule="exact"/>
        <w:rPr>
          <w:sz w:val="20"/>
          <w:szCs w:val="20"/>
          <w:color w:val="auto"/>
        </w:rPr>
      </w:pPr>
    </w:p>
    <w:p>
      <w:pPr>
        <w:jc w:val="both"/>
        <w:ind w:left="1100" w:right="119" w:hanging="521"/>
        <w:spacing w:after="0" w:line="257" w:lineRule="auto"/>
        <w:tabs>
          <w:tab w:leader="none" w:pos="10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Incentive Stock Option Lock-Up Period</w:t>
      </w:r>
      <w:r>
        <w:rPr>
          <w:rFonts w:ascii="Arial" w:cs="Arial" w:eastAsia="Arial" w:hAnsi="Arial"/>
          <w:sz w:val="18"/>
          <w:szCs w:val="18"/>
          <w:color w:val="auto"/>
        </w:rPr>
        <w:t>. No disposition of Shares received pursuant to the exercise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Incentive Stock Options (“</w:t>
      </w:r>
      <w:r>
        <w:rPr>
          <w:rFonts w:ascii="Arial" w:cs="Arial" w:eastAsia="Arial" w:hAnsi="Arial"/>
          <w:sz w:val="18"/>
          <w:szCs w:val="18"/>
          <w:b w:val="1"/>
          <w:bCs w:val="1"/>
          <w:color w:val="auto"/>
        </w:rPr>
        <w:t>ISO Shares</w:t>
      </w:r>
      <w:r>
        <w:rPr>
          <w:rFonts w:ascii="Arial" w:cs="Arial" w:eastAsia="Arial" w:hAnsi="Arial"/>
          <w:sz w:val="18"/>
          <w:szCs w:val="18"/>
          <w:color w:val="auto"/>
        </w:rPr>
        <w:t>”), shall be made by the Grantee within 2 years from the date of grant, nor within 1 year after the transfer of such ISO Shares to him. To the extent that the Grantee violates the aforementioned limitations, the Incentive Stock Options shall be deemed to be Nonqualified Stock Options.</w:t>
      </w:r>
    </w:p>
    <w:p>
      <w:pPr>
        <w:spacing w:after="0" w:line="188"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Approval</w:t>
      </w:r>
      <w:r>
        <w:rPr>
          <w:rFonts w:ascii="Arial" w:cs="Arial" w:eastAsia="Arial" w:hAnsi="Arial"/>
          <w:sz w:val="18"/>
          <w:szCs w:val="18"/>
          <w:color w:val="auto"/>
        </w:rPr>
        <w:t>. The status of any ISO Shares shall be subject to approval of the Plan by the Company’s</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shareholders, such approval to be provided 12 months before or after the date of adoption of the Plan by the Board of Directors.</w:t>
      </w:r>
    </w:p>
    <w:p>
      <w:pPr>
        <w:spacing w:after="0" w:line="181" w:lineRule="exact"/>
        <w:rPr>
          <w:sz w:val="20"/>
          <w:szCs w:val="20"/>
          <w:color w:val="auto"/>
        </w:rPr>
      </w:pPr>
    </w:p>
    <w:p>
      <w:pPr>
        <w:jc w:val="both"/>
        <w:ind w:left="1100" w:right="119" w:hanging="521"/>
        <w:spacing w:after="0" w:line="276" w:lineRule="auto"/>
        <w:tabs>
          <w:tab w:leader="none" w:pos="10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Exercise Following Termination</w:t>
      </w:r>
      <w:r>
        <w:rPr>
          <w:rFonts w:ascii="Arial" w:cs="Arial" w:eastAsia="Arial" w:hAnsi="Arial"/>
          <w:sz w:val="17"/>
          <w:szCs w:val="17"/>
          <w:color w:val="auto"/>
        </w:rPr>
        <w:t>. Notwithstanding anything else in this Plan to the contrary, Incentive</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Options that are not exercised within ninety (90) days following termination of Grantee’s employment in the Company or its Affiliates and Subsidiaries, or within one year in case of termination of Grantee’s employment in the Company or its Affiliates and Subsidiaries due to a disability (within the meaning of section 22(e)(3) of the Code), shall be deemed to be Nonqualified Stock Options.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9" w:name="page210"/>
    <w:bookmarkEnd w:id="209"/>
    <w:p>
      <w:pPr>
        <w:jc w:val="both"/>
        <w:ind w:left="1020" w:right="119" w:hanging="521"/>
        <w:spacing w:after="0" w:line="273" w:lineRule="auto"/>
        <w:tabs>
          <w:tab w:leader="none" w:pos="10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u w:val="single" w:color="auto"/>
          <w:color w:val="auto"/>
        </w:rPr>
        <w:t>Adjustments to Incentive Stock Options</w:t>
      </w:r>
      <w:r>
        <w:rPr>
          <w:rFonts w:ascii="Arial" w:cs="Arial" w:eastAsia="Arial" w:hAnsi="Arial"/>
          <w:sz w:val="17"/>
          <w:szCs w:val="17"/>
          <w:color w:val="auto"/>
        </w:rPr>
        <w:t>. Any Option Agreement providing for the grant of Incentive Stock</w:t>
      </w:r>
      <w:r>
        <w:rPr>
          <w:rFonts w:ascii="Arial" w:cs="Arial" w:eastAsia="Arial" w:hAnsi="Arial"/>
          <w:sz w:val="17"/>
          <w:szCs w:val="17"/>
          <w:u w:val="single" w:color="auto"/>
          <w:color w:val="auto"/>
        </w:rPr>
        <w:t xml:space="preserve"> </w:t>
      </w:r>
      <w:r>
        <w:rPr>
          <w:rFonts w:ascii="Arial" w:cs="Arial" w:eastAsia="Arial" w:hAnsi="Arial"/>
          <w:sz w:val="17"/>
          <w:szCs w:val="17"/>
          <w:color w:val="auto"/>
        </w:rPr>
        <w:t>Options shall indicate that adjustments made pursuant to the Plan with respect to Incentive Stock Options could constitute a “modification” of such Incentive Stock Options (as that term is defined in Section 424(h) of the Code) or could cause adverse tax consequences for the holder of such Incentive Stock Options and that the holder should consult with his or her tax advisor regarding the consequences of such “modification” on his or her income tax treatment with respect to the Incentive Stock Option.</w:t>
      </w:r>
    </w:p>
    <w:p>
      <w:pPr>
        <w:spacing w:after="0" w:line="178" w:lineRule="exact"/>
        <w:rPr>
          <w:sz w:val="20"/>
          <w:szCs w:val="20"/>
          <w:color w:val="auto"/>
        </w:rPr>
      </w:pPr>
    </w:p>
    <w:p>
      <w:pPr>
        <w:jc w:val="both"/>
        <w:ind w:left="1080" w:right="119" w:hanging="521"/>
        <w:spacing w:after="0" w:line="272" w:lineRule="auto"/>
        <w:tabs>
          <w:tab w:leader="none" w:pos="10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u w:val="single" w:color="auto"/>
          <w:color w:val="auto"/>
        </w:rPr>
        <w:t>Notice to Company of Disqualifying Disposition</w:t>
      </w:r>
      <w:r>
        <w:rPr>
          <w:rFonts w:ascii="Arial" w:cs="Arial" w:eastAsia="Arial" w:hAnsi="Arial"/>
          <w:sz w:val="17"/>
          <w:szCs w:val="17"/>
          <w:color w:val="auto"/>
        </w:rPr>
        <w:t>. Each Grantee who receives an Incentive Stock Option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must agree to notify the Company in writing immediately after the Grantee makes a Disqualifying Disposition of any ISO Shares. A “Disqualifying Disposition” is any disposition (including any sale) of such ISO Shares before the later of (i) two years after the date the Grantee was granted the Incentive Stock Option, or (ii) one year after the date the Grantee acquired Shares by exercising the Incentive Stock Option. If the Grantee dies before such ISO Shares are sold, these holding period requirements do not apply and no disposition of the ISO Shares will be deemed a Disqualifying Disposition.</w:t>
      </w:r>
    </w:p>
    <w:p>
      <w:pPr>
        <w:spacing w:after="0" w:line="192" w:lineRule="exact"/>
        <w:rPr>
          <w:sz w:val="20"/>
          <w:szCs w:val="20"/>
          <w:color w:val="auto"/>
        </w:rPr>
      </w:pPr>
    </w:p>
    <w:p>
      <w:pPr>
        <w:ind w:left="560" w:hanging="435"/>
        <w:spacing w:after="0"/>
        <w:tabs>
          <w:tab w:leader="none" w:pos="560" w:val="left"/>
        </w:tabs>
        <w:numPr>
          <w:ilvl w:val="0"/>
          <w:numId w:val="271"/>
        </w:numPr>
        <w:rPr>
          <w:rFonts w:ascii="Arial" w:cs="Arial" w:eastAsia="Arial" w:hAnsi="Arial"/>
          <w:sz w:val="22"/>
          <w:szCs w:val="22"/>
          <w:color w:val="auto"/>
        </w:rPr>
      </w:pPr>
      <w:r>
        <w:rPr>
          <w:rFonts w:ascii="Arial" w:cs="Arial" w:eastAsia="Arial" w:hAnsi="Arial"/>
          <w:sz w:val="22"/>
          <w:szCs w:val="22"/>
          <w:b w:val="1"/>
          <w:bCs w:val="1"/>
          <w:u w:val="single" w:color="auto"/>
          <w:color w:val="auto"/>
        </w:rPr>
        <w:t>102 OPTION AWARDS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100" w:right="119" w:hanging="521"/>
        <w:spacing w:after="0" w:line="291" w:lineRule="auto"/>
        <w:tabs>
          <w:tab w:leader="none" w:pos="10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Options granted pursuant to this Section 9 are intended to be granted pursuant to Section 102 of the Ordinance pursuant to either (a) Section 102(b)(2) thereof as capital gains track options (“</w:t>
      </w:r>
      <w:r>
        <w:rPr>
          <w:rFonts w:ascii="Arial" w:cs="Arial" w:eastAsia="Arial" w:hAnsi="Arial"/>
          <w:sz w:val="16"/>
          <w:szCs w:val="16"/>
          <w:b w:val="1"/>
          <w:bCs w:val="1"/>
          <w:color w:val="auto"/>
        </w:rPr>
        <w:t>102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Gains Track Options</w:t>
      </w:r>
      <w:r>
        <w:rPr>
          <w:rFonts w:ascii="Arial" w:cs="Arial" w:eastAsia="Arial" w:hAnsi="Arial"/>
          <w:sz w:val="16"/>
          <w:szCs w:val="16"/>
          <w:color w:val="auto"/>
        </w:rPr>
        <w:t>”), or (b) Section 102(b)(1) thereof as ordinary income track options (“</w:t>
      </w:r>
      <w:r>
        <w:rPr>
          <w:rFonts w:ascii="Arial" w:cs="Arial" w:eastAsia="Arial" w:hAnsi="Arial"/>
          <w:sz w:val="16"/>
          <w:szCs w:val="16"/>
          <w:b w:val="1"/>
          <w:bCs w:val="1"/>
          <w:color w:val="auto"/>
        </w:rPr>
        <w:t>102 Ordinary Income Track Options</w:t>
      </w:r>
      <w:r>
        <w:rPr>
          <w:rFonts w:ascii="Arial" w:cs="Arial" w:eastAsia="Arial" w:hAnsi="Arial"/>
          <w:sz w:val="16"/>
          <w:szCs w:val="16"/>
          <w:color w:val="auto"/>
        </w:rPr>
        <w:t>”; together with 102 Capital Gains Track Options, “</w:t>
      </w:r>
      <w:r>
        <w:rPr>
          <w:rFonts w:ascii="Arial" w:cs="Arial" w:eastAsia="Arial" w:hAnsi="Arial"/>
          <w:sz w:val="16"/>
          <w:szCs w:val="16"/>
          <w:b w:val="1"/>
          <w:bCs w:val="1"/>
          <w:color w:val="auto"/>
        </w:rPr>
        <w:t>102 Trustee Options</w:t>
      </w:r>
      <w:r>
        <w:rPr>
          <w:rFonts w:ascii="Arial" w:cs="Arial" w:eastAsia="Arial" w:hAnsi="Arial"/>
          <w:sz w:val="16"/>
          <w:szCs w:val="16"/>
          <w:color w:val="auto"/>
        </w:rPr>
        <w:t>”). 102</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Options shall be granted subject to the following special terms and conditions contained in this Section 9, the general terms and conditions specified in Section 6 hereof and other provisions of the Plan, except for any provisions of the Plan applying to Options under different tax laws or regulations.</w:t>
      </w:r>
    </w:p>
    <w:p>
      <w:pPr>
        <w:spacing w:after="0" w:line="167" w:lineRule="exact"/>
        <w:rPr>
          <w:sz w:val="20"/>
          <w:szCs w:val="20"/>
          <w:color w:val="auto"/>
        </w:rPr>
      </w:pPr>
    </w:p>
    <w:p>
      <w:pPr>
        <w:jc w:val="both"/>
        <w:ind w:left="1020" w:right="119" w:hanging="521"/>
        <w:spacing w:after="0" w:line="270" w:lineRule="auto"/>
        <w:tabs>
          <w:tab w:leader="none" w:pos="10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The Company may grant only one type of 102 Trustee Option at any given time to all Grantees who are to be granted 102 Trustee Options pursuant to this Plan, and shall file an election with the ITA regarding the type of 102 Trustee Option it elects to grant before the date of grant of any 102 Trustee Options (the “</w:t>
      </w:r>
      <w:r>
        <w:rPr>
          <w:rFonts w:ascii="Arial" w:cs="Arial" w:eastAsia="Arial" w:hAnsi="Arial"/>
          <w:sz w:val="17"/>
          <w:szCs w:val="17"/>
          <w:b w:val="1"/>
          <w:bCs w:val="1"/>
          <w:color w:val="auto"/>
        </w:rPr>
        <w:t>Election</w:t>
      </w:r>
      <w:r>
        <w:rPr>
          <w:rFonts w:ascii="Arial" w:cs="Arial" w:eastAsia="Arial" w:hAnsi="Arial"/>
          <w:sz w:val="17"/>
          <w:szCs w:val="17"/>
          <w:color w:val="auto"/>
        </w:rPr>
        <w:t>”). Such Election shall also apply to any bonus shares received by any Grantee as a result of holding the 102 Trustee Options. The Company may change the type of 102 Trustee Option that it elects to grant only after the passage of at least 12 months from the end of the year in which the first grant was made in accordance with the previous Election, or as otherwise provided by Applicable Law. Any Election shall not prevent the Company from granting Options, pursuant to Section 102(c) of the Ordinance without a Trustee (“</w:t>
      </w:r>
      <w:r>
        <w:rPr>
          <w:rFonts w:ascii="Arial" w:cs="Arial" w:eastAsia="Arial" w:hAnsi="Arial"/>
          <w:sz w:val="17"/>
          <w:szCs w:val="17"/>
          <w:b w:val="1"/>
          <w:bCs w:val="1"/>
          <w:color w:val="auto"/>
        </w:rPr>
        <w:t>102 Non-Trustee Options</w:t>
      </w:r>
      <w:r>
        <w:rPr>
          <w:rFonts w:ascii="Arial" w:cs="Arial" w:eastAsia="Arial" w:hAnsi="Arial"/>
          <w:sz w:val="17"/>
          <w:szCs w:val="17"/>
          <w:color w:val="auto"/>
        </w:rPr>
        <w:t>”).</w:t>
      </w:r>
    </w:p>
    <w:p>
      <w:pPr>
        <w:spacing w:after="0" w:line="182" w:lineRule="exact"/>
        <w:rPr>
          <w:sz w:val="20"/>
          <w:szCs w:val="20"/>
          <w:color w:val="auto"/>
        </w:rPr>
      </w:pPr>
    </w:p>
    <w:p>
      <w:pPr>
        <w:jc w:val="both"/>
        <w:ind w:left="1040" w:right="119" w:hanging="521"/>
        <w:spacing w:after="0" w:line="312" w:lineRule="auto"/>
        <w:tabs>
          <w:tab w:leader="none" w:pos="10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Each 102 Trustee Option will be deemed granted on the date stated in a written notice to be provided by the Company, provided that on or before such date (i) the Company has provided such notice to the Trustee and (ii) the Grantee has signed all documents required pursuant to Applicable Law and under the Plan.</w:t>
      </w:r>
    </w:p>
    <w:p>
      <w:pPr>
        <w:spacing w:after="0" w:line="147" w:lineRule="exact"/>
        <w:rPr>
          <w:sz w:val="20"/>
          <w:szCs w:val="20"/>
          <w:color w:val="auto"/>
        </w:rPr>
      </w:pPr>
    </w:p>
    <w:p>
      <w:pPr>
        <w:jc w:val="both"/>
        <w:ind w:left="1100" w:right="119" w:hanging="521"/>
        <w:spacing w:after="0" w:line="286" w:lineRule="auto"/>
        <w:tabs>
          <w:tab w:leader="none" w:pos="10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Each 102 Trustee Option, each Share issued pursuant to the exercise of any 102 Trustee Option, and any rights granted thereunder, including, without limitation, bonus shares, shall be allotted and issued to and registered in the name of the Trustee and shall be held in trust for the benefit of the Grantee for a period of not less than the requisite period prescribed by the Ordinance and the Rules or such longer period as set by the Committee (the “</w:t>
      </w:r>
      <w:r>
        <w:rPr>
          <w:rFonts w:ascii="Arial" w:cs="Arial" w:eastAsia="Arial" w:hAnsi="Arial"/>
          <w:sz w:val="16"/>
          <w:szCs w:val="16"/>
          <w:b w:val="1"/>
          <w:bCs w:val="1"/>
          <w:color w:val="auto"/>
        </w:rPr>
        <w:t>Required Holding Period</w:t>
      </w:r>
      <w:r>
        <w:rPr>
          <w:rFonts w:ascii="Arial" w:cs="Arial" w:eastAsia="Arial" w:hAnsi="Arial"/>
          <w:sz w:val="16"/>
          <w:szCs w:val="16"/>
          <w:color w:val="auto"/>
        </w:rPr>
        <w:t>”). In the event that the requirements under Section 102 to qualify an Option as a 102 Trustee Option are not met, then the Option may be treated as a 102 Non-Trustee Option, all in accordance with the provisions of Section 102 and the Rules. After termination of the Required Holding Period, the Trustee may release such 102 Trustee Option and any such Shares, provided that (i) the Trustee has received an acknowledgment from the ITA that the Grantee has paid any applicable taxes due pursuant to the Ordinance or (ii) the Trustee and/or the Company and/or its Affiliate withholds any applicable taxes due pursuant to the Ordinance arising from the 102 Trustee Options and/or any Shares allotted or issued upon exercise of such 102 Trustee Options. The Trustee shall not release any 102 Trustee Options or Shares issued upon exercise thereof prior to the payment in full of the Grantee’s tax liabilities arising from such 102 Trustee Options and/or Shares or the withholding referred to in (ii) above.</w:t>
      </w:r>
    </w:p>
    <w:p>
      <w:pPr>
        <w:spacing w:after="0" w:line="172" w:lineRule="exact"/>
        <w:rPr>
          <w:sz w:val="20"/>
          <w:szCs w:val="20"/>
          <w:color w:val="auto"/>
        </w:rPr>
      </w:pPr>
    </w:p>
    <w:p>
      <w:pPr>
        <w:jc w:val="both"/>
        <w:ind w:left="1060" w:right="119" w:hanging="521"/>
        <w:spacing w:after="0" w:line="264" w:lineRule="auto"/>
        <w:tabs>
          <w:tab w:leader="none" w:pos="1040" w:val="left"/>
        </w:tabs>
        <w:rPr>
          <w:sz w:val="20"/>
          <w:szCs w:val="20"/>
          <w:color w:val="auto"/>
        </w:rPr>
      </w:pPr>
      <w:r>
        <w:rPr>
          <w:rFonts w:ascii="Arial" w:cs="Arial" w:eastAsia="Arial" w:hAnsi="Arial"/>
          <w:sz w:val="18"/>
          <w:szCs w:val="18"/>
          <w:color w:val="auto"/>
        </w:rPr>
        <w:t>9.5.</w:t>
        <w:tab/>
        <w:t>Each 102 Trustee Option shall be subject to the relevant terms of the Ordinance and the Rules, which shall be deemed an integral part of the 102 Trustee Option and shall prevail over any term contained in the Plan or Option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0" w:name="page211"/>
    <w:bookmarkEnd w:id="210"/>
    <w:p>
      <w:pPr>
        <w:jc w:val="both"/>
        <w:ind w:left="1100" w:right="119"/>
        <w:spacing w:after="0" w:line="291" w:lineRule="auto"/>
        <w:rPr>
          <w:sz w:val="20"/>
          <w:szCs w:val="20"/>
          <w:color w:val="auto"/>
        </w:rPr>
      </w:pPr>
      <w:r>
        <w:rPr>
          <w:rFonts w:ascii="Arial" w:cs="Arial" w:eastAsia="Arial" w:hAnsi="Arial"/>
          <w:sz w:val="16"/>
          <w:szCs w:val="16"/>
          <w:color w:val="auto"/>
        </w:rPr>
        <w:t>Agreement which is not consistent therewith. Any provision of the Ordinance, the Rules and any approvals by the Income Tax Commissioner not expressly specified in this Plan or Option Agreement which, as determined by the Committee, are necessary to receive or maintain any tax benefit pursuant to Section 102 shall be binding on the Grantee. The Grantee granted a 102 Trustee Option shall comply with the Ordinance and the terms and conditions of the Trust Agreement entered into between the Company and the Trustee. The Grantee agrees to execute any and all documents, which the Company and/or its Affiliates and/or the Trustee may reasonably determine to be necessary in order to comply with the Ordinance and the Rules.</w:t>
      </w:r>
    </w:p>
    <w:p>
      <w:pPr>
        <w:spacing w:after="0" w:line="167" w:lineRule="exact"/>
        <w:rPr>
          <w:sz w:val="20"/>
          <w:szCs w:val="20"/>
          <w:color w:val="auto"/>
        </w:rPr>
      </w:pPr>
    </w:p>
    <w:p>
      <w:pPr>
        <w:jc w:val="both"/>
        <w:ind w:left="1040" w:right="119" w:hanging="521"/>
        <w:spacing w:after="0" w:line="287" w:lineRule="auto"/>
        <w:tabs>
          <w:tab w:leader="none" w:pos="10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During the Required Holding Period, the Grantee shall not release from trust or sell, assign, transfer or give as collateral, the Shares issuable upon the exercise of a 102 Trustee Option and/or any securities issued or distributed with respect thereto, until the expiration of the Required Holding Period. Notwithstanding the above, if any such sale or release occurs during the Required Holding Period it will result in adverse tax consequences to the Grantee under Section 102 of the Ordinance and the Rules, which shall apply to and shall be borne solely by such Grantee. Subject to the foregoing, the Trustee may, pursuant to a written request from the Grantee, release and transfer such Shares to a designated third party, provided that both of the following conditions have been fulfilled prior to such release or transfer: (i) payment has been made to the ITA of all taxes required to be paid upon the release and transfer of the Shares, and confirmation of such payment has been received by the Trustee and (ii) the Trustee has received written confirmation from the Company that all requirements for such release and transfer have been fulfilled according to the terms of the Company’s corporate documents, the Plan, the Option Agreement and any Applicable Law.</w:t>
      </w:r>
    </w:p>
    <w:p>
      <w:pPr>
        <w:spacing w:after="0" w:line="169" w:lineRule="exact"/>
        <w:rPr>
          <w:sz w:val="20"/>
          <w:szCs w:val="20"/>
          <w:color w:val="auto"/>
        </w:rPr>
      </w:pPr>
    </w:p>
    <w:p>
      <w:pPr>
        <w:jc w:val="both"/>
        <w:ind w:left="1100" w:right="119" w:hanging="521"/>
        <w:spacing w:after="0" w:line="273" w:lineRule="auto"/>
        <w:tabs>
          <w:tab w:leader="none" w:pos="10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color w:val="auto"/>
        </w:rPr>
        <w:t>If a 102 Trustee Option is exercised during the Required Holding Period, the Shares issued upon such exercise shall be issued in the name of the Trustee for the benefit of the Grantee. If such 102 Trustee Option is exercised after the expiration of the Required Holding Period, the Shares issued upon such exercise shall, at the election of the Grantee, either (i) be issued in the name of the Trustee, or (ii) be issued to the Grantee, provided that the Grantee first complies with all applicable provisions of the Plan and all taxes with respect thereto shall have been fully paid to the ITA.</w:t>
      </w:r>
    </w:p>
    <w:p>
      <w:pPr>
        <w:spacing w:after="0" w:line="178" w:lineRule="exact"/>
        <w:rPr>
          <w:sz w:val="20"/>
          <w:szCs w:val="20"/>
          <w:color w:val="auto"/>
        </w:rPr>
      </w:pPr>
    </w:p>
    <w:p>
      <w:pPr>
        <w:jc w:val="both"/>
        <w:ind w:left="1040" w:right="119" w:hanging="521"/>
        <w:spacing w:after="0" w:line="264" w:lineRule="auto"/>
        <w:tabs>
          <w:tab w:leader="none" w:pos="1020" w:val="left"/>
        </w:tabs>
        <w:rPr>
          <w:sz w:val="20"/>
          <w:szCs w:val="20"/>
          <w:color w:val="auto"/>
        </w:rPr>
      </w:pPr>
      <w:r>
        <w:rPr>
          <w:rFonts w:ascii="Arial" w:cs="Arial" w:eastAsia="Arial" w:hAnsi="Arial"/>
          <w:sz w:val="18"/>
          <w:szCs w:val="18"/>
          <w:color w:val="auto"/>
        </w:rPr>
        <w:t>9.8.</w:t>
        <w:tab/>
        <w:t>The foregoing provisions of this Section 9 relating to 102 Trustee Options shall not apply with respect to 102 Non-Trustee Options, which shall, however, be subject to the relevant provisions of Section 102 and the Rules.</w:t>
      </w:r>
    </w:p>
    <w:p>
      <w:pPr>
        <w:spacing w:after="0" w:line="181" w:lineRule="exact"/>
        <w:rPr>
          <w:sz w:val="20"/>
          <w:szCs w:val="20"/>
          <w:color w:val="auto"/>
        </w:rPr>
      </w:pPr>
    </w:p>
    <w:p>
      <w:pPr>
        <w:jc w:val="both"/>
        <w:ind w:left="1060" w:right="119" w:hanging="521"/>
        <w:spacing w:after="0" w:line="286" w:lineRule="auto"/>
        <w:tabs>
          <w:tab w:leader="none" w:pos="10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Upon receipt of a 102 Trustee Option, the Grantee will sign an undertaking to release the Trustee from any liability with respect to any action or decision duly taken and executed in good faith by the Trustee in relation to the Plan, or any 102 Trustee Option or Share granted to such Grantee thereunder.</w:t>
      </w:r>
    </w:p>
    <w:p>
      <w:pPr>
        <w:spacing w:after="0" w:line="179" w:lineRule="exact"/>
        <w:rPr>
          <w:sz w:val="20"/>
          <w:szCs w:val="20"/>
          <w:color w:val="auto"/>
        </w:rPr>
      </w:pPr>
    </w:p>
    <w:p>
      <w:pPr>
        <w:ind w:left="560" w:hanging="435"/>
        <w:spacing w:after="0"/>
        <w:tabs>
          <w:tab w:leader="none" w:pos="560" w:val="left"/>
        </w:tabs>
        <w:numPr>
          <w:ilvl w:val="0"/>
          <w:numId w:val="272"/>
        </w:numPr>
        <w:rPr>
          <w:rFonts w:ascii="Arial" w:cs="Arial" w:eastAsia="Arial" w:hAnsi="Arial"/>
          <w:sz w:val="22"/>
          <w:szCs w:val="22"/>
          <w:color w:val="auto"/>
        </w:rPr>
      </w:pPr>
      <w:r>
        <w:rPr>
          <w:rFonts w:ascii="Arial" w:cs="Arial" w:eastAsia="Arial" w:hAnsi="Arial"/>
          <w:sz w:val="22"/>
          <w:szCs w:val="22"/>
          <w:b w:val="1"/>
          <w:bCs w:val="1"/>
          <w:u w:val="single" w:color="auto"/>
          <w:color w:val="auto"/>
        </w:rPr>
        <w:t>3(9) OPTION AWARD</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100" w:right="119" w:hanging="521"/>
        <w:spacing w:after="0" w:line="312"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Options granted pursuant to this Section 10 are intended to constitute a 3(9) Option Award and shall be granted subject to the general terms and conditions specified in Section 6 hereof and other provisions of the Plan, except for any provisions of the Plan applying to Options under different tax laws or regulations.</w:t>
      </w:r>
    </w:p>
    <w:p>
      <w:pPr>
        <w:spacing w:after="0" w:line="147" w:lineRule="exact"/>
        <w:rPr>
          <w:sz w:val="20"/>
          <w:szCs w:val="20"/>
          <w:color w:val="auto"/>
        </w:rPr>
      </w:pPr>
    </w:p>
    <w:p>
      <w:pPr>
        <w:jc w:val="both"/>
        <w:ind w:left="1100" w:right="119" w:hanging="521"/>
        <w:spacing w:after="0" w:line="254" w:lineRule="auto"/>
        <w:tabs>
          <w:tab w:leader="none" w:pos="1080" w:val="left"/>
        </w:tabs>
        <w:rPr>
          <w:sz w:val="20"/>
          <w:szCs w:val="20"/>
          <w:color w:val="auto"/>
        </w:rPr>
      </w:pPr>
      <w:r>
        <w:rPr>
          <w:rFonts w:ascii="Arial" w:cs="Arial" w:eastAsia="Arial" w:hAnsi="Arial"/>
          <w:sz w:val="18"/>
          <w:szCs w:val="18"/>
          <w:color w:val="auto"/>
        </w:rPr>
        <w:t>10.2.</w:t>
        <w:tab/>
        <w:t>To the extent required by the Ordinance or the ITA or otherwise deemed by the Committee prudent or advisable, the 3(9) Option Awards granted pursuant to the Plan shall be issued to a Trustee nominated by the Committee in accordance with the provisions of the Ordinance. In such event, the Trustee shall hold such Options in trust, until exercised by the Grantee, pursuant to the Company’s instructions from time to time as set forth in a trust agreement, which will be entered into between the Company and the Trustee. If determined by the Board of Directors or the Committee, and subject to such trust agreement the Trustee shall be responsible for withholding any taxes to which a Grantee may become liable upon the exercise of Options.</w:t>
      </w:r>
    </w:p>
    <w:p>
      <w:pPr>
        <w:spacing w:after="0" w:line="206" w:lineRule="exact"/>
        <w:rPr>
          <w:sz w:val="20"/>
          <w:szCs w:val="20"/>
          <w:color w:val="auto"/>
        </w:rPr>
      </w:pPr>
    </w:p>
    <w:p>
      <w:pPr>
        <w:ind w:left="540" w:hanging="415"/>
        <w:spacing w:after="0"/>
        <w:tabs>
          <w:tab w:leader="none" w:pos="540" w:val="left"/>
        </w:tabs>
        <w:numPr>
          <w:ilvl w:val="0"/>
          <w:numId w:val="273"/>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SHARES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The Committee may award Restricted Shares to any eligible Grantee, including under Section 102 of the Ordinance. Each Award of Restricted Shares under the Plan shall be evidenced by a written agreement between the Company and the Grantee (the “</w:t>
      </w:r>
      <w:r>
        <w:rPr>
          <w:rFonts w:ascii="Arial" w:cs="Arial" w:eastAsia="Arial" w:hAnsi="Arial"/>
          <w:sz w:val="18"/>
          <w:szCs w:val="18"/>
          <w:b w:val="1"/>
          <w:bCs w:val="1"/>
          <w:color w:val="auto"/>
        </w:rPr>
        <w:t>Restricted Share Agreement</w:t>
      </w:r>
      <w:r>
        <w:rPr>
          <w:rFonts w:ascii="Arial" w:cs="Arial" w:eastAsia="Arial" w:hAnsi="Arial"/>
          <w:sz w:val="18"/>
          <w:szCs w:val="18"/>
          <w:color w:val="auto"/>
        </w:rPr>
        <w:t>”), in such form as the Committee shall from time to time approve. The Restricted Share Agreement shall comply with and be subject to the following terms and conditions, unless otherwise specifically provided in such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1" w:name="page212"/>
    <w:bookmarkEnd w:id="211"/>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Number of Shares</w:t>
      </w:r>
      <w:r>
        <w:rPr>
          <w:rFonts w:ascii="Arial" w:cs="Arial" w:eastAsia="Arial" w:hAnsi="Arial"/>
          <w:sz w:val="18"/>
          <w:szCs w:val="18"/>
          <w:color w:val="auto"/>
        </w:rPr>
        <w:t>. Each Restricted Share Agreement shall state the number of Shares covered by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Award.</w:t>
      </w:r>
    </w:p>
    <w:p>
      <w:pPr>
        <w:spacing w:after="0" w:line="184" w:lineRule="exact"/>
        <w:rPr>
          <w:sz w:val="20"/>
          <w:szCs w:val="20"/>
          <w:color w:val="auto"/>
        </w:rPr>
      </w:pPr>
    </w:p>
    <w:p>
      <w:pPr>
        <w:jc w:val="both"/>
        <w:ind w:left="1100" w:right="119" w:hanging="521"/>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Restricted Share Agreement may state an amount of purchase price to be paid by the Grantee in consideration for the issuance of the Restricted Shares and the terms of payment thereof, which may include, payment by issuance of promissory notes or other evidence of indebtedness on such terms and conditions as determined by the Committee.</w:t>
      </w:r>
    </w:p>
    <w:p>
      <w:pPr>
        <w:spacing w:after="0" w:line="214" w:lineRule="exact"/>
        <w:rPr>
          <w:sz w:val="20"/>
          <w:szCs w:val="20"/>
          <w:color w:val="auto"/>
        </w:rPr>
      </w:pPr>
    </w:p>
    <w:p>
      <w:pPr>
        <w:jc w:val="both"/>
        <w:ind w:left="1080" w:right="119" w:hanging="521"/>
        <w:spacing w:after="0" w:line="273" w:lineRule="auto"/>
        <w:tabs>
          <w:tab w:leader="none" w:pos="10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Vesting</w:t>
      </w:r>
      <w:r>
        <w:rPr>
          <w:rFonts w:ascii="Arial" w:cs="Arial" w:eastAsia="Arial" w:hAnsi="Arial"/>
          <w:sz w:val="17"/>
          <w:szCs w:val="17"/>
          <w:color w:val="auto"/>
        </w:rPr>
        <w:t>. Each Restricted Share Agreement shall provide the vesting schedule for the Restricted Shares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determined by the Committee, provided that (to the extent permitted under Applicable Law) the Committee shall have the authority to determine the vesting schedule and accelerate the vesting of any outstanding Restricted Share at such time and under such circumstances as it, in its sole discretion, deems appropriate. Unless otherwise resolved by the Committee and stated in the Restricted Share Agreement, Restricted Shares shall vest in the same vesting schedule as set forth in Section 6.5 hereof.</w:t>
      </w:r>
    </w:p>
    <w:p>
      <w:pPr>
        <w:spacing w:after="0" w:line="192" w:lineRule="exact"/>
        <w:rPr>
          <w:sz w:val="20"/>
          <w:szCs w:val="20"/>
          <w:color w:val="auto"/>
        </w:rPr>
      </w:pPr>
    </w:p>
    <w:p>
      <w:pPr>
        <w:jc w:val="both"/>
        <w:ind w:left="1080" w:right="119" w:hanging="521"/>
        <w:spacing w:after="0" w:line="285" w:lineRule="auto"/>
        <w:tabs>
          <w:tab w:leader="none" w:pos="10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hypothecated or otherwise</w:t>
      </w:r>
      <w:r>
        <w:rPr>
          <w:rFonts w:ascii="Arial" w:cs="Arial" w:eastAsia="Arial" w:hAnsi="Arial"/>
          <w:sz w:val="16"/>
          <w:szCs w:val="16"/>
          <w:u w:val="single" w:color="auto"/>
          <w:color w:val="auto"/>
        </w:rPr>
        <w:t xml:space="preserve"> </w:t>
      </w:r>
      <w:r>
        <w:rPr>
          <w:rFonts w:ascii="Arial" w:cs="Arial" w:eastAsia="Arial" w:hAnsi="Arial"/>
          <w:sz w:val="16"/>
          <w:szCs w:val="16"/>
          <w:color w:val="auto"/>
        </w:rPr>
        <w:t>disposed of, except by will or the laws of descent and distribution, for such period as the Committee shall determine from the date on which the Award is granted (the “</w:t>
      </w:r>
      <w:r>
        <w:rPr>
          <w:rFonts w:ascii="Arial" w:cs="Arial" w:eastAsia="Arial" w:hAnsi="Arial"/>
          <w:sz w:val="16"/>
          <w:szCs w:val="16"/>
          <w:b w:val="1"/>
          <w:bCs w:val="1"/>
          <w:color w:val="auto"/>
        </w:rPr>
        <w:t>Restricted Period</w:t>
      </w:r>
      <w:r>
        <w:rPr>
          <w:rFonts w:ascii="Arial" w:cs="Arial" w:eastAsia="Arial" w:hAnsi="Arial"/>
          <w:sz w:val="16"/>
          <w:szCs w:val="16"/>
          <w:color w:val="auto"/>
        </w:rPr>
        <w:t>”). The Committee may also impose such additional or alternative restrictions and conditions on the Restricted Shares, as it deems appropriate, including the satisfaction of performance criteria. Such performance criteria may include, but are not limited to, sales, earnings before interest and taxes, return on investment, earnings per share, any combination of the foregoing or rate of growth of any of the foregoing, as determined by the Committee. Certificates for shares issued pursuant to Restricted Share Awards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by the Trustee. In determining the Restricted Period of an Award the Committee may provide that the foregoing restrictions shall lapse with respect to specified percentages of the awarded Restricted Shares on successive anniversaries of the date of such Award. To the extent required by the Ordinance or the ITA, the Restricted Shares issued pursuant to Section 102 of the Ordinance shall be issued to the Trustee in accordance with the provisions of the Ordinance and the Restricted Shares shall be held for the benefit of the Grantee for such period as may be required by the Ordinance.</w:t>
      </w:r>
    </w:p>
    <w:p>
      <w:pPr>
        <w:spacing w:after="0" w:line="189" w:lineRule="exact"/>
        <w:rPr>
          <w:sz w:val="20"/>
          <w:szCs w:val="20"/>
          <w:color w:val="auto"/>
        </w:rPr>
      </w:pPr>
    </w:p>
    <w:p>
      <w:pPr>
        <w:jc w:val="both"/>
        <w:ind w:left="1100" w:right="119" w:hanging="521"/>
        <w:spacing w:after="0" w:line="255" w:lineRule="auto"/>
        <w:tabs>
          <w:tab w:leader="none" w:pos="10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Adjustment of Performance Goals</w:t>
      </w:r>
      <w:r>
        <w:rPr>
          <w:rFonts w:ascii="Arial" w:cs="Arial" w:eastAsia="Arial" w:hAnsi="Arial"/>
          <w:sz w:val="18"/>
          <w:szCs w:val="18"/>
          <w:color w:val="auto"/>
        </w:rPr>
        <w:t>. The Committee may adjust performance goals to take into account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changes in law and accounting and tax rules and to make such adjustments as the Committee deems necessary or appropriate to reflect the inclusion or the exclusion of the impact of extraordinary or unusual items, events or circumstances. The Committee also may adjust the performance goals by reducing the amount to be received by any Grantee pursuant to an Award if and to the extent that the Committee deems it appropriate.</w:t>
      </w:r>
    </w:p>
    <w:p>
      <w:pPr>
        <w:spacing w:after="0" w:line="220" w:lineRule="exact"/>
        <w:rPr>
          <w:sz w:val="20"/>
          <w:szCs w:val="20"/>
          <w:color w:val="auto"/>
        </w:rPr>
      </w:pPr>
    </w:p>
    <w:p>
      <w:pPr>
        <w:jc w:val="both"/>
        <w:ind w:left="1100" w:right="119" w:hanging="521"/>
        <w:spacing w:after="0" w:line="270" w:lineRule="auto"/>
        <w:tabs>
          <w:tab w:leader="none" w:pos="10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u w:val="single" w:color="auto"/>
          <w:color w:val="auto"/>
        </w:rPr>
        <w:t>Forfeiture</w:t>
      </w:r>
      <w:r>
        <w:rPr>
          <w:rFonts w:ascii="Arial" w:cs="Arial" w:eastAsia="Arial" w:hAnsi="Arial"/>
          <w:sz w:val="17"/>
          <w:szCs w:val="17"/>
          <w:color w:val="auto"/>
        </w:rPr>
        <w:t>. Subject to such exceptions as may be determined by the Committee, if the Grantee’s</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continuous employment with the Company or any Subsidiary or Affiliate shall terminate for any reason prior to the expiration of the vesting date or Restricted Period of an Award or prior to the payment in full of the purchase price of any Restricted Shares with respect to which the vesting date or the Restricted Period has expired, any shares remaining subject to vesting or restrictions or with respect to which the purchase price has not been paid in full, shall thereupon be forfeited and shall be deemed transferred to, and reacquired by, or cancelled by, as the case may be, the Company or a Subsidiary at no cost to the Company or Subsidiary, subject to all Applicable Laws. Upon forfeiture of Restricted Shares, the Grantee shall have no further rights with respect to such Restricted Shares.</w:t>
      </w:r>
    </w:p>
    <w:p>
      <w:pPr>
        <w:spacing w:after="0" w:line="195" w:lineRule="exact"/>
        <w:rPr>
          <w:sz w:val="20"/>
          <w:szCs w:val="20"/>
          <w:color w:val="auto"/>
        </w:rPr>
      </w:pPr>
    </w:p>
    <w:p>
      <w:pPr>
        <w:jc w:val="both"/>
        <w:ind w:left="1100" w:right="119" w:hanging="521"/>
        <w:spacing w:after="0" w:line="257" w:lineRule="auto"/>
        <w:tabs>
          <w:tab w:leader="none" w:pos="10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Ownership</w:t>
      </w:r>
      <w:r>
        <w:rPr>
          <w:rFonts w:ascii="Arial" w:cs="Arial" w:eastAsia="Arial" w:hAnsi="Arial"/>
          <w:sz w:val="18"/>
          <w:szCs w:val="18"/>
          <w:color w:val="auto"/>
        </w:rPr>
        <w:t>. During the Restricted Period the Grantee shall possess all incidents of ownership of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Restricted Shares, subject to Section 6.9 and Section 11.4, including the right to receive dividends with respect to such shares. All distributions, if any, received by a Grantee with respect to Restricted Shares as a result of any stock split, stock dividend, combination of shares, or other similar transaction shall be subject to the restrictions applicable to the original Award.</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2" w:name="page213"/>
    <w:bookmarkEnd w:id="212"/>
    <w:p>
      <w:pPr>
        <w:ind w:left="560" w:hanging="435"/>
        <w:spacing w:after="0"/>
        <w:tabs>
          <w:tab w:leader="none" w:pos="560" w:val="left"/>
        </w:tabs>
        <w:numPr>
          <w:ilvl w:val="0"/>
          <w:numId w:val="274"/>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SHARE UNITS.</w:t>
      </w:r>
    </w:p>
    <w:p>
      <w:pPr>
        <w:spacing w:after="0" w:line="229" w:lineRule="exact"/>
        <w:rPr>
          <w:sz w:val="20"/>
          <w:szCs w:val="20"/>
          <w:color w:val="auto"/>
        </w:rPr>
      </w:pPr>
    </w:p>
    <w:p>
      <w:pPr>
        <w:jc w:val="both"/>
        <w:ind w:left="1080" w:right="119" w:hanging="521"/>
        <w:spacing w:after="0" w:line="272" w:lineRule="auto"/>
        <w:tabs>
          <w:tab w:leader="none" w:pos="10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 Restricted Share Unit (an “</w:t>
      </w:r>
      <w:r>
        <w:rPr>
          <w:rFonts w:ascii="Arial" w:cs="Arial" w:eastAsia="Arial" w:hAnsi="Arial"/>
          <w:sz w:val="17"/>
          <w:szCs w:val="17"/>
          <w:b w:val="1"/>
          <w:bCs w:val="1"/>
          <w:color w:val="auto"/>
        </w:rPr>
        <w:t>RSU</w:t>
      </w:r>
      <w:r>
        <w:rPr>
          <w:rFonts w:ascii="Arial" w:cs="Arial" w:eastAsia="Arial" w:hAnsi="Arial"/>
          <w:sz w:val="17"/>
          <w:szCs w:val="17"/>
          <w:color w:val="auto"/>
        </w:rPr>
        <w:t>”) is an Award covering a number of Shares that is settled by issuance of those Shares. An RSU may be awarded to any eligible Grantee, including under Section 102 of the Ordinance. Each grant of RSUs under the Plan shall be evidenced by a written agreement between the Company and the Grantee (the “</w:t>
      </w:r>
      <w:r>
        <w:rPr>
          <w:rFonts w:ascii="Arial" w:cs="Arial" w:eastAsia="Arial" w:hAnsi="Arial"/>
          <w:sz w:val="17"/>
          <w:szCs w:val="17"/>
          <w:b w:val="1"/>
          <w:bCs w:val="1"/>
          <w:color w:val="auto"/>
        </w:rPr>
        <w:t>Restricted Share Unit Agreement</w:t>
      </w:r>
      <w:r>
        <w:rPr>
          <w:rFonts w:ascii="Arial" w:cs="Arial" w:eastAsia="Arial" w:hAnsi="Arial"/>
          <w:sz w:val="17"/>
          <w:szCs w:val="17"/>
          <w:color w:val="auto"/>
        </w:rPr>
        <w:t>”), in such form as the Committee shall from time to time approve. Such RSUs shall be subject to all applicable terms of the Plan and may be subject to any other terms that are not inconsistent with the Plan. The provisions of the various Restricted Share Unit Agreements entered into under the Plan need not be identical. RSUs may be granted in consideration of a reduction in the recipient’s other compensation.</w:t>
      </w:r>
    </w:p>
    <w:p>
      <w:pPr>
        <w:spacing w:after="0" w:line="190"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12.2.</w:t>
        <w:tab/>
        <w:t>Other than the par value of the Shares, no payment of cash shall be required as consideration for RSUs. RSUs may or may not be subject to vesting. Vesting shall occur, in full or in installments, upon satisfaction of the conditions specified in the Restricted Share Unit Agreement.</w:t>
      </w:r>
    </w:p>
    <w:p>
      <w:pPr>
        <w:spacing w:after="0" w:line="181" w:lineRule="exact"/>
        <w:rPr>
          <w:sz w:val="20"/>
          <w:szCs w:val="20"/>
          <w:color w:val="auto"/>
        </w:rPr>
      </w:pPr>
    </w:p>
    <w:p>
      <w:pPr>
        <w:jc w:val="both"/>
        <w:ind w:left="1080" w:right="119" w:hanging="521"/>
        <w:spacing w:after="0" w:line="272" w:lineRule="auto"/>
        <w:tabs>
          <w:tab w:leader="none" w:pos="10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Without limitation of Section 6.9, no voting or dividend rights as a shareholder shall exist prior to the actual issuance of Shares in the name of the Grantee. Notwithstanding anything else in this Plan (as may be amended from time to time) to the contrary, unless otherwise specified by the Committee, each RSU shall be for a term of seven (7) years. Each Restricted Share Unit Agreement shall specify its term and any conditions on the time or times for settlement, and provide for expiration prior to the end of its term in the event of termination of employment or service providing to the Company, and may provide for earlier settlement in the event of the Grantee’s death, Disability or other events.</w:t>
      </w:r>
    </w:p>
    <w:p>
      <w:pPr>
        <w:spacing w:after="0" w:line="191" w:lineRule="exact"/>
        <w:rPr>
          <w:sz w:val="20"/>
          <w:szCs w:val="20"/>
          <w:color w:val="auto"/>
        </w:rPr>
      </w:pPr>
    </w:p>
    <w:p>
      <w:pPr>
        <w:jc w:val="both"/>
        <w:ind w:left="1060" w:right="119" w:hanging="521"/>
        <w:spacing w:after="0" w:line="257" w:lineRule="auto"/>
        <w:tabs>
          <w:tab w:leader="none" w:pos="1040" w:val="left"/>
        </w:tabs>
        <w:rPr>
          <w:sz w:val="20"/>
          <w:szCs w:val="20"/>
          <w:color w:val="auto"/>
        </w:rPr>
      </w:pPr>
      <w:r>
        <w:rPr>
          <w:rFonts w:ascii="Arial" w:cs="Arial" w:eastAsia="Arial" w:hAnsi="Arial"/>
          <w:sz w:val="18"/>
          <w:szCs w:val="18"/>
          <w:color w:val="auto"/>
        </w:rPr>
        <w:t>12.4.</w:t>
        <w:tab/>
        <w:t>Settlement of vested RSUs shall be made in the form of Shares. Distribution to a Grantee of an amount (or amounts) from settlement of vested RSUs can be deferred to a date after settlement as determined by the Committee. The amount of a deferred distribution may be increased by an interest factor or by dividend equivalents. Until the grant of RSUs is settled, the number of such RSUs shall be subject to adjustment pursuant hereto.</w:t>
      </w:r>
    </w:p>
    <w:p>
      <w:pPr>
        <w:spacing w:after="0" w:line="202" w:lineRule="exact"/>
        <w:rPr>
          <w:sz w:val="20"/>
          <w:szCs w:val="20"/>
          <w:color w:val="auto"/>
        </w:rPr>
      </w:pPr>
    </w:p>
    <w:p>
      <w:pPr>
        <w:ind w:left="560" w:hanging="435"/>
        <w:spacing w:after="0"/>
        <w:tabs>
          <w:tab w:leader="none" w:pos="560" w:val="left"/>
        </w:tabs>
        <w:numPr>
          <w:ilvl w:val="0"/>
          <w:numId w:val="275"/>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SHARE OR SHARE-BASED AWARDS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69" w:lineRule="auto"/>
        <w:rPr>
          <w:sz w:val="20"/>
          <w:szCs w:val="20"/>
          <w:color w:val="auto"/>
        </w:rPr>
      </w:pPr>
      <w:r>
        <w:rPr>
          <w:rFonts w:ascii="Arial" w:cs="Arial" w:eastAsia="Arial" w:hAnsi="Arial"/>
          <w:sz w:val="17"/>
          <w:szCs w:val="17"/>
          <w:color w:val="auto"/>
        </w:rPr>
        <w:t>The Committee may grant other Awards under the Plan pursuant to which Shares (which may, but need not, be Restricted Shares pursuant to Section 11 hereof), cash or a combination thereof, are or may in the future be acquired or received, or Awards denominated in stock units, including units valued on the basis of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in respect to which the right was granted exceeds the exercise price thereof. The Committee may, and it is hereby deemed to be an Award under the terms of the Plan, grant to Grantees (including employees) the opportunity to purchase Shares of the Company in connection with any public offerings of the Company’s securities. Such other Share based Awards may be granted alone, in addition to, or in tandem with any Award of any type granted under the plan and must be consistent with the purposes of the Plan.</w:t>
      </w:r>
    </w:p>
    <w:p>
      <w:pPr>
        <w:spacing w:after="0" w:line="210" w:lineRule="exact"/>
        <w:rPr>
          <w:sz w:val="20"/>
          <w:szCs w:val="20"/>
          <w:color w:val="auto"/>
        </w:rPr>
      </w:pPr>
    </w:p>
    <w:p>
      <w:pPr>
        <w:ind w:left="560" w:hanging="435"/>
        <w:spacing w:after="0"/>
        <w:tabs>
          <w:tab w:leader="none" w:pos="560" w:val="left"/>
        </w:tabs>
        <w:numPr>
          <w:ilvl w:val="0"/>
          <w:numId w:val="276"/>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CERTAIN CHANGES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080" w:right="119" w:hanging="521"/>
        <w:spacing w:after="0" w:line="289" w:lineRule="auto"/>
        <w:tabs>
          <w:tab w:leader="none" w:pos="10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In the event of a subdivision of the outstanding share capital of the Company, any payment of a</w:t>
      </w:r>
      <w:r>
        <w:rPr>
          <w:rFonts w:ascii="Arial" w:cs="Arial" w:eastAsia="Arial" w:hAnsi="Arial"/>
          <w:sz w:val="16"/>
          <w:szCs w:val="16"/>
          <w:u w:val="single" w:color="auto"/>
          <w:color w:val="auto"/>
        </w:rPr>
        <w:t xml:space="preserve"> </w:t>
      </w:r>
      <w:r>
        <w:rPr>
          <w:rFonts w:ascii="Arial" w:cs="Arial" w:eastAsia="Arial" w:hAnsi="Arial"/>
          <w:sz w:val="16"/>
          <w:szCs w:val="16"/>
          <w:color w:val="auto"/>
        </w:rPr>
        <w:t>stock dividend (distribution of bonus shares), a recapitalization, a reorganization (which may include a combination or exchange of shares), a consolidation, a stock split, a reverse stock split, a spin-off or other corporate divestiture or division, a reclassification or other similar occurrence, the Committee shall make such adjustments as determined by the Committee to be appropriate in order to adjust (i) the number of Shares available for grants of Awards, (ii) the number of Shares covered by outstanding Awards, and (iii) the exercise price per share covered by any Award; provided, however, that any fractional shares resulting from such adjustment shall be rounded down to the nearest whole share and that the Company shall have no obligation to make any cash or other payment with respect to such fractional shares.</w:t>
      </w:r>
    </w:p>
    <w:p>
      <w:pPr>
        <w:spacing w:after="0" w:line="167"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u w:val="single" w:color="auto"/>
          <w:color w:val="auto"/>
        </w:rPr>
        <w:t>Merger and Sale of Company</w:t>
      </w:r>
      <w:r>
        <w:rPr>
          <w:rFonts w:ascii="Arial" w:cs="Arial" w:eastAsia="Arial" w:hAnsi="Arial"/>
          <w:sz w:val="18"/>
          <w:szCs w:val="18"/>
          <w:color w:val="auto"/>
        </w:rPr>
        <w:t>. In the event of (i) a sale of all or substantially all of the assets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or (ii) a sale (including an exchange) of all or substantially all of the shares of the Company, or an acquisition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213" w:name="page214"/>
    <w:bookmarkEnd w:id="213"/>
    <w:p>
      <w:pPr>
        <w:jc w:val="both"/>
        <w:ind w:left="1100" w:right="119"/>
        <w:spacing w:after="0" w:line="288" w:lineRule="auto"/>
        <w:rPr>
          <w:sz w:val="20"/>
          <w:szCs w:val="20"/>
          <w:color w:val="auto"/>
        </w:rPr>
      </w:pPr>
      <w:r>
        <w:rPr>
          <w:rFonts w:ascii="Arial" w:cs="Arial" w:eastAsia="Arial" w:hAnsi="Arial"/>
          <w:sz w:val="16"/>
          <w:szCs w:val="16"/>
          <w:color w:val="auto"/>
        </w:rPr>
        <w:t>by a shareholder of the Company or by an Affiliate of such shareholder, of all the shares of the Company held by other shareholders or by other shareholders who are not Affiliated with such acquiring party; (iii) a merger, consolidation, amalgamation or like transaction of the Company with or into another corporation;</w:t>
      </w:r>
    </w:p>
    <w:p>
      <w:pPr>
        <w:jc w:val="both"/>
        <w:ind w:left="1100" w:right="119" w:hanging="3"/>
        <w:spacing w:after="0" w:line="295" w:lineRule="auto"/>
        <w:tabs>
          <w:tab w:leader="none" w:pos="141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 scheme of arrangement for the purpose of effecting such sale, merger or amalgamation; or (v) such other transaction or set of circumstances that is determined by the Committee, in its discretion, to be a transaction having a similar effect (all such transactions being herein referred to as a “</w:t>
      </w:r>
      <w:r>
        <w:rPr>
          <w:rFonts w:ascii="Arial" w:cs="Arial" w:eastAsia="Arial" w:hAnsi="Arial"/>
          <w:sz w:val="16"/>
          <w:szCs w:val="16"/>
          <w:b w:val="1"/>
          <w:bCs w:val="1"/>
          <w:color w:val="auto"/>
        </w:rPr>
        <w:t>Merger/Sale</w:t>
      </w:r>
      <w:r>
        <w:rPr>
          <w:rFonts w:ascii="Arial" w:cs="Arial" w:eastAsia="Arial" w:hAnsi="Arial"/>
          <w:sz w:val="16"/>
          <w:szCs w:val="16"/>
          <w:color w:val="auto"/>
        </w:rPr>
        <w:t>”), then, without the Grantee’s consent and action and without any prior notice requirement:</w:t>
      </w:r>
    </w:p>
    <w:p>
      <w:pPr>
        <w:spacing w:after="0" w:line="162" w:lineRule="exact"/>
        <w:rPr>
          <w:sz w:val="20"/>
          <w:szCs w:val="20"/>
          <w:color w:val="auto"/>
        </w:rPr>
      </w:pPr>
    </w:p>
    <w:p>
      <w:pPr>
        <w:jc w:val="both"/>
        <w:ind w:left="1740" w:right="119" w:hanging="647"/>
        <w:spacing w:after="0" w:line="302" w:lineRule="auto"/>
        <w:rPr>
          <w:sz w:val="20"/>
          <w:szCs w:val="20"/>
          <w:color w:val="auto"/>
        </w:rPr>
      </w:pPr>
      <w:r>
        <w:rPr>
          <w:rFonts w:ascii="Arial" w:cs="Arial" w:eastAsia="Arial" w:hAnsi="Arial"/>
          <w:sz w:val="16"/>
          <w:szCs w:val="16"/>
          <w:color w:val="auto"/>
        </w:rPr>
        <w:t>14.2.1. unless otherwise determined by the Committee in its sole and absolute discretion, any Award then outstanding shall be assumed or an equivalent Award shall be substituted by such successor corporation of the Merger/Sale or any parent or Affiliate thereof as determined by the Board in its discretion (the “</w:t>
      </w:r>
      <w:r>
        <w:rPr>
          <w:rFonts w:ascii="Arial" w:cs="Arial" w:eastAsia="Arial" w:hAnsi="Arial"/>
          <w:sz w:val="16"/>
          <w:szCs w:val="16"/>
          <w:b w:val="1"/>
          <w:bCs w:val="1"/>
          <w:color w:val="auto"/>
        </w:rPr>
        <w:t>Successor Corporation</w:t>
      </w:r>
      <w:r>
        <w:rPr>
          <w:rFonts w:ascii="Arial" w:cs="Arial" w:eastAsia="Arial" w:hAnsi="Arial"/>
          <w:sz w:val="16"/>
          <w:szCs w:val="16"/>
          <w:color w:val="auto"/>
        </w:rPr>
        <w:t>”), under substantially the same terms as the Award;</w:t>
      </w:r>
    </w:p>
    <w:p>
      <w:pPr>
        <w:spacing w:after="0" w:line="154" w:lineRule="exact"/>
        <w:rPr>
          <w:sz w:val="20"/>
          <w:szCs w:val="20"/>
          <w:color w:val="auto"/>
        </w:rPr>
      </w:pPr>
    </w:p>
    <w:p>
      <w:pPr>
        <w:jc w:val="both"/>
        <w:ind w:left="1740" w:right="119" w:firstLine="108"/>
        <w:spacing w:after="0" w:line="286" w:lineRule="auto"/>
        <w:rPr>
          <w:sz w:val="20"/>
          <w:szCs w:val="20"/>
          <w:color w:val="auto"/>
        </w:rPr>
      </w:pPr>
      <w:r>
        <w:rPr>
          <w:rFonts w:ascii="Arial" w:cs="Arial" w:eastAsia="Arial" w:hAnsi="Arial"/>
          <w:sz w:val="16"/>
          <w:szCs w:val="16"/>
          <w:color w:val="auto"/>
        </w:rPr>
        <w:t>For the purposes of this Section 14.2.1, the Award shall be considered assumed if, following a Merger/Sale, the Award confers on the holder thereof the right to purchase or receive, for each Share underlying an Award immediately prior to the Merger/Sale, either (i) the consideration (whether stock, cash, or other securities or property) distributed to or received by holders of Shares in the Merger/Sale for each Share held on the effective date of the Merger/Sale (and if holders were offered a choice of consideration, the type of consideration chosen by the holders of a majority of the outstanding Shares), which may be subject to vesting and other terms as determined by the Committee in its discretion, or (ii) regardless of the consideration received by the holders of Shares in the Merger/Sale, solely shares (or their equivalent) of the Successor Corporation at a value to be determined by the Committee in its discretion, which may be subject to vesting and other terms as determined by the Committee in its discretion. The foregoing shall not limit the Committee authority to determine, in its sole discretion, that in lieu of such assumption or substitution of Awards for Awards of the Successor Corporation, such Award will be substituted for any other type of asset or property, including under Section 14.2.2 hereunder.</w:t>
      </w:r>
    </w:p>
    <w:p>
      <w:pPr>
        <w:spacing w:after="0" w:line="172" w:lineRule="exact"/>
        <w:rPr>
          <w:sz w:val="20"/>
          <w:szCs w:val="20"/>
          <w:color w:val="auto"/>
        </w:rPr>
      </w:pPr>
    </w:p>
    <w:p>
      <w:pPr>
        <w:jc w:val="both"/>
        <w:ind w:left="1740" w:right="119" w:hanging="647"/>
        <w:spacing w:after="0" w:line="252" w:lineRule="auto"/>
        <w:rPr>
          <w:sz w:val="20"/>
          <w:szCs w:val="20"/>
          <w:color w:val="auto"/>
        </w:rPr>
      </w:pPr>
      <w:r>
        <w:rPr>
          <w:rFonts w:ascii="Arial" w:cs="Arial" w:eastAsia="Arial" w:hAnsi="Arial"/>
          <w:sz w:val="18"/>
          <w:szCs w:val="18"/>
          <w:color w:val="auto"/>
        </w:rPr>
        <w:t>14.2.2. In the event that the Awards are not assumed or substituted by an equivalent Award, then the Committee may (but shall not be obligated to), in lieu of such assumption or substitution of the Award and in its sole discretion, (i) provide for the Grantee to have the right to exercise the Award, or otherwise for the acceleration of vesting of such Award, as to all or part of the Shares, including Shares covered by the Award which would not otherwise be exercisable or vested, under such terms and conditions as the Committee shall determine, including the cancellation of all unexercised Awards upon closing of the Merger/Sale; and/or (ii) provide for the cancellation of each outstanding Award at the closing of such Merger/Sale, and payment to the Grantee of an amount in cash as determined by the Committee to be fair in the circumstances (with full authority to determine the method for making such determination, which may be Black-Scholes model or any other method, and which determination shall be conclusive and binding on all parties), and subject to such terms and conditions as determined by the Committee.</w:t>
      </w:r>
    </w:p>
    <w:p>
      <w:pPr>
        <w:spacing w:after="0" w:line="200" w:lineRule="exact"/>
        <w:rPr>
          <w:sz w:val="20"/>
          <w:szCs w:val="20"/>
          <w:color w:val="auto"/>
        </w:rPr>
      </w:pPr>
    </w:p>
    <w:p>
      <w:pPr>
        <w:jc w:val="both"/>
        <w:ind w:left="1740" w:right="119" w:hanging="647"/>
        <w:spacing w:after="0" w:line="286" w:lineRule="auto"/>
        <w:rPr>
          <w:sz w:val="20"/>
          <w:szCs w:val="20"/>
          <w:color w:val="auto"/>
        </w:rPr>
      </w:pPr>
      <w:r>
        <w:rPr>
          <w:rFonts w:ascii="Arial" w:cs="Arial" w:eastAsia="Arial" w:hAnsi="Arial"/>
          <w:sz w:val="16"/>
          <w:szCs w:val="16"/>
          <w:color w:val="auto"/>
        </w:rPr>
        <w:t xml:space="preserve">14.2.3. Notwithstanding the foregoing, in the event of a Merger/Sale, the Committee may determine, in its sole discretion, that upon completion of such Merger/Sale, the terms of any Award be otherwise amended, modified or terminated, as the Committee shall deem in good faith to be appropriate, and if an Option Award, that the Option Award shall confer the right to purchase or receive any other security or asset, or any combination thereof, or that its terms be otherwise amended, modified or terminated, as the Committee shall deem in good faith to be appropriate. Neither the authorities and powers of the Committee under this Section 14.2, nor the exercise or implementation thereof, shall (i) be restricted or limited in any way by any adverse consequences (tax or otherwise) that may result to any holder of an Award, and (ii) as, </w:t>
      </w:r>
      <w:r>
        <w:rPr>
          <w:rFonts w:ascii="Arial" w:cs="Arial" w:eastAsia="Arial" w:hAnsi="Arial"/>
          <w:sz w:val="16"/>
          <w:szCs w:val="16"/>
          <w:i w:val="1"/>
          <w:iCs w:val="1"/>
          <w:color w:val="auto"/>
        </w:rPr>
        <w:t>inter alia</w:t>
      </w:r>
      <w:r>
        <w:rPr>
          <w:rFonts w:ascii="Arial" w:cs="Arial" w:eastAsia="Arial" w:hAnsi="Arial"/>
          <w:sz w:val="16"/>
          <w:szCs w:val="16"/>
          <w:color w:val="auto"/>
        </w:rPr>
        <w:t>,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w:t>
      </w:r>
    </w:p>
    <w:p>
      <w:pPr>
        <w:spacing w:after="0" w:line="175" w:lineRule="exact"/>
        <w:rPr>
          <w:sz w:val="20"/>
          <w:szCs w:val="20"/>
          <w:color w:val="auto"/>
        </w:rPr>
      </w:pPr>
    </w:p>
    <w:p>
      <w:pPr>
        <w:jc w:val="both"/>
        <w:ind w:left="1100" w:right="119" w:hanging="521"/>
        <w:spacing w:after="0" w:line="26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Reservation of Rights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Except as expressly provided in this Section 14, the Grantee of an Award hereunder shall have no rights by reason of any subdivision or consolidation of shares of any class or the payment of any</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4" w:name="page215"/>
    <w:bookmarkEnd w:id="214"/>
    <w:p>
      <w:pPr>
        <w:jc w:val="both"/>
        <w:ind w:left="1100" w:right="119"/>
        <w:spacing w:after="0" w:line="290" w:lineRule="auto"/>
        <w:rPr>
          <w:sz w:val="20"/>
          <w:szCs w:val="20"/>
          <w:color w:val="auto"/>
        </w:rPr>
      </w:pPr>
      <w:r>
        <w:rPr>
          <w:rFonts w:ascii="Arial" w:cs="Arial" w:eastAsia="Arial" w:hAnsi="Arial"/>
          <w:sz w:val="16"/>
          <w:szCs w:val="16"/>
          <w:color w:val="auto"/>
        </w:rPr>
        <w:t>stock dividend (bonus shares), any other increase or decrease in the number of shares of any class or by reason of any dissolution, liquidation, Merger/Sale, or consolidation, divestiture or spin-off of assets or shares of another company.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the Plan shall not affect in any way the right of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80" w:lineRule="exact"/>
        <w:rPr>
          <w:sz w:val="20"/>
          <w:szCs w:val="20"/>
          <w:color w:val="auto"/>
        </w:rPr>
      </w:pPr>
    </w:p>
    <w:p>
      <w:pPr>
        <w:ind w:left="560" w:hanging="435"/>
        <w:spacing w:after="0"/>
        <w:tabs>
          <w:tab w:leader="none" w:pos="560" w:val="left"/>
        </w:tabs>
        <w:numPr>
          <w:ilvl w:val="0"/>
          <w:numId w:val="278"/>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AWARDS; SURVIVING BENEFICIARY</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080" w:right="119" w:hanging="521"/>
        <w:spacing w:after="0" w:line="286" w:lineRule="auto"/>
        <w:tabs>
          <w:tab w:leader="none" w:pos="10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All Awards granted under the Plan shall not be transferable otherwise than by will or by the laws of descent and distribution, unless otherwise determined by the Board or under this Plan, provided that with respect to shares issued upon exercise of Options, the restrictions on transfer shall be the restrictions referred to in Section 16 (Conditions upon Issuance of Shares) hereof.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interest in any Award by, any party other than the Grantee shall be null and void and shall not confer upon any party or person, other than the Grantee, any rights. 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 Notwithstanding the foregoing, upon the request of the Grantee and subject to Applicable Law the Committee, at its sole discretion, may permit to transfer the Award to a family trust.</w:t>
      </w:r>
    </w:p>
    <w:p>
      <w:pPr>
        <w:spacing w:after="0" w:line="169"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15.2.</w:t>
        <w:tab/>
        <w:t>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181" w:lineRule="exact"/>
        <w:rPr>
          <w:sz w:val="20"/>
          <w:szCs w:val="20"/>
          <w:color w:val="auto"/>
        </w:rPr>
      </w:pPr>
    </w:p>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15.3.</w:t>
        <w:tab/>
        <w:t>The provisions of this Section 15 shall apply to the Grantee and to any purchaser, assignee or transferee of any Shares.</w:t>
      </w:r>
    </w:p>
    <w:p>
      <w:pPr>
        <w:spacing w:after="0" w:line="184" w:lineRule="exact"/>
        <w:rPr>
          <w:sz w:val="20"/>
          <w:szCs w:val="20"/>
          <w:color w:val="auto"/>
        </w:rPr>
      </w:pPr>
    </w:p>
    <w:p>
      <w:pPr>
        <w:ind w:left="560" w:hanging="435"/>
        <w:spacing w:after="0"/>
        <w:tabs>
          <w:tab w:leader="none" w:pos="560" w:val="left"/>
        </w:tabs>
        <w:numPr>
          <w:ilvl w:val="0"/>
          <w:numId w:val="279"/>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CONDITIONS UPON ISSUANCE OF SHARES</w:t>
      </w:r>
    </w:p>
    <w:p>
      <w:pPr>
        <w:spacing w:after="0" w:line="233" w:lineRule="exact"/>
        <w:rPr>
          <w:sz w:val="20"/>
          <w:szCs w:val="20"/>
          <w:color w:val="auto"/>
        </w:rPr>
      </w:pPr>
    </w:p>
    <w:p>
      <w:pPr>
        <w:jc w:val="both"/>
        <w:ind w:left="1080" w:right="119" w:hanging="521"/>
        <w:spacing w:after="0" w:line="285" w:lineRule="auto"/>
        <w:tabs>
          <w:tab w:leader="none" w:pos="10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Award, unless the exercise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such Award and the issuance and delivery of such Shares shall comply with Applicable Laws as determined by counsel to the Company. The inability of the Company to obtain authority from any regulatory body having jurisdiction, which authority is deemed by the Company’s counsel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Shares issued pursuant to an Awards shall be subject to the Articles of Association of the Company, any shareholders agreement applicable to all or substantially all of the Company’s holders of Shares (regardless of whether or not the Grantee is party to such shareholders agreement) and any other governing documents of the Company, including all policies, manuals and internal regulations adopted by the Company from time to time, as may be amended from time to time, including, without limitation, any provisions included therein concerning restrictions or limitations on transferability of Shares (such as, but not limited to, right of first refusal and lock up/market stand-off) or grant of any rights with respect thereto and any provisions concerning restrictions on the use of inside information and other provisions deemed by the Company to be appropriate in order to ensure compliance with Applicable Laws, statutes and regulations.</w:t>
      </w:r>
    </w:p>
    <w:p>
      <w:pPr>
        <w:spacing w:after="0" w:line="394" w:lineRule="exact"/>
        <w:rPr>
          <w:sz w:val="20"/>
          <w:szCs w:val="20"/>
          <w:color w:val="auto"/>
        </w:rPr>
      </w:pPr>
    </w:p>
    <w:p>
      <w:pPr>
        <w:jc w:val="both"/>
        <w:ind w:left="1100" w:right="119" w:hanging="521"/>
        <w:spacing w:after="0" w:line="259" w:lineRule="auto"/>
        <w:tabs>
          <w:tab w:leader="none" w:pos="10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person exercising such Award to represent and warrant at the time of any such exercise that the Shares are being purchased only for investment and without any present intention to sell or distribute such Shares, and make other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5" w:name="page216"/>
    <w:bookmarkEnd w:id="215"/>
    <w:p>
      <w:pPr>
        <w:ind w:left="1100" w:right="119"/>
        <w:spacing w:after="0" w:line="308" w:lineRule="auto"/>
        <w:rPr>
          <w:sz w:val="20"/>
          <w:szCs w:val="20"/>
          <w:color w:val="auto"/>
        </w:rPr>
      </w:pPr>
      <w:r>
        <w:rPr>
          <w:rFonts w:ascii="Arial" w:cs="Arial" w:eastAsia="Arial" w:hAnsi="Arial"/>
          <w:sz w:val="17"/>
          <w:szCs w:val="17"/>
          <w:color w:val="auto"/>
        </w:rPr>
        <w:t>representations as may be required under applicable securities laws if, in the opinion of counsel for the Company, such representations are required, all in form and content specified by the Company.</w:t>
      </w:r>
    </w:p>
    <w:p>
      <w:pPr>
        <w:spacing w:after="0" w:line="187" w:lineRule="exact"/>
        <w:rPr>
          <w:sz w:val="20"/>
          <w:szCs w:val="20"/>
          <w:color w:val="auto"/>
        </w:rPr>
      </w:pPr>
    </w:p>
    <w:p>
      <w:pPr>
        <w:ind w:left="560" w:hanging="435"/>
        <w:spacing w:after="0"/>
        <w:tabs>
          <w:tab w:leader="none" w:pos="560" w:val="left"/>
        </w:tabs>
        <w:numPr>
          <w:ilvl w:val="0"/>
          <w:numId w:val="280"/>
        </w:numPr>
        <w:rPr>
          <w:rFonts w:ascii="Arial" w:cs="Arial" w:eastAsia="Arial" w:hAnsi="Arial"/>
          <w:sz w:val="22"/>
          <w:szCs w:val="22"/>
          <w:color w:val="auto"/>
        </w:rPr>
      </w:pPr>
      <w:r>
        <w:rPr>
          <w:rFonts w:ascii="Arial" w:cs="Arial" w:eastAsia="Arial" w:hAnsi="Arial"/>
          <w:sz w:val="22"/>
          <w:szCs w:val="22"/>
          <w:b w:val="1"/>
          <w:bCs w:val="1"/>
          <w:u w:val="single" w:color="auto"/>
          <w:color w:val="auto"/>
        </w:rPr>
        <w:t>MARKET STAND-OFF</w:t>
      </w:r>
    </w:p>
    <w:p>
      <w:pPr>
        <w:spacing w:after="0" w:line="260" w:lineRule="exact"/>
        <w:rPr>
          <w:sz w:val="20"/>
          <w:szCs w:val="20"/>
          <w:color w:val="auto"/>
        </w:rPr>
      </w:pPr>
    </w:p>
    <w:p>
      <w:pPr>
        <w:jc w:val="both"/>
        <w:ind w:left="1100" w:right="119" w:hanging="521"/>
        <w:spacing w:after="0" w:line="286" w:lineRule="auto"/>
        <w:tabs>
          <w:tab w:leader="none" w:pos="10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In connection with any underwritten public offering by the Company of its equity securities pursuant to an effective registration statement filed under the United States Securities Act of 1933, as amended or equivalent law in another jurisdiction, the Grantee shall not directly or indirectly, without the prior written consent of the Company or its underwriters, (i) lend, offer, pledge, sell, contract to sell, sell any option or contract to purchase, purchase any option or contract to sell, grant any option, right or warrant to purchase, or otherwise transfer or dispose of, directly or indirectly, any Shares acquired under this Plan or any securities of the Company (whether or not such Shares acquired under this Plan), or (ii) enter into any swap or other arrangement that transfers to another, in whole or in part, any of the economic consequences of ownership of the Shares acquired under this Plan, whether any such transaction described in clause (i) or (ii) above is to be settled by delivery of Shares acquired under this Plan or such other securities, in cash or otherwise. Such restriction (the “</w:t>
      </w:r>
      <w:r>
        <w:rPr>
          <w:rFonts w:ascii="Arial" w:cs="Arial" w:eastAsia="Arial" w:hAnsi="Arial"/>
          <w:sz w:val="16"/>
          <w:szCs w:val="16"/>
          <w:b w:val="1"/>
          <w:bCs w:val="1"/>
          <w:color w:val="auto"/>
        </w:rPr>
        <w:t>Market Stand-Off</w:t>
      </w:r>
      <w:r>
        <w:rPr>
          <w:rFonts w:ascii="Arial" w:cs="Arial" w:eastAsia="Arial" w:hAnsi="Arial"/>
          <w:sz w:val="16"/>
          <w:szCs w:val="16"/>
          <w:color w:val="auto"/>
        </w:rPr>
        <w:t>”) shall be in effect for such period of time following the effective date of the registration statement relating to such offering, as may be requested by the Company or such underwriters, however in any event, such period shall not exceed 180 days (in the case of the Company’s first underwritten offering of its Shares) following the effective date of such registration statement; or 90 days (in the case of a registration statement thereafter).</w:t>
      </w:r>
    </w:p>
    <w:p>
      <w:pPr>
        <w:spacing w:after="0" w:line="196" w:lineRule="exact"/>
        <w:rPr>
          <w:sz w:val="20"/>
          <w:szCs w:val="20"/>
          <w:color w:val="auto"/>
        </w:rPr>
      </w:pPr>
    </w:p>
    <w:p>
      <w:pPr>
        <w:jc w:val="both"/>
        <w:ind w:left="1100" w:right="119" w:hanging="521"/>
        <w:spacing w:after="0" w:line="270" w:lineRule="auto"/>
        <w:tabs>
          <w:tab w:leader="none" w:pos="10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In the event of a subdivision of the outstanding share capital of the Company, the declaration and payment of a stock dividend (distribution of bonus shares), the declaration and payment of an extraordinary dividend payable in a form other than stock, a recapitalization, a reorganization (which may include a combination or exchange of shares or a similar transaction affecting the Company’s outstanding securities without receipt of consideration), a consolidation, a stock split, a spin-off or other corporate divestiture or division, a reclassification or other similar occurrence, an adjustment in conversion ratio, any new, substituted or additional securities which are by reason of such transaction distributed with respect to any Shares subject to the Market Stand-Off, or into which such Shares thereby become convertible, shall immediately be subject to the Market Stand-Off.</w:t>
      </w:r>
    </w:p>
    <w:p>
      <w:pPr>
        <w:spacing w:after="0" w:line="209" w:lineRule="exact"/>
        <w:rPr>
          <w:sz w:val="20"/>
          <w:szCs w:val="20"/>
          <w:color w:val="auto"/>
        </w:rPr>
      </w:pPr>
    </w:p>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17.3.</w:t>
        <w:tab/>
        <w:t>In order to enforce the Market Stand-Off, the Company may impose stop-transfer instructions with respect to the Shares acquired under this Plan until the end of the applicable stand-off period.</w:t>
      </w:r>
    </w:p>
    <w:p>
      <w:pPr>
        <w:spacing w:after="0" w:line="197"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17.4.</w:t>
        <w:tab/>
        <w:t xml:space="preserve">The underwriters in connection with a registration statement so filed are intended </w:t>
      </w:r>
      <w:r>
        <w:rPr>
          <w:rFonts w:ascii="Arial" w:cs="Arial" w:eastAsia="Arial" w:hAnsi="Arial"/>
          <w:sz w:val="18"/>
          <w:szCs w:val="18"/>
          <w:color w:val="191919"/>
        </w:rPr>
        <w:t>to be</w:t>
      </w:r>
      <w:r>
        <w:rPr>
          <w:rFonts w:ascii="Arial" w:cs="Arial" w:eastAsia="Arial" w:hAnsi="Arial"/>
          <w:sz w:val="18"/>
          <w:szCs w:val="18"/>
          <w:color w:val="auto"/>
        </w:rPr>
        <w:t xml:space="preserve"> third party beneficiaries of this Section 17 and shall have the right, power and authority to enforce the provisions hereof as though they were a party hereto.</w:t>
      </w:r>
    </w:p>
    <w:p>
      <w:pPr>
        <w:spacing w:after="0" w:line="208" w:lineRule="exact"/>
        <w:rPr>
          <w:sz w:val="20"/>
          <w:szCs w:val="20"/>
          <w:color w:val="auto"/>
        </w:rPr>
      </w:pPr>
    </w:p>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17.5.</w:t>
        <w:tab/>
        <w:t>The provisions of this Section 17 shall apply to the Grantee and to any purchaser, assignee or transferee of any Shares.</w:t>
      </w:r>
    </w:p>
    <w:p>
      <w:pPr>
        <w:spacing w:after="0" w:line="211" w:lineRule="exact"/>
        <w:rPr>
          <w:sz w:val="20"/>
          <w:szCs w:val="20"/>
          <w:color w:val="auto"/>
        </w:rPr>
      </w:pPr>
    </w:p>
    <w:p>
      <w:pPr>
        <w:ind w:left="560" w:hanging="435"/>
        <w:spacing w:after="0"/>
        <w:tabs>
          <w:tab w:leader="none" w:pos="560" w:val="left"/>
        </w:tabs>
        <w:numPr>
          <w:ilvl w:val="0"/>
          <w:numId w:val="281"/>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 BY GRANTEE REGARDING TAXES</w:t>
      </w:r>
      <w:r>
        <w:rPr>
          <w:rFonts w:ascii="Arial" w:cs="Arial" w:eastAsia="Arial" w:hAnsi="Arial"/>
          <w:sz w:val="22"/>
          <w:szCs w:val="22"/>
          <w:b w:val="1"/>
          <w:bCs w:val="1"/>
          <w:color w:val="auto"/>
        </w:rPr>
        <w:t>.</w:t>
      </w:r>
    </w:p>
    <w:p>
      <w:pPr>
        <w:spacing w:after="0" w:line="260" w:lineRule="exact"/>
        <w:rPr>
          <w:sz w:val="20"/>
          <w:szCs w:val="20"/>
          <w:color w:val="auto"/>
        </w:rPr>
      </w:pPr>
    </w:p>
    <w:p>
      <w:pPr>
        <w:jc w:val="both"/>
        <w:ind w:left="1100" w:right="119" w:hanging="521"/>
        <w:spacing w:after="0" w:line="257" w:lineRule="auto"/>
        <w:tabs>
          <w:tab w:leader="none" w:pos="1080" w:val="left"/>
        </w:tabs>
        <w:rPr>
          <w:sz w:val="20"/>
          <w:szCs w:val="20"/>
          <w:color w:val="auto"/>
        </w:rPr>
      </w:pPr>
      <w:r>
        <w:rPr>
          <w:rFonts w:ascii="Arial" w:cs="Arial" w:eastAsia="Arial" w:hAnsi="Arial"/>
          <w:sz w:val="18"/>
          <w:szCs w:val="18"/>
          <w:color w:val="auto"/>
        </w:rPr>
        <w:t>18.1.</w:t>
        <w:tab/>
        <w:t>If the Committee shall so require, as a condition of exercise of an Award, the release of Shares by the Trustee or the expiration of the Restricted Period, a Grantee shall agree that, no later than the date of such occurrence, he will pay to the Company or make arrangements satisfactory to the Committee and the Trustee (if applicable) regarding payment of any applicable taxes of any kind required by Applicable Law to be withheld or paid.</w:t>
      </w:r>
    </w:p>
    <w:p>
      <w:pPr>
        <w:spacing w:after="0" w:line="215" w:lineRule="exact"/>
        <w:rPr>
          <w:sz w:val="20"/>
          <w:szCs w:val="20"/>
          <w:color w:val="auto"/>
        </w:rPr>
      </w:pPr>
    </w:p>
    <w:p>
      <w:pPr>
        <w:jc w:val="both"/>
        <w:ind w:left="1100" w:right="119" w:hanging="521"/>
        <w:spacing w:after="0" w:line="253" w:lineRule="auto"/>
        <w:tabs>
          <w:tab w:leader="none" w:pos="1080" w:val="left"/>
        </w:tabs>
        <w:rPr>
          <w:sz w:val="20"/>
          <w:szCs w:val="20"/>
          <w:color w:val="auto"/>
        </w:rPr>
      </w:pPr>
      <w:r>
        <w:rPr>
          <w:rFonts w:ascii="Arial" w:cs="Arial" w:eastAsia="Arial" w:hAnsi="Arial"/>
          <w:sz w:val="18"/>
          <w:szCs w:val="18"/>
          <w:color w:val="auto"/>
        </w:rPr>
        <w:t>18.2.</w:t>
        <w:tab/>
        <w:t>ALL TAX CONSEQUENCES UNDER ANY APPLICABLE LAW WHICH MAY ARISE FROM THE GRANT OF ANY AWARDS OR THE EXERCISE THEREOF, THE SALE OR DISPOSITION OF ANY SHARES GRANTED HEREUNDER OR ISSUED UPON EXERCISE OF ANY AWARD OR FROM ANY OTHER ACTION OF THE GRANTEE IN CONNECTION WITH THE FOREGOING SHALL BE BORNE AND PAID SOLELY BY THE GRANTEE, AND THE GRANTEE SHALL INDEMNIFY THE COMPANY, ITS SUBSIDIARIES AND AFFILIATES AND THE TRUSTEE, AND SHALL HOLD THEM HARMLESS AGAINST AND FROM ANY LIABILITY FOR ANY SUCH TAX OR PENALTY, INTEREST OR INDEXATION THEREON. EACH GRANTEE AGREES TO, AND UNDERTAKES TO COMPLY WITH, ANY RULING, SETTLEMENT,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6" w:name="page217"/>
    <w:bookmarkEnd w:id="216"/>
    <w:p>
      <w:pPr>
        <w:jc w:val="both"/>
        <w:ind w:left="1100" w:right="119"/>
        <w:spacing w:after="0" w:line="264" w:lineRule="auto"/>
        <w:rPr>
          <w:sz w:val="20"/>
          <w:szCs w:val="20"/>
          <w:color w:val="auto"/>
        </w:rPr>
      </w:pPr>
      <w:r>
        <w:rPr>
          <w:rFonts w:ascii="Arial" w:cs="Arial" w:eastAsia="Arial" w:hAnsi="Arial"/>
          <w:sz w:val="18"/>
          <w:szCs w:val="18"/>
          <w:color w:val="auto"/>
        </w:rPr>
        <w:t>CLOSING AGREEMENT OR OTHER SIMILAR AGREEMENT OR ARRANGEMENT WITH ANY TAX AUTHORITY IN CONNECTION WITH THE FOREGOING WHICH IS APPROVED BY THE COMPANY.</w:t>
      </w:r>
    </w:p>
    <w:p>
      <w:pPr>
        <w:spacing w:after="0" w:line="181" w:lineRule="exact"/>
        <w:rPr>
          <w:sz w:val="20"/>
          <w:szCs w:val="20"/>
          <w:color w:val="auto"/>
        </w:rPr>
      </w:pPr>
    </w:p>
    <w:p>
      <w:pPr>
        <w:jc w:val="both"/>
        <w:ind w:left="1100" w:right="119" w:hanging="20"/>
        <w:spacing w:after="0" w:line="279" w:lineRule="auto"/>
        <w:rPr>
          <w:sz w:val="20"/>
          <w:szCs w:val="20"/>
          <w:color w:val="auto"/>
        </w:rPr>
      </w:pPr>
      <w:r>
        <w:rPr>
          <w:rFonts w:ascii="Arial" w:cs="Arial" w:eastAsia="Arial" w:hAnsi="Arial"/>
          <w:sz w:val="17"/>
          <w:szCs w:val="17"/>
          <w:color w:val="auto"/>
        </w:rPr>
        <w:t>THE GRANTEE IS ADVISED TO CONSULT WITH A TAX ADVISOR WITH RESPECT TO THE TAX CONSEQUENCES OF RECEIVING OR EXERCISING AWARDS HEREUNDER. THE COMPANY DOES NOT ASSUME ANY RESPONSIBILITY TO ADVISE THE GRANTEE ON SUCH MATTERS, WHICH SHALL REMAIN SOLELY THE RESPONSIBILITY OF THE GRANTEE.</w:t>
      </w:r>
    </w:p>
    <w:p>
      <w:pPr>
        <w:spacing w:after="0" w:line="171" w:lineRule="exact"/>
        <w:rPr>
          <w:sz w:val="20"/>
          <w:szCs w:val="20"/>
          <w:color w:val="auto"/>
        </w:rPr>
      </w:pPr>
    </w:p>
    <w:p>
      <w:pPr>
        <w:jc w:val="both"/>
        <w:ind w:left="1080" w:right="119" w:hanging="521"/>
        <w:spacing w:after="0" w:line="269" w:lineRule="auto"/>
        <w:tabs>
          <w:tab w:leader="none" w:pos="10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color w:val="auto"/>
        </w:rPr>
        <w:t>The Company or any Subsidiary or Affiliate may take such action as it may deem necessary or appropriate, in its discretion, for the purpose of or in connection with withholding of any taxes which the Company or any Subsidiary or Affiliate is required by any Applicable Law to withhold in connection with any Awards (collectively, “</w:t>
      </w:r>
      <w:r>
        <w:rPr>
          <w:rFonts w:ascii="Arial" w:cs="Arial" w:eastAsia="Arial" w:hAnsi="Arial"/>
          <w:sz w:val="17"/>
          <w:szCs w:val="17"/>
          <w:b w:val="1"/>
          <w:bCs w:val="1"/>
          <w:color w:val="auto"/>
        </w:rPr>
        <w:t>Withholding Obligations</w:t>
      </w:r>
      <w:r>
        <w:rPr>
          <w:rFonts w:ascii="Arial" w:cs="Arial" w:eastAsia="Arial" w:hAnsi="Arial"/>
          <w:sz w:val="17"/>
          <w:szCs w:val="17"/>
          <w:color w:val="auto"/>
        </w:rPr>
        <w:t>”). Such actions may include, without limitation, (i) requiring a Grantees to remit to the Company in cash an amount sufficient to satisfy such Withholding Obligations; (ii) subject to Applicable Law, allowing the Grantees to provide Shares to the Company, in an amount that at such time, reflects a value that the Committee determines to be sufficient to satisfy such Withholding Obligations; (iii) withholding Shares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Grantee until all tax consequences arising from the exercise of such Award are resolved in a manner acceptable to the Company.</w:t>
      </w:r>
    </w:p>
    <w:p>
      <w:pPr>
        <w:spacing w:after="0" w:line="180" w:lineRule="exact"/>
        <w:rPr>
          <w:sz w:val="20"/>
          <w:szCs w:val="20"/>
          <w:color w:val="auto"/>
        </w:rPr>
      </w:pPr>
    </w:p>
    <w:p>
      <w:pPr>
        <w:jc w:val="both"/>
        <w:ind w:left="1100" w:right="119" w:hanging="521"/>
        <w:spacing w:after="0" w:line="271" w:lineRule="auto"/>
        <w:tabs>
          <w:tab w:leader="none" w:pos="108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7"/>
          <w:szCs w:val="17"/>
          <w:color w:val="auto"/>
        </w:rPr>
        <w:t>Each Grantee shall notify the Company in writing promptly and in any event within ten (10) days after the date on which such Grantee first 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179" w:lineRule="exact"/>
        <w:rPr>
          <w:sz w:val="20"/>
          <w:szCs w:val="20"/>
          <w:color w:val="auto"/>
        </w:rPr>
      </w:pPr>
    </w:p>
    <w:p>
      <w:pPr>
        <w:jc w:val="both"/>
        <w:ind w:left="1100" w:right="119" w:hanging="521"/>
        <w:spacing w:after="0" w:line="259" w:lineRule="auto"/>
        <w:tabs>
          <w:tab w:leader="none" w:pos="1080" w:val="left"/>
        </w:tabs>
        <w:rPr>
          <w:sz w:val="20"/>
          <w:szCs w:val="20"/>
          <w:color w:val="auto"/>
        </w:rPr>
      </w:pPr>
      <w:r>
        <w:rPr>
          <w:rFonts w:ascii="Arial" w:cs="Arial" w:eastAsia="Arial" w:hAnsi="Arial"/>
          <w:sz w:val="18"/>
          <w:szCs w:val="18"/>
          <w:color w:val="auto"/>
        </w:rPr>
        <w:t>18.5.</w:t>
        <w:tab/>
        <w:t>With respect to 102 Non-Trustee Options, if the Grantee ceases to be employed by the Company or any Affiliate, the Grantee shall extend to the Company and/or its Affiliate with whom the Grantee is employed a security or guarantee for the payment of taxes due at the time of sale of Shares, all in accordance with the provisions of Section 102 of the Ordinance and the Rules.</w:t>
      </w:r>
    </w:p>
    <w:p>
      <w:pPr>
        <w:spacing w:after="0" w:line="201" w:lineRule="exact"/>
        <w:rPr>
          <w:sz w:val="20"/>
          <w:szCs w:val="20"/>
          <w:color w:val="auto"/>
        </w:rPr>
      </w:pPr>
    </w:p>
    <w:p>
      <w:pPr>
        <w:ind w:left="560" w:hanging="435"/>
        <w:spacing w:after="0"/>
        <w:tabs>
          <w:tab w:leader="none" w:pos="560" w:val="left"/>
        </w:tabs>
        <w:numPr>
          <w:ilvl w:val="0"/>
          <w:numId w:val="282"/>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A SHAREHOLDER; VOTING AND DIVIDENDS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080" w:right="119" w:hanging="521"/>
        <w:spacing w:after="0" w:line="269" w:lineRule="auto"/>
        <w:tabs>
          <w:tab w:leader="none" w:pos="10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Subject to Section 11.7, a Grantee shall have no rights as a shareholder of the Company with respect to any Shares covered by the Award until the date of the issuance of a share certificate to the Grantee for such Shares. In the case of 102 Option Awards or 3(9) Option Awards (if such Share Options are being held by a Trustee), the Trustee shall have no rights as a shareholder of the Company with respect to any Shares covered by such Award until the date of the issuance of a share certificate to the Trustee for such Shares for the Grantee’s benefit, and the Grantee shall have no rights as a shareholder of the Company with respect to any Shares covered by the Award until the date of the release of such Shares from the Trustee to the Grantee and the issuance of a share certificate to the Grantee for such Shares. No adjustment shall be made for dividends (ordinary or extraordinary, whether in cash, securities or other property) or distribution of other rights for which the record date is prior to the date such share certificate is issued, except as provided in Section 14 hereof.</w:t>
      </w:r>
    </w:p>
    <w:p>
      <w:pPr>
        <w:spacing w:after="0" w:line="183" w:lineRule="exact"/>
        <w:rPr>
          <w:sz w:val="20"/>
          <w:szCs w:val="20"/>
          <w:color w:val="auto"/>
        </w:rPr>
      </w:pPr>
    </w:p>
    <w:p>
      <w:pPr>
        <w:jc w:val="both"/>
        <w:ind w:left="1100" w:right="119" w:hanging="521"/>
        <w:spacing w:after="0" w:line="302" w:lineRule="auto"/>
        <w:rPr>
          <w:sz w:val="20"/>
          <w:szCs w:val="20"/>
          <w:color w:val="auto"/>
        </w:rPr>
      </w:pPr>
      <w:r>
        <w:rPr>
          <w:rFonts w:ascii="Arial" w:cs="Arial" w:eastAsia="Arial" w:hAnsi="Arial"/>
          <w:sz w:val="16"/>
          <w:szCs w:val="16"/>
          <w:color w:val="auto"/>
        </w:rPr>
        <w:t>19.2. With respect to all Shares issued in the form of Awards hereunder or upon the exercise of Awards hereunder, any and all voting rights attached to such Shares shall be subject to Section 6.9, and the Grantee shall be entitled to receive dividends distributed with respect to such Shares, subject to the provisions of the Company’s Articles of Association, as amended from time to time, and subject to any Applicable Law.</w:t>
      </w:r>
    </w:p>
    <w:p>
      <w:pPr>
        <w:spacing w:after="0" w:line="154" w:lineRule="exact"/>
        <w:rPr>
          <w:sz w:val="20"/>
          <w:szCs w:val="20"/>
          <w:color w:val="auto"/>
        </w:rPr>
      </w:pPr>
    </w:p>
    <w:p>
      <w:pPr>
        <w:jc w:val="both"/>
        <w:ind w:left="1080" w:right="119" w:hanging="521"/>
        <w:spacing w:after="0" w:line="277" w:lineRule="auto"/>
        <w:tabs>
          <w:tab w:leader="none" w:pos="1060" w:val="left"/>
        </w:tabs>
        <w:rPr>
          <w:sz w:val="20"/>
          <w:szCs w:val="20"/>
          <w:color w:val="auto"/>
        </w:rPr>
      </w:pPr>
      <w:r>
        <w:rPr>
          <w:rFonts w:ascii="Arial" w:cs="Arial" w:eastAsia="Arial" w:hAnsi="Arial"/>
          <w:sz w:val="18"/>
          <w:szCs w:val="18"/>
          <w:color w:val="auto"/>
        </w:rPr>
        <w:t>19.3.</w:t>
        <w:tab/>
        <w:t>The Company may, but shall not be obligated to, register or qualify the sale of Shares under any applicable securities law or any other applicable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7" w:name="page218"/>
    <w:bookmarkEnd w:id="217"/>
    <w:p>
      <w:pPr>
        <w:ind w:left="560" w:hanging="435"/>
        <w:spacing w:after="0"/>
        <w:tabs>
          <w:tab w:leader="none" w:pos="560" w:val="left"/>
        </w:tabs>
        <w:numPr>
          <w:ilvl w:val="0"/>
          <w:numId w:val="283"/>
        </w:numPr>
        <w:rPr>
          <w:rFonts w:ascii="Arial" w:cs="Arial" w:eastAsia="Arial" w:hAnsi="Arial"/>
          <w:sz w:val="22"/>
          <w:szCs w:val="22"/>
          <w:color w:val="auto"/>
        </w:rPr>
      </w:pPr>
      <w:r>
        <w:rPr>
          <w:rFonts w:ascii="Arial" w:cs="Arial" w:eastAsia="Arial" w:hAnsi="Arial"/>
          <w:sz w:val="22"/>
          <w:szCs w:val="22"/>
          <w:b w:val="1"/>
          <w:bCs w:val="1"/>
          <w:u w:val="single" w:color="auto"/>
          <w:color w:val="auto"/>
        </w:rPr>
        <w:t>NO REPRESENTATION BY COMPANY</w:t>
      </w:r>
      <w:r>
        <w:rPr>
          <w:rFonts w:ascii="Arial" w:cs="Arial" w:eastAsia="Arial" w:hAnsi="Arial"/>
          <w:sz w:val="22"/>
          <w:szCs w:val="22"/>
          <w:b w:val="1"/>
          <w:bCs w:val="1"/>
          <w:color w:val="auto"/>
        </w:rPr>
        <w:t>.</w:t>
      </w:r>
    </w:p>
    <w:p>
      <w:pPr>
        <w:spacing w:after="0" w:line="233" w:lineRule="exact"/>
        <w:rPr>
          <w:sz w:val="20"/>
          <w:szCs w:val="20"/>
          <w:color w:val="auto"/>
        </w:rPr>
      </w:pPr>
    </w:p>
    <w:p>
      <w:pPr>
        <w:ind w:left="580" w:right="119"/>
        <w:spacing w:after="0" w:line="342" w:lineRule="auto"/>
        <w:rPr>
          <w:sz w:val="20"/>
          <w:szCs w:val="20"/>
          <w:color w:val="auto"/>
        </w:rPr>
      </w:pPr>
      <w:r>
        <w:rPr>
          <w:rFonts w:ascii="Arial" w:cs="Arial" w:eastAsia="Arial" w:hAnsi="Arial"/>
          <w:sz w:val="16"/>
          <w:szCs w:val="16"/>
          <w:color w:val="auto"/>
        </w:rPr>
        <w:t>By granting the Awards, the Company is not, and shall not be deemed as, granting any representation or warranties to the Grantee regarding the Company, its business affairs, its prospects or the future value of its Shares.</w:t>
      </w:r>
    </w:p>
    <w:p>
      <w:pPr>
        <w:spacing w:after="0" w:line="138" w:lineRule="exact"/>
        <w:rPr>
          <w:sz w:val="20"/>
          <w:szCs w:val="20"/>
          <w:color w:val="auto"/>
        </w:rPr>
      </w:pPr>
    </w:p>
    <w:p>
      <w:pPr>
        <w:ind w:left="560" w:hanging="435"/>
        <w:spacing w:after="0"/>
        <w:tabs>
          <w:tab w:leader="none" w:pos="560" w:val="left"/>
        </w:tabs>
        <w:numPr>
          <w:ilvl w:val="0"/>
          <w:numId w:val="284"/>
        </w:numPr>
        <w:rPr>
          <w:rFonts w:ascii="Arial" w:cs="Arial" w:eastAsia="Arial" w:hAnsi="Arial"/>
          <w:sz w:val="22"/>
          <w:szCs w:val="22"/>
          <w:color w:val="auto"/>
        </w:rPr>
      </w:pPr>
      <w:r>
        <w:rPr>
          <w:rFonts w:ascii="Arial" w:cs="Arial" w:eastAsia="Arial" w:hAnsi="Arial"/>
          <w:sz w:val="22"/>
          <w:szCs w:val="22"/>
          <w:b w:val="1"/>
          <w:bCs w:val="1"/>
          <w:u w:val="single" w:color="auto"/>
          <w:color w:val="auto"/>
        </w:rPr>
        <w:t>NO RETENTION RIGHTS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54" w:lineRule="auto"/>
        <w:rPr>
          <w:sz w:val="20"/>
          <w:szCs w:val="20"/>
          <w:color w:val="auto"/>
        </w:rPr>
      </w:pPr>
      <w:r>
        <w:rPr>
          <w:rFonts w:ascii="Arial" w:cs="Arial" w:eastAsia="Arial" w:hAnsi="Arial"/>
          <w:sz w:val="18"/>
          <w:szCs w:val="18"/>
          <w:color w:val="auto"/>
        </w:rPr>
        <w:t>Nothing in the Plan or in any Award granted or agreement entered into pursuant hereto shall confer upon any Grantee the right to continue in the employ of, or be in a consultant, advisor, director, officer or supplier relationship with, the Company or any Subsidiary or Affiliate or to be entitled to any remuneration or benefits not set forth in the Plan or such agreement or to interfere with or limit in any way the right of the Company or any such Subsidiary or Affiliate to terminate such Grantee’s employment or service. Awards granted under the Plan shall not be affected by any change in duties or position of a Grantee as long as such Grantee continues to be employed by, or be in a consultant, advisor, director, officer or supplier relationship with, the Company or any Subsidiary or Affiliate.</w:t>
      </w:r>
    </w:p>
    <w:p>
      <w:pPr>
        <w:spacing w:after="0" w:line="206" w:lineRule="exact"/>
        <w:rPr>
          <w:sz w:val="20"/>
          <w:szCs w:val="20"/>
          <w:color w:val="auto"/>
        </w:rPr>
      </w:pPr>
    </w:p>
    <w:p>
      <w:pPr>
        <w:ind w:left="560" w:hanging="435"/>
        <w:spacing w:after="0"/>
        <w:tabs>
          <w:tab w:leader="none" w:pos="560" w:val="left"/>
        </w:tabs>
        <w:numPr>
          <w:ilvl w:val="0"/>
          <w:numId w:val="285"/>
        </w:numPr>
        <w:rPr>
          <w:rFonts w:ascii="Arial" w:cs="Arial" w:eastAsia="Arial" w:hAnsi="Arial"/>
          <w:sz w:val="22"/>
          <w:szCs w:val="22"/>
          <w:color w:val="auto"/>
        </w:rPr>
      </w:pPr>
      <w:r>
        <w:rPr>
          <w:rFonts w:ascii="Arial" w:cs="Arial" w:eastAsia="Arial" w:hAnsi="Arial"/>
          <w:sz w:val="22"/>
          <w:szCs w:val="22"/>
          <w:b w:val="1"/>
          <w:bCs w:val="1"/>
          <w:u w:val="single" w:color="auto"/>
          <w:color w:val="auto"/>
        </w:rPr>
        <w:t>PERIOD DURING WHICH AWARDS MAY BE GRANTED</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68" w:lineRule="auto"/>
        <w:rPr>
          <w:sz w:val="20"/>
          <w:szCs w:val="20"/>
          <w:color w:val="auto"/>
        </w:rPr>
      </w:pPr>
      <w:r>
        <w:rPr>
          <w:rFonts w:ascii="Arial" w:cs="Arial" w:eastAsia="Arial" w:hAnsi="Arial"/>
          <w:sz w:val="16"/>
          <w:szCs w:val="16"/>
          <w:color w:val="auto"/>
        </w:rPr>
        <w:t>Awards may be granted pursuant to the Plan from time to time within a period of ten (10) years from the Effective Date. From the tenth (10</w:t>
      </w:r>
      <w:r>
        <w:rPr>
          <w:rFonts w:ascii="Arial" w:cs="Arial" w:eastAsia="Arial" w:hAnsi="Arial"/>
          <w:sz w:val="31"/>
          <w:szCs w:val="31"/>
          <w:color w:val="auto"/>
          <w:vertAlign w:val="superscript"/>
        </w:rPr>
        <w:t>th</w:t>
      </w:r>
      <w:r>
        <w:rPr>
          <w:rFonts w:ascii="Arial" w:cs="Arial" w:eastAsia="Arial" w:hAnsi="Arial"/>
          <w:sz w:val="16"/>
          <w:szCs w:val="16"/>
          <w:color w:val="auto"/>
        </w:rPr>
        <w:t>) anniversary of the Effective Date no grants of Awards may be made and the Plan shall continue to be in full force and effect solely with respect to such Awards that remain outstanding. The Plan shall terminate at such time after the tenth (10</w:t>
      </w:r>
      <w:r>
        <w:rPr>
          <w:rFonts w:ascii="Arial" w:cs="Arial" w:eastAsia="Arial" w:hAnsi="Arial"/>
          <w:sz w:val="31"/>
          <w:szCs w:val="31"/>
          <w:color w:val="auto"/>
          <w:vertAlign w:val="superscript"/>
        </w:rPr>
        <w:t>th</w:t>
      </w:r>
      <w:r>
        <w:rPr>
          <w:rFonts w:ascii="Arial" w:cs="Arial" w:eastAsia="Arial" w:hAnsi="Arial"/>
          <w:sz w:val="16"/>
          <w:szCs w:val="16"/>
          <w:color w:val="auto"/>
        </w:rPr>
        <w:t>) anniversary of the Effective Date that no Awards remain outstanding.</w:t>
      </w:r>
    </w:p>
    <w:p>
      <w:pPr>
        <w:spacing w:after="0" w:line="22" w:lineRule="exact"/>
        <w:rPr>
          <w:sz w:val="20"/>
          <w:szCs w:val="20"/>
          <w:color w:val="auto"/>
        </w:rPr>
      </w:pPr>
    </w:p>
    <w:p>
      <w:pPr>
        <w:ind w:left="560" w:hanging="435"/>
        <w:spacing w:after="0"/>
        <w:tabs>
          <w:tab w:leader="none" w:pos="560" w:val="left"/>
        </w:tabs>
        <w:numPr>
          <w:ilvl w:val="0"/>
          <w:numId w:val="28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OF AWARD</w:t>
      </w:r>
    </w:p>
    <w:p>
      <w:pPr>
        <w:spacing w:after="0" w:line="233" w:lineRule="exact"/>
        <w:rPr>
          <w:sz w:val="20"/>
          <w:szCs w:val="20"/>
          <w:color w:val="auto"/>
        </w:rPr>
      </w:pPr>
    </w:p>
    <w:p>
      <w:pPr>
        <w:jc w:val="both"/>
        <w:ind w:left="580" w:right="119"/>
        <w:spacing w:after="0" w:line="291" w:lineRule="auto"/>
        <w:rPr>
          <w:sz w:val="20"/>
          <w:szCs w:val="20"/>
          <w:color w:val="auto"/>
        </w:rPr>
      </w:pPr>
      <w:r>
        <w:rPr>
          <w:rFonts w:ascii="Arial" w:cs="Arial" w:eastAsia="Arial" w:hAnsi="Arial"/>
          <w:sz w:val="16"/>
          <w:szCs w:val="16"/>
          <w:color w:val="auto"/>
        </w:rPr>
        <w:t>Anything herein to the contrary notwithstanding, but without derogating from the provisions of Sections 6.6, 6.7 or 8.2 hereof, if any Award, or any part thereof, has not been exercised and the Shares covered thereby not paid for within the term of the Award as determined by the Committee, which in any event shall not exceed ten (10) years after the date on which the Award was granted, as set forth in the Notice of Grant in the Grantee’s Award, such Award, or such part thereof, and the right to acquire such Shares shall terminate, and all interests and rights of the Grantee in and to the same shall expire. In the case of Shares held by a Trustee, the Grantee shall elect whether to release such Shares from trust or sell the Shares and upon such release or sale such trust shall expire.</w:t>
      </w:r>
    </w:p>
    <w:p>
      <w:pPr>
        <w:spacing w:after="0" w:line="181" w:lineRule="exact"/>
        <w:rPr>
          <w:sz w:val="20"/>
          <w:szCs w:val="20"/>
          <w:color w:val="auto"/>
        </w:rPr>
      </w:pPr>
    </w:p>
    <w:p>
      <w:pPr>
        <w:ind w:left="560" w:hanging="435"/>
        <w:spacing w:after="0"/>
        <w:tabs>
          <w:tab w:leader="none" w:pos="560" w:val="left"/>
        </w:tabs>
        <w:numPr>
          <w:ilvl w:val="0"/>
          <w:numId w:val="287"/>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AND TERMINATION OF THE PLAN</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71" w:lineRule="auto"/>
        <w:rPr>
          <w:sz w:val="20"/>
          <w:szCs w:val="20"/>
          <w:color w:val="auto"/>
        </w:rPr>
      </w:pPr>
      <w:r>
        <w:rPr>
          <w:rFonts w:ascii="Arial" w:cs="Arial" w:eastAsia="Arial" w:hAnsi="Arial"/>
          <w:sz w:val="17"/>
          <w:szCs w:val="17"/>
          <w:color w:val="auto"/>
        </w:rPr>
        <w:t>The Board at any time and from time to time may suspend, terminate, modify or amend the Plan, whether retroactively or prospectively; provided, however, that, unless otherwise determined by the Board, an amendment which requires shareholder approval in order for the Plan to continue to comply with any Applicable Law shall not be effective unless approved by the requisite vote of shareholders, and provided further that except as provided herein, no suspension, termination, modification or amendment of the Plan may adversely affect any Award previously granted, without the written consent of Grantees holding a majority in interest of the Awards so affected, and in the event that such consent is obtained, all Awards so affected and the holders thereof shall be bound by and be deemed amended as set forth in, such consent.</w:t>
      </w:r>
    </w:p>
    <w:p>
      <w:pPr>
        <w:spacing w:after="0" w:line="193" w:lineRule="exact"/>
        <w:rPr>
          <w:sz w:val="20"/>
          <w:szCs w:val="20"/>
          <w:color w:val="auto"/>
        </w:rPr>
      </w:pPr>
    </w:p>
    <w:p>
      <w:pPr>
        <w:ind w:left="560" w:hanging="435"/>
        <w:spacing w:after="0"/>
        <w:tabs>
          <w:tab w:leader="none" w:pos="560" w:val="left"/>
        </w:tabs>
        <w:numPr>
          <w:ilvl w:val="0"/>
          <w:numId w:val="288"/>
        </w:numPr>
        <w:rPr>
          <w:rFonts w:ascii="Arial" w:cs="Arial" w:eastAsia="Arial" w:hAnsi="Arial"/>
          <w:sz w:val="22"/>
          <w:szCs w:val="22"/>
          <w:color w:val="auto"/>
        </w:rPr>
      </w:pPr>
      <w:r>
        <w:rPr>
          <w:rFonts w:ascii="Arial" w:cs="Arial" w:eastAsia="Arial" w:hAnsi="Arial"/>
          <w:sz w:val="22"/>
          <w:szCs w:val="22"/>
          <w:b w:val="1"/>
          <w:bCs w:val="1"/>
          <w:u w:val="single" w:color="auto"/>
          <w:color w:val="auto"/>
        </w:rPr>
        <w:t>APPROVAL</w:t>
      </w:r>
      <w:r>
        <w:rPr>
          <w:rFonts w:ascii="Arial" w:cs="Arial" w:eastAsia="Arial" w:hAnsi="Arial"/>
          <w:sz w:val="22"/>
          <w:szCs w:val="22"/>
          <w:b w:val="1"/>
          <w:bCs w:val="1"/>
          <w:color w:val="auto"/>
        </w:rPr>
        <w:t>.</w:t>
      </w:r>
    </w:p>
    <w:p>
      <w:pPr>
        <w:spacing w:after="0" w:line="229" w:lineRule="exact"/>
        <w:rPr>
          <w:sz w:val="20"/>
          <w:szCs w:val="20"/>
          <w:color w:val="auto"/>
        </w:rPr>
      </w:pPr>
    </w:p>
    <w:p>
      <w:pPr>
        <w:jc w:val="both"/>
        <w:ind w:left="1100" w:right="119" w:hanging="521"/>
        <w:spacing w:after="0" w:line="271" w:lineRule="auto"/>
        <w:tabs>
          <w:tab w:leader="none" w:pos="10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7"/>
          <w:szCs w:val="17"/>
          <w:color w:val="auto"/>
        </w:rPr>
        <w:t>The Plan shall take effect upon its adoption by the Board (the “</w:t>
      </w:r>
      <w:r>
        <w:rPr>
          <w:rFonts w:ascii="Arial" w:cs="Arial" w:eastAsia="Arial" w:hAnsi="Arial"/>
          <w:sz w:val="17"/>
          <w:szCs w:val="17"/>
          <w:b w:val="1"/>
          <w:bCs w:val="1"/>
          <w:color w:val="auto"/>
        </w:rPr>
        <w:t>Effective Date</w:t>
      </w:r>
      <w:r>
        <w:rPr>
          <w:rFonts w:ascii="Arial" w:cs="Arial" w:eastAsia="Arial" w:hAnsi="Arial"/>
          <w:sz w:val="17"/>
          <w:szCs w:val="17"/>
          <w:color w:val="auto"/>
        </w:rPr>
        <w:t>”), except that solely with respect to grants of Incentive Stock Options the Plan shall also be subject to approval within one year of the Effective Date, by a majority of the votes cast on the proposal at a meeting or a written consent of shareholders. Failure to obtain approval by the shareholders shall not in any way derogate from the valid and binding effect of any grant of an Award, which is not an Incentive Stock Option. Upon approval of the Plan by the shareholders of the Company as set forth above, all Incentive Stock Options granted under the Plan on or after the Effective Date shall be fully effective as if the shareholders of the Company had approved the Plan on the Effective Date. Notwithstanding the foregoing, in the event that approval of the Plan by the shareholders of the Company is required under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218" w:name="page219"/>
    <w:bookmarkEnd w:id="218"/>
    <w:p>
      <w:pPr>
        <w:jc w:val="both"/>
        <w:ind w:left="1100" w:right="119" w:hanging="521"/>
        <w:spacing w:after="0" w:line="264" w:lineRule="auto"/>
        <w:rPr>
          <w:sz w:val="20"/>
          <w:szCs w:val="20"/>
          <w:color w:val="auto"/>
        </w:rPr>
      </w:pPr>
      <w:r>
        <w:rPr>
          <w:rFonts w:ascii="Arial" w:cs="Arial" w:eastAsia="Arial" w:hAnsi="Arial"/>
          <w:sz w:val="18"/>
          <w:szCs w:val="18"/>
          <w:color w:val="auto"/>
        </w:rPr>
        <w:t>Law, in connection with the application of certain tax treatment or pursuant to applicable stock exchange rules or regulations or otherwise, such approval shall be obtained within the time required under the Applicable Law.</w:t>
      </w:r>
    </w:p>
    <w:p>
      <w:pPr>
        <w:spacing w:after="0" w:line="181" w:lineRule="exact"/>
        <w:rPr>
          <w:sz w:val="20"/>
          <w:szCs w:val="20"/>
          <w:color w:val="auto"/>
        </w:rPr>
      </w:pPr>
    </w:p>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25.2.</w:t>
        <w:tab/>
        <w:t>The 102 Awards are subject to the approval, if required, of the ITA and receipt by the Company of all approvals thereof.</w:t>
      </w:r>
    </w:p>
    <w:p>
      <w:pPr>
        <w:spacing w:after="0" w:line="184" w:lineRule="exact"/>
        <w:rPr>
          <w:sz w:val="20"/>
          <w:szCs w:val="20"/>
          <w:color w:val="auto"/>
        </w:rPr>
      </w:pPr>
    </w:p>
    <w:p>
      <w:pPr>
        <w:ind w:left="560" w:hanging="435"/>
        <w:spacing w:after="0"/>
        <w:tabs>
          <w:tab w:leader="none" w:pos="560" w:val="left"/>
        </w:tabs>
        <w:numPr>
          <w:ilvl w:val="0"/>
          <w:numId w:val="289"/>
        </w:numPr>
        <w:rPr>
          <w:rFonts w:ascii="Arial" w:cs="Arial" w:eastAsia="Arial" w:hAnsi="Arial"/>
          <w:sz w:val="22"/>
          <w:szCs w:val="22"/>
          <w:color w:val="auto"/>
        </w:rPr>
      </w:pPr>
      <w:r>
        <w:rPr>
          <w:rFonts w:ascii="Arial" w:cs="Arial" w:eastAsia="Arial" w:hAnsi="Arial"/>
          <w:sz w:val="22"/>
          <w:szCs w:val="22"/>
          <w:b w:val="1"/>
          <w:bCs w:val="1"/>
          <w:u w:val="single" w:color="auto"/>
          <w:color w:val="auto"/>
        </w:rPr>
        <w:t>RULES PARTICULAR TO SPECIFIC COUNTRIES; SECTION 409A</w:t>
      </w:r>
    </w:p>
    <w:p>
      <w:pPr>
        <w:spacing w:after="0" w:line="233" w:lineRule="exact"/>
        <w:rPr>
          <w:sz w:val="20"/>
          <w:szCs w:val="20"/>
          <w:color w:val="auto"/>
        </w:rPr>
      </w:pPr>
    </w:p>
    <w:p>
      <w:pPr>
        <w:jc w:val="both"/>
        <w:ind w:left="580" w:right="119"/>
        <w:spacing w:after="0" w:line="285" w:lineRule="auto"/>
        <w:rPr>
          <w:sz w:val="20"/>
          <w:szCs w:val="20"/>
          <w:color w:val="auto"/>
        </w:rPr>
      </w:pPr>
      <w:r>
        <w:rPr>
          <w:rFonts w:ascii="Arial" w:cs="Arial" w:eastAsia="Arial" w:hAnsi="Arial"/>
          <w:sz w:val="16"/>
          <w:szCs w:val="16"/>
          <w:color w:val="auto"/>
        </w:rPr>
        <w:t>Notwithstanding anything herein to the contrary, the terms and conditions of the Plan may be amended with respect to a particular country by means of an appendix to the Plan, and to the extent that the terms and conditions set forth in any appendix conflict with any provisions of the Plan, the provisions of the appendix shall govern. Terms and conditions set forth in the Appendix shall apply only to Award granted to a Grantee under the jurisdiction of the specific country that is the subject of the appendix and shall not apply to Awards issued to a Grantee not under the jurisdiction of such country. The adoption of any such appendix shall be subject to the approval of the Board of Directors or Committee, and if required in connection with the application of certain tax treatment, pursuant to applicable stock exchange rules or regulations or otherwise, then also the approval of the shareholders of the Company at the required majority. To the extent applicable, the Plan and any agreement hereunder shall be interpreted in accordance with Section 409A of the Code. Notwithstanding any provision of the Plan to the contrary, in the event that, following the Effective Date, the Board determines that any Award may be subject to Section 409A of the Code, the Board may adopt such amendments to the Plan and such agreement or adopt other policies and procedures (including amendments, policies and procedures with retroactive effect), or take any other actions, that the Board determines are necessary or appropriate to (a) exempt the Award from Section 409A of the Code and/or preserve the intended tax treatment of the benefits provided with respect to the Award or (b) comply with the requirements of Section 409A of the Code.</w:t>
      </w:r>
    </w:p>
    <w:p>
      <w:pPr>
        <w:spacing w:after="0" w:line="192" w:lineRule="exact"/>
        <w:rPr>
          <w:sz w:val="20"/>
          <w:szCs w:val="20"/>
          <w:color w:val="auto"/>
        </w:rPr>
      </w:pPr>
    </w:p>
    <w:p>
      <w:pPr>
        <w:ind w:left="560" w:hanging="435"/>
        <w:spacing w:after="0"/>
        <w:tabs>
          <w:tab w:leader="none" w:pos="560"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91" w:lineRule="auto"/>
        <w:rPr>
          <w:sz w:val="20"/>
          <w:szCs w:val="20"/>
          <w:color w:val="auto"/>
        </w:rPr>
      </w:pPr>
      <w:r>
        <w:rPr>
          <w:rFonts w:ascii="Arial" w:cs="Arial" w:eastAsia="Arial" w:hAnsi="Arial"/>
          <w:sz w:val="16"/>
          <w:szCs w:val="16"/>
          <w:color w:val="auto"/>
        </w:rPr>
        <w:t>The Plan and all determinations made and actions taken pursuant hereto shall be governed by the laws of the State of Israel, except with respect to matters that are subject to tax laws, regulations and rules in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and by signing any agreement relating to an Award hereunder each Grantee irrevocably submits to such exclusive jurisdiction.</w:t>
      </w:r>
    </w:p>
    <w:p>
      <w:pPr>
        <w:spacing w:after="0" w:line="181" w:lineRule="exact"/>
        <w:rPr>
          <w:sz w:val="20"/>
          <w:szCs w:val="20"/>
          <w:color w:val="auto"/>
        </w:rPr>
      </w:pPr>
    </w:p>
    <w:p>
      <w:pPr>
        <w:ind w:left="560" w:hanging="435"/>
        <w:spacing w:after="0"/>
        <w:tabs>
          <w:tab w:leader="none" w:pos="560" w:val="left"/>
        </w:tabs>
        <w:numPr>
          <w:ilvl w:val="0"/>
          <w:numId w:val="291"/>
        </w:numPr>
        <w:rPr>
          <w:rFonts w:ascii="Arial" w:cs="Arial" w:eastAsia="Arial" w:hAnsi="Arial"/>
          <w:sz w:val="22"/>
          <w:szCs w:val="22"/>
          <w:color w:val="auto"/>
        </w:rPr>
      </w:pPr>
      <w:r>
        <w:rPr>
          <w:rFonts w:ascii="Arial" w:cs="Arial" w:eastAsia="Arial" w:hAnsi="Arial"/>
          <w:sz w:val="22"/>
          <w:szCs w:val="22"/>
          <w:b w:val="1"/>
          <w:bCs w:val="1"/>
          <w:u w:val="single" w:color="auto"/>
          <w:color w:val="auto"/>
        </w:rPr>
        <w:t>NON-EXCLUSIVITY OF THE PLAN</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71" w:lineRule="auto"/>
        <w:rPr>
          <w:sz w:val="20"/>
          <w:szCs w:val="20"/>
          <w:color w:val="auto"/>
        </w:rPr>
      </w:pPr>
      <w:r>
        <w:rPr>
          <w:rFonts w:ascii="Arial" w:cs="Arial" w:eastAsia="Arial" w:hAnsi="Arial"/>
          <w:sz w:val="17"/>
          <w:szCs w:val="17"/>
          <w:color w:val="auto"/>
        </w:rPr>
        <w:t>Neither the adoption of the Plan by the Board nor the submission of the Plan to shareholders of the Company for approval (to the extent required under Applicable Law), shall be construed as creating any limitations on the power or authority of the Board to adopt such other or additional incentive or other compensation arrangements of whatever nature as the Board may deem necessary or desirable or preclude or limit the continuation of any other plan, practice or arrangement for the payment of compensation or fringe benefits to employees generally, or to any class or group of employees, which the Company or any Subsidiary now has lawfully put into effect, including, without limitation, any retirement, pension, savings and stock purchase plan, insurance, death and disability benefits and executive short-term or long-term incentive plans.</w:t>
      </w:r>
    </w:p>
    <w:p>
      <w:pPr>
        <w:spacing w:after="0" w:line="193" w:lineRule="exact"/>
        <w:rPr>
          <w:sz w:val="20"/>
          <w:szCs w:val="20"/>
          <w:color w:val="auto"/>
        </w:rPr>
      </w:pPr>
    </w:p>
    <w:p>
      <w:pPr>
        <w:ind w:left="560" w:hanging="435"/>
        <w:spacing w:after="0"/>
        <w:tabs>
          <w:tab w:leader="none" w:pos="560" w:val="left"/>
        </w:tabs>
        <w:numPr>
          <w:ilvl w:val="0"/>
          <w:numId w:val="292"/>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100" w:right="119" w:hanging="521"/>
        <w:spacing w:after="0" w:line="308" w:lineRule="auto"/>
        <w:tabs>
          <w:tab w:leader="none" w:pos="108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7"/>
          <w:szCs w:val="17"/>
          <w:u w:val="single" w:color="auto"/>
          <w:color w:val="auto"/>
        </w:rPr>
        <w:t>Additional Terms</w:t>
      </w:r>
      <w:r>
        <w:rPr>
          <w:rFonts w:ascii="Arial" w:cs="Arial" w:eastAsia="Arial" w:hAnsi="Arial"/>
          <w:sz w:val="17"/>
          <w:szCs w:val="17"/>
          <w:color w:val="auto"/>
        </w:rPr>
        <w:t>. Each Award awarded under the Plan may contain such other terms and conditions not</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inconsistent with the Plan as may be determined by the Committee, in its sole discretion.</w:t>
      </w:r>
    </w:p>
    <w:p>
      <w:pPr>
        <w:spacing w:after="0" w:line="147" w:lineRule="exact"/>
        <w:rPr>
          <w:sz w:val="20"/>
          <w:szCs w:val="20"/>
          <w:color w:val="auto"/>
        </w:rPr>
      </w:pPr>
    </w:p>
    <w:p>
      <w:pPr>
        <w:jc w:val="both"/>
        <w:ind w:left="1100" w:right="119" w:hanging="521"/>
        <w:spacing w:after="0" w:line="259" w:lineRule="auto"/>
        <w:tabs>
          <w:tab w:leader="none" w:pos="108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Agreement shall be determined to be illegal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unenforceable by any court of law in any jurisdiction, the remaining provisions hereof and thereof shall be severable and enforceable in accordance with their terms, and all provisions shall remain enforceable in any other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9" w:name="page220"/>
    <w:bookmarkEnd w:id="219"/>
    <w:p>
      <w:pPr>
        <w:jc w:val="both"/>
        <w:ind w:left="1100" w:right="119"/>
        <w:spacing w:after="0" w:line="259" w:lineRule="auto"/>
        <w:rPr>
          <w:sz w:val="20"/>
          <w:szCs w:val="20"/>
          <w:color w:val="auto"/>
        </w:rPr>
      </w:pPr>
      <w:r>
        <w:rPr>
          <w:rFonts w:ascii="Arial" w:cs="Arial" w:eastAsia="Arial" w:hAnsi="Arial"/>
          <w:sz w:val="18"/>
          <w:szCs w:val="18"/>
          <w:color w:val="auto"/>
        </w:rPr>
        <w:t>jurisdiction. In addition, if any particular provision contained in this Agreement shall for any reason be held to be excessively broad as to duration, geographic scope, activity or subject, it shall be construed by limiting and reducing such provision as to such characteristic so that the provision is enforceable to fullest extent compatible with the applicable law as it shall then appear.</w:t>
      </w:r>
    </w:p>
    <w:p>
      <w:pPr>
        <w:spacing w:after="0" w:line="187" w:lineRule="exact"/>
        <w:rPr>
          <w:sz w:val="20"/>
          <w:szCs w:val="20"/>
          <w:color w:val="auto"/>
        </w:rPr>
      </w:pPr>
    </w:p>
    <w:p>
      <w:pPr>
        <w:jc w:val="both"/>
        <w:ind w:left="1080" w:right="119" w:hanging="521"/>
        <w:spacing w:after="0" w:line="264" w:lineRule="auto"/>
        <w:tabs>
          <w:tab w:leader="none" w:pos="106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u w:val="single" w:color="auto"/>
          <w:color w:val="auto"/>
        </w:rPr>
        <w:t>Captions and Titles</w:t>
      </w:r>
      <w:r>
        <w:rPr>
          <w:rFonts w:ascii="Arial" w:cs="Arial" w:eastAsia="Arial" w:hAnsi="Arial"/>
          <w:sz w:val="18"/>
          <w:szCs w:val="18"/>
          <w:color w:val="auto"/>
        </w:rPr>
        <w:t>. The use of captions and titles in this Plan or any Option Agreement, Restricted Share</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or other Award related agreement is for the convenience of reference only and shall not affect the meaning of any provision of the Plan or such agreement.</w:t>
      </w:r>
    </w:p>
    <w:p>
      <w:pPr>
        <w:spacing w:after="0" w:line="195" w:lineRule="exact"/>
        <w:rPr>
          <w:sz w:val="20"/>
          <w:szCs w:val="20"/>
          <w:color w:val="auto"/>
        </w:rPr>
      </w:pPr>
    </w:p>
    <w:p>
      <w:pPr>
        <w:jc w:val="center"/>
        <w:ind w:right="-20"/>
        <w:spacing w:after="0"/>
        <w:tabs>
          <w:tab w:leader="none" w:pos="200" w:val="left"/>
          <w:tab w:leader="none" w:pos="200" w:val="left"/>
        </w:tabs>
        <w:rPr>
          <w:sz w:val="20"/>
          <w:szCs w:val="20"/>
          <w:color w:val="auto"/>
        </w:rPr>
      </w:pPr>
      <w:r>
        <w:rPr>
          <w:rFonts w:ascii="Arial" w:cs="Arial" w:eastAsia="Arial" w:hAnsi="Arial"/>
          <w:sz w:val="22"/>
          <w:szCs w:val="22"/>
          <w:b w:val="1"/>
          <w:bCs w:val="1"/>
          <w:color w:val="auto"/>
        </w:rPr>
        <w:t>*</w:t>
        <w:tab/>
        <w:t>*</w:t>
        <w:tab/>
        <w:t>*</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0" w:name="page221"/>
    <w:bookmarkEnd w:id="220"/>
    <w:p>
      <w:pPr>
        <w:ind w:left="10340"/>
        <w:spacing w:after="0"/>
        <w:rPr>
          <w:sz w:val="20"/>
          <w:szCs w:val="20"/>
          <w:color w:val="auto"/>
        </w:rPr>
      </w:pPr>
      <w:r>
        <w:rPr>
          <w:rFonts w:ascii="Arial" w:cs="Arial" w:eastAsia="Arial" w:hAnsi="Arial"/>
          <w:sz w:val="16"/>
          <w:szCs w:val="16"/>
          <w:b w:val="1"/>
          <w:bCs w:val="1"/>
          <w:color w:val="auto"/>
        </w:rPr>
        <w:t>Exhibit 10.4</w:t>
      </w:r>
    </w:p>
    <w:p>
      <w:pPr>
        <w:spacing w:after="0" w:line="24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HIRSCH INTERNATIONAL SALES REPRESENTATIVE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Representative Agreement (the “Agreement”) is entered into as of the April 1, 2014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Kornit Digital North America Inc. ("</w:t>
      </w:r>
      <w:r>
        <w:rPr>
          <w:rFonts w:ascii="Arial" w:cs="Arial" w:eastAsia="Arial" w:hAnsi="Arial"/>
          <w:sz w:val="18"/>
          <w:szCs w:val="18"/>
          <w:u w:val="single" w:color="auto"/>
          <w:color w:val="auto"/>
        </w:rPr>
        <w:t>Kornit</w:t>
      </w:r>
      <w:r>
        <w:rPr>
          <w:rFonts w:ascii="Arial" w:cs="Arial" w:eastAsia="Arial" w:hAnsi="Arial"/>
          <w:sz w:val="18"/>
          <w:szCs w:val="18"/>
          <w:color w:val="auto"/>
        </w:rPr>
        <w:t>") and Hirsch International Corporation, a company incorporated under the laws of the state of Delaware, having its principal place of business located at 490 Wheeler Road, Suite 285, Hauppauge, NY 11788 (“</w:t>
      </w:r>
      <w:r>
        <w:rPr>
          <w:rFonts w:ascii="Arial" w:cs="Arial" w:eastAsia="Arial" w:hAnsi="Arial"/>
          <w:sz w:val="18"/>
          <w:szCs w:val="18"/>
          <w:u w:val="single" w:color="auto"/>
          <w:color w:val="auto"/>
        </w:rPr>
        <w:t>Representative</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Kornit has, develops and/or manufactures the Products (as defined below); 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Kornit wishes to sell the Products non-exclusively through the Representative in accordance with the terms and conditions hereof; and</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Representative declares and represents that he has the requisite knowledge, know-how, connections and expertise necessary in order to market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distribute the Products in the Territory.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the mutual covenants herein contained, the parties hereto agree as follows.</w:t>
      </w:r>
    </w:p>
    <w:p>
      <w:pPr>
        <w:spacing w:after="0" w:line="225" w:lineRule="exact"/>
        <w:rPr>
          <w:sz w:val="20"/>
          <w:szCs w:val="20"/>
          <w:color w:val="auto"/>
        </w:rPr>
      </w:pPr>
    </w:p>
    <w:p>
      <w:pPr>
        <w:ind w:left="400" w:hanging="400"/>
        <w:spacing w:after="0"/>
        <w:tabs>
          <w:tab w:leader="none" w:pos="40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any proprietary information of Kornit, including any ideas, whether or not patentable, inventions, discoveries, processes, works of authorship, marks, names, know-how, industrial designs and any and all rights in such materials on a worldwide basis, including any rights in patents, inventor's certificates, utility models, copyrights, moral rights, trade secrets, mask works, trade names and marks and other analogous rights and any updated, modification, improvements, combinations, enhancements and alterations thereto.</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Kornit”</w:t>
      </w:r>
      <w:r>
        <w:rPr>
          <w:rFonts w:ascii="Arial" w:cs="Arial" w:eastAsia="Arial" w:hAnsi="Arial"/>
          <w:sz w:val="16"/>
          <w:szCs w:val="16"/>
          <w:color w:val="auto"/>
        </w:rPr>
        <w:t xml:space="preserve"> Kornit Digital Ltd. and any entity controlling, controlled by, or under common control with it, including any of its subsidiary. Control shall mean ownership of, or the right to acquire; (a) not less than fifty percent (50%) of the voting stock of a corporation, (b) the right to vote not less than fifty percent (50%) of the voting stock of a corporation, or (c) not less than fifty percent (50%) ownership interest in a partnership or other business entity.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Kornit Products</w:t>
      </w:r>
      <w:r>
        <w:rPr>
          <w:rFonts w:ascii="Arial" w:cs="Arial" w:eastAsia="Arial" w:hAnsi="Arial"/>
          <w:sz w:val="18"/>
          <w:szCs w:val="18"/>
          <w:color w:val="auto"/>
        </w:rPr>
        <w:t xml:space="preserve">" means the Machines, ink and other digital printer consumables, accessories (non –consumables) and upgrade kits specified on </w:t>
      </w:r>
      <w:r>
        <w:rPr>
          <w:rFonts w:ascii="Arial" w:cs="Arial" w:eastAsia="Arial" w:hAnsi="Arial"/>
          <w:sz w:val="18"/>
          <w:szCs w:val="18"/>
          <w:u w:val="single" w:color="auto"/>
          <w:color w:val="auto"/>
        </w:rPr>
        <w:t>Schedule A</w:t>
      </w:r>
      <w:r>
        <w:rPr>
          <w:rFonts w:ascii="Arial" w:cs="Arial" w:eastAsia="Arial" w:hAnsi="Arial"/>
          <w:sz w:val="18"/>
          <w:szCs w:val="18"/>
          <w:color w:val="auto"/>
        </w:rPr>
        <w:t>, as may be updated by Kornit at its sole discretion from time to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Kornit T&amp;C</w:t>
      </w:r>
      <w:r>
        <w:rPr>
          <w:rFonts w:ascii="Arial" w:cs="Arial" w:eastAsia="Arial" w:hAnsi="Arial"/>
          <w:sz w:val="18"/>
          <w:szCs w:val="18"/>
          <w:color w:val="auto"/>
        </w:rPr>
        <w:t xml:space="preserve">" means Kornit's terms and conditions, 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 which cover Kornit's terms and conditions which cover the Product, in addition to any other agreement Customer has signed with either Kornit or the Representative with regards to such purchase of Products and/or Services. Representative will ensure that such T&amp;C are brought to the attention and agreement of the Customers upon purchase of Products and will be an integral part of any such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Machine(s</w:t>
      </w:r>
      <w:r>
        <w:rPr>
          <w:rFonts w:ascii="Arial" w:cs="Arial" w:eastAsia="Arial" w:hAnsi="Arial"/>
          <w:sz w:val="18"/>
          <w:szCs w:val="18"/>
          <w:color w:val="auto"/>
        </w:rPr>
        <w:t>)” means all Kornit line of Direct to Garment products, and any future models or machines of Kornit as shall be determined by Kornit in its sole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Minimum Sales Requirement</w:t>
      </w:r>
      <w:r>
        <w:rPr>
          <w:rFonts w:ascii="Arial" w:cs="Arial" w:eastAsia="Arial" w:hAnsi="Arial"/>
          <w:sz w:val="18"/>
          <w:szCs w:val="18"/>
          <w:color w:val="auto"/>
        </w:rPr>
        <w:t>” means the sales requirements set forth in Schedule C.</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Net Receipts</w:t>
      </w:r>
      <w:r>
        <w:rPr>
          <w:rFonts w:ascii="Arial" w:cs="Arial" w:eastAsia="Arial" w:hAnsi="Arial"/>
          <w:sz w:val="17"/>
          <w:szCs w:val="17"/>
          <w:color w:val="auto"/>
        </w:rPr>
        <w:t>" means Kornit’s price for Products the payments for which were actually received by Kornit less any special set-offs, allowances, discounts, concessions, rebates and credits (for returns or otherwise), all of which may be granted by Kornit to Customers in Kornit’s sole discretion.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Price List</w:t>
      </w:r>
      <w:r>
        <w:rPr>
          <w:rFonts w:ascii="Arial" w:cs="Arial" w:eastAsia="Arial" w:hAnsi="Arial"/>
          <w:sz w:val="18"/>
          <w:szCs w:val="18"/>
          <w:color w:val="auto"/>
        </w:rPr>
        <w:t xml:space="preserve">" means Kornit's price list for the Products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D, as may be updated by Kornit from time to time at its sole discretion. Kornit shall provide Representative a thirty (30) day prior notice of any such update.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Territory</w:t>
      </w:r>
      <w:r>
        <w:rPr>
          <w:rFonts w:ascii="Arial" w:cs="Arial" w:eastAsia="Arial" w:hAnsi="Arial"/>
          <w:sz w:val="18"/>
          <w:szCs w:val="18"/>
          <w:color w:val="auto"/>
        </w:rPr>
        <w:t xml:space="preserve">” means the territory specified in </w:t>
      </w:r>
      <w:r>
        <w:rPr>
          <w:rFonts w:ascii="Arial" w:cs="Arial" w:eastAsia="Arial" w:hAnsi="Arial"/>
          <w:sz w:val="18"/>
          <w:szCs w:val="18"/>
          <w:u w:val="single" w:color="auto"/>
          <w:color w:val="auto"/>
        </w:rPr>
        <w:t>Schedule E.</w:t>
      </w:r>
    </w:p>
    <w:p>
      <w:pPr>
        <w:spacing w:after="0" w:line="225" w:lineRule="exact"/>
        <w:rPr>
          <w:sz w:val="20"/>
          <w:szCs w:val="20"/>
          <w:color w:val="auto"/>
        </w:rPr>
      </w:pPr>
    </w:p>
    <w:p>
      <w:pPr>
        <w:spacing w:after="0" w:line="342" w:lineRule="auto"/>
        <w:tabs>
          <w:tab w:leader="none" w:pos="32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21" w:name="page222"/>
    <w:bookmarkEnd w:id="221"/>
    <w:p>
      <w:pPr>
        <w:ind w:left="360" w:hanging="360"/>
        <w:spacing w:after="0"/>
        <w:tabs>
          <w:tab w:leader="none" w:pos="3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OWNERSHIP.</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term of this Agreement and subject to the terms and conditions herein, Kornit hereby appoints Representative as: (i) its non-exclusive sales representative in the Territory and authorizes Representative to advertise and market and provide Product orders to Kornit and, subject to Kornit’s explicit written authorization in advance on a case by case basis, solicit orders for the sale of Products outside the Territory;. For avoidance of doubt it is made clear that Kornit will be entitled to provide any services and/or support with regards to the Product as it sees fit, whether by itself or through others, in the Territory either exclusively or non exclusively. This appointment is personal to Representative and may not be assigned or transferred in any way, in whole or in part, nor may Representative appoint sub-representatives, except with the advance written permission of Kornit.</w:t>
      </w:r>
    </w:p>
    <w:p>
      <w:pPr>
        <w:spacing w:after="0" w:line="174" w:lineRule="exact"/>
        <w:rPr>
          <w:sz w:val="20"/>
          <w:szCs w:val="20"/>
          <w:color w:val="auto"/>
        </w:rPr>
      </w:pPr>
    </w:p>
    <w:p>
      <w:pPr>
        <w:ind w:left="360" w:hanging="360"/>
        <w:spacing w:after="0"/>
        <w:tabs>
          <w:tab w:leader="none" w:pos="3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TERM; RENEWAL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of this Agreement will commence on the Effective Date and will continue for a period of three (3) years (“</w:t>
      </w:r>
      <w:r>
        <w:rPr>
          <w:rFonts w:ascii="Arial" w:cs="Arial" w:eastAsia="Arial" w:hAnsi="Arial"/>
          <w:sz w:val="18"/>
          <w:szCs w:val="18"/>
          <w:u w:val="single" w:color="auto"/>
          <w:color w:val="auto"/>
        </w:rPr>
        <w:t>Initial Term</w:t>
      </w:r>
      <w:r>
        <w:rPr>
          <w:rFonts w:ascii="Arial" w:cs="Arial" w:eastAsia="Arial" w:hAnsi="Arial"/>
          <w:sz w:val="18"/>
          <w:szCs w:val="18"/>
          <w:color w:val="auto"/>
        </w:rPr>
        <w:t>”). Subject to Section 7 below and unless either party notifies that other party at least ninety (90) days in advance otherwise, after the expiration of the Initial Period and any renewal period, as the case may be, this Agreement shall be automatically renewed for additional periods of one (1) year each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For avoidance of doubt it is made clear that KORNIT may update Schedules A, C and D on a yearly basis, and once updated and provided to Representative, such schedules will become an integral part of this Agreement.</w:t>
      </w:r>
    </w:p>
    <w:p>
      <w:pPr>
        <w:spacing w:after="0" w:line="184" w:lineRule="exact"/>
        <w:rPr>
          <w:sz w:val="20"/>
          <w:szCs w:val="20"/>
          <w:color w:val="auto"/>
        </w:rPr>
      </w:pPr>
    </w:p>
    <w:p>
      <w:pPr>
        <w:ind w:left="360" w:hanging="360"/>
        <w:spacing w:after="0"/>
        <w:tabs>
          <w:tab w:leader="none" w:pos="3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REPRESENTATIVE’S DUTIES AND GENERAL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4.1  Representative will:</w:t>
      </w:r>
    </w:p>
    <w:p>
      <w:pPr>
        <w:spacing w:after="0" w:line="225" w:lineRule="exact"/>
        <w:rPr>
          <w:sz w:val="20"/>
          <w:szCs w:val="20"/>
          <w:color w:val="auto"/>
        </w:rPr>
      </w:pPr>
    </w:p>
    <w:p>
      <w:pPr>
        <w:jc w:val="both"/>
        <w:spacing w:after="0" w:line="264" w:lineRule="auto"/>
        <w:tabs>
          <w:tab w:leader="none" w:pos="21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exert best efforts to seek out and identify prospective customers, otherwise promote and obtain orders for the Products in the Territory and promptly and thoroughly follow up inquiries, leads and correspondence furnished to Representative by Kornit. Representative will achieve the Minimum Sales Requirement. ;</w:t>
      </w:r>
    </w:p>
    <w:p>
      <w:pPr>
        <w:spacing w:after="0" w:line="181" w:lineRule="exact"/>
        <w:rPr>
          <w:rFonts w:ascii="Arial" w:cs="Arial" w:eastAsia="Arial" w:hAnsi="Arial"/>
          <w:sz w:val="18"/>
          <w:szCs w:val="18"/>
          <w:color w:val="auto"/>
        </w:rPr>
      </w:pPr>
    </w:p>
    <w:p>
      <w:pPr>
        <w:jc w:val="both"/>
        <w:spacing w:after="0" w:line="257" w:lineRule="auto"/>
        <w:tabs>
          <w:tab w:leader="none" w:pos="27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participate, present and display the Products, at the expense of Representative, each year in at least one exhibition in the Territory, if there is such an exhibition in the Territory in the field of textile or printing in such year. At Kornit request, the Products shall be also displayed in an international exhibition in the Territory in the field of textile or printing. If the Products shall be also displayed in an international exhibition outside the Territory, the costs related to the display of the Products in such exhibition shall be borne by both parties as shall be agreed between the parties on a case by case basis; each participation in an exhibition shall be coordinated with Kornit in advance.</w:t>
      </w:r>
    </w:p>
    <w:p>
      <w:pPr>
        <w:spacing w:after="0" w:line="188" w:lineRule="exact"/>
        <w:rPr>
          <w:rFonts w:ascii="Arial" w:cs="Arial" w:eastAsia="Arial" w:hAnsi="Arial"/>
          <w:sz w:val="18"/>
          <w:szCs w:val="18"/>
          <w:color w:val="auto"/>
        </w:rPr>
      </w:pPr>
    </w:p>
    <w:p>
      <w:pPr>
        <w:jc w:val="both"/>
        <w:spacing w:after="0" w:line="286" w:lineRule="auto"/>
        <w:tabs>
          <w:tab w:leader="none" w:pos="318"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Initiate and conduct promotional campaigns including without limitation advertising campaigns, and prepare and distribute catalogs and manuals in the English language(s), all of which shall be approved in advance by Kornit. The costs associated with such activities will be borne exclusively by Representative. All promotional materials used by Representative will, unless Kornit otherwise directs, contain the name of Kornit.</w:t>
      </w:r>
    </w:p>
    <w:p>
      <w:pPr>
        <w:spacing w:after="0" w:line="165" w:lineRule="exact"/>
        <w:rPr>
          <w:rFonts w:ascii="Arial" w:cs="Arial" w:eastAsia="Arial" w:hAnsi="Arial"/>
          <w:sz w:val="17"/>
          <w:szCs w:val="17"/>
          <w:color w:val="auto"/>
        </w:rPr>
      </w:pPr>
    </w:p>
    <w:p>
      <w:pPr>
        <w:spacing w:after="0" w:line="277" w:lineRule="auto"/>
        <w:tabs>
          <w:tab w:leader="none" w:pos="32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advise its Customers that warranty, according to the terms of the T&amp;C, will be provided by Kornit and service and support services following such warranty period, can be separately purchased directly from Kornit. .</w:t>
      </w:r>
    </w:p>
    <w:p>
      <w:pPr>
        <w:spacing w:after="0" w:line="170" w:lineRule="exact"/>
        <w:rPr>
          <w:rFonts w:ascii="Arial" w:cs="Arial" w:eastAsia="Arial" w:hAnsi="Arial"/>
          <w:sz w:val="18"/>
          <w:szCs w:val="18"/>
          <w:color w:val="auto"/>
        </w:rPr>
      </w:pPr>
    </w:p>
    <w:p>
      <w:pPr>
        <w:jc w:val="both"/>
        <w:spacing w:after="0" w:line="259" w:lineRule="auto"/>
        <w:tabs>
          <w:tab w:leader="none" w:pos="29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provide to Kornit quarterly written reports on all of its marketing activities hereunder, including information regarding malfunctions, visits on Customers’ sites, including, information relating to any products or services in the Territory competing with the Products to which the Representative is aware of and all other information which is likely to be of interest to Kornit in connection with the Products or the marketing of the Products in the Territory, including any information which may be reasonably requested by Kornit from time to time.</w:t>
      </w:r>
    </w:p>
    <w:p>
      <w:pPr>
        <w:spacing w:after="0" w:line="186" w:lineRule="exact"/>
        <w:rPr>
          <w:rFonts w:ascii="Arial" w:cs="Arial" w:eastAsia="Arial" w:hAnsi="Arial"/>
          <w:sz w:val="18"/>
          <w:szCs w:val="18"/>
          <w:color w:val="auto"/>
        </w:rPr>
      </w:pPr>
    </w:p>
    <w:p>
      <w:pPr>
        <w:jc w:val="both"/>
        <w:spacing w:after="0" w:line="264" w:lineRule="auto"/>
        <w:tabs>
          <w:tab w:leader="none" w:pos="30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at least forty five (45) days prior to the end of any calendar year during the term hereof, provide Kornit with a written annual marketing plan which will describe in reasonable detail Representative's plans for the marketing, promotion and service of the Products in the Territory for the following year, including the personnel designated to perform the objectives of such annual marketing plan;</w:t>
      </w:r>
    </w:p>
    <w:p>
      <w:pPr>
        <w:spacing w:after="0" w:line="181" w:lineRule="exact"/>
        <w:rPr>
          <w:rFonts w:ascii="Arial" w:cs="Arial" w:eastAsia="Arial" w:hAnsi="Arial"/>
          <w:sz w:val="18"/>
          <w:szCs w:val="18"/>
          <w:color w:val="auto"/>
        </w:rPr>
      </w:pPr>
    </w:p>
    <w:p>
      <w:pPr>
        <w:spacing w:after="0" w:line="277" w:lineRule="auto"/>
        <w:tabs>
          <w:tab w:leader="none" w:pos="36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obtain, at Representative’s cost and with Kornit’s reasonable assistance (which will be provided upon request), all necessary governmental approvals, licenses, permits and consents in connection with the Representative’s obligations hereunder.</w:t>
      </w:r>
    </w:p>
    <w:p>
      <w:pPr>
        <w:spacing w:after="0" w:line="170" w:lineRule="exact"/>
        <w:rPr>
          <w:sz w:val="20"/>
          <w:szCs w:val="20"/>
          <w:color w:val="auto"/>
        </w:rPr>
      </w:pPr>
    </w:p>
    <w:p>
      <w:pPr>
        <w:spacing w:after="0" w:line="342" w:lineRule="auto"/>
        <w:tabs>
          <w:tab w:leader="none" w:pos="32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22" w:name="page223"/>
    <w:bookmarkEnd w:id="222"/>
    <w:p>
      <w:pPr>
        <w:jc w:val="both"/>
        <w:spacing w:after="0" w:line="312" w:lineRule="auto"/>
        <w:tabs>
          <w:tab w:leader="none" w:pos="40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advise, receive the agreement of, and provide to every Customer purchasing a Product Kornit's T&amp;C which cover the Products and the obligations and relationship between Kornit and Customer. Kornit shall have no further obligations or relationship with Customer other than as specifically stated in such T&amp;C and all other relationships or claims to and from Customer shall be directed to and dealt with exclusively by Representative.</w:t>
      </w:r>
    </w:p>
    <w:p>
      <w:pPr>
        <w:spacing w:after="0" w:line="146" w:lineRule="exact"/>
        <w:rPr>
          <w:rFonts w:ascii="Arial" w:cs="Arial" w:eastAsia="Arial" w:hAnsi="Arial"/>
          <w:sz w:val="16"/>
          <w:szCs w:val="16"/>
          <w:color w:val="auto"/>
        </w:rPr>
      </w:pPr>
    </w:p>
    <w:p>
      <w:pPr>
        <w:ind w:left="300" w:hanging="300"/>
        <w:spacing w:after="0"/>
        <w:tabs>
          <w:tab w:leader="none" w:pos="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Cooperate with KORNIT's CRM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Minimum Sales Requirement</w:t>
      </w:r>
      <w:r>
        <w:rPr>
          <w:rFonts w:ascii="Arial" w:cs="Arial" w:eastAsia="Arial" w:hAnsi="Arial"/>
          <w:sz w:val="18"/>
          <w:szCs w:val="18"/>
          <w:color w:val="auto"/>
        </w:rPr>
        <w:t xml:space="preserve">. Representative shall comply with the Minimum Sales Requirements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C.</w:t>
      </w:r>
    </w:p>
    <w:p>
      <w:pPr>
        <w:spacing w:after="0" w:line="221" w:lineRule="exact"/>
        <w:rPr>
          <w:sz w:val="20"/>
          <w:szCs w:val="20"/>
          <w:color w:val="auto"/>
        </w:rPr>
      </w:pPr>
    </w:p>
    <w:p>
      <w:pPr>
        <w:ind w:left="360" w:hanging="360"/>
        <w:spacing w:after="0"/>
        <w:tabs>
          <w:tab w:leader="none" w:pos="3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KORNIT’S DUTIES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Delivery on Time</w:t>
      </w:r>
      <w:r>
        <w:rPr>
          <w:rFonts w:ascii="Arial" w:cs="Arial" w:eastAsia="Arial" w:hAnsi="Arial"/>
          <w:sz w:val="18"/>
          <w:szCs w:val="18"/>
          <w:color w:val="auto"/>
        </w:rPr>
        <w:t>. Kornit shall deliver the Products in accordance with the time schedules specified in orders confirmed by Kornit.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Assistance</w:t>
      </w:r>
      <w:r>
        <w:rPr>
          <w:rFonts w:ascii="Arial" w:cs="Arial" w:eastAsia="Arial" w:hAnsi="Arial"/>
          <w:sz w:val="17"/>
          <w:szCs w:val="17"/>
          <w:color w:val="auto"/>
        </w:rPr>
        <w:t>. Without derogating from Representative’s obligations herein, Kornit shall use its best efforts to assist Representative in the preparation of marketing and exhibition materials as well as training Representative's sales employees, as it sees fit. Furthermore, Kornit shall provide Representative with prompt responses to any reasonable written query forwarded by Representative in connection with the Products.</w:t>
      </w:r>
    </w:p>
    <w:p>
      <w:pPr>
        <w:spacing w:after="0" w:line="162" w:lineRule="exact"/>
        <w:rPr>
          <w:sz w:val="20"/>
          <w:szCs w:val="20"/>
          <w:color w:val="auto"/>
        </w:rPr>
      </w:pPr>
    </w:p>
    <w:p>
      <w:pPr>
        <w:ind w:left="360" w:hanging="360"/>
        <w:spacing w:after="0"/>
        <w:tabs>
          <w:tab w:leader="none" w:pos="3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COMMISSIONS; ORDERS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Sales Commission</w:t>
      </w:r>
      <w:r>
        <w:rPr>
          <w:rFonts w:ascii="Arial" w:cs="Arial" w:eastAsia="Arial" w:hAnsi="Arial"/>
          <w:sz w:val="18"/>
          <w:szCs w:val="18"/>
          <w:color w:val="auto"/>
        </w:rPr>
        <w:t xml:space="preserve">. Representative will be entitled to a commission in the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for the sale of Machines during the Term, provided that such sale (i.e. the execution of a definitive binding document between the Customer and Kornit for the sale of a Machine) is the result of Representative's direct efforts and assistance and substantive introduction of the Products to the specific Customer (i.e., meaningful and not merely formal or initial introduction along with active follow up, contact and liaison, including public relation) (the “</w:t>
      </w:r>
      <w:r>
        <w:rPr>
          <w:rFonts w:ascii="Arial" w:cs="Arial" w:eastAsia="Arial" w:hAnsi="Arial"/>
          <w:sz w:val="18"/>
          <w:szCs w:val="18"/>
          <w:u w:val="single" w:color="auto"/>
          <w:color w:val="auto"/>
        </w:rPr>
        <w:t>Sales Commission</w:t>
      </w:r>
      <w:r>
        <w:rPr>
          <w:rFonts w:ascii="Arial" w:cs="Arial" w:eastAsia="Arial" w:hAnsi="Arial"/>
          <w:sz w:val="18"/>
          <w:szCs w:val="18"/>
          <w:color w:val="auto"/>
        </w:rPr>
        <w:t>”). If Kornit is not paid by the Customer, for any reason, then no Sales Commission is due to Representative.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Commissions Payment</w:t>
      </w:r>
      <w:r>
        <w:rPr>
          <w:rFonts w:ascii="Arial" w:cs="Arial" w:eastAsia="Arial" w:hAnsi="Arial"/>
          <w:sz w:val="18"/>
          <w:szCs w:val="18"/>
          <w:color w:val="auto"/>
        </w:rPr>
        <w:t xml:space="preserve">. Payment of the Sales Commission will be made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Orders and Quotations</w:t>
      </w:r>
      <w:r>
        <w:rPr>
          <w:rFonts w:ascii="Arial" w:cs="Arial" w:eastAsia="Arial" w:hAnsi="Arial"/>
          <w:sz w:val="17"/>
          <w:szCs w:val="17"/>
          <w:color w:val="auto"/>
        </w:rPr>
        <w:t>. Representative will update Kornit in writing regarding sale price of Products to Customers before finalizing such sale. All orders for Products will be subject to acceptance by Kornit in writing and to such terms and conditions as may be agreed between Kornit and the Customer. Kornit reserves the right, in its sole and absolute discretion, to reject any order, decline to negotiate with any prospective Customer or impose additional or different terms and conditions with respect to any proposed sale. Kornit will not incur any liability to Representative by reason of such rejection, failure to negotiate or imposition of additional or different terms and conditions. Representative will have no right or claim against Kornit, for Commission or otherwise, by reason of Kornit’s failure to complete a sale or otherwise perform pursuant to the terms of an order. The Commissions provided for under this Section 6 will constitute the total and exclusive compensation payable by Kornit to Representative hereunder.</w:t>
      </w:r>
    </w:p>
    <w:p>
      <w:pPr>
        <w:spacing w:after="0" w:line="174" w:lineRule="exact"/>
        <w:rPr>
          <w:sz w:val="20"/>
          <w:szCs w:val="20"/>
          <w:color w:val="auto"/>
        </w:rPr>
      </w:pPr>
    </w:p>
    <w:p>
      <w:pPr>
        <w:ind w:left="360" w:hanging="360"/>
        <w:spacing w:after="0"/>
        <w:tabs>
          <w:tab w:leader="none" w:pos="3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NON-EXCLUSIVE REMEDY; SURVIVAL; NO TERMINATION LIABILITY AND EFFECT OF TERMINATION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w:t>
      </w:r>
      <w:r>
        <w:rPr>
          <w:rFonts w:ascii="Arial" w:cs="Arial" w:eastAsia="Arial" w:hAnsi="Arial"/>
          <w:sz w:val="16"/>
          <w:szCs w:val="16"/>
          <w:color w:val="auto"/>
        </w:rPr>
        <w:t>. Each party will have the right to terminate this Agreement at any time if: (i) the other party breaches any material term of this Agreement and fails to cure such breach within thirty (30) days after written notice thereof, or (ii) if the other party is or becomes insolvent, or a party to any bankruptcy or receivership proceeding or any similar action affecting the financial condition of the party, or seeks to make a compromise, arrangement or assignment for the benefit of its creditors, or ceases doing business in the normal course for a period of at least sixty (60) days. Kornit may also terminate this Agreement immediately without notice or not renew this Agreement upon expiration of the Initial Period if Representative (i) has not met its yearly sales requirements as set forth in Schedule C, (ii) the parties do not agree on the Minimum Sales Requirement for the following Renewal Term, (iii) Representative breaches its undertaking under Section 9.3, and particularly sale consumables and spare parts and accessories for the Machines which were not provided to it by Kornit, and (iv) Representative fails to submit to Kornit on time or to comply with its annual marketing plan for the Products.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Non-Exclusive Remedy</w:t>
      </w:r>
      <w:r>
        <w:rPr>
          <w:rFonts w:ascii="Arial" w:cs="Arial" w:eastAsia="Arial" w:hAnsi="Arial"/>
          <w:sz w:val="18"/>
          <w:szCs w:val="18"/>
          <w:color w:val="auto"/>
        </w:rPr>
        <w:t>. Termination of this Agreement by either party will be a nonexclusive remedy for breach and will be without prejudice to any other right or remedy of such party.</w:t>
      </w:r>
    </w:p>
    <w:p>
      <w:pPr>
        <w:spacing w:after="0" w:line="170" w:lineRule="exact"/>
        <w:rPr>
          <w:sz w:val="20"/>
          <w:szCs w:val="20"/>
          <w:color w:val="auto"/>
        </w:rPr>
      </w:pPr>
    </w:p>
    <w:p>
      <w:pPr>
        <w:spacing w:after="0" w:line="342" w:lineRule="auto"/>
        <w:tabs>
          <w:tab w:leader="none" w:pos="32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23" w:name="page224"/>
    <w:bookmarkEnd w:id="223"/>
    <w:p>
      <w:pPr>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Survival</w:t>
      </w:r>
      <w:r>
        <w:rPr>
          <w:rFonts w:ascii="Arial" w:cs="Arial" w:eastAsia="Arial" w:hAnsi="Arial"/>
          <w:sz w:val="17"/>
          <w:szCs w:val="17"/>
          <w:color w:val="auto"/>
        </w:rPr>
        <w:t>. The rights and obligations of the parties contained in Sections 7, 8, 9, 10, 11, 12 and 13 will survive the termination of this Agreement.</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 Termination Liability</w:t>
      </w:r>
      <w:r>
        <w:rPr>
          <w:rFonts w:ascii="Arial" w:cs="Arial" w:eastAsia="Arial" w:hAnsi="Arial"/>
          <w:sz w:val="17"/>
          <w:szCs w:val="17"/>
          <w:color w:val="auto"/>
        </w:rPr>
        <w:t>. Each party understands that the rights of termination hereunder are absolute. Neither party will incur any liability or compensation obligation whatsoever for any damage (including, without limitation, damage to or loss of goodwill or investment), loss or expenses of any kind suffered or incurred by the other (or for any compensation to the other) arising from or incident to any termination of this Agreement by such party that complies with the terms of the Agreement whether or not such party is aware of any such damage, loss or expenses.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Upon the expiration or earlier termination of this Agreement, Representative will, within ten (10) days after such expiration or termination (i) advise Kornit by notice of all existing indications of interest by, and discussions with, potential Customers for Products, and (ii) provide Kornit or any third party designated by it for such purpose, a detailed list specifying any activities that were in process upon the expiration or termination of this Agreement, the status of any such activity and the status of payments due in connection with any such activity and/or agreement. Upon the expiration or earlier termination of this Agreement, Representative will also (i) immediately discontinue any use of the name, logotype, trademarks or slogans of Kornit and the trade names of any of the Products; (ii) immediately discontinue all representations or statements from which it might be inferred that any relationship exists between Kornit and Representative, and (iii) will cease to promote, solicit orders for or procure orders for Products (but will not act in any way to damage the reputation of Kornit or any Product). In addition, Representative will immediately return to Kornit at Representative’s expense, all catalogues and literature of Kornit then in Representative’s possession.</w:t>
      </w:r>
    </w:p>
    <w:p>
      <w:pPr>
        <w:spacing w:after="0" w:line="178" w:lineRule="exact"/>
        <w:rPr>
          <w:sz w:val="20"/>
          <w:szCs w:val="20"/>
          <w:color w:val="auto"/>
        </w:rPr>
      </w:pPr>
    </w:p>
    <w:p>
      <w:pPr>
        <w:ind w:left="340" w:hanging="340"/>
        <w:spacing w:after="0"/>
        <w:tabs>
          <w:tab w:leader="none" w:pos="3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Definition</w:t>
      </w:r>
      <w:r>
        <w:rPr>
          <w:rFonts w:ascii="Arial" w:cs="Arial" w:eastAsia="Arial" w:hAnsi="Arial"/>
          <w:sz w:val="18"/>
          <w:szCs w:val="18"/>
          <w:color w:val="auto"/>
        </w:rPr>
        <w:t>. "Confidential Information" means: (i) the Products and all Intellectual Property Right therein; (ii) the terms and conditions of this Agreement; and (iii) any and all information and know-how of a private, secret or confidential nature, in whatever form, that relates to the business, financial condition, products or technical information of Kornit and Representative, their affiliates, customers, potential customers, suppliers or potential suppliers, provided or disclosed to the receiving party or which becomes known to the receiving party, whether or not marked or otherwise designated as "confidential", "proprietary" or with any other legend indicating its proprietary nature. Notwithstanding any failure to so identify disclosed information as Confidential Information, (a) information pertaining to the software Product and documentation including without limitation, the development status of the Product, the functionality of the Product, the appearance, content and flow of the software Product’s user interface and the documentation will be deemed to be Confidential Information; and (b) any information disclosed in circumstances of confidence, or would be understood by the parties, exercising reasonable business judgment, to be confidential, including information viewed or learned by a party during a visit to the other party’s facilities, will be deemed Confidential Information.</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Exclusions</w:t>
      </w:r>
      <w:r>
        <w:rPr>
          <w:rFonts w:ascii="Arial" w:cs="Arial" w:eastAsia="Arial" w:hAnsi="Arial"/>
          <w:sz w:val="16"/>
          <w:szCs w:val="16"/>
          <w:color w:val="auto"/>
        </w:rPr>
        <w:t>. Notwithstanding the above, neither party will have liability to the other with regard to any Confidential Information of the other which the receiving party can prove: (i) was publicly known at the time it was disclosed or has become publicly known through no fault of the receiving party; (ii) was legally known to the receiving party, without restriction, at the time of disclosure; (iii) is disclosed with the prior written approval of the disclosing party; (iv) became known to the receiving party, without restriction, from a source other than the disclosing party, without breach of this Agreement by the receiving party and otherwise not in violation of the disclosing party's rights; or (v) disclosed pursuant to the order or requirement of a court, administrative agency, or other governmental body; provided, however, that the receiving party will provide prompt notice thereof to the disclosing party to enable the disclosing party to seek a protective order or otherwise prevent or restrict such disclosure. The exceptions will not permit the receiving party to disregard the obligations of confidentiality herein merely because individual portion(s) of the Confidential Information may be found within such exceptions, or because the Confidential Information is implicitly but not explicitly disclosed in information falling within such exceptions.</w:t>
      </w:r>
    </w:p>
    <w:p>
      <w:pPr>
        <w:spacing w:after="0" w:line="167" w:lineRule="exact"/>
        <w:rPr>
          <w:sz w:val="20"/>
          <w:szCs w:val="20"/>
          <w:color w:val="auto"/>
        </w:rPr>
      </w:pPr>
    </w:p>
    <w:p>
      <w:pPr>
        <w:spacing w:after="0" w:line="342" w:lineRule="auto"/>
        <w:tabs>
          <w:tab w:leader="none" w:pos="32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24" w:name="page225"/>
    <w:bookmarkEnd w:id="224"/>
    <w:p>
      <w:pPr>
        <w:jc w:val="both"/>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Use and Disclosure Restrictions</w:t>
      </w:r>
      <w:r>
        <w:rPr>
          <w:rFonts w:ascii="Arial" w:cs="Arial" w:eastAsia="Arial" w:hAnsi="Arial"/>
          <w:sz w:val="18"/>
          <w:szCs w:val="18"/>
          <w:color w:val="auto"/>
        </w:rPr>
        <w:t xml:space="preserve"> Each party will treat as confidential all Confidential Information of the other party, will not use such Confidential Information except as set forth herein, and will use reasonable efforts not to disclose such Confidential Information to any third party. Without limiting the foregoing, each of the parties will use at least the same degree of care that it uses to prevent the disclosure of its own confidential information of like importance to prevent the disclosure of Confidential Information disclosed to it by the other party under this Agreement, but in no event will it use less than reasonable efforts. Each party will promptly notify the other party of any actual or suspected misuse or unauthorized disclosure of the other party's Confidential Information.</w:t>
      </w:r>
    </w:p>
    <w:p>
      <w:pPr>
        <w:spacing w:after="0" w:line="189" w:lineRule="exact"/>
        <w:rPr>
          <w:sz w:val="20"/>
          <w:szCs w:val="20"/>
          <w:color w:val="auto"/>
        </w:rPr>
      </w:pPr>
    </w:p>
    <w:p>
      <w:pPr>
        <w:ind w:left="340" w:hanging="340"/>
        <w:spacing w:after="0"/>
        <w:tabs>
          <w:tab w:leader="none" w:pos="34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 NON COMPETE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tabs>
          <w:tab w:leader="none" w:pos="41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Intellectual Property Rights in or related to the Products and related documentation, and any related design and manufacturing, as well as any modification, adaptation or derivation thereof, are and will remain the exclusive property of Kornit and its licensors. Representative hereby irrevocably agrees not to assert against Kornit or its direct or indirect customers, assignees or sub-licensees, any claim of Intellectual Property Rights relating to the Products and/or the related documentation. Representative agrees that it will not reverse engineer, decompile or perform any similar type of operation on the Products, in any fashion or for any purpose whatsoever.</w:t>
      </w:r>
    </w:p>
    <w:p>
      <w:pPr>
        <w:spacing w:after="0" w:line="188" w:lineRule="exact"/>
        <w:rPr>
          <w:rFonts w:ascii="Arial" w:cs="Arial" w:eastAsia="Arial" w:hAnsi="Arial"/>
          <w:sz w:val="18"/>
          <w:szCs w:val="18"/>
          <w:color w:val="auto"/>
        </w:rPr>
      </w:pPr>
    </w:p>
    <w:p>
      <w:pPr>
        <w:jc w:val="both"/>
        <w:spacing w:after="0" w:line="257" w:lineRule="auto"/>
        <w:tabs>
          <w:tab w:leader="none" w:pos="67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Kornit, in its sole discretion, will determine what steps, if any, are to be taken with respect to any infringement or unauthorized use of any Kornit Product, and any damages recovered will be payable firstly to Kornit, and then to Representative if the Representative was damaged as well and Kornit is fully compensated for its damages. In no event will Kornit be obligated hereunder to commence legal proceedings. Representative will not undertake any legal action or other steps of any kind to prevent or restrain any such infringement or unauthorized use or collect damages resulting there from without Kornit's advance written permission.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 of Infringement</w:t>
      </w:r>
      <w:r>
        <w:rPr>
          <w:rFonts w:ascii="Arial" w:cs="Arial" w:eastAsia="Arial" w:hAnsi="Arial"/>
          <w:sz w:val="18"/>
          <w:szCs w:val="18"/>
          <w:color w:val="auto"/>
        </w:rPr>
        <w:t>. Representative will promptly inform Kornit in reasonable detail of any alleged infringement of its Intellectual Property Rights in the Territory it is aware of and assist Kornit at its request in the enforcement of its rights.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Non-Compete; No Solicitation</w:t>
      </w:r>
      <w:r>
        <w:rPr>
          <w:rFonts w:ascii="Arial" w:cs="Arial" w:eastAsia="Arial" w:hAnsi="Arial"/>
          <w:sz w:val="18"/>
          <w:szCs w:val="18"/>
          <w:color w:val="auto"/>
        </w:rPr>
        <w:t>. During the term of this Agreement, and without KORNIT's prior written consent, Representative will not directly or indirectly: (a) purchase and/or sell consumables, spare parts and accessories for the Machines other than from/through Kornit (b) shall not interfere in any manner with the contractual or employment relationship between Kornit and any of its employees, consultants, suppliers or customers; or (c) provide any service and/or support services to the Product.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Representative acknowledges that the restricted periods of time and geographical area specified in subsection 9.3 above are reasonable, in view of the nature of the business in which Kornit is engaged and Representative’s knowledge of Kornit’s technology, business, products, and services. Notwithstanding anything contained hereunder to the contrary, if the time periods or the geographical area specified in subsection 9.3 should be determined to be unreasonable in any judicial proceeding, then the period of time and area of the restriction will be reduced so that this Agreement may be enforced in such area and during such period of time as will be determined to be reasonable by such judicial proceeding.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WARRANTY DISCLAIMER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MAKES NO WARRANTIES TO REPRESENTATIVE WITH RESPECT TO THE PRODUCTS OR ANY SERVICES AND DISCLAIMS ALL IMPLIED WARRANTIES, INCLUDING WARRANTIES OF MERCHANTABILITY, NONINFRINGEMENT AND FITNESS FOR A PARTICULAR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LIABILITY LIMITATION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KORNIT AND ITS THIRD PARTY SUPPLIERS WILL NOT BE LIABLE TO REPRESENTATIVE WITH RESPECT TO ANY SUBJECT MATTER OF THIS AGREEMENT UNDER ANY CONTRACT, NEGLIGENCE, STRICT LIABILITY OR OTHER LEGAL OR EQUITABLE THEORY, AND WHETHER OR NOT KORNIT HAS BEEN ADVISED OF THE POSSIBILITY OF SUCH DAMAGE, (I) FOR ANY PUNITIVE, SPECIAL, INCIDENTAL OR CONSEQUENTIAL DAMAGES OR LOST DATA, OR OR (II) FOR ANY AMOUNTS IN EXCESS, IN THE AGGREGATE, OF THE COMMISSIONS PAID OR OWED BY KORNIT TO REPRESENTATIVE HEREUNDER DURING THE TWELVE (12) MONTH PERIOD THAT PRECEDES THE DATE THE CAUSE OF ACTION AROSE. THESE LIMITATIONS WILL APPLY EVEN IF ANY REMEDY FAILS OF ITS ESSENTIAL PURPOSE.</w:t>
      </w:r>
    </w:p>
    <w:p>
      <w:pPr>
        <w:spacing w:after="0" w:line="189" w:lineRule="exact"/>
        <w:rPr>
          <w:sz w:val="20"/>
          <w:szCs w:val="20"/>
          <w:color w:val="auto"/>
        </w:rPr>
      </w:pPr>
    </w:p>
    <w:p>
      <w:pPr>
        <w:spacing w:after="0" w:line="342" w:lineRule="auto"/>
        <w:tabs>
          <w:tab w:leader="none" w:pos="32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12. INDEMNIFICATION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Representative will indemnify and hold harmless Kornit and Kornit’s officers, directors, agents, and employees from and against any and all third party claims, actions, demands, losses, liabilities, damages, or expenses (including, without limitation, reasonable attorneys' fees, experts' fees, and other reasonable costs of litigation) brought against Kornit, arising out of or otherwise related to: (i) any breach of this Agreement by Representative; (ii) Representative’s warranties or representations, whether express or implied, which were not authorized by Kornit or any additional liability assumed by Representative with respect to the Products in excess of that assumed by Kornit in this Agreement; or (iii) any misrepresentation, fraud, negligence or willful misconduct of Representative, or its employees, contractors, or agents, with respect to any prospective or existing Customer or other third party or in connection with Representative's performance under this Agreement. Kornit agrees to: (a) promptly notify Representative in writing of any such action or claim; and (b) provide Representative with all assistance, information and authority required for the defense and settlement of the action or claim. Representative will not be responsible for any settlement made without Representative’s prior written consent, not to be unreasonably withheld, and Representative will have no right to bind Kornit or admit liability by Kornit in any claim, or settlement thereof, without Kornit’s prior written consent, not to be unreasonably withheld. Representative will have the option in its sole discretion to assume the defense of any such action or claim. If Representative does not assume the defense within ten (10) days after Kornit’s notice to Representative of any third party action or claim, then Kornit may undertake the defense of such third party action or claim at Representative’s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 PROVISIONS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may not be assigned, by operation of law or otherwise, by Representative without the prior written consent of Kornit. Any purported assignment is null and void. Kornit may assign or transfer this Agreement without Representative’s consent. Subject to the foregoing, this Agreement will bind and inure to the benefit of the parties, their respective successors and permitted assigns.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Waiver and Amendment</w:t>
      </w:r>
      <w:r>
        <w:rPr>
          <w:rFonts w:ascii="Arial" w:cs="Arial" w:eastAsia="Arial" w:hAnsi="Arial"/>
          <w:sz w:val="18"/>
          <w:szCs w:val="18"/>
          <w:color w:val="auto"/>
        </w:rPr>
        <w:t>. No modification, amendment or waiver of any provision of this Agreement will be effective unless in writing and signed by the parties duly authorized representatives. The failure by either party to enforce any provision of this Agreement will not constitute a waiver of future enforcement of that or any other provision.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Agreement will be governed by the laws of the State of New York, without reference to conflict of laws principles. The sole jurisdiction and venue for actions related to the subject matter of this Agreement will be the in the competent courts of New York, New York. Both parties consent to the jurisdiction of such courts with respect to any such actions.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or consents required or permitted under this Agreement will be in writing. Notice will be considered effective on the earlier of actual receipt or: (i) the day following transmission if sent by facsimile followed by written confirmation; (ii) one (1) day (two (2) days for international addresses) after posting when sent via an express commercial courier; or (iii) five (5) days after posting when sent via certified mail. Notice will be sent to the address for each party set forth on the first page of this Agreement, or at such other address as will be given by either party to the other in writing. Notices to Kornit will be addressed to the attention of: Chief Financial Officer.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to this Agreement are independent contractors and this Agreement will not establish any relationship of partnership, joint venture, employment, franchise, or agency between the parties. Neither party will have the power to bind the other or incur obligations on the other's behalf without the other's prior written consent.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No Conflicts</w:t>
      </w:r>
      <w:r>
        <w:rPr>
          <w:rFonts w:ascii="Arial" w:cs="Arial" w:eastAsia="Arial" w:hAnsi="Arial"/>
          <w:sz w:val="16"/>
          <w:szCs w:val="16"/>
          <w:color w:val="auto"/>
        </w:rPr>
        <w:t>. Representative represents and warrants that neither this Agreement (or any provision hereof) nor the performance of or exercise of rights by Representative under this Agreement, is restricted by, contrary to, or in conflict with any other agreement to which Representative may be a party.</w:t>
      </w:r>
    </w:p>
    <w:p>
      <w:pPr>
        <w:spacing w:after="0" w:line="124" w:lineRule="exact"/>
        <w:rPr>
          <w:sz w:val="20"/>
          <w:szCs w:val="20"/>
          <w:color w:val="auto"/>
        </w:rPr>
      </w:pPr>
    </w:p>
    <w:p>
      <w:pPr>
        <w:spacing w:after="0" w:line="342" w:lineRule="auto"/>
        <w:tabs>
          <w:tab w:leader="none" w:pos="324" w:val="left"/>
        </w:tabs>
        <w:numPr>
          <w:ilvl w:val="0"/>
          <w:numId w:val="31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26" w:name="page227"/>
    <w:bookmarkEnd w:id="226"/>
    <w:p>
      <w:pPr>
        <w:jc w:val="both"/>
        <w:spacing w:after="0" w:line="308"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Severability</w:t>
      </w:r>
      <w:r>
        <w:rPr>
          <w:rFonts w:ascii="Arial" w:cs="Arial" w:eastAsia="Arial" w:hAnsi="Arial"/>
          <w:sz w:val="17"/>
          <w:szCs w:val="17"/>
          <w:color w:val="auto"/>
        </w:rPr>
        <w:t>. If for any reason a court of competent jurisdiction finds any provision of this Agreement invalid or unenforceable, that provision of the Agreement will be enforced to the maximum extent permissible and the other provisions of this Agreement will remain in full force and effect.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will be liable to the other party for any failure or delay in performance due to causes beyond its reasonable control, including but not limited to, labor disputes, strikes, lockouts, shortages of or inability to obtain labor, energy, raw materials or supplies, war, riot, act of God or governmental action.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Entire Agreement; Headings</w:t>
      </w:r>
      <w:r>
        <w:rPr>
          <w:rFonts w:ascii="Arial" w:cs="Arial" w:eastAsia="Arial" w:hAnsi="Arial"/>
          <w:sz w:val="18"/>
          <w:szCs w:val="18"/>
          <w:color w:val="auto"/>
        </w:rPr>
        <w:t>. This Agreement, including all Schedules and referenced documents, contains the complete understanding and agreement of the parties and supersedes all prior or contemporaneous agreements or understandings, oral or written, relating to the subject matter herein. Section headings are for convenience only and will not affect their interpretation.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set forth herein, each party will bear its own costs and expenses incurred in connection with its activities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signing below, the parties agree to be bound by the terms and conditions of this Agreement. Any executed copy of this Agreement made by reliable means (e.g. photocopy or facsimile) is considered an original.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900" w:type="dxa"/>
            <w:vAlign w:val="bottom"/>
          </w:tcPr>
          <w:p>
            <w:pPr>
              <w:ind w:left="1120"/>
              <w:spacing w:after="0"/>
              <w:rPr>
                <w:sz w:val="20"/>
                <w:szCs w:val="20"/>
                <w:color w:val="auto"/>
              </w:rPr>
            </w:pPr>
            <w:r>
              <w:rPr>
                <w:rFonts w:ascii="Arial" w:cs="Arial" w:eastAsia="Arial" w:hAnsi="Arial"/>
                <w:sz w:val="18"/>
                <w:szCs w:val="18"/>
                <w:color w:val="auto"/>
              </w:rPr>
              <w:t>Kornit:</w:t>
            </w:r>
          </w:p>
        </w:tc>
        <w:tc>
          <w:tcPr>
            <w:tcW w:w="484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E. Gallagher</w:t>
            </w:r>
          </w:p>
        </w:tc>
        <w:tc>
          <w:tcPr>
            <w:tcW w:w="1900" w:type="dxa"/>
            <w:vAlign w:val="bottom"/>
          </w:tcPr>
          <w:p>
            <w:pPr>
              <w:ind w:left="11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Borucki</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E. Gallagher</w:t>
            </w:r>
          </w:p>
        </w:tc>
        <w:tc>
          <w:tcPr>
            <w:tcW w:w="1900" w:type="dxa"/>
            <w:vAlign w:val="bottom"/>
          </w:tcPr>
          <w:p>
            <w:pPr>
              <w:ind w:left="11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Borucki</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900" w:type="dxa"/>
            <w:vAlign w:val="bottom"/>
          </w:tcPr>
          <w:p>
            <w:pPr>
              <w:ind w:left="11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line="342" w:lineRule="auto"/>
        <w:tabs>
          <w:tab w:leader="none" w:pos="32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940" w:type="dxa"/>
            <w:vAlign w:val="bottom"/>
            <w:gridSpan w:val="4"/>
          </w:tcPr>
          <w:p>
            <w:pPr>
              <w:jc w:val="center"/>
              <w:ind w:right="1560"/>
              <w:spacing w:after="0"/>
              <w:rPr>
                <w:sz w:val="20"/>
                <w:szCs w:val="20"/>
                <w:color w:val="auto"/>
              </w:rPr>
            </w:pPr>
            <w:r>
              <w:rPr>
                <w:rFonts w:ascii="Arial" w:cs="Arial" w:eastAsia="Arial" w:hAnsi="Arial"/>
                <w:sz w:val="22"/>
                <w:szCs w:val="22"/>
                <w:b w:val="1"/>
                <w:bCs w:val="1"/>
                <w:color w:val="auto"/>
                <w:w w:val="96"/>
              </w:rPr>
              <w:t>SCHEDULE A</w:t>
            </w: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517"/>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5"/>
          </w:tcPr>
          <w:p>
            <w:pPr>
              <w:jc w:val="center"/>
              <w:ind w:right="160"/>
              <w:spacing w:after="0"/>
              <w:rPr>
                <w:sz w:val="20"/>
                <w:szCs w:val="20"/>
                <w:color w:val="auto"/>
              </w:rPr>
            </w:pPr>
            <w:r>
              <w:rPr>
                <w:rFonts w:ascii="Arial" w:cs="Arial" w:eastAsia="Arial" w:hAnsi="Arial"/>
                <w:sz w:val="22"/>
                <w:szCs w:val="22"/>
                <w:b w:val="1"/>
                <w:bCs w:val="1"/>
                <w:color w:val="auto"/>
                <w:w w:val="97"/>
              </w:rPr>
              <w:t>SALES COMMISSIONS</w:t>
            </w:r>
          </w:p>
        </w:tc>
      </w:tr>
      <w:tr>
        <w:trPr>
          <w:trHeight w:val="422"/>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Products &amp; Commissions.</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Product</w:t>
            </w:r>
          </w:p>
        </w:tc>
        <w:tc>
          <w:tcPr>
            <w:tcW w:w="2740" w:type="dxa"/>
            <w:vAlign w:val="bottom"/>
            <w:gridSpan w:val="3"/>
          </w:tcPr>
          <w:p>
            <w:pPr>
              <w:spacing w:after="0"/>
              <w:rPr>
                <w:sz w:val="20"/>
                <w:szCs w:val="20"/>
                <w:color w:val="auto"/>
              </w:rPr>
            </w:pPr>
            <w:r>
              <w:rPr>
                <w:rFonts w:ascii="Arial" w:cs="Arial" w:eastAsia="Arial" w:hAnsi="Arial"/>
                <w:sz w:val="18"/>
                <w:szCs w:val="18"/>
                <w:b w:val="1"/>
                <w:bCs w:val="1"/>
                <w:color w:val="auto"/>
              </w:rPr>
              <w:t>Sales Commission</w:t>
            </w: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Remarks</w:t>
            </w:r>
          </w:p>
        </w:tc>
      </w:tr>
      <w:tr>
        <w:trPr>
          <w:trHeight w:val="195"/>
        </w:trPr>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Machinery</w:t>
            </w:r>
          </w:p>
        </w:tc>
        <w:tc>
          <w:tcPr>
            <w:tcW w:w="100" w:type="dxa"/>
            <w:vAlign w:val="bottom"/>
          </w:tcPr>
          <w:p>
            <w:pPr>
              <w:spacing w:after="0"/>
              <w:rPr>
                <w:sz w:val="16"/>
                <w:szCs w:val="16"/>
                <w:color w:val="auto"/>
              </w:rPr>
            </w:pPr>
          </w:p>
        </w:tc>
        <w:tc>
          <w:tcPr>
            <w:tcW w:w="2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 of Net Proceeds</w:t>
            </w:r>
          </w:p>
        </w:tc>
        <w:tc>
          <w:tcPr>
            <w:tcW w:w="100" w:type="dxa"/>
            <w:vAlign w:val="bottom"/>
          </w:tcPr>
          <w:p>
            <w:pPr>
              <w:spacing w:after="0"/>
              <w:rPr>
                <w:sz w:val="16"/>
                <w:szCs w:val="16"/>
                <w:color w:val="auto"/>
              </w:rPr>
            </w:pPr>
          </w:p>
        </w:tc>
        <w:tc>
          <w:tcPr>
            <w:tcW w:w="15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Subject to schedule C</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Ink</w:t>
            </w:r>
          </w:p>
        </w:tc>
        <w:tc>
          <w:tcPr>
            <w:tcW w:w="2740" w:type="dxa"/>
            <w:vAlign w:val="bottom"/>
            <w:gridSpan w:val="3"/>
          </w:tcPr>
          <w:p>
            <w:pPr>
              <w:spacing w:after="0"/>
              <w:rPr>
                <w:sz w:val="20"/>
                <w:szCs w:val="20"/>
                <w:color w:val="auto"/>
              </w:rPr>
            </w:pPr>
            <w:r>
              <w:rPr>
                <w:rFonts w:ascii="Arial" w:cs="Arial" w:eastAsia="Arial" w:hAnsi="Arial"/>
                <w:sz w:val="18"/>
                <w:szCs w:val="18"/>
                <w:color w:val="auto"/>
              </w:rPr>
              <w:t>[***]% of Net Proceeds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Consumables; spare parts (post Warranty</w:t>
            </w:r>
          </w:p>
        </w:tc>
        <w:tc>
          <w:tcPr>
            <w:tcW w:w="2740" w:type="dxa"/>
            <w:vAlign w:val="bottom"/>
            <w:gridSpan w:val="3"/>
          </w:tcPr>
          <w:p>
            <w:pPr>
              <w:spacing w:after="0"/>
              <w:rPr>
                <w:sz w:val="20"/>
                <w:szCs w:val="20"/>
                <w:color w:val="auto"/>
              </w:rPr>
            </w:pPr>
            <w:r>
              <w:rPr>
                <w:rFonts w:ascii="Arial" w:cs="Arial" w:eastAsia="Arial" w:hAnsi="Arial"/>
                <w:sz w:val="18"/>
                <w:szCs w:val="18"/>
                <w:color w:val="auto"/>
              </w:rPr>
              <w:t>[***]% of Net Proceeds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Accessories (non consumables) and upgrade</w:t>
            </w:r>
          </w:p>
        </w:tc>
        <w:tc>
          <w:tcPr>
            <w:tcW w:w="2740" w:type="dxa"/>
            <w:vAlign w:val="bottom"/>
            <w:gridSpan w:val="3"/>
          </w:tcPr>
          <w:p>
            <w:pPr>
              <w:spacing w:after="0"/>
              <w:rPr>
                <w:sz w:val="20"/>
                <w:szCs w:val="20"/>
                <w:color w:val="auto"/>
              </w:rPr>
            </w:pPr>
            <w:r>
              <w:rPr>
                <w:rFonts w:ascii="Arial" w:cs="Arial" w:eastAsia="Arial" w:hAnsi="Arial"/>
                <w:sz w:val="18"/>
                <w:szCs w:val="18"/>
                <w:color w:val="auto"/>
              </w:rPr>
              <w:t>[***]% of Net Proceeds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Kits</w:t>
            </w: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Kornit will periodically publish its price list detailing the price for its end users (list price). The Representative will update Kornit in writing regarding the final sale price of the Product to Customer.</w:t>
      </w:r>
    </w:p>
    <w:p>
      <w:pPr>
        <w:spacing w:after="0" w:line="170" w:lineRule="exact"/>
        <w:rPr>
          <w:sz w:val="20"/>
          <w:szCs w:val="20"/>
          <w:color w:val="auto"/>
        </w:rPr>
      </w:pPr>
    </w:p>
    <w:p>
      <w:pPr>
        <w:ind w:left="180" w:hanging="180"/>
        <w:spacing w:after="0"/>
        <w:tabs>
          <w:tab w:leader="none" w:pos="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Commissions Payment.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 Sales Commission.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sales commission will be deducted from the selling price in accordance with the above commission schedule A and the balance of the funds will be transferred to Kornit Digital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-224790</wp:posOffset>
            </wp:positionV>
            <wp:extent cx="285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If a situation arises where machinery or supplies are sold directly to a customer that is within a Representative territory and the Representative is entitled to a commission Kornit shall pay Representative its Sales Commission thirty (30) days from receipt of full purchase price of the Machine against issuance of an applicable invoice.</w:t>
      </w:r>
    </w:p>
    <w:p>
      <w:pPr>
        <w:spacing w:after="0" w:line="181" w:lineRule="exact"/>
        <w:rPr>
          <w:sz w:val="20"/>
          <w:szCs w:val="20"/>
          <w:color w:val="auto"/>
        </w:rPr>
      </w:pPr>
    </w:p>
    <w:p>
      <w:pPr>
        <w:spacing w:after="0" w:line="342" w:lineRule="auto"/>
        <w:tabs>
          <w:tab w:leader="none" w:pos="32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46" w:right="319" w:bottom="1440" w:gutter="0" w:footer="0" w:header="0"/>
        </w:sectPr>
      </w:pPr>
    </w:p>
    <w:bookmarkStart w:id="228" w:name="page229"/>
    <w:bookmarkEnd w:id="228"/>
    <w:p>
      <w:pPr>
        <w:jc w:val="center"/>
        <w:spacing w:after="0"/>
        <w:rPr>
          <w:sz w:val="20"/>
          <w:szCs w:val="20"/>
          <w:color w:val="auto"/>
        </w:rPr>
      </w:pPr>
      <w:r>
        <w:rPr>
          <w:rFonts w:ascii="Arial" w:cs="Arial" w:eastAsia="Arial" w:hAnsi="Arial"/>
          <w:sz w:val="22"/>
          <w:szCs w:val="22"/>
          <w:b w:val="1"/>
          <w:bCs w:val="1"/>
          <w:color w:val="auto"/>
        </w:rPr>
        <w:t>SCHEDULE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T&amp;C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Use Terms and Conditions</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PLEASE READ THE FOLLOWING TERMS CAREFULLY AS PURCHASING, LICENSING AND/OR USING THE RELATED PRODUCTS, ADDITIONAL FEATURES OR PARTS SOFTWARE OR SERVICES INDICATES AGREEMENT WIT, AND ACCEPTANCE OF THESE TERMS.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ARE THE CURRENT TERMS AND CONDITIONS OF USE ("AGREEMENT") OF KORNIT DIGITAL NORTH AMERICA ("KORNIT"), WHICH APPLY TO ANY PURCHASE OF KORNIT PRODUCTS, ADDITIONAL FEATURES OR PARTS, LICENSES OF ACCOMPANYING SOFTWARE AND/OR PROVISION OF SERVICES INCLUDING ANY DOCUMENTATION THEREIN OR ATTACHED THERETO (“PRODUCTS”) AND GOVERN YOUR, ON BEHALF OF YOURSELF AS AN INDIVIDUAL, YOUR EMPLOYER, OR ANYONE YOUR ACTING ON BEHALF OF INCLUDING ANY COMPANY OR OTHER LEGAL ENTITY ("PURCHASER") RIGHTS OF USE OF ANY SUCH PRODUCTS, WHETHER PURCHASED DIRECTLY FROM KORNIT IN AN ORDER FORM OR PURCHASE AGREEMENT OR THROUGH AN APPROVED THIRD PARTY REPRESENTATIVE OF KORNIT (THE "PRODUCTS").</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BY EXECUTING AN ORDER FORM (EITHER DIRECTLY FROM KORNIT OR THROUGH ONE OF KORNIT'S REPRESENTATIVES), PURCHASER AGREES TO THE TERMS OF THIS AGREEMENT. IF PURCHASER IS ENTERING INTO THIS AGREEMENT ON BEHALF OF A COMPANY OR OTHER LEGAL ENTITY, PURCHASER REPRESENT THAT PURCHASER HAS THE AUTHORITY TO BIND SUCH ENTITY AND ITS AFFILIATES TO THESE TERMS AND CONDITIONS, IF PURCHASER DOES NOT HAVE SUCH AUTHORITY, OR IF PURCHASER DOES NOT AGREE WITH THESE TERMS AND CONDITIONS, PURCHASER MUST NOT MAKE ANY USE OF ANY OF THE PRODUCTS.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Agreement is effective between Purchaser and KORNIT as of the date of Purchaser purchasing any such KORNIT Products and is an integral part of any purchase agreement or Order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DEFINITIONS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Malicious Code</w:t>
      </w:r>
      <w:r>
        <w:rPr>
          <w:rFonts w:ascii="Arial" w:cs="Arial" w:eastAsia="Arial" w:hAnsi="Arial"/>
          <w:sz w:val="18"/>
          <w:szCs w:val="18"/>
          <w:color w:val="auto"/>
        </w:rPr>
        <w:t>" means viruses, worms, time bombs, Trojan horses and other harmful or malicious code, files, scripts, agents or programs.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 Form</w:t>
      </w:r>
      <w:r>
        <w:rPr>
          <w:rFonts w:ascii="Arial" w:cs="Arial" w:eastAsia="Arial" w:hAnsi="Arial"/>
          <w:sz w:val="18"/>
          <w:szCs w:val="18"/>
          <w:color w:val="auto"/>
        </w:rPr>
        <w:t>" means the ordering documents for purchase of Products, including addenda thereto, that are entered into between Purchaser, either directly with KORNIT or with any of KORNIT's approved representatives. Order Forms shall be deemed as incorporating the terms of this Agreement as an integral part of such Order Form. In case an Order Form is signed with a representative of KORNIT, KORNIT's sole liability and obligation to Purchaser shall be as set forth in this Agreement or any other specific agreement signed directly with KORNIT and it shall have no other liability or obligation to Purchaser under such Order Form not signed with KORNIT.</w:t>
      </w:r>
    </w:p>
    <w:p>
      <w:pPr>
        <w:spacing w:after="0" w:line="184"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"Services</w:t>
      </w:r>
      <w:r>
        <w:rPr>
          <w:rFonts w:ascii="Arial" w:cs="Arial" w:eastAsia="Arial" w:hAnsi="Arial"/>
          <w:sz w:val="17"/>
          <w:szCs w:val="17"/>
          <w:color w:val="auto"/>
        </w:rPr>
        <w:t>" means Services that Purchaser purchases or is entitled to receive as part of the Product purchase. Such Services can be received from either</w:t>
      </w:r>
      <w:r>
        <w:rPr>
          <w:rFonts w:ascii="Arial" w:cs="Arial" w:eastAsia="Arial" w:hAnsi="Arial"/>
          <w:sz w:val="17"/>
          <w:szCs w:val="17"/>
          <w:b w:val="1"/>
          <w:bCs w:val="1"/>
          <w:color w:val="auto"/>
        </w:rPr>
        <w:t xml:space="preserve"> </w:t>
      </w:r>
      <w:r>
        <w:rPr>
          <w:rFonts w:ascii="Arial" w:cs="Arial" w:eastAsia="Arial" w:hAnsi="Arial"/>
          <w:sz w:val="17"/>
          <w:szCs w:val="17"/>
          <w:color w:val="auto"/>
        </w:rPr>
        <w:t>KORNIT or KORNIT's approved representative, as agreed between the Parties. In case Purchaser Services are to be received from a representative of KORNIT, KORNIT's sole liability and obligation to Purchaser shall be as set forth in this Agreement or any other specific agreement signed directly with KORNIT and it shall have no other liability or obligation to Purchaser for such Services not signed with KORNIT.</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Data</w:t>
      </w:r>
      <w:r>
        <w:rPr>
          <w:rFonts w:ascii="Arial" w:cs="Arial" w:eastAsia="Arial" w:hAnsi="Arial"/>
          <w:sz w:val="18"/>
          <w:szCs w:val="18"/>
          <w:color w:val="auto"/>
        </w:rPr>
        <w:t>" means operational and technical information only that is received through a remote support system. Such operational and technical information is required for monitoring and improving performance and efficiency, as well as for solving operational issues and maintenance. It will include productivity, utilization, ink consumption, maintenance profiles, errors and malfunctions. The system will not pull sensitive or private information and will not share with any other third party company.</w:t>
      </w:r>
    </w:p>
    <w:p>
      <w:pPr>
        <w:spacing w:after="0" w:line="184" w:lineRule="exact"/>
        <w:rPr>
          <w:sz w:val="20"/>
          <w:szCs w:val="20"/>
          <w:color w:val="auto"/>
        </w:rPr>
      </w:pPr>
    </w:p>
    <w:p>
      <w:pPr>
        <w:spacing w:after="0" w:line="342" w:lineRule="auto"/>
        <w:tabs>
          <w:tab w:leader="none" w:pos="32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9" w:right="31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t>2. THIRD-PARTY PROVIDERS AND AUTHORIZED REPRESENTATIVES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offer Products and/or Services for such Products under Order Forms or other purchase or service agreements signed directly with KORNIT or through any of our approved representatives. Any acquisition by Purchaser of third-party products or services, including but not limited to Products, transportation, insurance, training, maintenance services, implementation, installation, support, customization, and other Services, and any exchange of data between Purchaser and any third-party provider/approved representative, is solely between Purchaser and the applicable third-party provider/approved representative, according to the specific terms signed between Purchaser and third-party provider/approved representative. KORNIT does not warrant or support third-party products or services, including Products purchased through KORNIT approved representatives, whether or not they are designated by KORNIT as “certified” or otherwise, except as specified herein or in an Order Form, purchase agreement or service agreement signed directly with KORNIT. In those cases, all such warranties, support and services not specifically detailed in this Agreement will be received directly from such third party provider/approved representative.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3. GENERAL USE DATA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3.1 Purchaser hereby confirms that it are aware that the Software within the Products shall include the ability to collect and store General Use Data. Unless un-enabled by Purchaser, Purchaser acknowledges that KORNIT may directly or through its allowed representatives access and retrieve General Use Data from such Products through wireless connections or direct access to the Products. The Products shall allow Purchaser to restrict such access by restricting the enabling of access to such General Use Data.</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u w:val="single" w:color="auto"/>
          <w:color w:val="auto"/>
        </w:rPr>
        <w:t>Ownership of General Use Data</w:t>
      </w:r>
      <w:r>
        <w:rPr>
          <w:rFonts w:ascii="Arial" w:cs="Arial" w:eastAsia="Arial" w:hAnsi="Arial"/>
          <w:sz w:val="18"/>
          <w:szCs w:val="18"/>
          <w:b w:val="1"/>
          <w:bCs w:val="1"/>
          <w:color w:val="auto"/>
        </w:rPr>
        <w:t xml:space="preserve">. </w:t>
      </w:r>
      <w:r>
        <w:rPr>
          <w:rFonts w:ascii="Arial" w:cs="Arial" w:eastAsia="Arial" w:hAnsi="Arial"/>
          <w:sz w:val="18"/>
          <w:szCs w:val="18"/>
          <w:color w:val="auto"/>
        </w:rPr>
        <w:t>As between KORNIT and Purchaser, Purchaser exclusively owns all rights, title and interest in and to all of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Use Data.</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KORNIT shall have a royalty-free, worldwide, transferable, sublicenseable, irrevocable, perpetual license to use the General Use Data including to</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 any outcomes learned from such General Use Data or incorporate into the Products, Services of KONRIT's business any suggestions, enhancement requests, recommendations or other feedback provided by Purchaser or resulting from the General Use Data. All such enhancements, modification, improvements and/or new inventions or ideas, other then the General Use Data itself, shall be fully owned by KORNIT and Purchaser hereby waive any rights to such matters. Should KORNIT develop any Product of Service enhancements based on the studying of such General Use Data or otherwise, such Product and/or Service enhancements may be offered to Purchaser in the future in order to enhance and expand the use ability and features of the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 RISK, TITLE AND PROPRIETARY RIGHTS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4.1 The Products shall remain the property of KORNIT unless and until KORNIT receives all payments due for the goods; provided, however, that the Purchaser shall be entitled to use the Products in Purchaser's ordinary course of business before such full payment. Before KORNIT has received full payment, Purchaser shall not sell, lease or otherwise dispose of the Products, shall take proper care of the Products, and shall keep them at the initial installation site free and clear of liens, pledges, security interests and rights of others whatsoever. Purchaser shall keep the Products in good working order and insured against all risks of loss or damage for KORNIT and shall inform the landlords of the site that KORNIT is the owner of the Products. KORNIT shall have the right to repossess, access, reclaim possession and/or re-sell the Products until KORNIT has received all payments therefor. Purchaser agrees to comply with any local formality which may be required in order to register or enforce KORNIT’s retention of property as provided herein. Even upon transfer of title in the Products, Purchaser shall undertake to comply with all restrictions set forth herein with regards to the Products, including specifically in section 5.4 hereafter.</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4.2 Notwithstanding the above, KORNIT owns and/or reserves all rights, title and interest to all intellectual property including the ideas, concepts, techniques, inventions, technologies, processes, methodologies, patents, and rights in and to the Products and to any software, programs (and all images, photographs, animations, video, audio, music and text incorporated into the Products) (the "Software"), trademarks, copyrights and trade names relating to and in the Products and their creation and all modifications, improvements or changes therein or thereto (all jointly, including the Software, "</w:t>
      </w:r>
      <w:r>
        <w:rPr>
          <w:rFonts w:ascii="Arial" w:cs="Arial" w:eastAsia="Arial" w:hAnsi="Arial"/>
          <w:sz w:val="17"/>
          <w:szCs w:val="17"/>
          <w:b w:val="1"/>
          <w:bCs w:val="1"/>
          <w:color w:val="auto"/>
        </w:rPr>
        <w:t>KORNIT</w:t>
      </w:r>
      <w:r>
        <w:rPr>
          <w:rFonts w:ascii="Arial" w:cs="Arial" w:eastAsia="Arial" w:hAnsi="Arial"/>
          <w:sz w:val="17"/>
          <w:szCs w:val="17"/>
          <w:color w:val="auto"/>
        </w:rPr>
        <w:t xml:space="preserve">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In addition and without derogating from anything ot the contrary, Purchaser acknowledge and agree that the program code,</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documentation, specifications, instructions, structure, sequence and organization of the Software, including the Software itself are a valuable proprietary right of KORNIT. Purchaser acknowledge and agree that the Software is licensed and not sold to Purchaser and that all ownership of, and title to, the Software and documentation and all subsequent copies thereof regardless of the form or media are held by KORNIT. Purchaser never acquire title to KORNIT’s Intellectual Property Rights or Software.</w:t>
      </w:r>
    </w:p>
    <w:p>
      <w:pPr>
        <w:spacing w:after="0" w:line="182" w:lineRule="exact"/>
        <w:rPr>
          <w:sz w:val="20"/>
          <w:szCs w:val="20"/>
          <w:color w:val="auto"/>
        </w:rPr>
      </w:pPr>
    </w:p>
    <w:p>
      <w:pPr>
        <w:spacing w:after="0" w:line="342" w:lineRule="auto"/>
        <w:tabs>
          <w:tab w:leader="none" w:pos="32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5. SOFTWARE LICENSE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5.1 KORNIT grants Purchaser a nonexclusive, nontransferable, revocable and limited license to use the accompanying Software program(s) in executable form and accompanying documentation (the “Documentation”), subject to the terms and restrictions set forth in this Agreement for its own internal purposes and solely in conjunction with the use of the Products to which it relates. Purchaser acknowledges that the Software may also be subject to additional terns and conditions set forth in executable or electronic license agreements, which shall control and govern all such licensed Software. All rights not expressly granted herein or therein are reserved to KORNIT. Purchaser is not permitted to directly or indirectly, modify, enhance, adapt, translate, make improvements, create derivative works of, disassemble, decompile, reverse engineer, reduce to any human or machine perceivable form, or circumvent any technological measures that control access to or permit derivation of the source code of the Software or any part thereof; copy, sell, assign, lease, rent, transfer, assign, distribute or sublicense the Software or Documentation or to use the Software or Documentation in a time-sharing arrangement or in any other unauthorized manner nor permit any other party to do any of the foregoing, or make use of the Software as a stand alone, including in any way which is not an integral built in part of the Products. Further, no license is granted to Purchaser in the human readable code of the Software (source code).This Agreement does not grant Purchaser any rights to patents, copyrights, trade secrets, trademarks, KORNIT's Intellectual Property Rights or any other rights with respect to the Software or Documentation other then those specifically stated herein.</w:t>
      </w:r>
    </w:p>
    <w:p>
      <w:pPr>
        <w:spacing w:after="0" w:line="16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5.2 Until the Products are paid for in full, Purchaser shall be providde the Software code required to operate the Products, provided, Purchaser is not in default of its obligations hereunder. KORNIT or anyone on its behalf is not obligated to provide Purchaser with the Software code if Purchaser is in default of any of Purchaser obligations, including payment obligations. Upon full payment, Purchaser shall be provided with a permanent Software code.</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5.3 Subject to the restrictions set forth herein, the Software is licensed to be used on one Product purchased by Purchaser or leased to Purchaser, for Purchaser internal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6. USE RESTRICTIONS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Notwithstanding anything to the contrary, Purchaser shall not (i) permit any third party to access the Software except as permitted herein; (ii) create derivate works based on the Products and/or the Software; (iii) copy, frame or mirror any part or content of the Products and/or Software, other than copying or framing on Purchaser own intranets or otherwise for Purchaser own internal business purposes; (iv) reverse engineer the Products and/or Software, or any compositions made using the Products ;(v) access the Software and/or Products in order to (a) build a competitive product or service, or (b) copy any features, functions or graphics of the Products and/or Software; (vi) change, distort or delete any patent, copyright or other proprietary notice which appear on or in the Product (or in the Software); or (vii) operate or make use of the Products in any way that may violate any applicable law or regulation or take or permit any other action that may impair KORNIT's rights or damage the image or reputation of quality inherent in the Products, KORNIT's business, reputation, KORNIT's Intellectual Property or other valuable assets or rights. In the event Purchaser rents, leases, sells or otherwise transfers the Products to a third party, Purchaser agrees that it will require such third party to be bound by Section 3 (General Data Use), Section 4 (Title and Proprietary Rights), Section 5 (Software) and Section 6 (Use Restrictions) hereof as a condition of such sale, rental, lease or other transfer.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7. CONFIDENTIALITY</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Purchaser shall keep confidential the terms and conditions, including the commercial terms, at which Products, Services or consumables are sold, any information, drawings, designs or manual received from KORNIT or anyone on its behalf in connection with the Products and either marked as “confidential” or “proprietary” or which should reasonably be deemed as such, and shall not disclose such information to a third-party, except as required by law, provided, that Purchaser give KORNIT prompt notice thereof so that KORNIT may seek a protective order or other appropriate remedy, and further provided, that if the same is not obtained, Purchaser shall furnish only that portion of the information which is legally required.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8. WARRANTIES AND DISCLAIMERS</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KORNIT Warranties</w:t>
      </w:r>
      <w:r>
        <w:rPr>
          <w:rFonts w:ascii="Arial" w:cs="Arial" w:eastAsia="Arial" w:hAnsi="Arial"/>
          <w:sz w:val="17"/>
          <w:szCs w:val="17"/>
          <w:b w:val="1"/>
          <w:bCs w:val="1"/>
          <w:color w:val="auto"/>
        </w:rPr>
        <w:t>.</w:t>
      </w:r>
      <w:r>
        <w:rPr>
          <w:rFonts w:ascii="Arial" w:cs="Arial" w:eastAsia="Arial" w:hAnsi="Arial"/>
          <w:sz w:val="17"/>
          <w:szCs w:val="17"/>
          <w:color w:val="auto"/>
        </w:rPr>
        <w:t xml:space="preserve"> KORNIT warrants that for a period of twelve (12) months from the actual date of installation of the Products (unless otherwise defined in the Order Form when purchased directly from KORNIT) (the “Warranty Period”), each component thereof shall substantially meet the KORNIT specifications, although KORNIT does not warrant uninterrupted or error-free operation. During the Warranty Period, KORNIT shall repair or replace, at KORNIT’s option, any component found to contain defects in materials or workmanship with new or refurbished parts. Repairs or replacements of parts under warranty shall be at KORNIT’s expense, except that KORNIT shall charge the Purchaser for any expenses and travel costs incurred in connection therewith. The Purchaser undertakes to return to KORNIT any replaced component, within thirty (30) days from the replacement thereof, and KORNIT will be entitled to invoice the Purchaser for components not returned pursuant to the foregoing terms.</w:t>
      </w:r>
    </w:p>
    <w:p>
      <w:pPr>
        <w:spacing w:after="0" w:line="176" w:lineRule="exact"/>
        <w:rPr>
          <w:sz w:val="20"/>
          <w:szCs w:val="20"/>
          <w:color w:val="auto"/>
        </w:rPr>
      </w:pPr>
    </w:p>
    <w:p>
      <w:pPr>
        <w:spacing w:after="0" w:line="342" w:lineRule="auto"/>
        <w:tabs>
          <w:tab w:leader="none" w:pos="324" w:val="left"/>
        </w:tabs>
        <w:numPr>
          <w:ilvl w:val="0"/>
          <w:numId w:val="31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31" w:name="page232"/>
    <w:bookmarkEnd w:id="231"/>
    <w:p>
      <w:pPr>
        <w:spacing w:after="0" w:line="257" w:lineRule="auto"/>
        <w:rPr>
          <w:sz w:val="20"/>
          <w:szCs w:val="20"/>
          <w:color w:val="auto"/>
        </w:rPr>
      </w:pPr>
      <w:r>
        <w:rPr>
          <w:rFonts w:ascii="Arial" w:cs="Arial" w:eastAsia="Arial" w:hAnsi="Arial"/>
          <w:sz w:val="18"/>
          <w:szCs w:val="18"/>
          <w:color w:val="auto"/>
        </w:rPr>
        <w:t>8.2 KORNIT's obligations hereunder shall not apply to maintenance, repair or replacement necessitated in whole or in part by: (i) catastrophe, fault or negligence of the Purchaser; (ii) improper or unauthorized use such as without limitation, use of improper or non-conforming thinner, solvents, inks or other consumables, alteration, modification; (iii) installation, modification or repair other than by KORNIT or its authorized technical representatives; or (iv) deviation from recommended maintenance procedures, removal of the Products from the original installation site, unusual stress, power failure or failure to maintain the prescribed environmental conditions at the installation site.</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8.3 All warranties applicable to the Software are as stated in the product manual or in the Software itself, whether in paper or electronic form, accompanying the Software. Except as expressly stated therein, the Software is licensed to Purchaser “as is,“ without warranty of any kind and KORNIT disclaim all warranties, express or implied, including without limitation the warranties of merchantability, fitness for a particular purpose, title, and noninfringement of third-party rights.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8.4 Following the Warranty Period, Purchaser shall be entitled to purchase additional service and support according to terms to be agreed on between Purchaser and Kornit in a separate agreement</w:t>
      </w:r>
      <w:r>
        <w:rPr>
          <w:rFonts w:ascii="Arial" w:cs="Arial" w:eastAsia="Arial" w:hAnsi="Arial"/>
          <w:sz w:val="18"/>
          <w:szCs w:val="18"/>
          <w:u w:val="single" w:color="auto"/>
          <w:color w:val="auto"/>
        </w:rPr>
        <w: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8.5 Specifications</w:t>
      </w:r>
      <w:r>
        <w:rPr>
          <w:rFonts w:ascii="Arial" w:cs="Arial" w:eastAsia="Arial" w:hAnsi="Arial"/>
          <w:sz w:val="18"/>
          <w:szCs w:val="18"/>
          <w:color w:val="auto"/>
        </w:rPr>
        <w:t>. KORNIT reserves the right to modify the specifications of the Products and Software, provided, that any such modification shall not adversely affect the performance thereof.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Mutual Warranties</w:t>
      </w:r>
      <w:r>
        <w:rPr>
          <w:rFonts w:ascii="Arial" w:cs="Arial" w:eastAsia="Arial" w:hAnsi="Arial"/>
          <w:sz w:val="18"/>
          <w:szCs w:val="18"/>
          <w:color w:val="auto"/>
        </w:rPr>
        <w:t>. Each party represents and warrants that (i) it has the legal power to enter into this Agreement, and (ii) it will not transmit to the other party any Malicious Code.</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Disclaimer</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SPECIFICALLY SET FORTH IN SECTION 8.1 ABOVE, KORNIT MAKES NO WARRANTIES OF ANY KIND, EXPRESS, IMPLIED, STATUTORY OR OTHERWISE WITH RESPECT TO THE PRODUCTS, SOFTWARE AND/OR SERVICES, AND EXPRESSLY DISCLAIMS ANY SUCH WARRANTIES INCLUDING WITHOUT LIMITATION ANY EXPRESS, STATUTORY OR IMPLIED WARRANTIES OF MERCHANTABILITY, NON-INFRINGEMENT, OR FITNESS FOR A PARTICULAR PURPOSE. PURCHASER UNDERSTAND AND AGREE THAT ALL WARRANTIES IMPLIED BY APPLICABLE LAWS ARE EXCLUDED FROM THIS SALE AND LICENSE. PURCHASER ASSUME ALL RISKS, IF ANY, INCLUDING RISKS OF INJURY, LOSS OR DAMAGE, WHETHER DIRECT, CONSEQUENTIAL, OR INDIRECT, ARISING OUT OF THE USE, MISUSE, OR INABILITY TO USE THE PRODUCTS AND/OR SOFTWARE. KORNIT SHALL NOT BE LIABLE FOR ANY INCIDENTAL, INDIRECT, SPECIAL, CONSEQUENTIAL, EXEMPLARY OR RELIANCE DAMAGES, LOSSES OR EXPENSES (INCLUDING WITHOUT LIMITATION LOSS OF PROFIT, OR COSTS OF PROCUREMENT OF SUBSTITUTE GOODS OR SERVICES, OR LOSS OF USE) RELATING TO OR ARISING HEREUNDER, HOWEVER CAUSED, AND WHETHER BASED ON CONTRACT, TORT, EQUITY OR ANY OTHER THEORY OF LIABILITY WHATSOEVER, EVEN IF KORNIT WAS NOTIFIED OR OTHERWISE AWARE OF THE POSSIBILITY OF SUCH DAMAGES, LOSSES OR EXPENSES. THE REMEDIES PROVIDED HEREIN, IF ANY, ARE PURCHASERR SOLE AND EXCLUSIVE REMEDIES. KORNIT'S MAXIMUM LIABILITY FOR DAMAGES HEREUNDER SHALL BE LIMITED TO THE CONSIDERATION PAID TO KORNIT FOR THE SPECIFIC PRODUCT(S) GIVING RISE TO A CLAIM AGAINST KORNIT.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9. MUTUAL INDEMNIFICATION</w:t>
      </w:r>
    </w:p>
    <w:p>
      <w:pPr>
        <w:spacing w:after="0" w:line="2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Indemnification by KORNIT</w:t>
      </w:r>
      <w:r>
        <w:rPr>
          <w:rFonts w:ascii="Arial" w:cs="Arial" w:eastAsia="Arial" w:hAnsi="Arial"/>
          <w:sz w:val="17"/>
          <w:szCs w:val="17"/>
          <w:b w:val="1"/>
          <w:bCs w:val="1"/>
          <w:color w:val="auto"/>
        </w:rPr>
        <w:t>.</w:t>
      </w:r>
      <w:r>
        <w:rPr>
          <w:rFonts w:ascii="Arial" w:cs="Arial" w:eastAsia="Arial" w:hAnsi="Arial"/>
          <w:sz w:val="17"/>
          <w:szCs w:val="17"/>
          <w:color w:val="auto"/>
        </w:rPr>
        <w:t xml:space="preserve"> KORNIT shall defend Purchaser against any claim, demand, suit, or proceeding (" </w:t>
      </w:r>
      <w:r>
        <w:rPr>
          <w:rFonts w:ascii="Arial" w:cs="Arial" w:eastAsia="Arial" w:hAnsi="Arial"/>
          <w:sz w:val="17"/>
          <w:szCs w:val="17"/>
          <w:b w:val="1"/>
          <w:bCs w:val="1"/>
          <w:color w:val="auto"/>
        </w:rPr>
        <w:t>Claim</w:t>
      </w:r>
      <w:r>
        <w:rPr>
          <w:rFonts w:ascii="Arial" w:cs="Arial" w:eastAsia="Arial" w:hAnsi="Arial"/>
          <w:sz w:val="17"/>
          <w:szCs w:val="17"/>
          <w:color w:val="auto"/>
        </w:rPr>
        <w:t>") made or brought against Purchaser by a third party alleging that the use of the Products as permitted hereunder infringes or misappropriates the intellectual property rights of a third party, and shall indemnify Purchaser for any damages finally awarded against, and for reasonable attorney’s fees incurred by Purchaser in connection with any such Claim; provided, that Purchaser (a) promptly gives KORNIT written notice of the Claim; (b) gives KORNIT sole control of the defense and settlement of the Claim; and (c) provides to Kornnit all reasonable assistance, at KORNIT expense. KORNIT may, at its sole option and expense, procure for Purchaser the right to continue using the Products and/or Sofwtare; replace or modify any component so that the Products and/or Software are rendered non-infringing; or refund the price actually paid by Purchaser after deducting therefrom twenty percent (20%) for each year or portion thereof that shall have elapsed from the date of the purchase. Notwithstanding the above, KORNIT shall have no obligation or liability hereunder with respect to a suit or claim based on the use of the Products in a manner for which it was not designed, for any changes, modification or amendments made by anyone other then Kornit itself or for any Claim arising due to the use of the Products in combination with any other software, product or means, where without such use, the Product itself would not be regarded to as infringing.</w:t>
      </w:r>
    </w:p>
    <w:p>
      <w:pPr>
        <w:spacing w:after="0" w:line="178" w:lineRule="exact"/>
        <w:rPr>
          <w:sz w:val="20"/>
          <w:szCs w:val="20"/>
          <w:color w:val="auto"/>
        </w:rPr>
      </w:pPr>
    </w:p>
    <w:p>
      <w:pPr>
        <w:spacing w:after="0" w:line="342" w:lineRule="auto"/>
        <w:tabs>
          <w:tab w:leader="none" w:pos="32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32" w:name="page233"/>
    <w:bookmarkEnd w:id="232"/>
    <w:p>
      <w:pPr>
        <w:ind w:right="120"/>
        <w:spacing w:after="0" w:line="29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Indemnification by Purchaser</w:t>
      </w:r>
      <w:r>
        <w:rPr>
          <w:rFonts w:ascii="Arial" w:cs="Arial" w:eastAsia="Arial" w:hAnsi="Arial"/>
          <w:sz w:val="16"/>
          <w:szCs w:val="16"/>
          <w:b w:val="1"/>
          <w:bCs w:val="1"/>
          <w:color w:val="auto"/>
        </w:rPr>
        <w:t>.</w:t>
      </w:r>
      <w:r>
        <w:rPr>
          <w:rFonts w:ascii="Arial" w:cs="Arial" w:eastAsia="Arial" w:hAnsi="Arial"/>
          <w:sz w:val="16"/>
          <w:szCs w:val="16"/>
          <w:color w:val="auto"/>
        </w:rPr>
        <w:t xml:space="preserve"> Purchaser shall defend KORNIT against any Claim made or brought against KORNIT by a third party alleging that Purchaser's use of the Products (and not the Products themselves as covered by Section 9.1 above), including in violation of this Agreement, infringes or misappropriates the intellectual property rights of a third party or violates applicable law, and shall indemnify KORNIT for any damages finally awarded against, and for reasonable attorney’s fees incurred by, KORNIT in connection with any such Claim; provided, that KORNIT (a) promptly gives Purchaser written notice of the Claim; (b) givse Purchaser sole control of the defense and settlement of the Claim (provided that Purchaser may not settle any Claim before receipt of prior written approval form KORNIT to such settelment); and (c) provide to Purchaser all reasonable assistance, at Purchaser expense.</w:t>
      </w:r>
    </w:p>
    <w:p>
      <w:pPr>
        <w:spacing w:after="0" w:line="15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Exclusive Remedy</w:t>
      </w:r>
      <w:r>
        <w:rPr>
          <w:rFonts w:ascii="Arial" w:cs="Arial" w:eastAsia="Arial" w:hAnsi="Arial"/>
          <w:sz w:val="18"/>
          <w:szCs w:val="18"/>
          <w:b w:val="1"/>
          <w:bCs w:val="1"/>
          <w:color w:val="auto"/>
        </w:rPr>
        <w:t>.</w:t>
      </w:r>
      <w:r>
        <w:rPr>
          <w:rFonts w:ascii="Arial" w:cs="Arial" w:eastAsia="Arial" w:hAnsi="Arial"/>
          <w:sz w:val="18"/>
          <w:szCs w:val="18"/>
          <w:color w:val="auto"/>
        </w:rPr>
        <w:t xml:space="preserve"> This Section 9 (Mutual Indemnification) states the indemnifying party’s sole liability to, and the indemnified party’s exclusive remedy against, the other party for any type of Claim described in this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10. LIMITATION OF LIABILITY</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10.1 IN NO EVENT SHALL EITHER PARTY'S AGGREGATE LIABILITY ARISING OUT OF OR RELATED TO THIS AGREEMENT, WHETHER IN CONTRACT, TORT OR UNDER ANY OTHER THEORY OF LIABILITY, EXCEED THE TOTAL AMOUNT PAID BY PURCHASER HEREUNDER.</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Exclusion of Consequential and Related Damages</w:t>
      </w:r>
      <w:r>
        <w:rPr>
          <w:rFonts w:ascii="Arial" w:cs="Arial" w:eastAsia="Arial" w:hAnsi="Arial"/>
          <w:sz w:val="18"/>
          <w:szCs w:val="18"/>
          <w:b w:val="1"/>
          <w:bCs w:val="1"/>
          <w:color w:val="auto"/>
        </w:rPr>
        <w:t>.</w:t>
      </w:r>
      <w:r>
        <w:rPr>
          <w:rFonts w:ascii="Arial" w:cs="Arial" w:eastAsia="Arial" w:hAnsi="Arial"/>
          <w:sz w:val="18"/>
          <w:szCs w:val="18"/>
          <w:color w:val="auto"/>
        </w:rPr>
        <w:t xml:space="preserve"> IN NO EVENT SHALL EITHER PARTY HAVE ANY LIABILITY TO THE OTHER PARTY FOR ANY LOST PROFITS OR REVENUES OR FOR ANY INDIRECT, SPECIAL, INCIDENTAL, CONSEQUENTIAL, COVER OR PUNITIVE DAMAGES HOWEVER CAUSED, WHETHER IN CONTRACT, TORT OR UNDER ANY OTHER THEORY OF LIABILITY, AND WHETHER OR NOT THE PARTY HAS BEEN ADVISED OF THE POSSIBILITY OF SUCH DAMAGES. THE FOREGOING DISCLAIMER SHALL NOT APPLY TO THE EXTENT PROHIBITED BY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11. TERMINATION</w:t>
      </w:r>
    </w:p>
    <w:p>
      <w:pPr>
        <w:spacing w:after="0" w:line="221"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11.</w:t>
      </w:r>
      <w:r>
        <w:rPr>
          <w:rFonts w:ascii="Arial" w:cs="Arial" w:eastAsia="Arial" w:hAnsi="Arial"/>
          <w:sz w:val="17"/>
          <w:szCs w:val="17"/>
          <w:u w:val="single" w:color="auto"/>
          <w:color w:val="auto"/>
        </w:rPr>
        <w:t>Termination of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rights granted hereunder are perpetual unless terminated earlier as specified hereafter KORNIT reserves the right to terminate and revoke this Agreement and terminate its relationship with Purchaser at any time following Purchaser's breach of any of the terms herein, and such termination shall be effective immediately upon such written notice to Purchaser. Upon such termination, Purchaser shall immediately cease any use of the Sofwtare, including that embedded within the Products, delete or destroy all copies in its possession.</w:t>
      </w:r>
    </w:p>
    <w:p>
      <w:pPr>
        <w:spacing w:after="0" w:line="16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Surviving Provisions</w:t>
      </w:r>
      <w:r>
        <w:rPr>
          <w:rFonts w:ascii="Arial" w:cs="Arial" w:eastAsia="Arial" w:hAnsi="Arial"/>
          <w:sz w:val="18"/>
          <w:szCs w:val="18"/>
          <w:b w:val="1"/>
          <w:bCs w:val="1"/>
          <w:color w:val="auto"/>
        </w:rPr>
        <w:t>.</w:t>
      </w:r>
      <w:r>
        <w:rPr>
          <w:rFonts w:ascii="Arial" w:cs="Arial" w:eastAsia="Arial" w:hAnsi="Arial"/>
          <w:sz w:val="18"/>
          <w:szCs w:val="18"/>
          <w:color w:val="auto"/>
        </w:rPr>
        <w:t xml:space="preserve"> 2(Third Party Providers), 3(General Use of Data), 4 (Risk, Title and Proprietary Rights), 6 (Use Restrictions, 7 (Confidentiality), 8.3 (Disclaimer), 9 (Mutual Indemnification), 10 (Limitation of Liability), 12 (General Provisions) and any other clauses which by they're nature should survive termination, shall survive any termination or expiration of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12. GENERAL PROVISIONS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Force Majeure</w:t>
      </w:r>
      <w:r>
        <w:rPr>
          <w:rFonts w:ascii="Arial" w:cs="Arial" w:eastAsia="Arial" w:hAnsi="Arial"/>
          <w:sz w:val="17"/>
          <w:szCs w:val="17"/>
          <w:color w:val="auto"/>
        </w:rPr>
        <w:t>. KORNIT shall not be liable for any delay or failure in the performance of its obligations, when such delay or failure results in whole or in part from shortages or disruption in the supply of materials from KORNIT’s usual sources, shortage of KORNIT’s usual means of transport, floods, fire, other acts of God or due to criminal intention, war, riot, civil insurrection, strikes, lock-outs, industrial unrest, accident, inclement weather, acts of civil or military authorities, or circumstances beyond KORNIT’s reasonable control, preventing, delaying or hindering performance.</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shall be in writing and shall be deemed to have been duly given five (5) business days after being mailed by prepaid registered air mail, or one (1) business day after being transmitted by fax or email as confirmed by an electronically printed confirmation of date and time, or manually delivered, addressed to the respectively applicable addresses of the Customer and KORNIT.</w:t>
      </w:r>
    </w:p>
    <w:p>
      <w:pPr>
        <w:spacing w:after="0" w:line="18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construed and enforced in accordance with the laws of the State of Israel, without regard to the conflict of laws rules. The Customer agrees that the United Nations Convention for the Sale of Goods shall not apply to this Agreement and the goods sold under the Order. Any controversy or claim arising under, out of, or in connection with the terms hereunder are hereby submitted to the sole and exclusive jurisdiction of the competent courts located in Tel Aviv, Israel.</w:t>
      </w:r>
    </w:p>
    <w:p>
      <w:pPr>
        <w:spacing w:after="0" w:line="187" w:lineRule="exact"/>
        <w:rPr>
          <w:sz w:val="20"/>
          <w:szCs w:val="20"/>
          <w:color w:val="auto"/>
        </w:rPr>
      </w:pPr>
    </w:p>
    <w:p>
      <w:pPr>
        <w:spacing w:after="0" w:line="342" w:lineRule="auto"/>
        <w:tabs>
          <w:tab w:leader="none" w:pos="32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33" w:name="page234"/>
    <w:bookmarkEnd w:id="233"/>
    <w:p>
      <w:pPr>
        <w:ind w:right="20"/>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Provisions Separable</w:t>
      </w:r>
      <w:r>
        <w:rPr>
          <w:rFonts w:ascii="Arial" w:cs="Arial" w:eastAsia="Arial" w:hAnsi="Arial"/>
          <w:sz w:val="18"/>
          <w:szCs w:val="18"/>
          <w:color w:val="auto"/>
        </w:rPr>
        <w:t>. If one or more provisions of this Agreement shall be held invalid, this shall not affect the validity of the other provisions. In such an event, the invalid provisions shall be replaced by provisions that deviate therefrom as little as possible.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Waiver and Amendment</w:t>
      </w:r>
      <w:r>
        <w:rPr>
          <w:rFonts w:ascii="Arial" w:cs="Arial" w:eastAsia="Arial" w:hAnsi="Arial"/>
          <w:sz w:val="18"/>
          <w:szCs w:val="18"/>
          <w:color w:val="auto"/>
        </w:rPr>
        <w:t>. This Agreement may be amended, modified, superseded, canceled, renewed, extended or waived only in written instrument signed by KORNIT’s Managing Director. The waiver by KORNIT of a breach of any provision of this Agreement shall not operate as a waiver of any subsequent breach.</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Export Compliance</w:t>
      </w:r>
      <w:r>
        <w:rPr>
          <w:rFonts w:ascii="Arial" w:cs="Arial" w:eastAsia="Arial" w:hAnsi="Arial"/>
          <w:sz w:val="18"/>
          <w:szCs w:val="18"/>
          <w:b w:val="1"/>
          <w:bCs w:val="1"/>
          <w:color w:val="auto"/>
        </w:rPr>
        <w:t>.</w:t>
      </w:r>
      <w:r>
        <w:rPr>
          <w:rFonts w:ascii="Arial" w:cs="Arial" w:eastAsia="Arial" w:hAnsi="Arial"/>
          <w:sz w:val="18"/>
          <w:szCs w:val="18"/>
          <w:color w:val="auto"/>
        </w:rPr>
        <w:t xml:space="preserve"> Each party shall comply with the export laws and regulations of the United States and other applicable jurisdictions in providing and using the Services. Without limiting the foregoing, (i) each party represents that it is not named on any U.S. government list of persons or entities prohibited from receiving exports, and (ii) Purchaser shall not permit Users to access or use Products in violation of any U.S. export embargo, prohibition or restriction.</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The parties are independent contractors. This Agreement does not create a partnership, franchise, joint venture, agency, fiduciary or employment relationship between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No Third-Party Beneficiaries</w:t>
      </w:r>
      <w:r>
        <w:rPr>
          <w:rFonts w:ascii="Arial" w:cs="Arial" w:eastAsia="Arial" w:hAnsi="Arial"/>
          <w:sz w:val="18"/>
          <w:szCs w:val="18"/>
          <w:b w:val="1"/>
          <w:bCs w:val="1"/>
          <w:color w:val="auto"/>
        </w:rPr>
        <w:t>.</w:t>
      </w:r>
      <w:r>
        <w:rPr>
          <w:rFonts w:ascii="Arial" w:cs="Arial" w:eastAsia="Arial" w:hAnsi="Arial"/>
          <w:sz w:val="18"/>
          <w:szCs w:val="18"/>
          <w:color w:val="auto"/>
        </w:rPr>
        <w:t xml:space="preserve"> There are no third-party beneficiaries to this Agreement.</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Purchaser may not assign any of Purchaser's rights or obligations hereunder, whether by operation of law or otherwise, without the prior written consent of KORNIT.</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exhibits and addenda hereto, and purchase agreement or any and all Order Forms it is an integral part of, constitutes the entire agreement between the parties and supersedes all prior and contemporaneous agreements, proposals or representations, written or oral, concerning its subject matter. No modification, amendment, or waiver of any provision of this Agreement shall be effective unless in writing and either signed or accepted electronically by the party against whom the modification, amendment or waiver is to be asserted. However, to the extent of any conflict or inconsistency between the provisions in the body of this Agreement and any purchase agreement, exhibit or addendum hereto or any Order Form, the terms of this Agreement shall prevail.</w:t>
      </w:r>
    </w:p>
    <w:p>
      <w:pPr>
        <w:spacing w:after="0" w:line="193" w:lineRule="exact"/>
        <w:rPr>
          <w:sz w:val="20"/>
          <w:szCs w:val="20"/>
          <w:color w:val="auto"/>
        </w:rPr>
      </w:pPr>
    </w:p>
    <w:p>
      <w:pPr>
        <w:spacing w:after="0" w:line="342" w:lineRule="auto"/>
        <w:tabs>
          <w:tab w:leader="none" w:pos="32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22"/>
          <w:szCs w:val="22"/>
          <w:b w:val="1"/>
          <w:bCs w:val="1"/>
          <w:u w:val="single" w:color="auto"/>
          <w:color w:val="auto"/>
        </w:rPr>
        <w:t>SCHEDULE C</w:t>
      </w: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Yearly Sales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minimum yearly sales requirement for the territories mentioned in Schedule E is:</w:t>
      </w:r>
    </w:p>
    <w:p>
      <w:pPr>
        <w:spacing w:after="0" w:line="225" w:lineRule="exact"/>
        <w:rPr>
          <w:sz w:val="20"/>
          <w:szCs w:val="20"/>
          <w:color w:val="auto"/>
        </w:rPr>
      </w:pPr>
    </w:p>
    <w:p>
      <w:pPr>
        <w:ind w:left="680" w:hanging="329"/>
        <w:spacing w:after="0"/>
        <w:tabs>
          <w:tab w:leader="none" w:pos="6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Machine sales of $[***].00 in US Funds</w:t>
      </w:r>
    </w:p>
    <w:p>
      <w:pPr>
        <w:spacing w:after="0" w:line="23" w:lineRule="exact"/>
        <w:rPr>
          <w:rFonts w:ascii="Arial" w:cs="Arial" w:eastAsia="Arial" w:hAnsi="Arial"/>
          <w:sz w:val="18"/>
          <w:szCs w:val="18"/>
          <w:color w:val="auto"/>
        </w:rPr>
      </w:pPr>
    </w:p>
    <w:p>
      <w:pPr>
        <w:ind w:left="680" w:hanging="329"/>
        <w:spacing w:after="0"/>
        <w:tabs>
          <w:tab w:leader="none" w:pos="6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Inks and Consumables sales of $[***].00 in US Funds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Projected Sales Plan* – 2014 (units):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System</w:t>
            </w:r>
          </w:p>
        </w:tc>
        <w:tc>
          <w:tcPr>
            <w:tcW w:w="1160" w:type="dxa"/>
            <w:vAlign w:val="bottom"/>
            <w:gridSpan w:val="2"/>
          </w:tcPr>
          <w:p>
            <w:pPr>
              <w:spacing w:after="0"/>
              <w:rPr>
                <w:sz w:val="20"/>
                <w:szCs w:val="20"/>
                <w:color w:val="auto"/>
              </w:rPr>
            </w:pPr>
            <w:r>
              <w:rPr>
                <w:rFonts w:ascii="Arial" w:cs="Arial" w:eastAsia="Arial" w:hAnsi="Arial"/>
                <w:sz w:val="18"/>
                <w:szCs w:val="18"/>
                <w:color w:val="auto"/>
              </w:rPr>
              <w:t>Q1</w:t>
            </w:r>
          </w:p>
        </w:tc>
        <w:tc>
          <w:tcPr>
            <w:tcW w:w="1160" w:type="dxa"/>
            <w:vAlign w:val="bottom"/>
            <w:gridSpan w:val="2"/>
          </w:tcPr>
          <w:p>
            <w:pPr>
              <w:spacing w:after="0"/>
              <w:rPr>
                <w:sz w:val="20"/>
                <w:szCs w:val="20"/>
                <w:color w:val="auto"/>
              </w:rPr>
            </w:pPr>
            <w:r>
              <w:rPr>
                <w:rFonts w:ascii="Arial" w:cs="Arial" w:eastAsia="Arial" w:hAnsi="Arial"/>
                <w:sz w:val="18"/>
                <w:szCs w:val="18"/>
                <w:color w:val="auto"/>
              </w:rPr>
              <w:t>Q2</w:t>
            </w:r>
          </w:p>
        </w:tc>
        <w:tc>
          <w:tcPr>
            <w:tcW w:w="240" w:type="dxa"/>
            <w:vAlign w:val="bottom"/>
          </w:tcPr>
          <w:p>
            <w:pPr>
              <w:spacing w:after="0"/>
              <w:rPr>
                <w:sz w:val="20"/>
                <w:szCs w:val="20"/>
                <w:color w:val="auto"/>
              </w:rPr>
            </w:pPr>
            <w:r>
              <w:rPr>
                <w:rFonts w:ascii="Arial" w:cs="Arial" w:eastAsia="Arial" w:hAnsi="Arial"/>
                <w:sz w:val="18"/>
                <w:szCs w:val="18"/>
                <w:color w:val="auto"/>
                <w:w w:val="91"/>
              </w:rPr>
              <w:t>Q3</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1"/>
              </w:rPr>
              <w:t>Q4</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Total</w:t>
            </w:r>
          </w:p>
        </w:tc>
      </w:tr>
      <w:tr>
        <w:trPr>
          <w:trHeight w:val="195"/>
        </w:trPr>
        <w:tc>
          <w:tcPr>
            <w:tcW w:w="3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Breeze</w:t>
            </w:r>
          </w:p>
        </w:tc>
        <w:tc>
          <w:tcPr>
            <w:tcW w:w="200" w:type="dxa"/>
            <w:vAlign w:val="bottom"/>
          </w:tcPr>
          <w:p>
            <w:pPr>
              <w:spacing w:after="0"/>
              <w:rPr>
                <w:sz w:val="16"/>
                <w:szCs w:val="16"/>
                <w:color w:val="auto"/>
              </w:rPr>
            </w:pPr>
          </w:p>
        </w:tc>
        <w:tc>
          <w:tcPr>
            <w:tcW w:w="9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9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6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Thunder</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Paradigm</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Storm II</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Avalanche</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Avalanche DC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Avalanche 1000</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Avalanche Hexa</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TOTAL 2014</w:t>
            </w:r>
          </w:p>
        </w:tc>
        <w:tc>
          <w:tcPr>
            <w:tcW w:w="960" w:type="dxa"/>
            <w:vAlign w:val="bottom"/>
          </w:tcPr>
          <w:p>
            <w:pPr>
              <w:jc w:val="right"/>
              <w:ind w:right="19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c>
          <w:tcPr>
            <w:tcW w:w="2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c>
          <w:tcPr>
            <w:tcW w:w="18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projected sales plan is based on a projection and the exact number of machines may vary from this plan. The yearly sales requirement listed above is the goal on which Hirsch will be measured as meeting their target.</w:t>
      </w:r>
    </w:p>
    <w:p>
      <w:pPr>
        <w:spacing w:after="0" w:line="170" w:lineRule="exact"/>
        <w:rPr>
          <w:sz w:val="20"/>
          <w:szCs w:val="20"/>
          <w:color w:val="auto"/>
        </w:rPr>
      </w:pPr>
    </w:p>
    <w:p>
      <w:pPr>
        <w:spacing w:after="0" w:line="342" w:lineRule="auto"/>
        <w:tabs>
          <w:tab w:leader="none" w:pos="32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8" w:right="31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21"/>
          <w:szCs w:val="21"/>
          <w:b w:val="1"/>
          <w:bCs w:val="1"/>
          <w:u w:val="single" w:color="auto"/>
          <w:color w:val="auto"/>
        </w:rPr>
        <w:t>SCHEDULE D</w:t>
      </w:r>
    </w:p>
    <w:p>
      <w:pPr>
        <w:sectPr>
          <w:pgSz w:w="11900" w:h="16838" w:orient="portrait"/>
          <w:cols w:equalWidth="0" w:num="1">
            <w:col w:w="11260"/>
          </w:cols>
          <w:pgMar w:left="320" w:top="86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Breeze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5730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Kornit Thunder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Paradigm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Storm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Avalanche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Avalanche DC 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Avalanche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Avalanche Hexa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White 150 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CMYK 150 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White 1.5 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CMYK 1.5 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Red / Green 1.5 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Discharge 1.5 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Fixation 1 Gallon</w:t>
      </w:r>
    </w:p>
    <w:p>
      <w:pPr>
        <w:spacing w:after="0" w:line="9" w:lineRule="exact"/>
        <w:rPr>
          <w:sz w:val="20"/>
          <w:szCs w:val="20"/>
          <w:color w:val="auto"/>
        </w:rPr>
      </w:pPr>
    </w:p>
    <w:p>
      <w:pPr>
        <w:ind w:right="600"/>
        <w:spacing w:after="0" w:line="323" w:lineRule="auto"/>
        <w:rPr>
          <w:sz w:val="20"/>
          <w:szCs w:val="20"/>
          <w:color w:val="auto"/>
        </w:rPr>
      </w:pPr>
      <w:r>
        <w:rPr>
          <w:rFonts w:ascii="Arial" w:cs="Arial" w:eastAsia="Arial" w:hAnsi="Arial"/>
          <w:sz w:val="16"/>
          <w:szCs w:val="16"/>
          <w:color w:val="auto"/>
        </w:rPr>
        <w:t>Consumables; spare parts (post Warranty Period) Accessories (non consumables) and upgrade Kits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terms of sale are on the following payment schedule: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480"/>
        <w:spacing w:after="0"/>
        <w:rPr>
          <w:sz w:val="20"/>
          <w:szCs w:val="20"/>
          <w:color w:val="auto"/>
        </w:rPr>
      </w:pPr>
      <w:r>
        <w:rPr>
          <w:rFonts w:ascii="Arial" w:cs="Arial" w:eastAsia="Arial" w:hAnsi="Arial"/>
          <w:sz w:val="16"/>
          <w:szCs w:val="16"/>
          <w:b w:val="1"/>
          <w:bCs w:val="1"/>
          <w:u w:val="single" w:color="auto"/>
          <w:color w:val="auto"/>
        </w:rPr>
        <w:t>Recommended Price List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Price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62941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gallon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Uptime kit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Uptime kit</w:t>
      </w:r>
    </w:p>
    <w:p>
      <w:pPr>
        <w:spacing w:after="0" w:line="594" w:lineRule="exact"/>
        <w:rPr>
          <w:sz w:val="20"/>
          <w:szCs w:val="20"/>
          <w:color w:val="auto"/>
        </w:rPr>
      </w:pPr>
    </w:p>
    <w:p>
      <w:pPr>
        <w:sectPr>
          <w:pgSz w:w="11900" w:h="16838" w:orient="portrait"/>
          <w:cols w:equalWidth="0" w:num="2">
            <w:col w:w="4140" w:space="40"/>
            <w:col w:w="7080"/>
          </w:cols>
          <w:pgMar w:left="320" w:top="869" w:right="319" w:bottom="1440" w:gutter="0" w:footer="0" w:header="0"/>
          <w:type w:val="continuous"/>
        </w:sectPr>
      </w:pPr>
    </w:p>
    <w:p>
      <w:pPr>
        <w:spacing w:after="0" w:line="48" w:lineRule="exact"/>
        <w:rPr>
          <w:sz w:val="20"/>
          <w:szCs w:val="20"/>
          <w:color w:val="auto"/>
        </w:rPr>
      </w:pPr>
    </w:p>
    <w:p>
      <w:pPr>
        <w:spacing w:after="0" w:line="342" w:lineRule="auto"/>
        <w:tabs>
          <w:tab w:leader="none" w:pos="32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9" w:right="319" w:bottom="1440" w:gutter="0" w:footer="0" w:header="0"/>
          <w:type w:val="continuous"/>
        </w:sectPr>
      </w:pPr>
    </w:p>
    <w:bookmarkStart w:id="236" w:name="page237"/>
    <w:bookmarkEnd w:id="236"/>
    <w:p>
      <w:pPr>
        <w:spacing w:after="0"/>
        <w:rPr>
          <w:sz w:val="20"/>
          <w:szCs w:val="20"/>
          <w:color w:val="auto"/>
        </w:rPr>
      </w:pPr>
      <w:r>
        <w:rPr>
          <w:rFonts w:ascii="Arial" w:cs="Arial" w:eastAsia="Arial" w:hAnsi="Arial"/>
          <w:sz w:val="16"/>
          <w:szCs w:val="16"/>
          <w:color w:val="auto"/>
        </w:rPr>
        <w:t>10% due with purchase order, 55% due prior to shipping and 35% due upon completion of installation unless otherwise determined in the price quotation.</w:t>
      </w:r>
    </w:p>
    <w:p>
      <w:pPr>
        <w:spacing w:after="0" w:line="248" w:lineRule="exact"/>
        <w:rPr>
          <w:sz w:val="20"/>
          <w:szCs w:val="20"/>
          <w:color w:val="auto"/>
        </w:rPr>
      </w:pPr>
    </w:p>
    <w:p>
      <w:pPr>
        <w:ind w:left="140" w:hanging="140"/>
        <w:spacing w:after="0"/>
        <w:tabs>
          <w:tab w:leader="none" w:pos="1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Prices do not include VAT.</w:t>
      </w:r>
    </w:p>
    <w:p>
      <w:pPr>
        <w:spacing w:after="0" w:line="23" w:lineRule="exact"/>
        <w:rPr>
          <w:rFonts w:ascii="Arial" w:cs="Arial" w:eastAsia="Arial" w:hAnsi="Arial"/>
          <w:sz w:val="18"/>
          <w:szCs w:val="18"/>
          <w:color w:val="auto"/>
        </w:rPr>
      </w:pPr>
    </w:p>
    <w:p>
      <w:pPr>
        <w:ind w:left="140" w:hanging="140"/>
        <w:spacing w:after="0"/>
        <w:tabs>
          <w:tab w:leader="none" w:pos="1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Prices are subject to changes</w:t>
      </w:r>
    </w:p>
    <w:p>
      <w:pPr>
        <w:spacing w:after="0" w:line="211" w:lineRule="exact"/>
        <w:rPr>
          <w:sz w:val="20"/>
          <w:szCs w:val="20"/>
          <w:color w:val="auto"/>
        </w:rPr>
      </w:pPr>
    </w:p>
    <w:p>
      <w:pPr>
        <w:spacing w:after="0" w:line="342" w:lineRule="auto"/>
        <w:tabs>
          <w:tab w:leader="none" w:pos="32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22"/>
          <w:szCs w:val="22"/>
          <w:b w:val="1"/>
          <w:bCs w:val="1"/>
          <w:color w:val="auto"/>
        </w:rPr>
        <w:t>SCHEDULE 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TERRITORY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“Territory” shall mean the following territories: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Washington, Oregon, California, Arizona, Main, New Hampshire, Vermont, Massachusetts, Rhode Island, Connecticut, New York, Pennsylvania, Michigan, Indiana, Ohio, Kentucky, West Virginia, Virginia, New Jersey, Delaware, Maryland, Tennessee, North Carolina, South Carolina, Mississippi, Alabama, Georgia, Florida and including the Canadian provinces of Ontario, Quebec, Newfoundland, New Brunswick, Nova Scotia</w:t>
      </w:r>
    </w:p>
    <w:p>
      <w:pPr>
        <w:spacing w:after="0" w:line="166" w:lineRule="exact"/>
        <w:rPr>
          <w:sz w:val="20"/>
          <w:szCs w:val="20"/>
          <w:color w:val="auto"/>
        </w:rPr>
      </w:pPr>
    </w:p>
    <w:p>
      <w:pPr>
        <w:spacing w:after="0" w:line="342" w:lineRule="auto"/>
        <w:tabs>
          <w:tab w:leader="none" w:pos="32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9" w:right="319" w:bottom="1440" w:gutter="0" w:footer="0" w:header="0"/>
        </w:sectPr>
      </w:pPr>
    </w:p>
    <w:bookmarkStart w:id="238" w:name="page239"/>
    <w:bookmarkEnd w:id="238"/>
    <w:p>
      <w:pPr>
        <w:ind w:left="1034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SPECTRA PRINTING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OEM SUPPLY AGREEMENT (“Agreement”) is made and entered into as of this 6th day of January, 2006 (“Effective Date”) by and between SPECTRA PRINTING, a division of DIMATIX, INC. (“Spectra”), having a place of business at 109 Etna Road, Lebanon, New Hampshire 03766-1422, a corporation organized under the laws of the State of Delaware, U.S.A., and Kornit Digital Ltd. (“Kornit”), also referred to as “Customer” in the Schedules to this Agreement), having a place of business at 5 David Navon Street, POB 8406, Moshav Magshimim 56910, Israel and organized under the laws of Israel, collectively the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WHEREAS Kornit wishes to procure certain Spectra Products for integration with Kornit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21" w:lineRule="exact"/>
        <w:rPr>
          <w:sz w:val="20"/>
          <w:szCs w:val="20"/>
          <w:color w:val="auto"/>
        </w:rPr>
      </w:pPr>
    </w:p>
    <w:p>
      <w:pPr>
        <w:ind w:left="640" w:hanging="640"/>
        <w:spacing w:after="0"/>
        <w:tabs>
          <w:tab w:leader="none" w:pos="64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1.1“Affiliate” means any corporation, partnership, association, or other entity with respect to which a party, directly or indirectly through a subsidiary, has not less than a majority beneficial ownership, but only if that corporation, partnership, association, or other entity expressly agrees in writing to be bound by this Agreement, and only while that ownership relationship exists.</w:t>
      </w:r>
    </w:p>
    <w:p>
      <w:pPr>
        <w:spacing w:after="0" w:line="181" w:lineRule="exact"/>
        <w:rPr>
          <w:rFonts w:ascii="Arial" w:cs="Arial" w:eastAsia="Arial" w:hAnsi="Arial"/>
          <w:sz w:val="18"/>
          <w:szCs w:val="18"/>
          <w:b w:val="1"/>
          <w:bCs w:val="1"/>
          <w:color w:val="auto"/>
        </w:rPr>
      </w:pPr>
    </w:p>
    <w:p>
      <w:pPr>
        <w:jc w:val="center"/>
        <w:ind w:left="1300"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“Kornit Product” means a digital printer, printing system or Print Engine, designed, manufactured or marketed by or on behalf of Kornit, on a retail, distribution or OEM sales basis, which incorporates one or more Printhead(s) that have been purchased from Spectra.</w:t>
      </w:r>
    </w:p>
    <w:p>
      <w:pPr>
        <w:spacing w:after="0" w:line="123"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1.3“Certified Ink” means an Ink which has achieved certain standards and test results in accordance with the then current procedures defined by Spectra.</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1.4</w:t>
      </w:r>
      <w:r>
        <w:rPr>
          <w:rFonts w:ascii="Arial" w:cs="Arial" w:eastAsia="Arial" w:hAnsi="Arial"/>
          <w:sz w:val="16"/>
          <w:szCs w:val="16"/>
          <w:color w:val="auto"/>
        </w:rPr>
        <w:t>“Hardware” means Printheads, printing assemblies and other ink jet devices supplied by Spectra to Kornit.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1.5</w:t>
      </w:r>
      <w:r>
        <w:rPr>
          <w:rFonts w:ascii="Arial" w:cs="Arial" w:eastAsia="Arial" w:hAnsi="Arial"/>
          <w:sz w:val="16"/>
          <w:szCs w:val="16"/>
          <w:color w:val="auto"/>
        </w:rPr>
        <w:t>“Ink” means printing inks and other materials, which are jetted by Printheads.</w:t>
      </w:r>
    </w:p>
    <w:p>
      <w:pPr>
        <w:spacing w:after="0" w:line="225" w:lineRule="exact"/>
        <w:rPr>
          <w:rFonts w:ascii="Arial" w:cs="Arial" w:eastAsia="Arial" w:hAnsi="Arial"/>
          <w:sz w:val="18"/>
          <w:szCs w:val="18"/>
          <w:b w:val="1"/>
          <w:bCs w:val="1"/>
          <w:color w:val="auto"/>
        </w:rPr>
      </w:pPr>
    </w:p>
    <w:p>
      <w:pPr>
        <w:ind w:left="130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1.6</w:t>
      </w:r>
      <w:r>
        <w:rPr>
          <w:rFonts w:ascii="Arial" w:cs="Arial" w:eastAsia="Arial" w:hAnsi="Arial"/>
          <w:sz w:val="17"/>
          <w:szCs w:val="17"/>
          <w:color w:val="auto"/>
        </w:rPr>
        <w:t>“Print Engine” means a device comprised of: (i) components for moving and controlling the movement of the Printhead and print media, paper path, and ink supply components (collectively, the “Mechanism”); (ii) a Printhead; and (iii) a power supply, and covers.</w:t>
      </w:r>
    </w:p>
    <w:p>
      <w:pPr>
        <w:spacing w:after="0" w:line="14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1.7</w:t>
      </w:r>
      <w:r>
        <w:rPr>
          <w:rFonts w:ascii="Arial" w:cs="Arial" w:eastAsia="Arial" w:hAnsi="Arial"/>
          <w:sz w:val="16"/>
          <w:szCs w:val="16"/>
          <w:color w:val="auto"/>
        </w:rPr>
        <w:t>“Printhead” means a piezoelectric device with multiple jets that eject droplets of Ink on demand.</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1.8</w:t>
      </w:r>
      <w:r>
        <w:rPr>
          <w:rFonts w:ascii="Arial" w:cs="Arial" w:eastAsia="Arial" w:hAnsi="Arial"/>
          <w:sz w:val="16"/>
          <w:szCs w:val="16"/>
          <w:color w:val="auto"/>
        </w:rPr>
        <w:t>“Products” means Hardware and Spectra Ink supplied by Spectra to Kornit.</w:t>
      </w:r>
    </w:p>
    <w:p>
      <w:pPr>
        <w:spacing w:after="0" w:line="225" w:lineRule="exact"/>
        <w:rPr>
          <w:sz w:val="20"/>
          <w:szCs w:val="20"/>
          <w:color w:val="auto"/>
        </w:rPr>
      </w:pPr>
    </w:p>
    <w:p>
      <w:pPr>
        <w:spacing w:after="0" w:line="342" w:lineRule="auto"/>
        <w:tabs>
          <w:tab w:leader="none" w:pos="32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39" w:name="page240"/>
    <w:bookmarkEnd w:id="239"/>
    <w:p>
      <w:pPr>
        <w:ind w:left="64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“Reserved Markets” means those fields and/or applications defined in Schedule 3.</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“Spectra Ink” means Ink manufactured by or on behalf of Spectra.</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“Term” means the period beginning on the Effective Date and ending on the date on which this Agreement terminates under Section 6,</w:t>
      </w:r>
    </w:p>
    <w:p>
      <w:pPr>
        <w:spacing w:after="0" w:line="225" w:lineRule="exact"/>
        <w:rPr>
          <w:sz w:val="20"/>
          <w:szCs w:val="20"/>
          <w:color w:val="auto"/>
        </w:rPr>
      </w:pPr>
    </w:p>
    <w:p>
      <w:pPr>
        <w:spacing w:after="0" w:line="342" w:lineRule="auto"/>
        <w:tabs>
          <w:tab w:leader="none" w:pos="325" w:val="left"/>
        </w:tabs>
        <w:numPr>
          <w:ilvl w:val="0"/>
          <w:numId w:val="32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SPECTRA PRINTING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OEM SUPPLY AGREEMENT (“Agreement”) is made and entered into as of this 6th day of January, 2005 (“Effective Date”) by and between SPECTRA PRINTING, a division of DIMATIX, INC. (“Spectra”), having a place of business at 109 Etna Road, Lebanon, New Hampshire 03766-1422, a corporation organized under the laws of the State of Delaware, U.S.A., and Kornit Digital Ltd. (“Kornit”), also referred to as “Customer” in the Schedules to this Agreement), having a place of business at 5 David Navon Street, POB 8406, Moshav Magshimim 56910, Israel and organized under the laws of Israel, collectively the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WHEREAS Kornit wishes to procure certain Spectra Products for integration with Kornit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21" w:lineRule="exact"/>
        <w:rPr>
          <w:sz w:val="20"/>
          <w:szCs w:val="20"/>
          <w:color w:val="auto"/>
        </w:rPr>
      </w:pPr>
    </w:p>
    <w:p>
      <w:pPr>
        <w:ind w:left="640" w:hanging="640"/>
        <w:spacing w:after="0"/>
        <w:tabs>
          <w:tab w:leader="none" w:pos="64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1.1“Affiliate” means any corporation, partnership, association, or other entity with respect to which a party, directly or indirectly through a subsidiary, has not less than a majority beneficial ownership, but only if that corporation, partnership, association, or other entity expressly agrees in writing to be bound by this Agreement, and only while that ownership relationship exists.</w:t>
      </w:r>
    </w:p>
    <w:p>
      <w:pPr>
        <w:spacing w:after="0" w:line="181" w:lineRule="exact"/>
        <w:rPr>
          <w:rFonts w:ascii="Arial" w:cs="Arial" w:eastAsia="Arial" w:hAnsi="Arial"/>
          <w:sz w:val="18"/>
          <w:szCs w:val="18"/>
          <w:b w:val="1"/>
          <w:bCs w:val="1"/>
          <w:color w:val="auto"/>
        </w:rPr>
      </w:pPr>
    </w:p>
    <w:p>
      <w:pPr>
        <w:jc w:val="center"/>
        <w:ind w:left="1300"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“Kornit Product” means a digital printer, printing system or Print Engine, designed, manufactured or marketed by or on behalf of Kornit, on a retail, distribution or OEM sales basis, which incorporates one or more Printhead(s) that have been purchased from Spectra.</w:t>
      </w:r>
    </w:p>
    <w:p>
      <w:pPr>
        <w:spacing w:after="0" w:line="123"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1.3“Certified Ink” means an Ink which has achieved certain standards and test results in accordance with the then current procedures defined by Spectra.</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1.4</w:t>
      </w:r>
      <w:r>
        <w:rPr>
          <w:rFonts w:ascii="Arial" w:cs="Arial" w:eastAsia="Arial" w:hAnsi="Arial"/>
          <w:sz w:val="16"/>
          <w:szCs w:val="16"/>
          <w:color w:val="auto"/>
        </w:rPr>
        <w:t>“Hardware” means Printheads, printing assemblies and other ink jet devices supplied by Spectra to Kornit.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1.5</w:t>
      </w:r>
      <w:r>
        <w:rPr>
          <w:rFonts w:ascii="Arial" w:cs="Arial" w:eastAsia="Arial" w:hAnsi="Arial"/>
          <w:sz w:val="16"/>
          <w:szCs w:val="16"/>
          <w:color w:val="auto"/>
        </w:rPr>
        <w:t>“Ink” means printing inks and other materials, which are jetted by Printheads.</w:t>
      </w:r>
    </w:p>
    <w:p>
      <w:pPr>
        <w:spacing w:after="0" w:line="225" w:lineRule="exact"/>
        <w:rPr>
          <w:rFonts w:ascii="Arial" w:cs="Arial" w:eastAsia="Arial" w:hAnsi="Arial"/>
          <w:sz w:val="18"/>
          <w:szCs w:val="18"/>
          <w:b w:val="1"/>
          <w:bCs w:val="1"/>
          <w:color w:val="auto"/>
        </w:rPr>
      </w:pPr>
    </w:p>
    <w:p>
      <w:pPr>
        <w:ind w:left="130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1.6</w:t>
      </w:r>
      <w:r>
        <w:rPr>
          <w:rFonts w:ascii="Arial" w:cs="Arial" w:eastAsia="Arial" w:hAnsi="Arial"/>
          <w:sz w:val="17"/>
          <w:szCs w:val="17"/>
          <w:color w:val="auto"/>
        </w:rPr>
        <w:t>“Print Engine” means a device comprised of: (i) components for moving and controlling the movement of the Printhead and print media, paper path, and ink supply components (collectively, the “Mechanism”); (ii) a Printhead; and (iii) a power supply and covers.</w:t>
      </w:r>
    </w:p>
    <w:p>
      <w:pPr>
        <w:spacing w:after="0" w:line="14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1.7</w:t>
      </w:r>
      <w:r>
        <w:rPr>
          <w:rFonts w:ascii="Arial" w:cs="Arial" w:eastAsia="Arial" w:hAnsi="Arial"/>
          <w:sz w:val="16"/>
          <w:szCs w:val="16"/>
          <w:color w:val="auto"/>
        </w:rPr>
        <w:t>“Printhead” means a piezoelectric device with multiple jets that eject droplets of Ink on demand.</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“Products” means Hardware and Spectra Ink supplied by Spectra to Kornit.</w:t>
      </w:r>
    </w:p>
    <w:p>
      <w:pPr>
        <w:spacing w:after="0" w:line="225" w:lineRule="exact"/>
        <w:rPr>
          <w:sz w:val="20"/>
          <w:szCs w:val="20"/>
          <w:color w:val="auto"/>
        </w:rPr>
      </w:pPr>
    </w:p>
    <w:p>
      <w:pPr>
        <w:spacing w:after="0" w:line="342" w:lineRule="auto"/>
        <w:tabs>
          <w:tab w:leader="none" w:pos="32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41" w:name="page242"/>
    <w:bookmarkEnd w:id="241"/>
    <w:p>
      <w:pPr>
        <w:ind w:left="64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“Reserved Markets” means those fields and/or applications defined in Schedule 3.</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“Spectra Ink” means Ink manufactured by or on behalf of Spectra.</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“Term” means the period be</w:t>
      </w:r>
      <w:r>
        <w:rPr>
          <w:rFonts w:ascii="Arial" w:cs="Arial" w:eastAsia="Arial" w:hAnsi="Arial"/>
          <w:sz w:val="16"/>
          <w:szCs w:val="16"/>
          <w:u w:val="single" w:color="auto"/>
          <w:color w:val="auto"/>
        </w:rPr>
        <w:t>ginning</w:t>
      </w:r>
      <w:r>
        <w:rPr>
          <w:rFonts w:ascii="Arial" w:cs="Arial" w:eastAsia="Arial" w:hAnsi="Arial"/>
          <w:sz w:val="16"/>
          <w:szCs w:val="16"/>
          <w:color w:val="auto"/>
        </w:rPr>
        <w:t xml:space="preserve"> on the Effective Date and ending on the date on which this Agreement terminates under Section 6.</w:t>
      </w:r>
    </w:p>
    <w:p>
      <w:pPr>
        <w:spacing w:after="0" w:line="221" w:lineRule="exact"/>
        <w:rPr>
          <w:sz w:val="20"/>
          <w:szCs w:val="20"/>
          <w:color w:val="auto"/>
        </w:rPr>
      </w:pPr>
    </w:p>
    <w:p>
      <w:pPr>
        <w:ind w:left="640" w:hanging="640"/>
        <w:spacing w:after="0"/>
        <w:tabs>
          <w:tab w:leader="none" w:pos="64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SUPPLY</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2.1Kornit and Spectra agree that all Spectra Products will be supplied by Spectra to Kornit in accordance with the terms and conditions of this Agreement, including the Schedules.</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Schedule 1 sets forth the basic terms and conditions of sale for Spectra Products. In connection with the warranty terms in this Schedule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1300" w:right="120"/>
        <w:spacing w:after="0" w:line="257" w:lineRule="auto"/>
        <w:rPr>
          <w:sz w:val="20"/>
          <w:szCs w:val="20"/>
          <w:color w:val="auto"/>
        </w:rPr>
      </w:pPr>
      <w:r>
        <w:rPr>
          <w:rFonts w:ascii="Arial" w:cs="Arial" w:eastAsia="Arial" w:hAnsi="Arial"/>
          <w:sz w:val="18"/>
          <w:szCs w:val="18"/>
          <w:color w:val="auto"/>
        </w:rPr>
        <w:t>2.2.1 NO OTHER WARRANTY IS EXPRESSED OR IMPLIED. SPECTRA [***]. DETERMINATION OF THE SUITABILITY OF THE PRODUCTS DESCRIBED ON THE FACE HEREOF: IS THE SOLE RESPONSIBILITY OF KORNIT AND SPECTRA SHALL HAVE NO RESPONSIBILITY IN CONNECTION THEREWITH. KORNIT WARRANTS THAT KORNIT IS NOT: PURCHASING THE PRODUCTS FOR PERSONAL, FAMILY OR HOUSEHOLD PURPOSES. THE REMEDIES PROVIDED HEREIN ARE KORNIT’S SOLE AND EXCLUSIVE REMEDIES. SPECTRA SHALL NOT BE LIABLE FOR [***].</w:t>
      </w:r>
    </w:p>
    <w:p>
      <w:pPr>
        <w:spacing w:after="0" w:line="18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Schedule 2 sets forth the prices and any related special terms for Spectra Products. New or additional Spectra Products will be automatically incorporated into Schedule 2 by means of Kornit delivering a purchase order to Spectra and by Spectra’s acknowledgement and acceptance of (including any changes to) said purchase order.</w:t>
      </w:r>
    </w:p>
    <w:p>
      <w:pPr>
        <w:spacing w:after="0" w:line="181"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Kornit will pay to Spectra the royalties set forth in Schedule 2, subject to the terms and conditions thereof. Kornit will provide Spectra with a written report, no later than [***] following the end of [***], describing for such [***] amount, type and price of all Ink sold, leased or otherwise disposed of, for use with Kornit Product during such period, together with a detailed royalty calculation sufficient to establish a statement of royalties due if any such royalties are due. Kornit will pay any royalties due together with such report. Spectra shall have the right to have the books and records of Kornit audited [***] to verify the correctness of royalty reports. If any such audit discloses an underpayment of royalties, Kornit will pay the shortfall immediately upon notice. If such shortfall exceeds [***]% of the royalties due, Kornit shall reimburse Spectra for the costs of the audit.</w:t>
      </w:r>
    </w:p>
    <w:p>
      <w:pPr>
        <w:spacing w:after="0" w:line="178" w:lineRule="exact"/>
        <w:rPr>
          <w:sz w:val="20"/>
          <w:szCs w:val="20"/>
          <w:color w:val="auto"/>
        </w:rPr>
      </w:pPr>
    </w:p>
    <w:p>
      <w:pPr>
        <w:spacing w:after="0" w:line="342" w:lineRule="auto"/>
        <w:tabs>
          <w:tab w:leader="none" w:pos="32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42" w:name="page243"/>
    <w:bookmarkEnd w:id="242"/>
    <w:p>
      <w:pPr>
        <w:ind w:left="640" w:hanging="640"/>
        <w:spacing w:after="0"/>
        <w:tabs>
          <w:tab w:leader="none" w:pos="64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 RIGHTS</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3.1Kornit may sell, lease and use Spectra Products and components thereof for Kornit Products, including, without limitation, worldwide marketing to any end user or re-marketer; provided however, that:</w:t>
      </w:r>
    </w:p>
    <w:p>
      <w:pPr>
        <w:spacing w:after="0" w:line="170" w:lineRule="exact"/>
        <w:rPr>
          <w:rFonts w:ascii="Arial" w:cs="Arial" w:eastAsia="Arial" w:hAnsi="Arial"/>
          <w:sz w:val="18"/>
          <w:szCs w:val="18"/>
          <w:b w:val="1"/>
          <w:bCs w:val="1"/>
          <w:color w:val="auto"/>
        </w:rPr>
      </w:pPr>
    </w:p>
    <w:p>
      <w:pPr>
        <w:ind w:left="1940" w:hanging="643"/>
        <w:spacing w:after="0"/>
        <w:tabs>
          <w:tab w:leader="none" w:pos="19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Kornit’s distribution rights exclude Reserved Markets;</w:t>
      </w:r>
    </w:p>
    <w:p>
      <w:pPr>
        <w:spacing w:after="0" w:line="225" w:lineRule="exact"/>
        <w:rPr>
          <w:rFonts w:ascii="Arial" w:cs="Arial" w:eastAsia="Arial" w:hAnsi="Arial"/>
          <w:sz w:val="18"/>
          <w:szCs w:val="18"/>
          <w:color w:val="auto"/>
        </w:rPr>
      </w:pPr>
    </w:p>
    <w:p>
      <w:pPr>
        <w:ind w:left="1940" w:hanging="643"/>
        <w:spacing w:after="0" w:line="277" w:lineRule="auto"/>
        <w:tabs>
          <w:tab w:leader="none" w:pos="19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Kornit may only resell Printheads as integral components of Kornit Products, or as spare or replacement parts for Kornit Products; and</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Kornit may not knowingly sell Spectra Ink or a Certified Ink for use other than in conjunction with Kornit Products.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maintain the non-exclusive rights under this Section 3.1, Kornit must fulfill its obligations under Section 2.4 at all times.</w:t>
      </w:r>
    </w:p>
    <w:p>
      <w:pPr>
        <w:spacing w:after="0" w:line="225"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To the extent Kornit may directly or indirectly market Kornit Products, Spectra Products, or other items under this Agreement, Kornit may do so under any present or future Kornit or Affiliate trademark or product designation. Kornit shall refer to any product so designated, in all Kornit sales proposals, advertising literature, and otherwise, as a Kornit or Affiliate product. Kornit may ship those products in containers bearing the Kornit or Affiliate logo, class and serial number of the product, and all other information or markings desired by Kornit or required by law; provided, however, that Kornit further agrees to affix or cease to affix, upon Spectra’s written request, a logo or identifier supplied by Spectra containing the words “Spectra Jet Powered™” in a mutually agreed upon location on such Kornit Products.</w:t>
      </w:r>
    </w:p>
    <w:p>
      <w:pPr>
        <w:spacing w:after="0" w:line="185" w:lineRule="exact"/>
        <w:rPr>
          <w:sz w:val="20"/>
          <w:szCs w:val="20"/>
          <w:color w:val="auto"/>
        </w:rPr>
      </w:pPr>
    </w:p>
    <w:p>
      <w:pPr>
        <w:ind w:left="640" w:hanging="640"/>
        <w:spacing w:after="0"/>
        <w:tabs>
          <w:tab w:leader="none" w:pos="64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INTELLECTUAL PROPERTY RIGHTS</w:t>
      </w:r>
    </w:p>
    <w:p>
      <w:pPr>
        <w:spacing w:after="0" w:line="229" w:lineRule="exact"/>
        <w:rPr>
          <w:rFonts w:ascii="Arial" w:cs="Arial" w:eastAsia="Arial" w:hAnsi="Arial"/>
          <w:sz w:val="18"/>
          <w:szCs w:val="18"/>
          <w:b w:val="1"/>
          <w:bCs w:val="1"/>
          <w:color w:val="auto"/>
        </w:rPr>
      </w:pPr>
    </w:p>
    <w:p>
      <w:pPr>
        <w:ind w:left="1300" w:hanging="648"/>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In connection with the supply of Spectra Products, [***] and other activities that may be contemplated hereunder, the Parties may share their respective Confidential Information on a voluntary basis to facilitate the success and rapid time to market of Kornit Products. In order to foster a constructive and solution-oriented environment, the Parties agree to define and handle Confidential Information disclosures from and after the Effective Date and intellectual property rights in accordance with Schedule 4.</w:t>
      </w:r>
    </w:p>
    <w:p>
      <w:pPr>
        <w:spacing w:after="0" w:line="171"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4.2The Parties agree that any agreement between them in effect as of the Effective Date covering Confidential Information will remain in full force and effect, but shall only cover disclosures made prior to the Effective Date.</w:t>
      </w:r>
    </w:p>
    <w:p>
      <w:pPr>
        <w:spacing w:after="0" w:line="166" w:lineRule="exact"/>
        <w:rPr>
          <w:rFonts w:ascii="Arial" w:cs="Arial" w:eastAsia="Arial" w:hAnsi="Arial"/>
          <w:sz w:val="18"/>
          <w:szCs w:val="18"/>
          <w:b w:val="1"/>
          <w:bCs w:val="1"/>
          <w:color w:val="auto"/>
        </w:rPr>
      </w:pPr>
    </w:p>
    <w:p>
      <w:pPr>
        <w:ind w:left="640" w:hanging="640"/>
        <w:spacing w:after="0"/>
        <w:tabs>
          <w:tab w:leader="none" w:pos="64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line="342" w:lineRule="auto"/>
        <w:tabs>
          <w:tab w:leader="none" w:pos="32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43" w:name="page244"/>
    <w:bookmarkEnd w:id="243"/>
    <w:p>
      <w:pPr>
        <w:ind w:left="640" w:hanging="640"/>
        <w:spacing w:after="0"/>
        <w:tabs>
          <w:tab w:leader="none" w:pos="64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This Agreement is effective on and after the Effective Date and shall expire 7 (seven) years after the Effective Date, unless earlier terminated pursuant to Section 6.2 below. The term will be extended by one year on each anniversary of the Effective Date unless either party notifies 90 (ninety) days prior to the anniversary of the Effective Date that it does not wish the extension to take effect.</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This Agreement may be terminated prior to its expiration if any of the following occur:</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Spectra and Kornit may at any time agree in writing to te</w:t>
      </w:r>
      <w:r>
        <w:rPr>
          <w:rFonts w:ascii="Arial" w:cs="Arial" w:eastAsia="Arial" w:hAnsi="Arial"/>
          <w:sz w:val="16"/>
          <w:szCs w:val="16"/>
          <w:u w:val="single" w:color="auto"/>
          <w:color w:val="auto"/>
        </w:rPr>
        <w:t>rminat</w:t>
      </w:r>
      <w:r>
        <w:rPr>
          <w:rFonts w:ascii="Arial" w:cs="Arial" w:eastAsia="Arial" w:hAnsi="Arial"/>
          <w:sz w:val="16"/>
          <w:szCs w:val="16"/>
          <w:color w:val="auto"/>
        </w:rPr>
        <w:t>e this Agreement.</w:t>
      </w:r>
    </w:p>
    <w:p>
      <w:pPr>
        <w:spacing w:after="0" w:line="225" w:lineRule="exact"/>
        <w:rPr>
          <w:sz w:val="20"/>
          <w:szCs w:val="20"/>
          <w:color w:val="auto"/>
        </w:rPr>
      </w:pPr>
    </w:p>
    <w:p>
      <w:pPr>
        <w:jc w:val="both"/>
        <w:ind w:left="1940" w:hanging="647"/>
        <w:spacing w:after="0" w:line="264" w:lineRule="auto"/>
        <w:tabs>
          <w:tab w:leader="none" w:pos="19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If Kornit fails without cause to pay Spectra any amount due Spectra, Spectra may terminate this Agreement if Kornit does not cure that failure within 30 (thirty) days after Kornit receives a written notice from Spectra stating the facts on which Spectra based its determination that such a failure occurred.</w:t>
      </w:r>
    </w:p>
    <w:p>
      <w:pPr>
        <w:spacing w:after="0" w:line="181" w:lineRule="exact"/>
        <w:rPr>
          <w:sz w:val="20"/>
          <w:szCs w:val="20"/>
          <w:color w:val="auto"/>
        </w:rPr>
      </w:pPr>
    </w:p>
    <w:p>
      <w:pPr>
        <w:jc w:val="both"/>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8"/>
          <w:szCs w:val="18"/>
          <w:color w:val="auto"/>
        </w:rPr>
        <w:t>If either party breaches a material obligation of this Agreement, and such breach is not cured within 90 (ninety) days after receipt of the notice from the non-breaching party, the non-breaching party may terminate this Agreement.</w:t>
      </w:r>
    </w:p>
    <w:p>
      <w:pPr>
        <w:spacing w:after="0" w:line="170"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All financial obligations which had accrued but which were unpaid as of the effective date of termination shall survive termination. All financial obligations, which would have accrued after the effective date of termination shall terminate. All then-outstanding forecasts and purchase orders shall terminate without liability or consequence to either party as of the effective date of termination. All licenses granted hereunder shall survive termination, provided that Kornit continues to report and pay royalties required under Section 2.4.</w:t>
      </w:r>
    </w:p>
    <w:p>
      <w:pPr>
        <w:spacing w:after="0" w:line="150" w:lineRule="exact"/>
        <w:rPr>
          <w:sz w:val="20"/>
          <w:szCs w:val="20"/>
          <w:color w:val="auto"/>
        </w:rPr>
      </w:pPr>
    </w:p>
    <w:p>
      <w:pPr>
        <w:ind w:left="640" w:hanging="640"/>
        <w:spacing w:after="0"/>
        <w:tabs>
          <w:tab w:leader="none" w:pos="64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color w:val="auto"/>
        </w:rPr>
        <w:t>The Parties agree to handle disputes in connection with this Agreement in accordance with Schedule 5.</w:t>
      </w:r>
    </w:p>
    <w:p>
      <w:pPr>
        <w:spacing w:after="0" w:line="225" w:lineRule="exact"/>
        <w:rPr>
          <w:rFonts w:ascii="Arial" w:cs="Arial" w:eastAsia="Arial" w:hAnsi="Arial"/>
          <w:sz w:val="18"/>
          <w:szCs w:val="18"/>
          <w:b w:val="1"/>
          <w:bCs w:val="1"/>
          <w:color w:val="auto"/>
        </w:rPr>
      </w:pPr>
    </w:p>
    <w:p>
      <w:pPr>
        <w:ind w:left="1300"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7"/>
          <w:szCs w:val="17"/>
          <w:color w:val="auto"/>
        </w:rPr>
        <w:t>Spectra and Kornit are contractors independent of one another. Nothing in this Agreement is intended to or shall constitute either party as an agent, legal representative, partner, joint venture, franchisee, employee, or servant of the other for any purpose. Neither party shall make any contract, agreement, warranty, or representation on behalf of the other party, or incur any debt or other obligation in the other party’s name, or act in any manner which has the effect of making that party the apparent agent of the other; and neither party shall assume liability for, or be deemed liable as a result of, any such action by the other party. Neither party shall be liable by reason of any act or omission of the other party in the conduct of its business or for any resulting claim or judgment, including without limitation those arising from oral or written statements the other party makes in connection with its marketing efforts (other than statements made in reliance on written information which the first party furnishes to the other party).</w:t>
      </w:r>
    </w:p>
    <w:p>
      <w:pPr>
        <w:spacing w:after="0" w:line="179" w:lineRule="exact"/>
        <w:rPr>
          <w:sz w:val="20"/>
          <w:szCs w:val="20"/>
          <w:color w:val="auto"/>
        </w:rPr>
      </w:pPr>
    </w:p>
    <w:p>
      <w:pPr>
        <w:spacing w:after="0" w:line="342" w:lineRule="auto"/>
        <w:tabs>
          <w:tab w:leader="none" w:pos="32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44" w:name="page245"/>
    <w:bookmarkEnd w:id="244"/>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 Any assignment under this Section 7.3 will not relieve the assigning party of its outstanding financial obligations, if any, incurred before the assignment. This Agreement shall be binding upon and inure to the benefit of the Parties and their respective successors and permitted assigns.</w:t>
      </w:r>
    </w:p>
    <w:p>
      <w:pPr>
        <w:spacing w:after="0" w:line="181"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A waiver of a default of any term of this Agreement shall not be construed as a waiver of any later default of that provision or as a waiver of the provision itself. A party’s performance after the other party’s default shall not be construed as a waiver of that default.</w:t>
      </w:r>
    </w:p>
    <w:p>
      <w:pPr>
        <w:spacing w:after="0" w:line="14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Each term of this Agreement is severable. If a court, agency, or arbitrator having jurisdiction determines that any term is invalid or unenforceable under applicable law, that determination shall not affect the other terms of this Agreement, which other terms shall continue to be enforced as if the invalid or unenforceable provisions were omitted.</w:t>
      </w:r>
    </w:p>
    <w:p>
      <w:pPr>
        <w:spacing w:after="0" w:line="18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Massachusetts law shall govern the interpretation and enforcement of this Agreement, except that the Federal Arbitration Act shall govern the interpretation and enforcement of Schedule 5.</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Except as this Agreement otherwise provides, no amendment to this Agreement shall be binding unless agreed to in writing executed by Spectra and Kornit, and no approval, consent, or waiver shall be enforceable unless signed by the granting party. The pre-printed terms of any order (including, without limitation, a purchase order), acknowledgment, or other form do not amend this Agreement. No document shall be deemed to amend this Agreement by implication.</w:t>
      </w:r>
    </w:p>
    <w:p>
      <w:pPr>
        <w:spacing w:after="0" w:line="18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This Agreement (including the attached Schedules, which are hereby incorporated by reference) states the complete agreement between Spectra and Kornit concerning this subject, except as stated in Section 4.2, and supersedes all earlier oral and •written communications between Spectra and Kornit concerning this subject.</w:t>
      </w:r>
    </w:p>
    <w:p>
      <w:pPr>
        <w:spacing w:after="0" w:line="18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All notices required or permitted under this Agreement and all requests for approvals, consents, and waivers must be in writing and must be delivered by a method providing for proof of delivery to the addresses listed below:</w:t>
      </w:r>
    </w:p>
    <w:p>
      <w:pPr>
        <w:spacing w:after="0" w:line="170" w:lineRule="exact"/>
        <w:rPr>
          <w:sz w:val="20"/>
          <w:szCs w:val="20"/>
          <w:color w:val="auto"/>
        </w:rPr>
      </w:pPr>
    </w:p>
    <w:p>
      <w:pPr>
        <w:spacing w:after="0" w:line="342" w:lineRule="auto"/>
        <w:tabs>
          <w:tab w:leader="none" w:pos="32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45" w:name="page246"/>
    <w:bookmarkEnd w:id="245"/>
    <w:p>
      <w:pPr>
        <w:ind w:left="1300"/>
        <w:spacing w:after="0"/>
        <w:rPr>
          <w:sz w:val="20"/>
          <w:szCs w:val="20"/>
          <w:color w:val="auto"/>
        </w:rPr>
      </w:pPr>
      <w:r>
        <w:rPr>
          <w:rFonts w:ascii="Arial" w:cs="Arial" w:eastAsia="Arial" w:hAnsi="Arial"/>
          <w:sz w:val="18"/>
          <w:szCs w:val="18"/>
          <w:color w:val="auto"/>
        </w:rPr>
        <w:t>In the case of Kornit:</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Kornit Digital, Ltd.</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 David Navon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POB 8406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Moshav Magshimim 56910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1300"/>
        <w:spacing w:after="0"/>
        <w:tabs>
          <w:tab w:leader="none" w:pos="6080" w:val="left"/>
        </w:tabs>
        <w:rPr>
          <w:sz w:val="20"/>
          <w:szCs w:val="20"/>
          <w:color w:val="auto"/>
        </w:rPr>
      </w:pPr>
      <w:r>
        <w:rPr>
          <w:rFonts w:ascii="Arial" w:cs="Arial" w:eastAsia="Arial" w:hAnsi="Arial"/>
          <w:sz w:val="18"/>
          <w:szCs w:val="18"/>
          <w:color w:val="auto"/>
        </w:rPr>
        <w:t>In the case of Spectra:</w:t>
      </w:r>
      <w:r>
        <w:rPr>
          <w:sz w:val="20"/>
          <w:szCs w:val="20"/>
          <w:color w:val="auto"/>
        </w:rPr>
        <w:tab/>
      </w:r>
      <w:r>
        <w:rPr>
          <w:rFonts w:ascii="Arial" w:cs="Arial" w:eastAsia="Arial" w:hAnsi="Arial"/>
          <w:sz w:val="16"/>
          <w:szCs w:val="16"/>
          <w:color w:val="auto"/>
        </w:rPr>
        <w:t>With a copy to:</w:t>
      </w:r>
    </w:p>
    <w:p>
      <w:pPr>
        <w:spacing w:after="0" w:line="23" w:lineRule="exact"/>
        <w:rPr>
          <w:sz w:val="20"/>
          <w:szCs w:val="20"/>
          <w:color w:val="auto"/>
        </w:rPr>
      </w:pPr>
    </w:p>
    <w:p>
      <w:pPr>
        <w:ind w:left="1860"/>
        <w:spacing w:after="0"/>
        <w:tabs>
          <w:tab w:leader="none" w:pos="6460" w:val="left"/>
        </w:tabs>
        <w:rPr>
          <w:sz w:val="20"/>
          <w:szCs w:val="20"/>
          <w:color w:val="auto"/>
        </w:rPr>
      </w:pPr>
      <w:r>
        <w:rPr>
          <w:rFonts w:ascii="Arial" w:cs="Arial" w:eastAsia="Arial" w:hAnsi="Arial"/>
          <w:sz w:val="18"/>
          <w:szCs w:val="18"/>
          <w:color w:val="auto"/>
        </w:rPr>
        <w:t>Chief Operating Officer</w:t>
      </w:r>
      <w:r>
        <w:rPr>
          <w:sz w:val="20"/>
          <w:szCs w:val="20"/>
          <w:color w:val="auto"/>
        </w:rPr>
        <w:tab/>
      </w:r>
      <w:r>
        <w:rPr>
          <w:rFonts w:ascii="Arial" w:cs="Arial" w:eastAsia="Arial" w:hAnsi="Arial"/>
          <w:sz w:val="16"/>
          <w:szCs w:val="16"/>
          <w:color w:val="auto"/>
        </w:rPr>
        <w:t>Laurel H. Finch, Attorney</w:t>
      </w:r>
    </w:p>
    <w:p>
      <w:pPr>
        <w:spacing w:after="0" w:line="9" w:lineRule="exact"/>
        <w:rPr>
          <w:sz w:val="20"/>
          <w:szCs w:val="20"/>
          <w:color w:val="auto"/>
        </w:rPr>
      </w:pPr>
    </w:p>
    <w:p>
      <w:pPr>
        <w:ind w:left="1860"/>
        <w:spacing w:after="0"/>
        <w:tabs>
          <w:tab w:leader="none" w:pos="6460" w:val="left"/>
        </w:tabs>
        <w:rPr>
          <w:sz w:val="20"/>
          <w:szCs w:val="20"/>
          <w:color w:val="auto"/>
        </w:rPr>
      </w:pPr>
      <w:r>
        <w:rPr>
          <w:rFonts w:ascii="Arial" w:cs="Arial" w:eastAsia="Arial" w:hAnsi="Arial"/>
          <w:sz w:val="18"/>
          <w:szCs w:val="18"/>
          <w:color w:val="auto"/>
        </w:rPr>
        <w:t>Spectra Printing</w:t>
      </w:r>
      <w:r>
        <w:rPr>
          <w:sz w:val="20"/>
          <w:szCs w:val="20"/>
          <w:color w:val="auto"/>
        </w:rPr>
        <w:tab/>
      </w:r>
      <w:r>
        <w:rPr>
          <w:rFonts w:ascii="Arial" w:cs="Arial" w:eastAsia="Arial" w:hAnsi="Arial"/>
          <w:sz w:val="17"/>
          <w:szCs w:val="17"/>
          <w:color w:val="auto"/>
        </w:rPr>
        <w:t>Heller Ehrman LLP</w:t>
      </w:r>
    </w:p>
    <w:p>
      <w:pPr>
        <w:spacing w:after="0" w:line="9" w:lineRule="exact"/>
        <w:rPr>
          <w:sz w:val="20"/>
          <w:szCs w:val="20"/>
          <w:color w:val="auto"/>
        </w:rPr>
      </w:pPr>
    </w:p>
    <w:p>
      <w:pPr>
        <w:ind w:left="1860"/>
        <w:spacing w:after="0"/>
        <w:tabs>
          <w:tab w:leader="none" w:pos="6460" w:val="left"/>
        </w:tabs>
        <w:rPr>
          <w:sz w:val="20"/>
          <w:szCs w:val="20"/>
          <w:color w:val="auto"/>
        </w:rPr>
      </w:pPr>
      <w:r>
        <w:rPr>
          <w:rFonts w:ascii="Arial" w:cs="Arial" w:eastAsia="Arial" w:hAnsi="Arial"/>
          <w:sz w:val="18"/>
          <w:szCs w:val="18"/>
          <w:color w:val="auto"/>
        </w:rPr>
        <w:t>Dimatix, Inc.</w:t>
      </w:r>
      <w:r>
        <w:rPr>
          <w:sz w:val="20"/>
          <w:szCs w:val="20"/>
          <w:color w:val="auto"/>
        </w:rPr>
        <w:tab/>
      </w:r>
      <w:r>
        <w:rPr>
          <w:rFonts w:ascii="Arial" w:cs="Arial" w:eastAsia="Arial" w:hAnsi="Arial"/>
          <w:sz w:val="17"/>
          <w:szCs w:val="17"/>
          <w:color w:val="auto"/>
        </w:rPr>
        <w:t>275 Middlefield Road</w:t>
      </w:r>
    </w:p>
    <w:p>
      <w:pPr>
        <w:spacing w:after="0" w:line="9" w:lineRule="exact"/>
        <w:rPr>
          <w:sz w:val="20"/>
          <w:szCs w:val="20"/>
          <w:color w:val="auto"/>
        </w:rPr>
      </w:pPr>
    </w:p>
    <w:p>
      <w:pPr>
        <w:ind w:left="1860"/>
        <w:spacing w:after="0"/>
        <w:tabs>
          <w:tab w:leader="none" w:pos="6460" w:val="left"/>
        </w:tabs>
        <w:rPr>
          <w:sz w:val="20"/>
          <w:szCs w:val="20"/>
          <w:color w:val="auto"/>
        </w:rPr>
      </w:pPr>
      <w:r>
        <w:rPr>
          <w:rFonts w:ascii="Arial" w:cs="Arial" w:eastAsia="Arial" w:hAnsi="Arial"/>
          <w:sz w:val="18"/>
          <w:szCs w:val="18"/>
          <w:color w:val="auto"/>
        </w:rPr>
        <w:t>109 Etna Road</w:t>
      </w:r>
      <w:r>
        <w:rPr>
          <w:sz w:val="20"/>
          <w:szCs w:val="20"/>
          <w:color w:val="auto"/>
        </w:rPr>
        <w:tab/>
      </w:r>
      <w:r>
        <w:rPr>
          <w:rFonts w:ascii="Arial" w:cs="Arial" w:eastAsia="Arial" w:hAnsi="Arial"/>
          <w:sz w:val="16"/>
          <w:szCs w:val="16"/>
          <w:color w:val="auto"/>
        </w:rPr>
        <w:t>Menlo Park, CA 94025-3506</w:t>
      </w:r>
    </w:p>
    <w:p>
      <w:pPr>
        <w:spacing w:after="0" w:line="9" w:lineRule="exact"/>
        <w:rPr>
          <w:sz w:val="20"/>
          <w:szCs w:val="20"/>
          <w:color w:val="auto"/>
        </w:rPr>
      </w:pPr>
    </w:p>
    <w:p>
      <w:pPr>
        <w:ind w:left="1860"/>
        <w:spacing w:after="0"/>
        <w:tabs>
          <w:tab w:leader="none" w:pos="6460" w:val="left"/>
        </w:tabs>
        <w:rPr>
          <w:sz w:val="20"/>
          <w:szCs w:val="20"/>
          <w:color w:val="auto"/>
        </w:rPr>
      </w:pPr>
      <w:r>
        <w:rPr>
          <w:rFonts w:ascii="Arial" w:cs="Arial" w:eastAsia="Arial" w:hAnsi="Arial"/>
          <w:sz w:val="18"/>
          <w:szCs w:val="18"/>
          <w:color w:val="auto"/>
        </w:rPr>
        <w:t>Lebanon, NH 03766-1422</w:t>
      </w:r>
      <w:r>
        <w:rPr>
          <w:sz w:val="20"/>
          <w:szCs w:val="20"/>
          <w:color w:val="auto"/>
        </w:rPr>
        <w:tab/>
      </w:r>
      <w:r>
        <w:rPr>
          <w:rFonts w:ascii="Arial" w:cs="Arial" w:eastAsia="Arial" w:hAnsi="Arial"/>
          <w:sz w:val="16"/>
          <w:szCs w:val="16"/>
          <w:color w:val="auto"/>
        </w:rPr>
        <w:t>Facsimile: +1-650-324-0638</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Facsimile: +1 603-448-9870</w:t>
      </w:r>
    </w:p>
    <w:p>
      <w:pPr>
        <w:spacing w:after="0" w:line="21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Any notice or request shall be deemed to have been given on the date of receipt. Either party may change its address for the purposes of this Agreement by giving the other party written notice of its new address.</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All rights granted to Kornit under this Agreement may be exercised by any Affiliate of Kornit agreeing to be bound by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ectPr>
          <w:pgSz w:w="11900" w:h="16838" w:orient="portrait"/>
          <w:cols w:equalWidth="0" w:num="1">
            <w:col w:w="11260"/>
          </w:cols>
          <w:pgMar w:left="320" w:top="882" w:right="3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SPECTRA PRINTING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DIMATIX.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Robert G. Rosenblum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644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Rosenblum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Chief Operating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Jan. 10,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644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620"/>
        <w:spacing w:after="0"/>
        <w:rPr>
          <w:sz w:val="20"/>
          <w:szCs w:val="20"/>
          <w:color w:val="auto"/>
        </w:rPr>
      </w:pPr>
      <w:r>
        <w:rPr>
          <w:rFonts w:ascii="Arial" w:cs="Arial" w:eastAsia="Arial" w:hAnsi="Arial"/>
          <w:sz w:val="18"/>
          <w:szCs w:val="18"/>
          <w:b w:val="1"/>
          <w:bCs w:val="1"/>
          <w:color w:val="auto"/>
        </w:rPr>
        <w:t>KORNIT DIGITAL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Ofer Ben-Zur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555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Ofer Ben-Zur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555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555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 15,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555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20"/>
          </w:cols>
          <w:pgMar w:left="320" w:top="882" w:right="319" w:bottom="1440" w:gutter="0" w:footer="0" w:header="0"/>
          <w:type w:val="continuous"/>
        </w:sectPr>
      </w:pPr>
    </w:p>
    <w:p>
      <w:pPr>
        <w:spacing w:after="0" w:line="24" w:lineRule="exact"/>
        <w:rPr>
          <w:sz w:val="20"/>
          <w:szCs w:val="20"/>
          <w:color w:val="auto"/>
        </w:rPr>
      </w:pPr>
    </w:p>
    <w:p>
      <w:pPr>
        <w:spacing w:after="0" w:line="342" w:lineRule="auto"/>
        <w:tabs>
          <w:tab w:leader="none" w:pos="32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type w:val="continuous"/>
        </w:sectPr>
      </w:pPr>
    </w:p>
    <w:bookmarkStart w:id="246" w:name="page247"/>
    <w:bookmarkEnd w:id="246"/>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FORECASTS AND PRODUCTION ESTIMATES</w:t>
      </w:r>
      <w:r>
        <w:rPr>
          <w:rFonts w:ascii="Arial" w:cs="Arial" w:eastAsia="Arial" w:hAnsi="Arial"/>
          <w:sz w:val="18"/>
          <w:szCs w:val="18"/>
          <w:color w:val="auto"/>
        </w:rPr>
        <w:t>: Customer will provide Spectra with a [***], [***] forecast of Spectra Product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orders placed hereunder are non-cancelable and non- deferrable beginning [***] prior to scheduled delivery date. Customer will provide Spectra with [***] advance notice to add significant additional manufacturing capacity. Spectra may not be able to meet orders as a result of changes in or requirements in excess of those set forth in [***] forecasts. Furthermore, the Parties agree to use their reasonable efforts, particularly during significant ramp periods, to coordinate, communicate and level out product delivery requirements so that Customer’s requirements and Spectra’s capacity are matched as closely as possible. Production estimates are not guaranteed, but result from careful analysis of Customer’s submitted requirements and present reasonably expected output under normal conditions.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ORDERS</w:t>
      </w:r>
      <w:r>
        <w:rPr>
          <w:rFonts w:ascii="Arial" w:cs="Arial" w:eastAsia="Arial" w:hAnsi="Arial"/>
          <w:sz w:val="18"/>
          <w:szCs w:val="18"/>
          <w:color w:val="auto"/>
        </w:rPr>
        <w:t>: Customer will order Spectra Products through the issuance of purchase orders at least [***] in advance of the requested delivery dates.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preprinted terms and conditions on purchase orders are superseded entirely by the terms and conditions of this Agreement. Each purchase order will adequately identify the Spectra Product ordered by use of Spectra’s product code, set forth the requested quantity, and specify the requested delivery method and date. Purchase orders must be in writing and may be sent via e-mail or facsimile to Spectra’s Customer Service group. To confirm its acceptance of each purchase order, Spectra will issue an acknowledgement of such purchase order in writing or sent via e-mail or facsimile within 5 (five) business days of receipt. If Customer does not receive an acknowledgement of a purchase order within this timeframe, Customer should contact Spectra immediately to follow up on the status of the order.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receipt of any purchase order submitted in accordance with this Agreement, Spectra will either: (i) accept the order, which will establish the delivery date; or (ii) notify Customer of Spectra’s proposed delivery date, if Spectra is unable to deliver Spectra Product in the amounts and/or at the time or times requested. Once accepted, this will become the commitment date. If Spectra cannot fulfill Customer’s purchase orders due to a shortage of any Spectra Product, Spectra shall use its reasonable efforts to satisfy Customer’s purchase requirements as closely as possible.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PRICES</w:t>
      </w:r>
      <w:r>
        <w:rPr>
          <w:rFonts w:ascii="Arial" w:cs="Arial" w:eastAsia="Arial" w:hAnsi="Arial"/>
          <w:sz w:val="17"/>
          <w:szCs w:val="17"/>
          <w:color w:val="auto"/>
        </w:rPr>
        <w:t>: Prices are exclusive of federal, state or excise or use taxes which will be separately shown on invoices. Prices are [***] (INCO Terms).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Specification changes by Customer may affect prices. Customer must provide Spectra with a certificate for exemption from state taxes where applicable.</w:t>
      </w:r>
    </w:p>
    <w:p>
      <w:pPr>
        <w:spacing w:after="0" w:line="234" w:lineRule="exact"/>
        <w:rPr>
          <w:sz w:val="20"/>
          <w:szCs w:val="20"/>
          <w:color w:val="auto"/>
        </w:rPr>
      </w:pPr>
    </w:p>
    <w:p>
      <w:pPr>
        <w:spacing w:after="0" w:line="342" w:lineRule="auto"/>
        <w:tabs>
          <w:tab w:leader="none" w:pos="32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47" w:name="page248"/>
    <w:bookmarkEnd w:id="247"/>
    <w:p>
      <w:pPr>
        <w:jc w:val="both"/>
        <w:spacing w:after="0" w:line="270" w:lineRule="auto"/>
        <w:rPr>
          <w:sz w:val="20"/>
          <w:szCs w:val="20"/>
          <w:color w:val="auto"/>
        </w:rPr>
      </w:pPr>
      <w:r>
        <w:rPr>
          <w:rFonts w:ascii="Arial" w:cs="Arial" w:eastAsia="Arial" w:hAnsi="Arial"/>
          <w:sz w:val="17"/>
          <w:szCs w:val="17"/>
          <w:b w:val="1"/>
          <w:bCs w:val="1"/>
          <w:color w:val="auto"/>
        </w:rPr>
        <w:t>PAYMENT AND SECURITY</w:t>
      </w:r>
      <w:r>
        <w:rPr>
          <w:rFonts w:ascii="Arial" w:cs="Arial" w:eastAsia="Arial" w:hAnsi="Arial"/>
          <w:sz w:val="17"/>
          <w:szCs w:val="17"/>
          <w:color w:val="auto"/>
        </w:rPr>
        <w:t>: Payment shall be made by Customer within [***] of invoice date. For the purpose of securing payment of amounts due</w:t>
      </w:r>
      <w:r>
        <w:rPr>
          <w:rFonts w:ascii="Arial" w:cs="Arial" w:eastAsia="Arial" w:hAnsi="Arial"/>
          <w:sz w:val="17"/>
          <w:szCs w:val="17"/>
          <w:b w:val="1"/>
          <w:bCs w:val="1"/>
          <w:color w:val="auto"/>
        </w:rPr>
        <w:t xml:space="preserve"> </w:t>
      </w:r>
      <w:r>
        <w:rPr>
          <w:rFonts w:ascii="Arial" w:cs="Arial" w:eastAsia="Arial" w:hAnsi="Arial"/>
          <w:sz w:val="17"/>
          <w:szCs w:val="17"/>
          <w:color w:val="auto"/>
        </w:rPr>
        <w:t>Spectra from the Customer hereunder, Customer hereby grants to Spectra: (i) a continuing first purchase money security interest in the products to be shipped hereunder, and all accessions thereto and substitutions therefor; and (ii) a continuing purchase money security interest in all of the proceeds of the foregoing. If Customer fails to make payment to Spectra of any invoice for products shipped by Spectra within [***] of the date of such invoice, or should Customer become insolvent or be a party to any bankruptcy or receivership proceeding prior to full payment of all amounts payable hereunder, Spectra may, notwithstanding any other provisions herein set forth, exercise any or all of its rights as a secured creditor under applicable law, including without limitation: (a) refuse to make further shipments to Customer; (b) with or without demand or notice to Customer declare the entire amount unpaid immediately due and payable; and (c) sell any or all of said products as permitted under applicable law, applying the proceeds of the sale to the expenses of retaking, repairing and selling said products, reasonable attorney’s fees and to the satisfaction of all indebtedness then due and unpaid. Any surplus shall be paid to Customer and any deficiency shall be paid to Spectra by Customer. All past due amounts shall accrue delinquency charges at the rate of [***]% ([***] percent) per month.</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foregoing notwithstanding, as to orders including any special or custom-made equipment and as to any Customer which Spectra in its sole discretion determines to have insufficient credit worthiness, Spectra reserves the right to require all or a portion of the invoice amount in advance if commencing work on an order, and, as the case may be, a portion upon shipment and the balance within [***] of invoice. For orders shipped outside the United States payment may be made by bank draft (on a bank acceptable to Spectra) or by confirmed, irrevocable letter of credit (naming Spectra as beneficiary) with order or other terms as arranged by Spectra. Any charges related to such letter of credit or other payment arrangement shall be for Customer’s account.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Nothing herein shall require Spectra to ship Spectra Products to Customer if any of the requirements in this Schedule are not fulfilled by Customer.</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DELIVERY</w:t>
      </w:r>
      <w:r>
        <w:rPr>
          <w:rFonts w:ascii="Arial" w:cs="Arial" w:eastAsia="Arial" w:hAnsi="Arial"/>
          <w:sz w:val="18"/>
          <w:szCs w:val="18"/>
          <w:color w:val="auto"/>
        </w:rPr>
        <w:t>: Delivery to a public carrier at Spectra’s manufacturing facility, consigned as Customer directs, shall constitute transfer of the shipment’s title,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possession, and property to Customer at point of such delivery. Carrier will thereafter be deemed as acting for Customer and the shipment will be at Customer’s risk. Spectra Products will be delivered to Customer in packaging reasonably acceptable to Customer, given shipment, warehousing and storage requirements. Customer will advise Spectra in writing of any special packaging or labeling requirements at the time of placing an order. Customer will pay the cost of any special packaging.</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 All Spectra Products are warranted to be [***] and to [***] at the date of shipment for a period of [***] from date of shipment by Spectra.</w:t>
      </w:r>
      <w:r>
        <w:rPr>
          <w:rFonts w:ascii="Arial" w:cs="Arial" w:eastAsia="Arial" w:hAnsi="Arial"/>
          <w:sz w:val="18"/>
          <w:szCs w:val="18"/>
          <w:b w:val="1"/>
          <w:bCs w:val="1"/>
          <w:color w:val="auto"/>
        </w:rPr>
        <w:t xml:space="preserve"> </w:t>
      </w:r>
      <w:r>
        <w:rPr>
          <w:rFonts w:ascii="Arial" w:cs="Arial" w:eastAsia="Arial" w:hAnsi="Arial"/>
          <w:sz w:val="18"/>
          <w:szCs w:val="18"/>
          <w:color w:val="auto"/>
        </w:rPr>
        <w:t>Any products labeled as pre-production release or prototypes, warranty coverage will be on materials and workmanship only and for a period of [***] from date of shipment. Products repaired or replaced under warranty will carry coverage for the balance of warranty period of the product from when such product was returned to Spectra.</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warranty period, Spectra will, at its option, [***] of Spectra products which prove to be defective [***]. Customer must return Spectra products to the facility designated by Spectra. Customer shall obtain a return materials authorization number (“RMA”) and shipping instructions from Spectra, follow the proper cleaning/flushing procedures in accordance with the respective product manual, and return the product shipping charges prepaid. Shipping charges for all agreed warranty returns will be paid by Spectra and by Customer for all rejected warranty returns. Warranty excludes all costs of customs clearance and any other related charges. All replaced products shall become the property of Spectra.</w:t>
      </w:r>
    </w:p>
    <w:p>
      <w:pPr>
        <w:spacing w:after="0" w:line="173" w:lineRule="exact"/>
        <w:rPr>
          <w:sz w:val="20"/>
          <w:szCs w:val="20"/>
          <w:color w:val="auto"/>
        </w:rPr>
      </w:pPr>
    </w:p>
    <w:p>
      <w:pPr>
        <w:spacing w:after="0" w:line="342" w:lineRule="auto"/>
        <w:tabs>
          <w:tab w:leader="none" w:pos="32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48" w:name="page249"/>
    <w:bookmarkEnd w:id="248"/>
    <w:p>
      <w:pPr>
        <w:ind w:left="40"/>
        <w:spacing w:after="0"/>
        <w:rPr>
          <w:sz w:val="20"/>
          <w:szCs w:val="20"/>
          <w:color w:val="auto"/>
        </w:rPr>
      </w:pPr>
      <w:r>
        <w:rPr>
          <w:rFonts w:ascii="Arial" w:cs="Arial" w:eastAsia="Arial" w:hAnsi="Arial"/>
          <w:sz w:val="18"/>
          <w:szCs w:val="18"/>
          <w:color w:val="auto"/>
        </w:rPr>
        <w:t>The foregoing warranty shall not apply to defects or non-conformance with Spectra specifications that result from:</w:t>
      </w:r>
    </w:p>
    <w:p>
      <w:pPr>
        <w:spacing w:after="0" w:line="225" w:lineRule="exact"/>
        <w:rPr>
          <w:sz w:val="20"/>
          <w:szCs w:val="20"/>
          <w:color w:val="auto"/>
        </w:rPr>
      </w:pPr>
    </w:p>
    <w:p>
      <w:pPr>
        <w:ind w:left="640" w:hanging="640"/>
        <w:spacing w:after="0"/>
        <w:tabs>
          <w:tab w:leader="none" w:pos="6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improper installation, use, storage, care or maintenance by Customer or its customers;</w:t>
      </w:r>
    </w:p>
    <w:p>
      <w:pPr>
        <w:spacing w:after="0" w:line="23" w:lineRule="exact"/>
        <w:rPr>
          <w:rFonts w:ascii="Arial" w:cs="Arial" w:eastAsia="Arial" w:hAnsi="Arial"/>
          <w:sz w:val="18"/>
          <w:szCs w:val="18"/>
          <w:color w:val="auto"/>
        </w:rPr>
      </w:pPr>
    </w:p>
    <w:p>
      <w:pPr>
        <w:ind w:left="640" w:hanging="640"/>
        <w:spacing w:after="0"/>
        <w:tabs>
          <w:tab w:leader="none" w:pos="6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modification or alteration, damage, neglect, or abuse of a Spectra product;</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operation of a Spectra product out of specification including power and environmental specifications;</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use of Inks or other chemicals not furnished or Certified by Spectra; or</w:t>
      </w:r>
    </w:p>
    <w:p>
      <w:pPr>
        <w:spacing w:after="0" w:line="9" w:lineRule="exact"/>
        <w:rPr>
          <w:rFonts w:ascii="Arial" w:cs="Arial" w:eastAsia="Arial" w:hAnsi="Arial"/>
          <w:sz w:val="18"/>
          <w:szCs w:val="18"/>
          <w:color w:val="auto"/>
        </w:rPr>
      </w:pPr>
    </w:p>
    <w:p>
      <w:pPr>
        <w:ind w:left="640" w:hanging="640"/>
        <w:spacing w:after="0" w:line="261" w:lineRule="auto"/>
        <w:tabs>
          <w:tab w:leader="none" w:pos="6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externally induced contamination (including but not limited to defective Certified Inks not supplied by Spectra and premature drying of inks in the nozzles).</w:t>
      </w:r>
    </w:p>
    <w:p>
      <w:pPr>
        <w:spacing w:after="0" w:line="18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DISCONTINUANCE: </w:t>
      </w:r>
      <w:r>
        <w:rPr>
          <w:rFonts w:ascii="Arial" w:cs="Arial" w:eastAsia="Arial" w:hAnsi="Arial"/>
          <w:sz w:val="16"/>
          <w:szCs w:val="16"/>
          <w:color w:val="auto"/>
        </w:rPr>
        <w:t>Spectra may, at its option, discontinue Products supplied under this Agreement, provided however, that: (i) Spectra gives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180 (one hundred eighty) day notice of any planned discontinuance; and (ii) Spectra provides Customer with an end of life purchase program.</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INFRINGEMENT OF THIRD PARTY RIGHTS</w:t>
      </w:r>
      <w:r>
        <w:rPr>
          <w:rFonts w:ascii="Arial" w:cs="Arial" w:eastAsia="Arial" w:hAnsi="Arial"/>
          <w:sz w:val="18"/>
          <w:szCs w:val="18"/>
          <w:color w:val="auto"/>
        </w:rPr>
        <w:t>: Spectra shall promptly investigate and defend at its expense all claims that the manufacture, use,</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sale or other disposition of any Spectra Product infringes, induces the infringement of, or otherwise violates any patent, copyright, mask work, trademark, trade secret, or proprietary or other information of any third party, and Spectra shall pay and discharge all judgments or decrees against Customer which result from those claims.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Spectra shall not be liable under this infringement section for any claim, and Customer’s rights under this infringement section shall not attach to a claim, to the extent that claim is based on information, devices, or processes furnished by someone other than Spectra. Customer shall defend and hold Spectra harmless against any expense, judgment or loss for alleged infringement or violation of any patents, copyrights, mask works, trade secrets, trademarks, or proprietary or other information which result from Spectra’s compliance with Customer’s designs, specifications or instructions. The foregoing states the entire obligation of Spectra with respect to infringement or the like.</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CANCELLATION OR RETURNS</w:t>
      </w:r>
      <w:r>
        <w:rPr>
          <w:rFonts w:ascii="Arial" w:cs="Arial" w:eastAsia="Arial" w:hAnsi="Arial"/>
          <w:sz w:val="17"/>
          <w:szCs w:val="17"/>
          <w:color w:val="auto"/>
        </w:rPr>
        <w:t>: If Spectra agrees to the cancellation by Customer of an order within [***] of scheduled delivery, all future work</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will be stopped by Spectra as soon as reasonably possible and a cancellation charge will be rendered in the amount of the costs incurred to the date of stoppage plus [***]% ([***] percent), less allowances Spectra may be able to make for standard components and salvage. Cancellations as to any completed items shall not be effective and the order will be shipped and billed to the Customer at the order prices.</w:t>
      </w:r>
    </w:p>
    <w:p>
      <w:pPr>
        <w:spacing w:after="0" w:line="169" w:lineRule="exact"/>
        <w:rPr>
          <w:sz w:val="20"/>
          <w:szCs w:val="20"/>
          <w:color w:val="auto"/>
        </w:rPr>
      </w:pPr>
    </w:p>
    <w:p>
      <w:pPr>
        <w:spacing w:after="0" w:line="342" w:lineRule="auto"/>
        <w:tabs>
          <w:tab w:leader="none" w:pos="32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PRICES FOR SPECTRA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Prices for all Spectra Products include standard packaging.</w:t>
      </w:r>
    </w:p>
    <w:p>
      <w:pPr>
        <w:spacing w:after="0" w:line="221" w:lineRule="exact"/>
        <w:rPr>
          <w:sz w:val="20"/>
          <w:szCs w:val="20"/>
          <w:color w:val="auto"/>
        </w:rPr>
      </w:pPr>
    </w:p>
    <w:p>
      <w:pPr>
        <w:ind w:left="640" w:hanging="640"/>
        <w:spacing w:after="0"/>
        <w:tabs>
          <w:tab w:leader="none" w:pos="64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PRINTHEADS and JETTING ASSEMBLIES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PART NUMBER</w:t>
            </w:r>
          </w:p>
        </w:tc>
        <w:tc>
          <w:tcPr>
            <w:tcW w:w="3580" w:type="dxa"/>
            <w:vAlign w:val="bottom"/>
            <w:gridSpan w:val="3"/>
          </w:tcPr>
          <w:p>
            <w:pPr>
              <w:ind w:left="160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tcPr>
          <w:p>
            <w:pPr>
              <w:spacing w:after="0"/>
              <w:rPr>
                <w:sz w:val="17"/>
                <w:szCs w:val="17"/>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ACCUMULATED</w:t>
            </w:r>
          </w:p>
        </w:tc>
        <w:tc>
          <w:tcPr>
            <w:tcW w:w="520" w:type="dxa"/>
            <w:vAlign w:val="bottom"/>
          </w:tcPr>
          <w:p>
            <w:pPr>
              <w:spacing w:after="0"/>
              <w:rPr>
                <w:sz w:val="17"/>
                <w:szCs w:val="17"/>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UNIT PRICE</w:t>
            </w:r>
          </w:p>
        </w:tc>
      </w:tr>
      <w:tr>
        <w:trPr>
          <w:trHeight w:val="196"/>
        </w:trPr>
        <w:tc>
          <w:tcPr>
            <w:tcW w:w="7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ORDER QTY</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2700" w:type="dxa"/>
            <w:vAlign w:val="bottom"/>
            <w:gridSpan w:val="4"/>
          </w:tcPr>
          <w:p>
            <w:pPr>
              <w:spacing w:after="0"/>
              <w:rPr>
                <w:sz w:val="20"/>
                <w:szCs w:val="20"/>
                <w:color w:val="auto"/>
              </w:rPr>
            </w:pPr>
            <w:r>
              <w:rPr>
                <w:rFonts w:ascii="Arial" w:cs="Arial" w:eastAsia="Arial" w:hAnsi="Arial"/>
                <w:sz w:val="18"/>
                <w:szCs w:val="18"/>
                <w:b w:val="1"/>
                <w:bCs w:val="1"/>
                <w:color w:val="auto"/>
                <w:w w:val="97"/>
              </w:rPr>
              <w:t>256-Channel Jetting Assemblies</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7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05536</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Nova JA 256/80 AAA</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08991</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Galaxy JA 256/30 AAA</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09272</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Galaxy JA 256/50 AAA</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09493</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Galaxy JA 256/80 AAA</w:t>
            </w:r>
          </w:p>
        </w:tc>
        <w:tc>
          <w:tcPr>
            <w:tcW w:w="2820" w:type="dxa"/>
            <w:vAlign w:val="bottom"/>
            <w:gridSpan w:val="5"/>
          </w:tcPr>
          <w:p>
            <w:pPr>
              <w:ind w:left="720"/>
              <w:spacing w:after="0"/>
              <w:rPr>
                <w:sz w:val="20"/>
                <w:szCs w:val="20"/>
                <w:color w:val="auto"/>
              </w:rPr>
            </w:pPr>
            <w:r>
              <w:rPr>
                <w:rFonts w:ascii="Arial" w:cs="Arial" w:eastAsia="Arial" w:hAnsi="Arial"/>
                <w:sz w:val="18"/>
                <w:szCs w:val="18"/>
                <w:color w:val="auto"/>
              </w:rPr>
              <w:t>[***] to [***]</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 to [***]</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20" w:type="dxa"/>
            <w:vAlign w:val="bottom"/>
            <w:gridSpan w:val="5"/>
          </w:tcPr>
          <w:p>
            <w:pPr>
              <w:ind w:left="720"/>
              <w:spacing w:after="0"/>
              <w:rPr>
                <w:sz w:val="20"/>
                <w:szCs w:val="20"/>
                <w:color w:val="auto"/>
              </w:rPr>
            </w:pPr>
            <w:r>
              <w:rPr>
                <w:rFonts w:ascii="Arial" w:cs="Arial" w:eastAsia="Arial" w:hAnsi="Arial"/>
                <w:sz w:val="18"/>
                <w:szCs w:val="18"/>
                <w:color w:val="auto"/>
              </w:rPr>
              <w:t>[***] to [***]</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09158</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Spectra SL-128</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09084</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Spectra SM-128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08935</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Spectra SE-128</w:t>
            </w:r>
          </w:p>
        </w:tc>
        <w:tc>
          <w:tcPr>
            <w:tcW w:w="2820" w:type="dxa"/>
            <w:vAlign w:val="bottom"/>
            <w:gridSpan w:val="5"/>
            <w:shd w:val="clear" w:color="auto" w:fill="CCEEFF"/>
          </w:tcPr>
          <w:p>
            <w:pPr>
              <w:ind w:left="900"/>
              <w:spacing w:after="0"/>
              <w:rPr>
                <w:sz w:val="20"/>
                <w:szCs w:val="20"/>
                <w:color w:val="auto"/>
              </w:rPr>
            </w:pPr>
            <w:r>
              <w:rPr>
                <w:rFonts w:ascii="Arial" w:cs="Arial" w:eastAsia="Arial" w:hAnsi="Arial"/>
                <w:sz w:val="18"/>
                <w:szCs w:val="18"/>
                <w:color w:val="auto"/>
              </w:rPr>
              <w:t>[***] to [***]</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20" w:type="dxa"/>
            <w:vAlign w:val="bottom"/>
            <w:gridSpan w:val="5"/>
          </w:tcPr>
          <w:p>
            <w:pPr>
              <w:ind w:left="900"/>
              <w:spacing w:after="0"/>
              <w:rPr>
                <w:sz w:val="20"/>
                <w:szCs w:val="20"/>
                <w:color w:val="auto"/>
              </w:rPr>
            </w:pPr>
            <w:r>
              <w:rPr>
                <w:rFonts w:ascii="Arial" w:cs="Arial" w:eastAsia="Arial" w:hAnsi="Arial"/>
                <w:sz w:val="18"/>
                <w:szCs w:val="18"/>
                <w:color w:val="auto"/>
              </w:rPr>
              <w:t>[***] to [***]</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900"/>
              <w:spacing w:after="0"/>
              <w:rPr>
                <w:sz w:val="20"/>
                <w:szCs w:val="20"/>
                <w:color w:val="auto"/>
              </w:rPr>
            </w:pPr>
            <w:r>
              <w:rPr>
                <w:rFonts w:ascii="Arial" w:cs="Arial" w:eastAsia="Arial" w:hAnsi="Arial"/>
                <w:sz w:val="18"/>
                <w:szCs w:val="18"/>
                <w:color w:val="auto"/>
              </w:rPr>
              <w:t>[***] to [***]</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line="342" w:lineRule="auto"/>
        <w:tabs>
          <w:tab w:leader="none" w:pos="32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50" w:name="page251"/>
    <w:bookmarkEnd w:id="250"/>
    <w:p>
      <w:pPr>
        <w:ind w:left="640" w:hanging="640"/>
        <w:spacing w:after="0"/>
        <w:tabs>
          <w:tab w:leader="none" w:pos="640" w:val="left"/>
        </w:tabs>
        <w:numPr>
          <w:ilvl w:val="0"/>
          <w:numId w:val="34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OTHER HARDWARE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INDIVIDUAL</w:t>
            </w:r>
          </w:p>
        </w:tc>
        <w:tc>
          <w:tcPr>
            <w:tcW w:w="36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UNIT</w:t>
            </w:r>
          </w:p>
        </w:tc>
      </w:tr>
      <w:tr>
        <w:trPr>
          <w:trHeight w:val="234"/>
        </w:trPr>
        <w:tc>
          <w:tcPr>
            <w:tcW w:w="2940" w:type="dxa"/>
            <w:vAlign w:val="bottom"/>
            <w:gridSpan w:val="2"/>
          </w:tcPr>
          <w:p>
            <w:pPr>
              <w:ind w:left="760"/>
              <w:spacing w:after="0"/>
              <w:rPr>
                <w:sz w:val="20"/>
                <w:szCs w:val="20"/>
                <w:color w:val="auto"/>
              </w:rPr>
            </w:pPr>
            <w:r>
              <w:rPr>
                <w:rFonts w:ascii="Arial" w:cs="Arial" w:eastAsia="Arial" w:hAnsi="Arial"/>
                <w:sz w:val="18"/>
                <w:szCs w:val="18"/>
                <w:b w:val="1"/>
                <w:bCs w:val="1"/>
                <w:color w:val="auto"/>
              </w:rPr>
              <w:t>PART NUMBER</w:t>
            </w:r>
          </w:p>
        </w:tc>
        <w:tc>
          <w:tcPr>
            <w:tcW w:w="4060" w:type="dxa"/>
            <w:vAlign w:val="bottom"/>
            <w:gridSpan w:val="2"/>
          </w:tcPr>
          <w:p>
            <w:pPr>
              <w:ind w:left="1360"/>
              <w:spacing w:after="0"/>
              <w:rPr>
                <w:sz w:val="20"/>
                <w:szCs w:val="20"/>
                <w:color w:val="auto"/>
              </w:rPr>
            </w:pPr>
            <w:r>
              <w:rPr>
                <w:rFonts w:ascii="Arial" w:cs="Arial" w:eastAsia="Arial" w:hAnsi="Arial"/>
                <w:sz w:val="18"/>
                <w:szCs w:val="18"/>
                <w:b w:val="1"/>
                <w:bCs w:val="1"/>
                <w:color w:val="auto"/>
              </w:rPr>
              <w:t>DESCRIPTION</w:t>
            </w:r>
          </w:p>
        </w:tc>
        <w:tc>
          <w:tcPr>
            <w:tcW w:w="2360" w:type="dxa"/>
            <w:vAlign w:val="bottom"/>
            <w:gridSpan w:val="2"/>
          </w:tcPr>
          <w:p>
            <w:pPr>
              <w:ind w:left="580"/>
              <w:spacing w:after="0"/>
              <w:rPr>
                <w:sz w:val="20"/>
                <w:szCs w:val="20"/>
                <w:color w:val="auto"/>
              </w:rPr>
            </w:pPr>
            <w:r>
              <w:rPr>
                <w:rFonts w:ascii="Arial" w:cs="Arial" w:eastAsia="Arial" w:hAnsi="Arial"/>
                <w:sz w:val="18"/>
                <w:szCs w:val="18"/>
                <w:b w:val="1"/>
                <w:bCs w:val="1"/>
                <w:color w:val="auto"/>
              </w:rPr>
              <w:t>ORDER QTY</w:t>
            </w:r>
          </w:p>
        </w:tc>
        <w:tc>
          <w:tcPr>
            <w:tcW w:w="36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PRICE</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3800-038</w:t>
            </w: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Pressure Regulator</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08162</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Meniscus Pressure Controller (MPC)</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06543</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Miata Remote Lung/Reservoir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08371</w:t>
            </w:r>
          </w:p>
        </w:tc>
        <w:tc>
          <w:tcPr>
            <w:tcW w:w="120" w:type="dxa"/>
            <w:vAlign w:val="bottom"/>
            <w:shd w:val="clear" w:color="auto" w:fill="CCEEFF"/>
          </w:tcPr>
          <w:p>
            <w:pPr>
              <w:spacing w:after="0"/>
              <w:rPr>
                <w:sz w:val="22"/>
                <w:szCs w:val="22"/>
                <w:color w:val="auto"/>
              </w:rPr>
            </w:pPr>
          </w:p>
        </w:tc>
        <w:tc>
          <w:tcPr>
            <w:tcW w:w="40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Molded Lung Module (MLM) </w:t>
            </w:r>
            <w:r>
              <w:rPr>
                <w:rFonts w:ascii="Arial" w:cs="Arial" w:eastAsia="Arial" w:hAnsi="Arial"/>
                <w:sz w:val="29"/>
                <w:szCs w:val="29"/>
                <w:color w:val="auto"/>
                <w:vertAlign w:val="superscript"/>
              </w:rPr>
              <w:t>1)</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05841</w:t>
            </w: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Miata Remote Lung</w:t>
            </w: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04649</w:t>
            </w: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HDEM-4</w:t>
            </w: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3500-189</w:t>
            </w: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HDEM Daughter Cards</w:t>
            </w: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3800-037</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HDC2</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342" w:lineRule="auto"/>
        <w:tabs>
          <w:tab w:leader="none" w:pos="32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51" w:name="page252"/>
    <w:bookmarkEnd w:id="251"/>
    <w:p>
      <w:pPr>
        <w:ind w:left="640" w:hanging="640"/>
        <w:spacing w:after="0"/>
        <w:tabs>
          <w:tab w:leader="none" w:pos="640" w:val="left"/>
        </w:tabs>
        <w:numPr>
          <w:ilvl w:val="0"/>
          <w:numId w:val="34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INK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All ink prices are per order, per color.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UNIT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INDIVIDUAL</w:t>
            </w: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PRICE(per</w:t>
            </w:r>
          </w:p>
        </w:tc>
      </w:tr>
      <w:tr>
        <w:trPr>
          <w:trHeight w:val="234"/>
        </w:trPr>
        <w:tc>
          <w:tcPr>
            <w:tcW w:w="28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PART NUMBER</w:t>
            </w:r>
          </w:p>
        </w:tc>
        <w:tc>
          <w:tcPr>
            <w:tcW w:w="120" w:type="dxa"/>
            <w:vAlign w:val="bottom"/>
            <w:tcBorders>
              <w:bottom w:val="single" w:sz="8" w:color="CCEEFF"/>
            </w:tcBorders>
          </w:tcPr>
          <w:p>
            <w:pPr>
              <w:spacing w:after="0"/>
              <w:rPr>
                <w:sz w:val="20"/>
                <w:szCs w:val="20"/>
                <w:color w:val="auto"/>
              </w:rPr>
            </w:pPr>
          </w:p>
        </w:tc>
        <w:tc>
          <w:tcPr>
            <w:tcW w:w="394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ORDER QTY</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2"/>
              </w:rPr>
              <w:t>case)</w:t>
            </w:r>
          </w:p>
        </w:tc>
        <w:tc>
          <w:tcPr>
            <w:tcW w:w="100" w:type="dxa"/>
            <w:vAlign w:val="bottom"/>
            <w:tcBorders>
              <w:bottom w:val="single" w:sz="8" w:color="CCEEFF"/>
            </w:tcBorders>
          </w:tcPr>
          <w:p>
            <w:pPr>
              <w:spacing w:after="0"/>
              <w:rPr>
                <w:sz w:val="20"/>
                <w:szCs w:val="20"/>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00146-01</w:t>
            </w:r>
          </w:p>
        </w:tc>
        <w:tc>
          <w:tcPr>
            <w:tcW w:w="120" w:type="dxa"/>
            <w:vAlign w:val="bottom"/>
            <w:shd w:val="clear" w:color="auto" w:fill="CCEEFF"/>
          </w:tcPr>
          <w:p>
            <w:pPr>
              <w:spacing w:after="0"/>
              <w:rPr>
                <w:sz w:val="21"/>
                <w:szCs w:val="21"/>
                <w:color w:val="auto"/>
              </w:rPr>
            </w:pPr>
          </w:p>
        </w:tc>
        <w:tc>
          <w:tcPr>
            <w:tcW w:w="39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SABRE Black </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See table below</w:t>
            </w: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Seurat UV Curing Ink 2)</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See table below</w:t>
            </w:r>
          </w:p>
        </w:tc>
        <w:tc>
          <w:tcPr>
            <w:tcW w:w="4060" w:type="dxa"/>
            <w:vAlign w:val="bottom"/>
            <w:gridSpan w:val="2"/>
          </w:tcPr>
          <w:p>
            <w:pPr>
              <w:spacing w:after="0"/>
              <w:rPr>
                <w:sz w:val="20"/>
                <w:szCs w:val="20"/>
                <w:color w:val="auto"/>
              </w:rPr>
            </w:pPr>
            <w:r>
              <w:rPr>
                <w:rFonts w:ascii="Arial" w:cs="Arial" w:eastAsia="Arial" w:hAnsi="Arial"/>
                <w:sz w:val="18"/>
                <w:szCs w:val="18"/>
                <w:color w:val="auto"/>
              </w:rPr>
              <w:t>Kappa UV Curing Ink 2)</w:t>
            </w: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01880</w:t>
            </w: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Sirius, Ink 3)</w:t>
            </w: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01881</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Sirius, Clear Solvent, Flush 3)</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01882</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Sirius, Clear, Cleaning Spray 4)</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7060-804-93</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 Model Fluid</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04322</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 Model Fluid</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06291</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 Flush</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hanging="640"/>
        <w:spacing w:after="0" w:line="258" w:lineRule="auto"/>
        <w:tabs>
          <w:tab w:leader="none" w:pos="640" w:val="left"/>
        </w:tabs>
        <w:numPr>
          <w:ilvl w:val="0"/>
          <w:numId w:val="350"/>
        </w:numPr>
        <w:rPr>
          <w:rFonts w:ascii="Arial" w:cs="Arial" w:eastAsia="Arial" w:hAnsi="Arial"/>
          <w:sz w:val="18"/>
          <w:szCs w:val="18"/>
          <w:i w:val="1"/>
          <w:iCs w:val="1"/>
          <w:color w:val="auto"/>
        </w:rPr>
      </w:pPr>
      <w:r>
        <w:rPr>
          <w:rFonts w:ascii="Arial" w:cs="Arial" w:eastAsia="Arial" w:hAnsi="Arial"/>
          <w:sz w:val="18"/>
          <w:szCs w:val="18"/>
          <w:i w:val="1"/>
          <w:iCs w:val="1"/>
          <w:color w:val="auto"/>
        </w:rPr>
        <w:t>The pricing for these products is subject to full and final release by Spectra. No guarantee is implied as to these products ever becoming available from Spectra.</w:t>
      </w:r>
    </w:p>
    <w:p>
      <w:pPr>
        <w:spacing w:after="0" w:line="1" w:lineRule="exact"/>
        <w:rPr>
          <w:rFonts w:ascii="Arial" w:cs="Arial" w:eastAsia="Arial" w:hAnsi="Arial"/>
          <w:sz w:val="18"/>
          <w:szCs w:val="18"/>
          <w:i w:val="1"/>
          <w:iCs w:val="1"/>
          <w:color w:val="auto"/>
        </w:rPr>
      </w:pPr>
    </w:p>
    <w:p>
      <w:pPr>
        <w:ind w:left="640" w:hanging="640"/>
        <w:spacing w:after="0"/>
        <w:tabs>
          <w:tab w:leader="none" w:pos="640" w:val="left"/>
        </w:tabs>
        <w:numPr>
          <w:ilvl w:val="0"/>
          <w:numId w:val="350"/>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4 (four) 1 liter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350"/>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6 (six) 1 liter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350"/>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24 (twenty-four) 125 ml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350"/>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40 100g ink pucks.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NUMBER AND DESCRIPTION - UV CURING INKS</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SEURAT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52005" cy="10293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2005" cy="102933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00052</w:t>
            </w:r>
          </w:p>
        </w:tc>
        <w:tc>
          <w:tcPr>
            <w:tcW w:w="6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Ink, black</w:t>
            </w:r>
          </w:p>
        </w:tc>
      </w:tr>
      <w:tr>
        <w:trPr>
          <w:trHeight w:val="210"/>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00055</w:t>
            </w:r>
          </w:p>
        </w:tc>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Ink, yellow</w:t>
            </w:r>
          </w:p>
        </w:tc>
      </w:tr>
      <w:tr>
        <w:trPr>
          <w:trHeight w:val="210"/>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00058</w:t>
            </w:r>
          </w:p>
        </w:tc>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Ink, magenta</w:t>
            </w:r>
          </w:p>
        </w:tc>
      </w:tr>
      <w:tr>
        <w:trPr>
          <w:trHeight w:val="210"/>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00060</w:t>
            </w:r>
          </w:p>
        </w:tc>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Ink, cyan</w:t>
            </w:r>
          </w:p>
        </w:tc>
      </w:tr>
      <w:tr>
        <w:trPr>
          <w:trHeight w:val="210"/>
        </w:trPr>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KAPPA RANGE</w:t>
            </w:r>
          </w:p>
        </w:tc>
        <w:tc>
          <w:tcPr>
            <w:tcW w:w="6740" w:type="dxa"/>
            <w:vAlign w:val="bottom"/>
            <w:tcBorders>
              <w:bottom w:val="single" w:sz="8" w:color="auto"/>
            </w:tcBorders>
          </w:tcPr>
          <w:p>
            <w:pPr>
              <w:spacing w:after="0"/>
              <w:rPr>
                <w:sz w:val="18"/>
                <w:szCs w:val="18"/>
                <w:color w:val="auto"/>
              </w:rPr>
            </w:pPr>
          </w:p>
        </w:tc>
      </w:tr>
      <w:tr>
        <w:trPr>
          <w:trHeight w:val="210"/>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03604</w:t>
            </w:r>
          </w:p>
        </w:tc>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Ink, black</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Prices for all Spectra Products include standard packaging.</w:t>
      </w:r>
    </w:p>
    <w:p>
      <w:pPr>
        <w:spacing w:after="0" w:line="221" w:lineRule="exact"/>
        <w:rPr>
          <w:sz w:val="20"/>
          <w:szCs w:val="20"/>
          <w:color w:val="auto"/>
        </w:rPr>
      </w:pPr>
    </w:p>
    <w:p>
      <w:pPr>
        <w:ind w:left="640" w:hanging="640"/>
        <w:spacing w:after="0"/>
        <w:tabs>
          <w:tab w:leader="none" w:pos="640" w:val="left"/>
        </w:tabs>
        <w:numPr>
          <w:ilvl w:val="0"/>
          <w:numId w:val="35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VOLUME DISCOUNTS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Fees</w:t>
      </w:r>
    </w:p>
    <w:p>
      <w:pPr>
        <w:spacing w:after="0" w:line="23" w:lineRule="exact"/>
        <w:rPr>
          <w:sz w:val="20"/>
          <w:szCs w:val="20"/>
          <w:color w:val="auto"/>
        </w:rPr>
      </w:pPr>
    </w:p>
    <w:p>
      <w:pPr>
        <w:ind w:left="640" w:hanging="640"/>
        <w:spacing w:after="0"/>
        <w:tabs>
          <w:tab w:leader="none" w:pos="6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Printhead Volume Discount Fee of $[***]</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Printhead Volume Discount Fee is payable to Spectra prior to Kornit shipping - or using — commercial products.</w:t>
      </w:r>
    </w:p>
    <w:p>
      <w:pPr>
        <w:spacing w:after="0" w:line="211" w:lineRule="exact"/>
        <w:rPr>
          <w:sz w:val="20"/>
          <w:szCs w:val="20"/>
          <w:color w:val="auto"/>
        </w:rPr>
      </w:pPr>
    </w:p>
    <w:p>
      <w:pPr>
        <w:spacing w:after="0" w:line="342" w:lineRule="auto"/>
        <w:tabs>
          <w:tab w:leader="none" w:pos="32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662" w:right="319" w:bottom="1440" w:gutter="0" w:footer="0" w:header="0"/>
        </w:sectPr>
      </w:pPr>
    </w:p>
    <w:bookmarkStart w:id="252" w:name="page253"/>
    <w:bookmarkEnd w:id="252"/>
    <w:p>
      <w:pPr>
        <w:ind w:left="640" w:hanging="640"/>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Upon payment of the Printhead Volume Discount Fee, Kornit will obtain the following 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ACCUMULATED</w:t>
            </w:r>
          </w:p>
        </w:tc>
        <w:tc>
          <w:tcPr>
            <w:tcW w:w="360" w:type="dxa"/>
            <w:vAlign w:val="bottom"/>
          </w:tcPr>
          <w:p>
            <w:pPr>
              <w:spacing w:after="0"/>
              <w:rPr>
                <w:sz w:val="18"/>
                <w:szCs w:val="18"/>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UNIT</w:t>
            </w:r>
          </w:p>
        </w:tc>
      </w:tr>
      <w:tr>
        <w:trPr>
          <w:trHeight w:val="234"/>
        </w:trPr>
        <w:tc>
          <w:tcPr>
            <w:tcW w:w="300" w:type="dxa"/>
            <w:vAlign w:val="bottom"/>
          </w:tcPr>
          <w:p>
            <w:pPr>
              <w:spacing w:after="0"/>
              <w:rPr>
                <w:sz w:val="20"/>
                <w:szCs w:val="20"/>
                <w:color w:val="auto"/>
              </w:rPr>
            </w:pPr>
          </w:p>
        </w:tc>
        <w:tc>
          <w:tcPr>
            <w:tcW w:w="3760" w:type="dxa"/>
            <w:vAlign w:val="bottom"/>
            <w:gridSpan w:val="2"/>
          </w:tcPr>
          <w:p>
            <w:pPr>
              <w:ind w:left="1020"/>
              <w:spacing w:after="0"/>
              <w:rPr>
                <w:sz w:val="20"/>
                <w:szCs w:val="20"/>
                <w:color w:val="auto"/>
              </w:rPr>
            </w:pPr>
            <w:r>
              <w:rPr>
                <w:rFonts w:ascii="Arial" w:cs="Arial" w:eastAsia="Arial" w:hAnsi="Arial"/>
                <w:sz w:val="18"/>
                <w:szCs w:val="18"/>
                <w:b w:val="1"/>
                <w:bCs w:val="1"/>
                <w:color w:val="auto"/>
              </w:rPr>
              <w:t>PART NUMBER</w:t>
            </w:r>
          </w:p>
        </w:tc>
        <w:tc>
          <w:tcPr>
            <w:tcW w:w="2940" w:type="dxa"/>
            <w:vAlign w:val="bottom"/>
            <w:gridSpan w:val="2"/>
          </w:tcPr>
          <w:p>
            <w:pPr>
              <w:ind w:left="800"/>
              <w:spacing w:after="0"/>
              <w:rPr>
                <w:sz w:val="20"/>
                <w:szCs w:val="20"/>
                <w:color w:val="auto"/>
              </w:rPr>
            </w:pPr>
            <w:r>
              <w:rPr>
                <w:rFonts w:ascii="Arial" w:cs="Arial" w:eastAsia="Arial" w:hAnsi="Arial"/>
                <w:sz w:val="18"/>
                <w:szCs w:val="18"/>
                <w:b w:val="1"/>
                <w:bCs w:val="1"/>
                <w:color w:val="auto"/>
              </w:rPr>
              <w:t>DESCRIPTION</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ORDER QTY</w:t>
            </w:r>
          </w:p>
        </w:tc>
        <w:tc>
          <w:tcPr>
            <w:tcW w:w="36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PRICE</w:t>
            </w:r>
          </w:p>
        </w:tc>
      </w:tr>
      <w:tr>
        <w:trPr>
          <w:trHeight w:val="210"/>
        </w:trPr>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w:t>
            </w: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Channel Jetting Assemblies</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0" w:type="dxa"/>
            <w:vAlign w:val="bottom"/>
          </w:tcPr>
          <w:p>
            <w:pPr>
              <w:jc w:val="right"/>
              <w:spacing w:after="0"/>
              <w:rPr>
                <w:sz w:val="20"/>
                <w:szCs w:val="20"/>
                <w:color w:val="auto"/>
              </w:rPr>
            </w:pPr>
            <w:r>
              <w:rPr>
                <w:rFonts w:ascii="Arial" w:cs="Arial" w:eastAsia="Arial" w:hAnsi="Arial"/>
                <w:sz w:val="18"/>
                <w:szCs w:val="18"/>
                <w:color w:val="auto"/>
                <w:w w:val="86"/>
              </w:rPr>
              <w:t>128</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Channel Jetting Assemblies (SL, SM, SE)</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line="342" w:lineRule="auto"/>
        <w:tabs>
          <w:tab w:leader="none" w:pos="32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u w:val="single" w:color="auto"/>
          <w:color w:val="auto"/>
        </w:rPr>
        <w:t>PRICE INCREASES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 after the date of this Agreement, Spectra may, by written notice delivered [***] in advance to Customer, increase prices for Products listed on Schedule 2. Price increases will not apply to orders that are non-cancelable and non-deferrable (pursuant to Schedule 1) at the time of notice of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Any notice of price increase in accordance with the foregoing shall constitute an amendment to this Schedule 2.</w:t>
      </w:r>
    </w:p>
    <w:p>
      <w:pPr>
        <w:spacing w:after="0" w:line="225" w:lineRule="exact"/>
        <w:rPr>
          <w:sz w:val="20"/>
          <w:szCs w:val="20"/>
          <w:color w:val="auto"/>
        </w:rPr>
      </w:pPr>
    </w:p>
    <w:p>
      <w:pPr>
        <w:spacing w:after="0" w:line="342" w:lineRule="auto"/>
        <w:tabs>
          <w:tab w:leader="none" w:pos="32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u w:val="single" w:color="auto"/>
          <w:color w:val="auto"/>
        </w:rPr>
        <w:t>ROYALTIES</w:t>
      </w:r>
    </w:p>
    <w:p>
      <w:pPr>
        <w:spacing w:after="0" w:line="229" w:lineRule="exact"/>
        <w:rPr>
          <w:sz w:val="20"/>
          <w:szCs w:val="20"/>
          <w:color w:val="auto"/>
        </w:rPr>
      </w:pPr>
    </w:p>
    <w:p>
      <w:pPr>
        <w:ind w:left="640" w:hanging="640"/>
        <w:spacing w:after="0" w:line="277" w:lineRule="auto"/>
        <w:tabs>
          <w:tab w:leader="none" w:pos="6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Kornit will pay to Spectra a royalty of 5% (five percent) of the amounts received by Kornit (net of returns and allowances and sales and use taxes) upon the sale by Kornit of Ink for use in Kornit Products, except Spectra Ink.</w:t>
      </w:r>
    </w:p>
    <w:p>
      <w:pPr>
        <w:spacing w:after="0" w:line="197" w:lineRule="exact"/>
        <w:rPr>
          <w:rFonts w:ascii="Arial" w:cs="Arial" w:eastAsia="Arial" w:hAnsi="Arial"/>
          <w:sz w:val="18"/>
          <w:szCs w:val="18"/>
          <w:color w:val="auto"/>
        </w:rPr>
      </w:pPr>
    </w:p>
    <w:p>
      <w:pPr>
        <w:ind w:left="640" w:hanging="640"/>
        <w:spacing w:after="0" w:line="277" w:lineRule="auto"/>
        <w:tabs>
          <w:tab w:leader="none" w:pos="6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Kornit does not supply Ink to be used in Kornit Products Kornit will, in lieu of 1) above, pay to Spectra a royalty of 2% (two percent) of the amounts received by Kornit (net of returns and allowances and sales and use taxes) upon the sale by Kornit of Kornit Products.</w:t>
      </w:r>
    </w:p>
    <w:p>
      <w:pPr>
        <w:spacing w:after="0" w:line="170" w:lineRule="exact"/>
        <w:rPr>
          <w:rFonts w:ascii="Arial" w:cs="Arial" w:eastAsia="Arial" w:hAnsi="Arial"/>
          <w:sz w:val="18"/>
          <w:szCs w:val="18"/>
          <w:color w:val="auto"/>
        </w:rPr>
      </w:pPr>
    </w:p>
    <w:p>
      <w:pPr>
        <w:ind w:left="640" w:hanging="640"/>
        <w:spacing w:after="0"/>
        <w:tabs>
          <w:tab w:leader="none" w:pos="6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first $500,000 of ink sales (on an annual basis) is not subject to the royalty provisions under section 1 above.</w:t>
      </w:r>
    </w:p>
    <w:p>
      <w:pPr>
        <w:spacing w:after="0" w:line="225" w:lineRule="exact"/>
        <w:rPr>
          <w:sz w:val="20"/>
          <w:szCs w:val="20"/>
          <w:color w:val="auto"/>
        </w:rPr>
      </w:pPr>
    </w:p>
    <w:p>
      <w:pPr>
        <w:spacing w:after="0" w:line="342" w:lineRule="auto"/>
        <w:tabs>
          <w:tab w:leader="none" w:pos="325"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u w:val="single" w:color="auto"/>
          <w:color w:val="auto"/>
        </w:rPr>
        <w:t>RESERVED MARKETS: EXCLUSIVE RIGHTS RESERVED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u w:val="single" w:color="auto"/>
          <w:color w:val="auto"/>
        </w:rPr>
        <w:t>BY SPECTRA TO OTHER CUSTOMERS</w:t>
      </w:r>
    </w:p>
    <w:p>
      <w:pPr>
        <w:spacing w:after="0" w:line="207" w:lineRule="exact"/>
        <w:rPr>
          <w:sz w:val="20"/>
          <w:szCs w:val="20"/>
          <w:color w:val="auto"/>
        </w:rPr>
      </w:pPr>
    </w:p>
    <w:p>
      <w:pPr>
        <w:ind w:left="640" w:hanging="640"/>
        <w:spacing w:after="0"/>
        <w:tabs>
          <w:tab w:leader="none" w:pos="64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Identification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Exclusive Market </w:t>
      </w:r>
      <w:r>
        <w:rPr>
          <w:rFonts w:ascii="Arial" w:cs="Arial" w:eastAsia="Arial" w:hAnsi="Arial"/>
          <w:sz w:val="18"/>
          <w:szCs w:val="18"/>
          <w:color w:val="auto"/>
        </w:rPr>
        <w:t>shall mean the following:</w:t>
      </w:r>
    </w:p>
    <w:p>
      <w:pPr>
        <w:spacing w:after="0" w:line="27"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The market for systems incorporating less than $[***] of Spectra supplied Printheads, where such systems are used for printing with ink on packaging, labels or tangible products. The scope of this Reserved Market does not include</w:t>
      </w:r>
    </w:p>
    <w:p>
      <w:pPr>
        <w:spacing w:after="0" w:line="1" w:lineRule="exact"/>
        <w:rPr>
          <w:sz w:val="20"/>
          <w:szCs w:val="20"/>
          <w:color w:val="auto"/>
        </w:rPr>
      </w:pPr>
    </w:p>
    <w:p>
      <w:pPr>
        <w:ind w:left="1300" w:hanging="652"/>
        <w:spacing w:after="0"/>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systems used in commercial printing environments,</w:t>
      </w:r>
    </w:p>
    <w:p>
      <w:pPr>
        <w:spacing w:after="0" w:line="9" w:lineRule="exact"/>
        <w:rPr>
          <w:rFonts w:ascii="Arial" w:cs="Arial" w:eastAsia="Arial" w:hAnsi="Arial"/>
          <w:sz w:val="18"/>
          <w:szCs w:val="18"/>
          <w:color w:val="auto"/>
        </w:rPr>
      </w:pPr>
    </w:p>
    <w:p>
      <w:pPr>
        <w:ind w:left="1300" w:hanging="652"/>
        <w:spacing w:after="0"/>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printing of goods where the primary value of the goods is the printed content, and</w:t>
      </w:r>
    </w:p>
    <w:p>
      <w:pPr>
        <w:spacing w:after="0" w:line="9" w:lineRule="exact"/>
        <w:rPr>
          <w:rFonts w:ascii="Arial" w:cs="Arial" w:eastAsia="Arial" w:hAnsi="Arial"/>
          <w:sz w:val="18"/>
          <w:szCs w:val="18"/>
          <w:color w:val="auto"/>
        </w:rPr>
      </w:pPr>
    </w:p>
    <w:p>
      <w:pPr>
        <w:ind w:left="1300" w:hanging="652"/>
        <w:spacing w:after="0"/>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other detailed exemptions available from Spectra upon request.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of each year after 2005, the price thresholds set forth above are adjusted for inflation or deflation. The price thresholds in effect on any date can be obtained by contacting Spectra.)</w:t>
      </w:r>
    </w:p>
    <w:p>
      <w:pPr>
        <w:spacing w:after="0" w:line="170" w:lineRule="exact"/>
        <w:rPr>
          <w:sz w:val="20"/>
          <w:szCs w:val="20"/>
          <w:color w:val="auto"/>
        </w:rPr>
      </w:pPr>
    </w:p>
    <w:p>
      <w:pPr>
        <w:spacing w:after="0" w:line="342" w:lineRule="auto"/>
        <w:tabs>
          <w:tab w:leader="none" w:pos="325" w:val="left"/>
        </w:tabs>
        <w:numPr>
          <w:ilvl w:val="0"/>
          <w:numId w:val="36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u w:val="single" w:color="auto"/>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7"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7"/>
          <w:szCs w:val="17"/>
          <w:color w:val="auto"/>
        </w:rPr>
        <w:t>“Confidential Information” means all information which one party (“Discloser”) discloses to the other party (“Recipient”) during the term of this Agreement: (i) in documents or other tangible materials clearly marked “CONFIDENTIAL”; or (ii) orally, or in any other intangible form, when first disclosed to the Recipient, if at that time the Discloser tells the Recipient that the information is confidential and if the Discloser describes the information in writing or other tangible materials clearly marked “CONFIDENTIAL” and delivers them to the Recipient within 30 (thirty) calendar days after the information is first disclosed to the Recipient. “Confidential Information” does not include any information which the Recipient can show:</w:t>
      </w:r>
    </w:p>
    <w:p>
      <w:pPr>
        <w:spacing w:after="0" w:line="1" w:lineRule="exact"/>
        <w:rPr>
          <w:sz w:val="20"/>
          <w:szCs w:val="20"/>
          <w:color w:val="auto"/>
        </w:rPr>
      </w:pPr>
    </w:p>
    <w:p>
      <w:pPr>
        <w:ind w:left="1300" w:hanging="652"/>
        <w:spacing w:after="0"/>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Recipient knew at the time of disclosure;</w:t>
      </w:r>
    </w:p>
    <w:p>
      <w:pPr>
        <w:spacing w:after="0" w:line="9" w:lineRule="exact"/>
        <w:rPr>
          <w:rFonts w:ascii="Arial" w:cs="Arial" w:eastAsia="Arial" w:hAnsi="Arial"/>
          <w:sz w:val="18"/>
          <w:szCs w:val="18"/>
          <w:color w:val="auto"/>
        </w:rPr>
      </w:pPr>
    </w:p>
    <w:p>
      <w:pPr>
        <w:ind w:left="1300" w:hanging="652"/>
        <w:spacing w:after="0"/>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public knows or which is or becomes readily ascertainable by the public, and through no wrongful act of the Recipient;</w:t>
      </w:r>
    </w:p>
    <w:p>
      <w:pPr>
        <w:spacing w:after="0" w:line="9" w:lineRule="exact"/>
        <w:rPr>
          <w:rFonts w:ascii="Arial" w:cs="Arial" w:eastAsia="Arial" w:hAnsi="Arial"/>
          <w:sz w:val="18"/>
          <w:szCs w:val="18"/>
          <w:color w:val="auto"/>
        </w:rPr>
      </w:pPr>
    </w:p>
    <w:p>
      <w:pPr>
        <w:ind w:left="1300" w:hanging="652"/>
        <w:spacing w:after="0" w:line="250" w:lineRule="auto"/>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Recipient receives from a third party without breaching an obligation owed to the Discloser, if the third party does not restrict the Recipient from disclosing that information;</w:t>
      </w:r>
    </w:p>
    <w:p>
      <w:pPr>
        <w:ind w:left="1300" w:hanging="652"/>
        <w:spacing w:after="0"/>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is independently developed by or for the Recipient;</w:t>
      </w:r>
    </w:p>
    <w:p>
      <w:pPr>
        <w:spacing w:after="0" w:line="9" w:lineRule="exact"/>
        <w:rPr>
          <w:rFonts w:ascii="Arial" w:cs="Arial" w:eastAsia="Arial" w:hAnsi="Arial"/>
          <w:sz w:val="18"/>
          <w:szCs w:val="18"/>
          <w:color w:val="auto"/>
        </w:rPr>
      </w:pPr>
    </w:p>
    <w:p>
      <w:pPr>
        <w:ind w:left="1300" w:hanging="652"/>
        <w:spacing w:after="0"/>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Discloser discloses to a third party without similar restrictions on disclosure; or</w:t>
      </w:r>
    </w:p>
    <w:p>
      <w:pPr>
        <w:spacing w:after="0" w:line="9" w:lineRule="exact"/>
        <w:rPr>
          <w:rFonts w:ascii="Arial" w:cs="Arial" w:eastAsia="Arial" w:hAnsi="Arial"/>
          <w:sz w:val="18"/>
          <w:szCs w:val="18"/>
          <w:color w:val="auto"/>
        </w:rPr>
      </w:pPr>
    </w:p>
    <w:p>
      <w:pPr>
        <w:jc w:val="both"/>
        <w:ind w:left="1300" w:hanging="652"/>
        <w:spacing w:after="0" w:line="270" w:lineRule="auto"/>
        <w:tabs>
          <w:tab w:leader="none" w:pos="130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is required to be disclosed by law, provided, however, that in the event Recipient is ordered to disclose the Discloser’s Confidential Information pursuant to a judicial or governmental request, requirement or order, Recipient shall immediately, and in any event prior to complying therewith, notify the Discloser and take reasonable steps to assist Discloser in contesting such request, requirement or order or otherwise protecting Discloser’s rights, and Recipient may not disclose any Discloser Confidential Information in response to any law, rule or regulation, including disclosure rules of the Securities and Exchange Commission, without the Discloser’s written consent in each case, which consent shall not be unreasonably withheld or delayed.</w:t>
      </w:r>
    </w:p>
    <w:p>
      <w:pPr>
        <w:spacing w:after="0" w:line="17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During the Term and for 5 (five) years after the Term, the Recipient shall use reasonable efforts to prevent the disclosure of any Confidential Information to any other person, subject to (f) above, and shall not analyze or reverse engineer any samples, prototypes or products labeled “Confidential” and provided hereunder. All materials containing Confidential Information delivered by the Discloser under this Agreement are and shall remain the property of the Discloser. At the Discloser’s written request upon termination of the Recipient’s right to possess the Discloser’s Confidential Information, the Recipient shall promptly return to the Discloser, or destroy and certify the destruction of, all those materials and any copies. The Recipient agrees that it will not utilize or include any Confidential Information of Discloser in any patent or copyright filing.</w:t>
      </w:r>
    </w:p>
    <w:p>
      <w:pPr>
        <w:spacing w:after="0" w:line="178" w:lineRule="exact"/>
        <w:rPr>
          <w:sz w:val="20"/>
          <w:szCs w:val="20"/>
          <w:color w:val="auto"/>
        </w:rPr>
      </w:pPr>
    </w:p>
    <w:p>
      <w:pPr>
        <w:spacing w:after="0" w:line="342" w:lineRule="auto"/>
        <w:tabs>
          <w:tab w:leader="none" w:pos="325" w:val="left"/>
        </w:tabs>
        <w:numPr>
          <w:ilvl w:val="0"/>
          <w:numId w:val="36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57" w:name="page258"/>
    <w:bookmarkEnd w:id="257"/>
    <w:p>
      <w:pPr>
        <w:jc w:val="both"/>
        <w:ind w:firstLine="1297"/>
        <w:spacing w:after="0" w:line="312" w:lineRule="auto"/>
        <w:rPr>
          <w:sz w:val="20"/>
          <w:szCs w:val="20"/>
          <w:color w:val="auto"/>
        </w:rPr>
      </w:pPr>
      <w:r>
        <w:rPr>
          <w:rFonts w:ascii="Arial" w:cs="Arial" w:eastAsia="Arial" w:hAnsi="Arial"/>
          <w:sz w:val="16"/>
          <w:szCs w:val="16"/>
          <w:color w:val="auto"/>
        </w:rPr>
        <w:t>Except as this Agreement expressly provides, this Agreement does not: (i) restrict either party from developing new products, improving existing products, or marketing any new, improved, or existing products; or (ii) commit either party to disclose any particular information or to develop, make, use, buy, sell, or otherwise dispose of any existing or future product, or to favor or recommend any product or service of the other party.</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Agreement does not enlarge, diminish, or affect the rights and obligations that either party may have or come to have under any other written agreement they both sign, or, except as this Agreement expressly provides, with respect to any patent or copyright of either party. Except as this Agreement or such other written agreement specifically provides, there shall be no restrictions on the use or disclosure of any information the Parties exchange at any time, in the past or in the future, other than restrictions that either party may independently have a right to assert under the patent, copyright, or mask work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u w:val="single" w:color="auto"/>
          <w:color w:val="auto"/>
        </w:rPr>
        <w:t>:</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party will retain its existing intellectual property rights and nothing in this Agreement will amend that understanding. Furthermore, each party will own all Technology developed solely by its employees, agents, representatives and consultants. In the case that a joint invention by employees, agents, representatives or consultants of Customer and Spectra is made in connection with Agreement, then both Parties will own an equal interest in such Technology and any patents which issue as a result. In the event that one party is granted a patent which incorporates Confidential Information of the other party, that one party will grant upon request a paid up, worldwide right and license under such patent to the other party to make, have made, use and sell products of the other party.</w:t>
      </w:r>
    </w:p>
    <w:p>
      <w:pPr>
        <w:spacing w:after="0" w:line="194" w:lineRule="exact"/>
        <w:rPr>
          <w:sz w:val="20"/>
          <w:szCs w:val="20"/>
          <w:color w:val="auto"/>
        </w:rPr>
      </w:pPr>
    </w:p>
    <w:p>
      <w:pPr>
        <w:spacing w:after="0" w:line="342" w:lineRule="auto"/>
        <w:tabs>
          <w:tab w:leader="none" w:pos="325" w:val="left"/>
        </w:tabs>
        <w:numPr>
          <w:ilvl w:val="0"/>
          <w:numId w:val="36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u w:val="single" w:color="auto"/>
          <w:color w:val="auto"/>
        </w:rPr>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DISPUTES</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the event of any dispute, controversy or claim between the Parties arising directly or indirectly under this Agreement, whether based on contract, tort, fraud, misrepresentation or other legal theory, the Parties shall attempt in good faith to resolve such matter through mediation. Such mediation shall be conducted in accordance with The CPR Mediation Procedure of the CPR Institute for Dispute Resolution in effect on the date of this Agreement. If either party refuses to engage in such mediation, or if such mediation has not resolved the dispute, controversy or claim within [***], or such longer period as the Parties may agree, then the provisions below shall apply.</w:t>
      </w:r>
    </w:p>
    <w:p>
      <w:pPr>
        <w:spacing w:after="0" w:line="18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Except for disputes concerning Spectra’s indemnification obligations regarding infringement of third party rights, and except as otherwise provided in this Agreement, Customer and Spectra shall settle by arbitration any controversy or claim between them arising directly or indirectly under this Agreement, whether based on contract, tort, fraud, misrepresentation, or other legal theory that is not resolved through mediation as provided in the paragraph above. The arbitration shall occur in Massachusetts, under the then current Rules for Non-Administered Arbitration and supervision of the CPR Institute for Dispute Resolution, except as otherwise provided herein. If the dispute involves a claim for money in the amount of $[***] ([***] dollars) or less and does not involve any claims relating to ownership, use, or disclosure of intellectual property (other than a claim of unlawful ownership, use or disclosure of intellectual property arising solely from a failure to pay a license fee or royalty), the arbitration shall be before a single arbitrator whom Customer and Spectra shall select from a panel of persons knowledgeable in business information and data processing systems; otherwise, the arbitration shall be before three arbitrators, one selected by Customer, one selected by Spectra, and the third selected by the two arbitrators selected. The arbitrator or arbitrators shall not have the power to award punitive or exemplary damages. The decision and award of the arbitrator or arbitrators shall be final and binding and the award rendered may be entered in any court having jurisdiction. Customer and Spectra shall each pay its own attorney’s fees associated with the arbitration, and shall pay the other costs and expenses of the arbitration as the rules of the American Arbitration Association provide.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Spectra and Customer may each petition a court of law for injunctive relief to protect its respective intellectual property.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If one party files a court action alleging claims subject to binding arbitration under this Schedule and the other party successfully stays the court action or compels arbitration of the claims, or both, the party filing the court action shall pay the other party’s costs and expenses, including attorneys’ fees, of obtaining such stay or compulsion.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Neither Customer nor Spectra may bring any action, regardless of form, related to this Agreement, more than two years after the cause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action accrues.</w:t>
      </w:r>
    </w:p>
    <w:p>
      <w:pPr>
        <w:spacing w:after="0" w:line="211" w:lineRule="exact"/>
        <w:rPr>
          <w:sz w:val="20"/>
          <w:szCs w:val="20"/>
          <w:color w:val="auto"/>
        </w:rPr>
      </w:pPr>
    </w:p>
    <w:p>
      <w:pPr>
        <w:spacing w:after="0" w:line="342" w:lineRule="auto"/>
        <w:tabs>
          <w:tab w:leader="none" w:pos="325" w:val="left"/>
        </w:tabs>
        <w:numPr>
          <w:ilvl w:val="0"/>
          <w:numId w:val="36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59" w:name="page260"/>
    <w:bookmarkEnd w:id="259"/>
    <w:p>
      <w:pPr>
        <w:ind w:firstLine="1297"/>
        <w:spacing w:after="0" w:line="277" w:lineRule="auto"/>
        <w:rPr>
          <w:sz w:val="20"/>
          <w:szCs w:val="20"/>
          <w:color w:val="auto"/>
        </w:rPr>
      </w:pPr>
      <w:r>
        <w:rPr>
          <w:rFonts w:ascii="Arial" w:cs="Arial" w:eastAsia="Arial" w:hAnsi="Arial"/>
          <w:sz w:val="18"/>
          <w:szCs w:val="18"/>
          <w:color w:val="auto"/>
        </w:rPr>
        <w:t>The duty to arbitrate extends to any director, officer, employee, agent, subsidiary, or Affiliate making or defending any claim which would otherwise be arbitrable.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part of this Schedule is severable. A holding that any part of this Schedule is unenforceable shall not affect the duty to arbitrate under any part of this Schedule.</w:t>
      </w:r>
    </w:p>
    <w:p>
      <w:pPr>
        <w:spacing w:after="0" w:line="170" w:lineRule="exact"/>
        <w:rPr>
          <w:sz w:val="20"/>
          <w:szCs w:val="20"/>
          <w:color w:val="auto"/>
        </w:rPr>
      </w:pPr>
    </w:p>
    <w:p>
      <w:pPr>
        <w:spacing w:after="0" w:line="342" w:lineRule="auto"/>
        <w:tabs>
          <w:tab w:leader="none" w:pos="32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FUJIFILM DIMATIX, INC. and 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 AMENDMENT #1</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SUPPLY AGREEMENT AMENDMENT #1 is made and entered into as of September 20, 2006 (“Effective Date”) by and between FUJIFILM DIMATIX, INC. formerly Spectra Printing, a division of Dimatix, Inc. (“FDMX””), a corporation organized under the laws of the State of Delaware, U.S.A., and Kornit Digital Ltd. (“Kornit”), organized under the laws of Israel, collectively the “Parties”.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have entered into the OEM Supply Agreement dated January 6, 2006 (the “Agreement”), and wish to add the terms of this Amendment #1 to the contractual relationship between the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21" w:lineRule="exact"/>
        <w:rPr>
          <w:sz w:val="20"/>
          <w:szCs w:val="20"/>
          <w:color w:val="auto"/>
        </w:rPr>
      </w:pPr>
    </w:p>
    <w:p>
      <w:pPr>
        <w:ind w:left="640" w:hanging="640"/>
        <w:spacing w:after="0"/>
        <w:tabs>
          <w:tab w:leader="none" w:pos="64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Capitalized terms not defined herein shall have the meaning ascribed to them in the Agreement.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“Amendment #1” shall mean this Supply Agreement Amendment #1 between FDMX and Kornit.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16"/>
          <w:szCs w:val="16"/>
          <w:color w:val="auto"/>
        </w:rPr>
        <w:t>“Agreement” shall mean the Agreement, and this Supply Agreement Amendment #1.</w:t>
      </w:r>
    </w:p>
    <w:p>
      <w:pPr>
        <w:spacing w:after="0" w:line="221" w:lineRule="exact"/>
        <w:rPr>
          <w:rFonts w:ascii="Arial" w:cs="Arial" w:eastAsia="Arial" w:hAnsi="Arial"/>
          <w:sz w:val="18"/>
          <w:szCs w:val="18"/>
          <w:b w:val="1"/>
          <w:bCs w:val="1"/>
          <w:color w:val="auto"/>
        </w:rPr>
      </w:pPr>
    </w:p>
    <w:p>
      <w:pPr>
        <w:ind w:left="640" w:hanging="640"/>
        <w:spacing w:after="0"/>
        <w:tabs>
          <w:tab w:leader="none" w:pos="64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w:t>
      </w:r>
    </w:p>
    <w:p>
      <w:pPr>
        <w:spacing w:after="0" w:line="225"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8"/>
          <w:szCs w:val="18"/>
          <w:b w:val="1"/>
          <w:bCs w:val="1"/>
          <w:u w:val="single" w:color="auto"/>
          <w:color w:val="auto"/>
        </w:rPr>
        <w:t xml:space="preserve">PRODUCT PRICES AND TERMS. </w:t>
      </w:r>
      <w:r>
        <w:rPr>
          <w:rFonts w:ascii="Arial" w:cs="Arial" w:eastAsia="Arial" w:hAnsi="Arial"/>
          <w:sz w:val="18"/>
          <w:szCs w:val="18"/>
          <w:color w:val="auto"/>
        </w:rPr>
        <w:t>The Parties agree to delete the original Schedules 1, 2, and 3 in their entirety and replace them with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attached new Schedules 1, 2, and 3.</w:t>
      </w:r>
    </w:p>
    <w:p>
      <w:pPr>
        <w:spacing w:after="0" w:line="161" w:lineRule="exact"/>
        <w:rPr>
          <w:rFonts w:ascii="Arial" w:cs="Arial" w:eastAsia="Arial" w:hAnsi="Arial"/>
          <w:sz w:val="18"/>
          <w:szCs w:val="18"/>
          <w:b w:val="1"/>
          <w:bCs w:val="1"/>
          <w:color w:val="auto"/>
        </w:rPr>
      </w:pPr>
    </w:p>
    <w:p>
      <w:pPr>
        <w:ind w:left="640" w:hanging="640"/>
        <w:spacing w:after="0"/>
        <w:tabs>
          <w:tab w:leader="none" w:pos="64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p>
    <w:p>
      <w:pPr>
        <w:spacing w:after="0" w:line="229"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3.1The Parties agree that the Agreement as amended states the complete agreement between FDMX and Kornit concerning this subject, and supersedes all earlier oral and written communications, representations, promises and agreements between FDMX and Kornit concerning this subject.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Pr>
          <w:p>
            <w:pPr>
              <w:spacing w:after="0"/>
              <w:rPr>
                <w:sz w:val="20"/>
                <w:szCs w:val="20"/>
                <w:color w:val="auto"/>
              </w:rPr>
            </w:pPr>
            <w:r>
              <w:rPr>
                <w:rFonts w:ascii="Arial" w:cs="Arial" w:eastAsia="Arial" w:hAnsi="Arial"/>
                <w:sz w:val="18"/>
                <w:szCs w:val="18"/>
                <w:color w:val="auto"/>
              </w:rPr>
              <w:t>AGREED TO AND ACCEPTED BY:</w:t>
            </w:r>
          </w:p>
        </w:tc>
        <w:tc>
          <w:tcPr>
            <w:tcW w:w="562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FUJIFILM DIMATIX, INC.</w:t>
            </w:r>
          </w:p>
        </w:tc>
        <w:tc>
          <w:tcPr>
            <w:tcW w:w="5620" w:type="dxa"/>
            <w:vAlign w:val="bottom"/>
          </w:tcPr>
          <w:p>
            <w:pPr>
              <w:spacing w:after="0"/>
              <w:rPr>
                <w:sz w:val="20"/>
                <w:szCs w:val="20"/>
                <w:color w:val="auto"/>
              </w:rPr>
            </w:pPr>
            <w:r>
              <w:rPr>
                <w:rFonts w:ascii="Arial" w:cs="Arial" w:eastAsia="Arial" w:hAnsi="Arial"/>
                <w:sz w:val="18"/>
                <w:szCs w:val="18"/>
                <w:b w:val="1"/>
                <w:bCs w:val="1"/>
                <w:color w:val="auto"/>
              </w:rPr>
              <w:t>KORNIT DIGITAL LTD.</w:t>
            </w:r>
          </w:p>
        </w:tc>
      </w:tr>
      <w:tr>
        <w:trPr>
          <w:trHeight w:val="439"/>
        </w:trPr>
        <w:tc>
          <w:tcPr>
            <w:tcW w:w="5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By:</w:t>
            </w:r>
          </w:p>
        </w:tc>
        <w:tc>
          <w:tcPr>
            <w:tcW w:w="5620" w:type="dxa"/>
            <w:vAlign w:val="bottom"/>
          </w:tcPr>
          <w:p>
            <w:pPr>
              <w:spacing w:after="0"/>
              <w:rPr>
                <w:sz w:val="20"/>
                <w:szCs w:val="20"/>
                <w:color w:val="auto"/>
              </w:rPr>
            </w:pPr>
            <w:r>
              <w:rPr>
                <w:rFonts w:ascii="Arial" w:cs="Arial" w:eastAsia="Arial" w:hAnsi="Arial"/>
                <w:sz w:val="18"/>
                <w:szCs w:val="18"/>
                <w:color w:val="auto"/>
              </w:rPr>
              <w:t>By:</w:t>
            </w:r>
          </w:p>
        </w:tc>
      </w:tr>
      <w:tr>
        <w:trPr>
          <w:trHeight w:val="425"/>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Batterton</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John C. Batterton</w:t>
            </w:r>
          </w:p>
        </w:tc>
        <w:tc>
          <w:tcPr>
            <w:tcW w:w="5620" w:type="dxa"/>
            <w:vAlign w:val="bottom"/>
          </w:tcPr>
          <w:p>
            <w:pPr>
              <w:spacing w:after="0"/>
              <w:rPr>
                <w:sz w:val="20"/>
                <w:szCs w:val="20"/>
                <w:color w:val="auto"/>
              </w:rPr>
            </w:pPr>
            <w:r>
              <w:rPr>
                <w:rFonts w:ascii="Arial" w:cs="Arial" w:eastAsia="Arial" w:hAnsi="Arial"/>
                <w:sz w:val="18"/>
                <w:szCs w:val="18"/>
                <w:color w:val="auto"/>
              </w:rPr>
              <w:t>Printed</w:t>
            </w:r>
          </w:p>
        </w:tc>
      </w:tr>
      <w:tr>
        <w:trPr>
          <w:trHeight w:val="431"/>
        </w:trPr>
        <w:tc>
          <w:tcPr>
            <w:tcW w:w="5640" w:type="dxa"/>
            <w:vAlign w:val="bottom"/>
          </w:tcPr>
          <w:p>
            <w:pPr>
              <w:spacing w:after="0"/>
              <w:rPr>
                <w:sz w:val="20"/>
                <w:szCs w:val="20"/>
                <w:color w:val="auto"/>
              </w:rPr>
            </w:pPr>
            <w:r>
              <w:rPr>
                <w:rFonts w:ascii="Arial" w:cs="Arial" w:eastAsia="Arial" w:hAnsi="Arial"/>
                <w:sz w:val="18"/>
                <w:szCs w:val="18"/>
                <w:color w:val="auto"/>
              </w:rPr>
              <w:t>President &amp; CEO</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224"/>
        </w:trPr>
        <w:tc>
          <w:tcPr>
            <w:tcW w:w="564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04" w:lineRule="exact"/>
        <w:rPr>
          <w:sz w:val="20"/>
          <w:szCs w:val="20"/>
          <w:color w:val="auto"/>
        </w:rPr>
      </w:pPr>
    </w:p>
    <w:p>
      <w:pPr>
        <w:spacing w:after="0" w:line="342" w:lineRule="auto"/>
        <w:tabs>
          <w:tab w:leader="none" w:pos="32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1608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PRICES FOR FUJIFILM DIMATIX, INC. (“FDMX”)PRODUCTS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Prices for all FDMX Products include standard packaging.</w:t>
      </w:r>
    </w:p>
    <w:p>
      <w:pPr>
        <w:spacing w:after="0" w:line="221" w:lineRule="exact"/>
        <w:rPr>
          <w:sz w:val="20"/>
          <w:szCs w:val="20"/>
          <w:color w:val="auto"/>
        </w:rPr>
      </w:pPr>
    </w:p>
    <w:p>
      <w:pPr>
        <w:ind w:left="660" w:hanging="660"/>
        <w:spacing w:after="0"/>
        <w:tabs>
          <w:tab w:leader="none" w:pos="660" w:val="left"/>
        </w:tabs>
        <w:numPr>
          <w:ilvl w:val="0"/>
          <w:numId w:val="36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6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 NUMBER</w:t>
            </w:r>
          </w:p>
        </w:tc>
        <w:tc>
          <w:tcPr>
            <w:tcW w:w="37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DESCRIPTION</w:t>
            </w:r>
          </w:p>
        </w:tc>
        <w:tc>
          <w:tcPr>
            <w:tcW w:w="324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ORDER QTY</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2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256-Channel Jetting Assemblies</w:t>
            </w:r>
          </w:p>
        </w:tc>
        <w:tc>
          <w:tcPr>
            <w:tcW w:w="37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05536</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Nova JA 256/80 AAA</w:t>
            </w: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08991</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Galaxy JA 256/30 AAA</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09272</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Galaxy JA 256/50 AAA</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09493</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Galaxy JA 256/80 AAA</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76"/>
        </w:trPr>
        <w:tc>
          <w:tcPr>
            <w:tcW w:w="26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6"/>
              </w:rPr>
              <w:t>128-Channel Jetting Assemblies</w:t>
            </w:r>
          </w:p>
        </w:tc>
        <w:tc>
          <w:tcPr>
            <w:tcW w:w="37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76"/>
        </w:trPr>
        <w:tc>
          <w:tcPr>
            <w:tcW w:w="2680" w:type="dxa"/>
            <w:vAlign w:val="bottom"/>
            <w:gridSpan w:val="4"/>
          </w:tcPr>
          <w:p>
            <w:pPr>
              <w:spacing w:after="0" w:line="176" w:lineRule="exact"/>
              <w:rPr>
                <w:sz w:val="20"/>
                <w:szCs w:val="20"/>
                <w:color w:val="auto"/>
              </w:rPr>
            </w:pPr>
            <w:r>
              <w:rPr>
                <w:rFonts w:ascii="Arial" w:cs="Arial" w:eastAsia="Arial" w:hAnsi="Arial"/>
                <w:sz w:val="18"/>
                <w:szCs w:val="18"/>
                <w:color w:val="auto"/>
              </w:rPr>
              <w:t>“AA” Models</w:t>
            </w:r>
          </w:p>
        </w:tc>
        <w:tc>
          <w:tcPr>
            <w:tcW w:w="37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09158</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Spectra SL-128</w:t>
            </w: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09084</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Spectra SM-128</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08935</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Spectra SE-128</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680" w:type="dxa"/>
            <w:vAlign w:val="bottom"/>
            <w:gridSpan w:val="4"/>
          </w:tcPr>
          <w:p>
            <w:pPr>
              <w:spacing w:after="0" w:line="216" w:lineRule="exact"/>
              <w:rPr>
                <w:sz w:val="20"/>
                <w:szCs w:val="20"/>
                <w:color w:val="auto"/>
              </w:rPr>
            </w:pPr>
            <w:r>
              <w:rPr>
                <w:rFonts w:ascii="Arial" w:cs="Arial" w:eastAsia="Arial" w:hAnsi="Arial"/>
                <w:sz w:val="16"/>
                <w:szCs w:val="16"/>
                <w:color w:val="auto"/>
              </w:rPr>
              <w:t>“CR” Models</w:t>
            </w:r>
            <w:r>
              <w:rPr>
                <w:rFonts w:ascii="Arial" w:cs="Arial" w:eastAsia="Arial" w:hAnsi="Arial"/>
                <w:sz w:val="25"/>
                <w:szCs w:val="25"/>
                <w:color w:val="auto"/>
                <w:vertAlign w:val="superscript"/>
              </w:rPr>
              <w:t>1)</w:t>
            </w:r>
          </w:p>
        </w:tc>
        <w:tc>
          <w:tcPr>
            <w:tcW w:w="3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12949</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Spectra SL-128</w:t>
            </w: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12941</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Spectra SM-128</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12944</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Spectra SE-128</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87" w:lineRule="exact"/>
        <w:rPr>
          <w:sz w:val="20"/>
          <w:szCs w:val="20"/>
          <w:color w:val="auto"/>
        </w:rPr>
      </w:pPr>
    </w:p>
    <w:p>
      <w:pPr>
        <w:ind w:left="320" w:hanging="320"/>
        <w:spacing w:after="0" w:line="277" w:lineRule="auto"/>
        <w:tabs>
          <w:tab w:leader="none" w:pos="320" w:val="left"/>
        </w:tabs>
        <w:numPr>
          <w:ilvl w:val="0"/>
          <w:numId w:val="370"/>
        </w:numPr>
        <w:rPr>
          <w:rFonts w:ascii="Arial" w:cs="Arial" w:eastAsia="Arial" w:hAnsi="Arial"/>
          <w:sz w:val="18"/>
          <w:szCs w:val="18"/>
          <w:i w:val="1"/>
          <w:iCs w:val="1"/>
          <w:color w:val="auto"/>
        </w:rPr>
      </w:pPr>
      <w:r>
        <w:rPr>
          <w:rFonts w:ascii="Arial" w:cs="Arial" w:eastAsia="Arial" w:hAnsi="Arial"/>
          <w:sz w:val="18"/>
          <w:szCs w:val="18"/>
          <w:i w:val="1"/>
          <w:iCs w:val="1"/>
          <w:color w:val="auto"/>
        </w:rPr>
        <w:t>The pricing for these products is subject to full and final release by FDMX. No guarantee is implied as to these products ever becoming available from FDMX.</w:t>
      </w:r>
    </w:p>
    <w:p>
      <w:pPr>
        <w:spacing w:after="0" w:line="387" w:lineRule="exact"/>
        <w:rPr>
          <w:sz w:val="20"/>
          <w:szCs w:val="20"/>
          <w:color w:val="auto"/>
        </w:rPr>
      </w:pPr>
    </w:p>
    <w:p>
      <w:pPr>
        <w:spacing w:after="0" w:line="342" w:lineRule="auto"/>
        <w:tabs>
          <w:tab w:leader="none" w:pos="32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62" w:name="page263"/>
    <w:bookmarkEnd w:id="262"/>
    <w:p>
      <w:pPr>
        <w:ind w:left="660" w:hanging="660"/>
        <w:spacing w:after="0"/>
        <w:tabs>
          <w:tab w:leader="none" w:pos="660" w:val="left"/>
        </w:tabs>
        <w:numPr>
          <w:ilvl w:val="0"/>
          <w:numId w:val="37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OTHER HARDWARE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PART NUMBER</w:t>
            </w:r>
          </w:p>
        </w:tc>
        <w:tc>
          <w:tcPr>
            <w:tcW w:w="5300" w:type="dxa"/>
            <w:vAlign w:val="bottom"/>
            <w:gridSpan w:val="2"/>
          </w:tcPr>
          <w:p>
            <w:pPr>
              <w:ind w:left="1980"/>
              <w:spacing w:after="0"/>
              <w:rPr>
                <w:sz w:val="20"/>
                <w:szCs w:val="20"/>
                <w:color w:val="auto"/>
              </w:rPr>
            </w:pPr>
            <w:r>
              <w:rPr>
                <w:rFonts w:ascii="Arial" w:cs="Arial" w:eastAsia="Arial" w:hAnsi="Arial"/>
                <w:sz w:val="18"/>
                <w:szCs w:val="18"/>
                <w:b w:val="1"/>
                <w:bCs w:val="1"/>
                <w:color w:val="auto"/>
              </w:rPr>
              <w:t>DESCRIPTION</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ORDER QTY</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3800-038</w:t>
            </w:r>
          </w:p>
        </w:tc>
        <w:tc>
          <w:tcPr>
            <w:tcW w:w="1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Pressure Regulator</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08162</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Meniscus Pressure Controller (MPC)</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06543</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Remote Lung/Reservoir</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08371</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Molded Lung Module (MLM)</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05841</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Remote Lung, S.S.</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04649</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Head Drive Electronics Module</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(HDEM-4)</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3500-189</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HDEM Daughter Cards</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3800-037</w:t>
            </w:r>
          </w:p>
        </w:tc>
        <w:tc>
          <w:tcPr>
            <w:tcW w:w="1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Head Drive Control Board (HDC2)</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line="342" w:lineRule="auto"/>
        <w:tabs>
          <w:tab w:leader="none" w:pos="32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63" w:name="page264"/>
    <w:bookmarkEnd w:id="263"/>
    <w:p>
      <w:pPr>
        <w:ind w:left="660" w:hanging="660"/>
        <w:spacing w:after="0"/>
        <w:tabs>
          <w:tab w:leader="none" w:pos="660" w:val="left"/>
        </w:tabs>
        <w:numPr>
          <w:ilvl w:val="0"/>
          <w:numId w:val="37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INK PRODUCTS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All ink prices are per order, per color.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UNIT PRICE</w:t>
            </w:r>
          </w:p>
        </w:tc>
      </w:t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PART NUMBER</w:t>
            </w:r>
          </w:p>
        </w:tc>
        <w:tc>
          <w:tcPr>
            <w:tcW w:w="120" w:type="dxa"/>
            <w:vAlign w:val="bottom"/>
            <w:tcBorders>
              <w:bottom w:val="single" w:sz="8" w:color="CCEEFF"/>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ORDER QTY</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(per case)</w:t>
            </w:r>
          </w:p>
        </w:tc>
        <w:tc>
          <w:tcPr>
            <w:tcW w:w="100" w:type="dxa"/>
            <w:vAlign w:val="bottom"/>
            <w:tcBorders>
              <w:bottom w:val="single" w:sz="8" w:color="CCEEFF"/>
            </w:tcBorders>
          </w:tcPr>
          <w:p>
            <w:pPr>
              <w:spacing w:after="0"/>
              <w:rPr>
                <w:sz w:val="20"/>
                <w:szCs w:val="20"/>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00146-01</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SABRE Black</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11214</w:t>
            </w:r>
          </w:p>
        </w:tc>
        <w:tc>
          <w:tcPr>
            <w:tcW w:w="120" w:type="dxa"/>
            <w:vAlign w:val="bottom"/>
            <w:shd w:val="clear" w:color="auto" w:fill="CCEEFF"/>
          </w:tcPr>
          <w:p>
            <w:pPr>
              <w:spacing w:after="0"/>
              <w:rPr>
                <w:sz w:val="22"/>
                <w:szCs w:val="22"/>
                <w:color w:val="auto"/>
              </w:rPr>
            </w:pPr>
          </w:p>
        </w:tc>
        <w:tc>
          <w:tcPr>
            <w:tcW w:w="5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Kappa UV Curing Ink Black</w:t>
            </w:r>
            <w:r>
              <w:rPr>
                <w:rFonts w:ascii="Arial" w:cs="Arial" w:eastAsia="Arial" w:hAnsi="Arial"/>
                <w:sz w:val="29"/>
                <w:szCs w:val="29"/>
                <w:color w:val="auto"/>
                <w:vertAlign w:val="superscript"/>
              </w:rPr>
              <w:t>3</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 to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2820" w:type="dxa"/>
            <w:vAlign w:val="bottom"/>
          </w:tcPr>
          <w:p>
            <w:pPr>
              <w:spacing w:after="0"/>
              <w:rPr>
                <w:sz w:val="20"/>
                <w:szCs w:val="20"/>
                <w:color w:val="auto"/>
              </w:rPr>
            </w:pPr>
            <w:r>
              <w:rPr>
                <w:rFonts w:ascii="Arial" w:cs="Arial" w:eastAsia="Arial" w:hAnsi="Arial"/>
                <w:sz w:val="18"/>
                <w:szCs w:val="18"/>
                <w:color w:val="auto"/>
              </w:rPr>
              <w:t>01880</w:t>
            </w:r>
          </w:p>
        </w:tc>
        <w:tc>
          <w:tcPr>
            <w:tcW w:w="120" w:type="dxa"/>
            <w:vAlign w:val="bottom"/>
          </w:tcPr>
          <w:p>
            <w:pPr>
              <w:spacing w:after="0"/>
              <w:rPr>
                <w:sz w:val="22"/>
                <w:szCs w:val="22"/>
                <w:color w:val="auto"/>
              </w:rPr>
            </w:pPr>
          </w:p>
        </w:tc>
        <w:tc>
          <w:tcPr>
            <w:tcW w:w="5300" w:type="dxa"/>
            <w:vAlign w:val="bottom"/>
            <w:gridSpan w:val="2"/>
          </w:tcPr>
          <w:p>
            <w:pPr>
              <w:spacing w:after="0" w:line="256" w:lineRule="exact"/>
              <w:rPr>
                <w:sz w:val="20"/>
                <w:szCs w:val="20"/>
                <w:color w:val="auto"/>
              </w:rPr>
            </w:pPr>
            <w:r>
              <w:rPr>
                <w:rFonts w:ascii="Arial" w:cs="Arial" w:eastAsia="Arial" w:hAnsi="Arial"/>
                <w:sz w:val="18"/>
                <w:szCs w:val="18"/>
                <w:color w:val="auto"/>
              </w:rPr>
              <w:t>Sirius, Ink</w:t>
            </w:r>
            <w:r>
              <w:rPr>
                <w:rFonts w:ascii="Arial" w:cs="Arial" w:eastAsia="Arial" w:hAnsi="Arial"/>
                <w:sz w:val="29"/>
                <w:szCs w:val="29"/>
                <w:color w:val="auto"/>
                <w:vertAlign w:val="superscript"/>
              </w:rPr>
              <w:t>4</w:t>
            </w:r>
          </w:p>
        </w:tc>
        <w:tc>
          <w:tcPr>
            <w:tcW w:w="1460" w:type="dxa"/>
            <w:vAlign w:val="bottom"/>
            <w:gridSpan w:val="2"/>
          </w:tcPr>
          <w:p>
            <w:pPr>
              <w:spacing w:after="0"/>
              <w:rPr>
                <w:sz w:val="20"/>
                <w:szCs w:val="20"/>
                <w:color w:val="auto"/>
              </w:rPr>
            </w:pPr>
            <w:r>
              <w:rPr>
                <w:rFonts w:ascii="Arial" w:cs="Arial" w:eastAsia="Arial" w:hAnsi="Arial"/>
                <w:sz w:val="18"/>
                <w:szCs w:val="18"/>
                <w:color w:val="auto"/>
              </w:rPr>
              <w:t>[***] to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 to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01881</w:t>
            </w:r>
          </w:p>
        </w:tc>
        <w:tc>
          <w:tcPr>
            <w:tcW w:w="120" w:type="dxa"/>
            <w:vAlign w:val="bottom"/>
            <w:shd w:val="clear" w:color="auto" w:fill="CCEEFF"/>
          </w:tcPr>
          <w:p>
            <w:pPr>
              <w:spacing w:after="0"/>
              <w:rPr>
                <w:sz w:val="22"/>
                <w:szCs w:val="22"/>
                <w:color w:val="auto"/>
              </w:rPr>
            </w:pPr>
          </w:p>
        </w:tc>
        <w:tc>
          <w:tcPr>
            <w:tcW w:w="5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Sirius, Clear Solvent, Flush</w:t>
            </w:r>
            <w:r>
              <w:rPr>
                <w:rFonts w:ascii="Arial" w:cs="Arial" w:eastAsia="Arial" w:hAnsi="Arial"/>
                <w:sz w:val="29"/>
                <w:szCs w:val="29"/>
                <w:color w:val="auto"/>
                <w:vertAlign w:val="superscript"/>
              </w:rPr>
              <w:t>4</w:t>
            </w: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01882</w:t>
            </w:r>
          </w:p>
        </w:tc>
        <w:tc>
          <w:tcPr>
            <w:tcW w:w="120" w:type="dxa"/>
            <w:vAlign w:val="bottom"/>
            <w:shd w:val="clear" w:color="auto" w:fill="CCEEFF"/>
          </w:tcPr>
          <w:p>
            <w:pPr>
              <w:spacing w:after="0"/>
              <w:rPr>
                <w:sz w:val="22"/>
                <w:szCs w:val="22"/>
                <w:color w:val="auto"/>
              </w:rPr>
            </w:pPr>
          </w:p>
        </w:tc>
        <w:tc>
          <w:tcPr>
            <w:tcW w:w="5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Sirius, Clear, Cleaning Spray</w:t>
            </w:r>
            <w:r>
              <w:rPr>
                <w:rFonts w:ascii="Arial" w:cs="Arial" w:eastAsia="Arial" w:hAnsi="Arial"/>
                <w:sz w:val="29"/>
                <w:szCs w:val="29"/>
                <w:color w:val="auto"/>
                <w:vertAlign w:val="superscript"/>
              </w:rPr>
              <w:t>5</w:t>
            </w: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7060-804-93</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 Model Fluid</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04322</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 Blue</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08178</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Model Fluid - Black</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08180</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 Yellow</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08399</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Model Fluid - Red</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12327</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Model Fluid, Room Temp - Blue</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12329</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Room Temp - Black</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12328</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Model Fluid, Room Temp - Yellow</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12321</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Room Temp - Red</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06291</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 Flush</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hanging="640"/>
        <w:spacing w:after="0"/>
        <w:tabs>
          <w:tab w:leader="none" w:pos="640" w:val="left"/>
        </w:tabs>
        <w:numPr>
          <w:ilvl w:val="0"/>
          <w:numId w:val="375"/>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40 100g ink pucks.</w:t>
      </w:r>
    </w:p>
    <w:p>
      <w:pPr>
        <w:spacing w:after="0" w:line="23" w:lineRule="exact"/>
        <w:rPr>
          <w:rFonts w:ascii="Arial" w:cs="Arial" w:eastAsia="Arial" w:hAnsi="Arial"/>
          <w:sz w:val="18"/>
          <w:szCs w:val="18"/>
          <w:i w:val="1"/>
          <w:iCs w:val="1"/>
          <w:color w:val="auto"/>
        </w:rPr>
      </w:pPr>
    </w:p>
    <w:p>
      <w:pPr>
        <w:ind w:left="640" w:hanging="640"/>
        <w:spacing w:after="0"/>
        <w:tabs>
          <w:tab w:leader="none" w:pos="640" w:val="left"/>
        </w:tabs>
        <w:numPr>
          <w:ilvl w:val="0"/>
          <w:numId w:val="375"/>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4 (four) 1 liter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375"/>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6 (six) 1 liter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375"/>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24 (twenty-four) 125 ml bottles.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for all FDMX Products include standard packaging.</w:t>
      </w:r>
    </w:p>
    <w:p>
      <w:pPr>
        <w:spacing w:after="0" w:line="225" w:lineRule="exact"/>
        <w:rPr>
          <w:sz w:val="20"/>
          <w:szCs w:val="20"/>
          <w:color w:val="auto"/>
        </w:rPr>
      </w:pPr>
    </w:p>
    <w:p>
      <w:pPr>
        <w:ind w:left="660" w:hanging="660"/>
        <w:spacing w:after="0"/>
        <w:tabs>
          <w:tab w:leader="none" w:pos="660" w:val="left"/>
        </w:tabs>
        <w:numPr>
          <w:ilvl w:val="0"/>
          <w:numId w:val="37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VOLUME DISCOUNTS</w:t>
      </w:r>
    </w:p>
    <w:p>
      <w:pPr>
        <w:spacing w:after="0" w:line="225" w:lineRule="exact"/>
        <w:rPr>
          <w:rFonts w:ascii="Arial" w:cs="Arial" w:eastAsia="Arial" w:hAnsi="Arial"/>
          <w:sz w:val="18"/>
          <w:szCs w:val="18"/>
          <w:b w:val="1"/>
          <w:bCs w:val="1"/>
          <w:u w:val="single" w:color="auto"/>
          <w:color w:val="auto"/>
        </w:rPr>
      </w:pPr>
    </w:p>
    <w:p>
      <w:pPr>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Fees</w:t>
      </w:r>
    </w:p>
    <w:p>
      <w:pPr>
        <w:spacing w:after="0" w:line="229" w:lineRule="exact"/>
        <w:rPr>
          <w:sz w:val="20"/>
          <w:szCs w:val="20"/>
          <w:color w:val="auto"/>
        </w:rPr>
      </w:pPr>
    </w:p>
    <w:p>
      <w:pPr>
        <w:ind w:left="640" w:hanging="640"/>
        <w:spacing w:after="0"/>
        <w:tabs>
          <w:tab w:leader="none" w:pos="6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Printhead Volume Discount Fee of $[***]</w:t>
      </w:r>
    </w:p>
    <w:p>
      <w:pPr>
        <w:spacing w:after="0" w:line="23" w:lineRule="exact"/>
        <w:rPr>
          <w:rFonts w:ascii="Arial" w:cs="Arial" w:eastAsia="Arial" w:hAnsi="Arial"/>
          <w:sz w:val="18"/>
          <w:szCs w:val="18"/>
          <w:color w:val="auto"/>
        </w:rPr>
      </w:pPr>
    </w:p>
    <w:p>
      <w:pPr>
        <w:ind w:left="640" w:hanging="640"/>
        <w:spacing w:after="0"/>
        <w:tabs>
          <w:tab w:leader="none" w:pos="6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Printhead Volume Discount Fee is payable to FDMX prior to Kornit shipping — or using - commercial products.</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Upon payment of the Printhead Volume Discount Fee, Kornit will obtain the following rights:</w:t>
      </w:r>
    </w:p>
    <w:p>
      <w:pPr>
        <w:spacing w:after="0" w:line="200" w:lineRule="exact"/>
        <w:rPr>
          <w:sz w:val="20"/>
          <w:szCs w:val="20"/>
          <w:color w:val="auto"/>
        </w:rPr>
      </w:pPr>
    </w:p>
    <w:p>
      <w:pPr>
        <w:spacing w:after="0" w:line="227" w:lineRule="exact"/>
        <w:rPr>
          <w:sz w:val="20"/>
          <w:szCs w:val="20"/>
          <w:color w:val="auto"/>
        </w:rPr>
      </w:pPr>
    </w:p>
    <w:p>
      <w:pPr>
        <w:spacing w:after="0" w:line="342" w:lineRule="auto"/>
        <w:tabs>
          <w:tab w:leader="none" w:pos="32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INDIVIDUAL</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3900" w:type="dxa"/>
            <w:vAlign w:val="bottom"/>
          </w:tcPr>
          <w:p>
            <w:pPr>
              <w:ind w:left="460"/>
              <w:spacing w:after="0"/>
              <w:rPr>
                <w:sz w:val="20"/>
                <w:szCs w:val="20"/>
                <w:color w:val="auto"/>
              </w:rPr>
            </w:pPr>
            <w:r>
              <w:rPr>
                <w:rFonts w:ascii="Arial" w:cs="Arial" w:eastAsia="Arial" w:hAnsi="Arial"/>
                <w:sz w:val="18"/>
                <w:szCs w:val="18"/>
                <w:b w:val="1"/>
                <w:bCs w:val="1"/>
                <w:color w:val="auto"/>
              </w:rPr>
              <w:t>PART NUMBER</w:t>
            </w:r>
          </w:p>
        </w:tc>
        <w:tc>
          <w:tcPr>
            <w:tcW w:w="4040" w:type="dxa"/>
            <w:vAlign w:val="bottom"/>
            <w:gridSpan w:val="2"/>
          </w:tcPr>
          <w:p>
            <w:pPr>
              <w:ind w:left="720"/>
              <w:spacing w:after="0"/>
              <w:rPr>
                <w:sz w:val="20"/>
                <w:szCs w:val="20"/>
                <w:color w:val="auto"/>
              </w:rPr>
            </w:pPr>
            <w:r>
              <w:rPr>
                <w:rFonts w:ascii="Arial" w:cs="Arial" w:eastAsia="Arial" w:hAnsi="Arial"/>
                <w:sz w:val="18"/>
                <w:szCs w:val="18"/>
                <w:b w:val="1"/>
                <w:bCs w:val="1"/>
                <w:color w:val="auto"/>
              </w:rPr>
              <w:t>DESCRIPTION</w:t>
            </w: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ORDER QTY</w:t>
            </w: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w:t>
            </w:r>
          </w:p>
        </w:tc>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Channel Jetting Assemblies</w:t>
            </w:r>
          </w:p>
        </w:tc>
        <w:tc>
          <w:tcPr>
            <w:tcW w:w="3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Jetting Assemblies (“AA” Models)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Jetting Assemblies (“CR” Models)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PRICE INCREASES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 after the date of this Agreement, FDMX may, by written notice delivered [***] in advance to Customer, increase prices for Products listed on Schedule 2. Price increases will not apply to orders that are non-cancelable and non-deferrable (pursuant to Schedule 1) at the time of notice of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Any notice of price increase in accordance with the foregoing shall constitute an amendment to this Schedule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ROYALTIES</w:t>
      </w:r>
    </w:p>
    <w:p>
      <w:pPr>
        <w:spacing w:after="0" w:line="229" w:lineRule="exact"/>
        <w:rPr>
          <w:sz w:val="20"/>
          <w:szCs w:val="20"/>
          <w:color w:val="auto"/>
        </w:rPr>
      </w:pPr>
    </w:p>
    <w:p>
      <w:pPr>
        <w:ind w:left="640" w:hanging="640"/>
        <w:spacing w:after="0" w:line="277" w:lineRule="auto"/>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Kornit will pay to FDMX a royalty of [***]% ([***] percent) of the amounts received by Kornit (net of returns and allowances and sales and use taxes) upon the sale by Kornit of Ink for use in Kornit Products, except Spectra Ink.</w:t>
      </w:r>
    </w:p>
    <w:p>
      <w:pPr>
        <w:spacing w:after="0" w:line="170" w:lineRule="exact"/>
        <w:rPr>
          <w:rFonts w:ascii="Arial" w:cs="Arial" w:eastAsia="Arial" w:hAnsi="Arial"/>
          <w:sz w:val="18"/>
          <w:szCs w:val="18"/>
          <w:color w:val="auto"/>
        </w:rPr>
      </w:pPr>
    </w:p>
    <w:p>
      <w:pPr>
        <w:ind w:left="640" w:hanging="640"/>
        <w:spacing w:after="0" w:line="308" w:lineRule="auto"/>
        <w:tabs>
          <w:tab w:leader="none" w:pos="64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If Kornit does not supply Ink to be used in Kornit Products Kornit will, in lieu of 1) above, pay to FDMX a royalty of [***]% ([***] percent) of the amounts received by Kornit (net of returns and allowances and sales and use taxes) upon the sale by Kornit of Kornit Products.</w:t>
      </w:r>
    </w:p>
    <w:p>
      <w:pPr>
        <w:spacing w:after="0" w:line="146" w:lineRule="exact"/>
        <w:rPr>
          <w:rFonts w:ascii="Arial" w:cs="Arial" w:eastAsia="Arial" w:hAnsi="Arial"/>
          <w:sz w:val="17"/>
          <w:szCs w:val="17"/>
          <w:color w:val="auto"/>
        </w:rPr>
      </w:pPr>
    </w:p>
    <w:p>
      <w:pPr>
        <w:ind w:left="640" w:hanging="640"/>
        <w:spacing w:after="0"/>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first $[***] of ink sales (on an annual basis) is not subject to the royalty provisions under section 1 above.</w:t>
      </w:r>
    </w:p>
    <w:p>
      <w:pPr>
        <w:spacing w:after="0" w:line="200" w:lineRule="exact"/>
        <w:rPr>
          <w:sz w:val="20"/>
          <w:szCs w:val="20"/>
          <w:color w:val="auto"/>
        </w:rPr>
      </w:pPr>
    </w:p>
    <w:p>
      <w:pPr>
        <w:spacing w:after="0" w:line="241" w:lineRule="exact"/>
        <w:rPr>
          <w:sz w:val="20"/>
          <w:szCs w:val="20"/>
          <w:color w:val="auto"/>
        </w:rPr>
      </w:pPr>
    </w:p>
    <w:p>
      <w:pPr>
        <w:spacing w:after="0" w:line="342" w:lineRule="auto"/>
        <w:tabs>
          <w:tab w:leader="none" w:pos="32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RESERVED MARKETS: EXCLUSIVE RIGHTS RESERVED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 FUJIFILM DIMATIX, INC. TO OTHER CUSTOMERS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exclusive market reserved by FDMX refers to monochrome or spot color (as opposed to process color) applications for printing date or lot codes, bar codes, serial and part numbers, prices, manufacturer’s name, ingredients, nutritional data, instructions, warnings or other product-related or manufacturer-related information (referred to herein as “Product Identification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More specifically, the exclusive reserved market is further limited to applying Product Identification Information:</w:t>
      </w:r>
    </w:p>
    <w:p>
      <w:pPr>
        <w:spacing w:after="0" w:line="225" w:lineRule="exact"/>
        <w:rPr>
          <w:sz w:val="20"/>
          <w:szCs w:val="20"/>
          <w:color w:val="auto"/>
        </w:rPr>
      </w:pPr>
    </w:p>
    <w:p>
      <w:pPr>
        <w:ind w:left="1260" w:hanging="612"/>
        <w:spacing w:after="0"/>
        <w:tabs>
          <w:tab w:leader="none" w:pos="12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directly onto products or onto the packaging for products;</w:t>
      </w:r>
    </w:p>
    <w:p>
      <w:pPr>
        <w:spacing w:after="0" w:line="23" w:lineRule="exact"/>
        <w:rPr>
          <w:rFonts w:ascii="Arial" w:cs="Arial" w:eastAsia="Arial" w:hAnsi="Arial"/>
          <w:sz w:val="18"/>
          <w:szCs w:val="18"/>
          <w:color w:val="auto"/>
        </w:rPr>
      </w:pPr>
    </w:p>
    <w:p>
      <w:pPr>
        <w:ind w:left="1260" w:hanging="612"/>
        <w:spacing w:after="0"/>
        <w:tabs>
          <w:tab w:leader="none" w:pos="12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a product manufacturing or distribution environment; and</w:t>
      </w:r>
    </w:p>
    <w:p>
      <w:pPr>
        <w:spacing w:after="0" w:line="9" w:lineRule="exact"/>
        <w:rPr>
          <w:rFonts w:ascii="Arial" w:cs="Arial" w:eastAsia="Arial" w:hAnsi="Arial"/>
          <w:sz w:val="18"/>
          <w:szCs w:val="18"/>
          <w:color w:val="auto"/>
        </w:rPr>
      </w:pPr>
    </w:p>
    <w:p>
      <w:pPr>
        <w:jc w:val="both"/>
        <w:ind w:firstLine="648"/>
        <w:spacing w:after="0" w:line="255" w:lineRule="auto"/>
        <w:tabs>
          <w:tab w:leader="none" w:pos="129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using a system (a) incorporating less than $[***]* of FDMX Jetting Assemblies or (b) in the case of printing packaging or labels, using a system having a selling price of less than $[***]* (excluding materials handling subsystems) or (c) in the case of printing on products, using a system having a selling price less than $[***]* (excluding materials handling subsystems).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An application that does not meet all of the criteria (1), (2) and (3) is outside the exclusive reserved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to the above limits on the exclusive reserved market, the reserved market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w:t>
      </w:r>
    </w:p>
    <w:p>
      <w:pPr>
        <w:spacing w:after="0" w:line="225" w:lineRule="exact"/>
        <w:rPr>
          <w:sz w:val="20"/>
          <w:szCs w:val="20"/>
          <w:color w:val="auto"/>
        </w:rPr>
      </w:pPr>
    </w:p>
    <w:p>
      <w:pPr>
        <w:ind w:left="1300" w:hanging="652"/>
        <w:spacing w:after="0"/>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system that combines Product Identification Information and information other than Product Identification Information;</w:t>
      </w:r>
    </w:p>
    <w:p>
      <w:pPr>
        <w:spacing w:after="0" w:line="23" w:lineRule="exact"/>
        <w:rPr>
          <w:rFonts w:ascii="Arial" w:cs="Arial" w:eastAsia="Arial" w:hAnsi="Arial"/>
          <w:sz w:val="18"/>
          <w:szCs w:val="18"/>
          <w:color w:val="auto"/>
        </w:rPr>
      </w:pPr>
    </w:p>
    <w:p>
      <w:pPr>
        <w:ind w:left="1300" w:hanging="652"/>
        <w:spacing w:after="0"/>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system that uses process color printing, whether alone or in combination with monochrome or spot color printing;</w:t>
      </w:r>
    </w:p>
    <w:p>
      <w:pPr>
        <w:spacing w:after="0" w:line="9" w:lineRule="exact"/>
        <w:rPr>
          <w:rFonts w:ascii="Arial" w:cs="Arial" w:eastAsia="Arial" w:hAnsi="Arial"/>
          <w:sz w:val="18"/>
          <w:szCs w:val="18"/>
          <w:color w:val="auto"/>
        </w:rPr>
      </w:pPr>
    </w:p>
    <w:p>
      <w:pPr>
        <w:ind w:left="1300" w:hanging="652"/>
        <w:spacing w:after="0" w:line="281" w:lineRule="auto"/>
        <w:tabs>
          <w:tab w:leader="none" w:pos="130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system that jets fluids other than human-perceivable inks, such as conductive fluids for electronics, bio materials for analysis, etc. (referred to herein as “Functional Fluids”), whether jetting Functional Fluids alone or in combination with human-perceivable inks;</w:t>
      </w:r>
    </w:p>
    <w:p>
      <w:pPr>
        <w:spacing w:after="0" w:line="1" w:lineRule="exact"/>
        <w:rPr>
          <w:rFonts w:ascii="Arial" w:cs="Arial" w:eastAsia="Arial" w:hAnsi="Arial"/>
          <w:sz w:val="16"/>
          <w:szCs w:val="16"/>
          <w:color w:val="auto"/>
        </w:rPr>
      </w:pPr>
    </w:p>
    <w:p>
      <w:pPr>
        <w:ind w:left="1300" w:hanging="652"/>
        <w:spacing w:after="0"/>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printing using inks that are invisible to the naked eye, including but not limited to infrared ink;</w:t>
      </w:r>
    </w:p>
    <w:p>
      <w:pPr>
        <w:spacing w:after="0" w:line="9" w:lineRule="exact"/>
        <w:rPr>
          <w:rFonts w:ascii="Arial" w:cs="Arial" w:eastAsia="Arial" w:hAnsi="Arial"/>
          <w:sz w:val="18"/>
          <w:szCs w:val="18"/>
          <w:color w:val="auto"/>
        </w:rPr>
      </w:pPr>
    </w:p>
    <w:p>
      <w:pPr>
        <w:ind w:left="1300" w:hanging="652"/>
        <w:spacing w:after="0" w:line="250" w:lineRule="auto"/>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printing of goods where the primary value of the goods is the printed content, such as documents, posters, signs, etc. (referred to herein as “Printed Media”); and</w:t>
      </w:r>
    </w:p>
    <w:p>
      <w:pPr>
        <w:ind w:left="1300" w:hanging="652"/>
        <w:spacing w:after="0" w:line="261" w:lineRule="auto"/>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system used in commercial printing environments (for example, where Printed Media is produced) or other environments outside of manufacturing and distribution environments.</w:t>
      </w:r>
    </w:p>
    <w:p>
      <w:pPr>
        <w:spacing w:after="0" w:line="400" w:lineRule="exact"/>
        <w:rPr>
          <w:sz w:val="20"/>
          <w:szCs w:val="20"/>
          <w:color w:val="auto"/>
        </w:rPr>
      </w:pPr>
    </w:p>
    <w:p>
      <w:pPr>
        <w:spacing w:after="0" w:line="342" w:lineRule="auto"/>
        <w:tabs>
          <w:tab w:leader="none" w:pos="325" w:val="left"/>
        </w:tabs>
        <w:numPr>
          <w:ilvl w:val="0"/>
          <w:numId w:val="38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66" w:name="page267"/>
    <w:bookmarkEnd w:id="266"/>
    <w:p>
      <w:pPr>
        <w:ind w:left="900" w:hanging="9"/>
        <w:spacing w:after="0" w:line="277" w:lineRule="auto"/>
        <w:tabs>
          <w:tab w:leader="none" w:pos="1501"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 January of each year after 2005, the price thresholds set forth above are adjusted for inflation or deflation. The price thresholds in effect on any date will be available upon request.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FORECASTS AND PRODUCTION ESTIMATES: </w:t>
      </w:r>
      <w:r>
        <w:rPr>
          <w:rFonts w:ascii="Arial" w:cs="Arial" w:eastAsia="Arial" w:hAnsi="Arial"/>
          <w:sz w:val="17"/>
          <w:szCs w:val="17"/>
          <w:color w:val="auto"/>
        </w:rPr>
        <w:t>Customer will provide Fujifilm Dimatix, Inc. (“FDMX”) with a [***], [***] forecast of FDMX</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requirements; provided, however, that orders placed hereunder are non-cancelable and non-deferrable beginning [***] prior to scheduled delivery date. Customer will provide FDMX with [***] advance notice to add significant additional manufacturing capacity. FDMX may not be able to meet orders as a result of changes in or requirements in excess of those set forth in [***] forecasts. Furthermore, the Parties agree to use their reasonable efforts, particularly during significant ramp periods, to coordinate, communicate and level out product delivery requirements so that Customer’s requirements and FDMX’s capacity are matched as closely as possible. Production estimates are not guaranteed, but result from careful analysis of Customer’s submitted requirements and present reasonably expected output under normal conditions.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ORDERS: </w:t>
      </w:r>
      <w:r>
        <w:rPr>
          <w:rFonts w:ascii="Arial" w:cs="Arial" w:eastAsia="Arial" w:hAnsi="Arial"/>
          <w:sz w:val="18"/>
          <w:szCs w:val="18"/>
          <w:color w:val="auto"/>
        </w:rPr>
        <w:t>Customer will order FDMX Products through the issuance of purchase orders at least [***] in advance of the requested delivery dates.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preprinted terms and conditions on purchase orders are superseded entirely by the terms and conditions of this Agreement. Each purchase order will adequately identify the FDMX Product ordered by use of FDMX’s product code, set forth the requested quantity, and specify the requested delivery method and date. Purchase orders must be in writing and may be sent via e-mail or facsimile to FDMX’s Customer Service group. To confirm its acceptance of each purchase order, FDMX will issue an acknowledgement of such purchase order in writing or sent via e-mail or facsimile within 5 (five) business days of receipt. If Customer does not receive an acknowledgement of a purchase order within this timeframe, Customer should contact FDMX immediately to follow up on the status of the order.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receipt of any purchase order submitted in accordance with this Agreement, FDMX will either: (i) accept the order, which will establish the delivery date; or (ii) notify Customer of FDMX’s proposed delivery date, if FDMX is unable to deliver FDMX Product in the amounts and/or at the time or times requested. Once accepted, this will become the commitment date. If FDMX cannot fulfill Customer’s purchase orders due to a shortage of any FDMX Product, FDMX shall use its reasonable efforts to satisfy Customer’s purchase requirements as closely as possible.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PRICES: </w:t>
      </w:r>
      <w:r>
        <w:rPr>
          <w:rFonts w:ascii="Arial" w:cs="Arial" w:eastAsia="Arial" w:hAnsi="Arial"/>
          <w:sz w:val="17"/>
          <w:szCs w:val="17"/>
          <w:color w:val="auto"/>
        </w:rPr>
        <w:t>Prices are exclusive of federal, state or excise or use taxes which will be separately shown on invoices. Prices are [***] (INCO Terms).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Specification changes by Customer may affect prices. Customer must provide FDMX with a certificate for exemption from state taxes where applicable.</w:t>
      </w:r>
    </w:p>
    <w:p>
      <w:pPr>
        <w:spacing w:after="0" w:line="200" w:lineRule="exact"/>
        <w:rPr>
          <w:sz w:val="20"/>
          <w:szCs w:val="20"/>
          <w:color w:val="auto"/>
        </w:rPr>
      </w:pPr>
    </w:p>
    <w:p>
      <w:pPr>
        <w:spacing w:after="0" w:line="250" w:lineRule="exact"/>
        <w:rPr>
          <w:sz w:val="20"/>
          <w:szCs w:val="20"/>
          <w:color w:val="auto"/>
        </w:rPr>
      </w:pPr>
    </w:p>
    <w:p>
      <w:pPr>
        <w:spacing w:after="0" w:line="342" w:lineRule="auto"/>
        <w:tabs>
          <w:tab w:leader="none" w:pos="325" w:val="left"/>
        </w:tabs>
        <w:numPr>
          <w:ilvl w:val="0"/>
          <w:numId w:val="38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67" w:name="page268"/>
    <w:bookmarkEnd w:id="267"/>
    <w:p>
      <w:pPr>
        <w:jc w:val="both"/>
        <w:spacing w:after="0" w:line="270" w:lineRule="auto"/>
        <w:rPr>
          <w:sz w:val="20"/>
          <w:szCs w:val="20"/>
          <w:color w:val="auto"/>
        </w:rPr>
      </w:pPr>
      <w:r>
        <w:rPr>
          <w:rFonts w:ascii="Arial" w:cs="Arial" w:eastAsia="Arial" w:hAnsi="Arial"/>
          <w:sz w:val="17"/>
          <w:szCs w:val="17"/>
          <w:b w:val="1"/>
          <w:bCs w:val="1"/>
          <w:color w:val="auto"/>
        </w:rPr>
        <w:t xml:space="preserve">PAYMENT AND SECURITY: </w:t>
      </w:r>
      <w:r>
        <w:rPr>
          <w:rFonts w:ascii="Arial" w:cs="Arial" w:eastAsia="Arial" w:hAnsi="Arial"/>
          <w:sz w:val="17"/>
          <w:szCs w:val="17"/>
          <w:color w:val="auto"/>
        </w:rPr>
        <w:t>Payment shall be made by Customer within [***] of invoice date. For the purpose of securing payment of amounts due</w:t>
      </w:r>
      <w:r>
        <w:rPr>
          <w:rFonts w:ascii="Arial" w:cs="Arial" w:eastAsia="Arial" w:hAnsi="Arial"/>
          <w:sz w:val="17"/>
          <w:szCs w:val="17"/>
          <w:b w:val="1"/>
          <w:bCs w:val="1"/>
          <w:color w:val="auto"/>
        </w:rPr>
        <w:t xml:space="preserve"> </w:t>
      </w:r>
      <w:r>
        <w:rPr>
          <w:rFonts w:ascii="Arial" w:cs="Arial" w:eastAsia="Arial" w:hAnsi="Arial"/>
          <w:sz w:val="17"/>
          <w:szCs w:val="17"/>
          <w:color w:val="auto"/>
        </w:rPr>
        <w:t>FDMX from the Customer hereunder, Customer hereby grants to FDMX: (i) a continuing first purchase money security interest in the products to be shipped hereunder, and all accessions thereto and substitutions therefor; and (ii) a continuing purchase money security interest in all of the proceeds of the foregoing. If Customer fails to make payment to FDMX of any invoice for products shipped by FDMX within [***] of the date of such invoice, or should Customer become insolvent or be a party to any bankruptcy or receivership proceeding prior to full payment of all amounts payable hereunder, FDMX may, notwithstanding any other provisions herein set forth, exercise any or all of its rights as a secured creditor under applicable law, including without limitation: (a) refuse to make further shipments to Customer; (b) with or without demand or notice to Customer declare the entire amount unpaid immediately due and payable; and (c) sell any or all of said products as permitted under applicable law, applying the proceeds of the sale to the expenses of retaking, repairing and selling said products, reasonable attorney’s fees and to the satisfaction of all indebtedness then due and unpaid. Any surplus shall be paid to Customer and any deficiency shall be paid to FDMX by Customer. All past due amounts shall accrue delinquency charges at the rate of [***]% ([***] percent) per month.</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foregoing notwithstanding, as to orders including any special or custom-made equipment and as to any Customer which FDMX in its sole discretion determines to have insufficient credit worthiness, FDMX reserves the right to require all or a portion of the invoice amount in advance if commencing work on an order, and, as the case may be, a portion upon shipment and the balance within [***] of invoice. For orders shipped outside the United States payment may be made by bank draft (on a bank acceptable to FDMX) or by confirmed, irrevocable letter of credit (naming FDMX as beneficiary) with order or other terms as arranged by FDMX. Any charges related to such letter of credit or other payment arrangement shall be for Customer’s account.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Nothing herein shall require FDMX to ship FDMX Products to Customer if any of the requirements in this Schedule are not fulfilled by Customer.</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Delivery to a public carrier at FDMX’s manufacturing facility, consigned as Customer directs, shall constitute transfer of the shipment’s title,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possession, and property to Customer at point of such delivery. Carrier will thereafter be deemed as acting for Customer and the shipment will be at Customer’s risk. FDMX Products will be delivered to Customer in packaging reasonably acceptable to Customer, given shipment, warehousing and storage requirements. Customer will advise FDMX in writing of any special packaging or labeling requirements at the time of placing an order. Customer will pay the cost of any special packaging.</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WARRANTY: </w:t>
      </w:r>
      <w:r>
        <w:rPr>
          <w:rFonts w:ascii="Arial" w:cs="Arial" w:eastAsia="Arial" w:hAnsi="Arial"/>
          <w:sz w:val="18"/>
          <w:szCs w:val="18"/>
          <w:color w:val="auto"/>
        </w:rPr>
        <w:t>All FDMX Products are warranted to be [***] for a period of [***] from date of shipment by FDMX. Furthermore, all FDMX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when used with Inks and other fluids furnished or Certified by FDMX, are warranted to [***] at the date of shipment for a period of [***] from date of shipment by FDMX.</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For any products labeled as pre-production release or prototypes, warranty coverage will be on materials and workmanship only and for a period of three</w:t>
      </w:r>
    </w:p>
    <w:p>
      <w:pPr>
        <w:spacing w:after="0" w:line="46" w:lineRule="exact"/>
        <w:rPr>
          <w:sz w:val="20"/>
          <w:szCs w:val="20"/>
          <w:color w:val="auto"/>
        </w:rPr>
      </w:pPr>
    </w:p>
    <w:p>
      <w:pPr>
        <w:spacing w:after="0" w:line="261" w:lineRule="auto"/>
        <w:tabs>
          <w:tab w:leader="none" w:pos="25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months from date of shipment. Products repaired or replaced under warranty will carry coverage for the balance of warranty period of the product from when such product was returned to FDMX.</w:t>
      </w:r>
    </w:p>
    <w:p>
      <w:pPr>
        <w:spacing w:after="0" w:line="400" w:lineRule="exact"/>
        <w:rPr>
          <w:sz w:val="20"/>
          <w:szCs w:val="20"/>
          <w:color w:val="auto"/>
        </w:rPr>
      </w:pPr>
    </w:p>
    <w:p>
      <w:pPr>
        <w:spacing w:after="0" w:line="342" w:lineRule="auto"/>
        <w:tabs>
          <w:tab w:leader="none" w:pos="32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68" w:name="page269"/>
    <w:bookmarkEnd w:id="268"/>
    <w:p>
      <w:pPr>
        <w:jc w:val="both"/>
        <w:spacing w:after="0" w:line="297" w:lineRule="auto"/>
        <w:rPr>
          <w:sz w:val="20"/>
          <w:szCs w:val="20"/>
          <w:color w:val="auto"/>
        </w:rPr>
      </w:pPr>
      <w:r>
        <w:rPr>
          <w:rFonts w:ascii="Arial" w:cs="Arial" w:eastAsia="Arial" w:hAnsi="Arial"/>
          <w:sz w:val="16"/>
          <w:szCs w:val="16"/>
          <w:color w:val="auto"/>
        </w:rPr>
        <w:t>During the warranty period, FDMX will, at its option, [***] of FDMX products which prove to be defective [***] as stated above. Customer must return FDMX products to the facility designated by FDMX. Customer shall obtain a return materials authorization number (“RMA”) and shipping instructions from FDMX, follow the proper cleaning/flushing procedures in accordance with the respective product manual, and return the product shipping charges prepaid. Shipping charges for all agreed warranty returns will be paid by FDMX and by Customer shall pay for shipping for all rejected warranty returns. Warranty excludes all costs of customs clearance and any other related charges. All replaced products shall become the property of FDMX.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warranty shall not apply to defects or non-conformance with FDMX specifications that result from:</w:t>
      </w:r>
    </w:p>
    <w:p>
      <w:pPr>
        <w:spacing w:after="0" w:line="225" w:lineRule="exact"/>
        <w:rPr>
          <w:sz w:val="20"/>
          <w:szCs w:val="20"/>
          <w:color w:val="auto"/>
        </w:rPr>
      </w:pPr>
    </w:p>
    <w:p>
      <w:pPr>
        <w:ind w:left="640" w:hanging="640"/>
        <w:spacing w:after="0"/>
        <w:tabs>
          <w:tab w:leader="none" w:pos="6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improper installation, use, storage, care or maintenance by Customer or its customers;</w:t>
      </w:r>
    </w:p>
    <w:p>
      <w:pPr>
        <w:spacing w:after="0" w:line="23" w:lineRule="exact"/>
        <w:rPr>
          <w:rFonts w:ascii="Arial" w:cs="Arial" w:eastAsia="Arial" w:hAnsi="Arial"/>
          <w:sz w:val="18"/>
          <w:szCs w:val="18"/>
          <w:color w:val="auto"/>
        </w:rPr>
      </w:pPr>
    </w:p>
    <w:p>
      <w:pPr>
        <w:ind w:left="640" w:hanging="640"/>
        <w:spacing w:after="0"/>
        <w:tabs>
          <w:tab w:leader="none" w:pos="6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modification or alteration, damage, neglect, or abuse of a FDMX product;</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operation of a FDMX product out of specification including power and environmental specifications; or</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externally induced contamination (including but not limited to premature drying or curing of inks in the nozzles).</w:t>
      </w:r>
    </w:p>
    <w:p>
      <w:pPr>
        <w:spacing w:after="0" w:line="20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DISCONTINUANCE: </w:t>
      </w:r>
      <w:r>
        <w:rPr>
          <w:rFonts w:ascii="Arial" w:cs="Arial" w:eastAsia="Arial" w:hAnsi="Arial"/>
          <w:sz w:val="16"/>
          <w:szCs w:val="16"/>
          <w:color w:val="auto"/>
        </w:rPr>
        <w:t>FDMX may, at its option, discontinue Products supplied under this Agreement, provided however, that: (i) FDMX gives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180 (one hundred eighty) day notice of any planned discontinuance; and (ii) FDMX provides Customer with an end of life purchase program.</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INFRINGEMENT OF THIRD PARTY RIGHTS: </w:t>
      </w:r>
      <w:r>
        <w:rPr>
          <w:rFonts w:ascii="Arial" w:cs="Arial" w:eastAsia="Arial" w:hAnsi="Arial"/>
          <w:sz w:val="18"/>
          <w:szCs w:val="18"/>
          <w:color w:val="auto"/>
        </w:rPr>
        <w:t>FDMX shall promptly investigate and defend at its expense all claims that the manufacture, use, sale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disposition of any FDMX Product infringes, induces the infringement of, or otherwise violates any patent, copyright, mask work, trademark, trade secret, or proprietary or other information of any third party, and FDMX shall pay and discharge all judgments or decrees against Customer which result from those claims.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FDMX shall not be liable under this infringement section for any claim, and Customer’s rights under this infringement section shall not attach to a claim, to the extent that claim is based on information, devices, or processes furnished by someone other than FDMX. Customer shall indemnify, defend and hold FDMX harmless against any expense, judgment or loss for alleged infringement or violation of any patents, copyrights, mask works, trade secrets, trademarks, or proprietary or other information which result from FDMX’s compliance with Customer’s designs, specifications or instructions.</w:t>
      </w:r>
    </w:p>
    <w:p>
      <w:pPr>
        <w:spacing w:after="0" w:line="370" w:lineRule="exact"/>
        <w:rPr>
          <w:sz w:val="20"/>
          <w:szCs w:val="20"/>
          <w:color w:val="auto"/>
        </w:rPr>
      </w:pPr>
    </w:p>
    <w:p>
      <w:pPr>
        <w:spacing w:after="0" w:line="342" w:lineRule="auto"/>
        <w:tabs>
          <w:tab w:leader="none" w:pos="32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69" w:name="page270"/>
    <w:bookmarkEnd w:id="269"/>
    <w:p>
      <w:pPr>
        <w:jc w:val="both"/>
        <w:spacing w:after="0" w:line="258" w:lineRule="auto"/>
        <w:rPr>
          <w:sz w:val="20"/>
          <w:szCs w:val="20"/>
          <w:color w:val="auto"/>
        </w:rPr>
      </w:pPr>
      <w:r>
        <w:rPr>
          <w:rFonts w:ascii="Arial" w:cs="Arial" w:eastAsia="Arial" w:hAnsi="Arial"/>
          <w:sz w:val="18"/>
          <w:szCs w:val="18"/>
          <w:b w:val="1"/>
          <w:bCs w:val="1"/>
          <w:color w:val="auto"/>
        </w:rPr>
        <w:t xml:space="preserve">GENERAL INDEMNIFICATION: </w:t>
      </w:r>
      <w:r>
        <w:rPr>
          <w:rFonts w:ascii="Arial" w:cs="Arial" w:eastAsia="Arial" w:hAnsi="Arial"/>
          <w:sz w:val="18"/>
          <w:szCs w:val="18"/>
          <w:color w:val="auto"/>
        </w:rPr>
        <w:t>FDMX shall indemnify, defend and hold Customer harmless against any expense, judgment or loss for arising out of</w:t>
      </w:r>
      <w:r>
        <w:rPr>
          <w:rFonts w:ascii="Arial" w:cs="Arial" w:eastAsia="Arial" w:hAnsi="Arial"/>
          <w:sz w:val="18"/>
          <w:szCs w:val="18"/>
          <w:b w:val="1"/>
          <w:bCs w:val="1"/>
          <w:color w:val="auto"/>
        </w:rPr>
        <w:t xml:space="preserve"> </w:t>
      </w:r>
      <w:r>
        <w:rPr>
          <w:rFonts w:ascii="Arial" w:cs="Arial" w:eastAsia="Arial" w:hAnsi="Arial"/>
          <w:sz w:val="18"/>
          <w:szCs w:val="18"/>
          <w:color w:val="auto"/>
        </w:rPr>
        <w:t>or related to any gross negligence or intentionally tortious acts or omissions of FDMX or its agents. Customer shall indemnify, defend and hold FDMX harmless against any expense, judgment or loss for arising out of or related to (i) any gross negligence or intentionally tortious acts or omissions of Customer or its agents and/or (ii) Customer’s use of any FDMX Product to the extent FDMX is not obliged to Customer under “Infringement of Third Party Rights” above.</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CANCELLATION OR RETURNS: </w:t>
      </w:r>
      <w:r>
        <w:rPr>
          <w:rFonts w:ascii="Arial" w:cs="Arial" w:eastAsia="Arial" w:hAnsi="Arial"/>
          <w:sz w:val="17"/>
          <w:szCs w:val="17"/>
          <w:color w:val="auto"/>
        </w:rPr>
        <w:t>If FDMX agrees to the cancellation by Customer of an order within [***] of scheduled delivery, all future work</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will be stopped by FDMX as soon as reasonably possible and a cancellation charge will be rendered in the amount of the costs incurred to the date of stoppage plus [***]% ([***] percent), less allowances FDMX may be able to make for standard components and salvage. Cancellations as to any completed items shall not be effective and the order will be shipped and billed to the Customer at the order prices.</w:t>
      </w:r>
    </w:p>
    <w:p>
      <w:pPr>
        <w:spacing w:after="0" w:line="385" w:lineRule="exact"/>
        <w:rPr>
          <w:sz w:val="20"/>
          <w:szCs w:val="20"/>
          <w:color w:val="auto"/>
        </w:rPr>
      </w:pPr>
    </w:p>
    <w:p>
      <w:pPr>
        <w:spacing w:after="0" w:line="342" w:lineRule="auto"/>
        <w:tabs>
          <w:tab w:leader="none" w:pos="32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70" w:name="page271"/>
    <w:bookmarkEnd w:id="270"/>
    <w:p>
      <w:pPr>
        <w:ind w:left="1034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OEM SUPPLY AGREEMENT AMENDMENT #2</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Amendment Agreement made and entered into as of the 1st day of September, 2007 by and between FUJIFILM Dimatix,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formerly Spectra Printing, a Division of Dimatix Inc. (“FUJIFILM”) and Kornit Digital Ltd. (“Kornit”).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FUJIFILM and Kornit are parties to an OEM Supply Agreement dated as of January 6, 2006 and an Amendment #1 to the OEM Supply Agreement dated as of September 20, 2006 (the “Agreement”) under which FUJIFILM agreed to provide to Kornit and Kornit wishes to procure certain FUJIFILM products for integration with Kornit products;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Kornit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80" w:hanging="583"/>
        <w:spacing w:after="0"/>
        <w:tabs>
          <w:tab w:leader="none" w:pos="188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Schedule 2, Subsection A “256 Channel Jetting Assemblies” of the Agreement is hereby amended in part by amending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PART NUMBER</w:t>
            </w:r>
          </w:p>
        </w:tc>
        <w:tc>
          <w:tcPr>
            <w:tcW w:w="3000" w:type="dxa"/>
            <w:vAlign w:val="bottom"/>
          </w:tcPr>
          <w:p>
            <w:pPr>
              <w:jc w:val="center"/>
              <w:ind w:left="390"/>
              <w:spacing w:after="0"/>
              <w:rPr>
                <w:sz w:val="20"/>
                <w:szCs w:val="20"/>
                <w:color w:val="auto"/>
              </w:rPr>
            </w:pPr>
            <w:r>
              <w:rPr>
                <w:rFonts w:ascii="Arial" w:cs="Arial" w:eastAsia="Arial" w:hAnsi="Arial"/>
                <w:sz w:val="18"/>
                <w:szCs w:val="18"/>
                <w:b w:val="1"/>
                <w:bCs w:val="1"/>
                <w:color w:val="auto"/>
              </w:rPr>
              <w:t>DESCRIPTION</w:t>
            </w:r>
          </w:p>
        </w:tc>
        <w:tc>
          <w:tcPr>
            <w:tcW w:w="3540" w:type="dxa"/>
            <w:vAlign w:val="bottom"/>
          </w:tcPr>
          <w:p>
            <w:pPr>
              <w:jc w:val="center"/>
              <w:ind w:left="270"/>
              <w:spacing w:after="0"/>
              <w:rPr>
                <w:sz w:val="20"/>
                <w:szCs w:val="20"/>
                <w:color w:val="auto"/>
              </w:rPr>
            </w:pPr>
            <w:r>
              <w:rPr>
                <w:rFonts w:ascii="Arial" w:cs="Arial" w:eastAsia="Arial" w:hAnsi="Arial"/>
                <w:sz w:val="18"/>
                <w:szCs w:val="18"/>
                <w:b w:val="1"/>
                <w:bCs w:val="1"/>
                <w:color w:val="auto"/>
              </w:rPr>
              <w:t>ACCUMULATED</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3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33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3540" w:type="dxa"/>
            <w:vAlign w:val="bottom"/>
            <w:shd w:val="clear" w:color="auto" w:fill="CCEEFF"/>
          </w:tcPr>
          <w:p>
            <w:pPr>
              <w:jc w:val="center"/>
              <w:ind w:left="270"/>
              <w:spacing w:after="0" w:line="201" w:lineRule="exact"/>
              <w:rPr>
                <w:sz w:val="20"/>
                <w:szCs w:val="20"/>
                <w:color w:val="auto"/>
              </w:rPr>
            </w:pPr>
            <w:r>
              <w:rPr>
                <w:rFonts w:ascii="Arial" w:cs="Arial" w:eastAsia="Arial" w:hAnsi="Arial"/>
                <w:sz w:val="18"/>
                <w:szCs w:val="18"/>
                <w:color w:val="auto"/>
                <w:w w:val="96"/>
              </w:rPr>
              <w:t>Blanket Order for [***] Units in a twelve</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33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05536</w:t>
            </w:r>
          </w:p>
        </w:tc>
        <w:tc>
          <w:tcPr>
            <w:tcW w:w="30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4"/>
              </w:rPr>
              <w:t>Nova JA 256/80 AAA</w:t>
            </w:r>
          </w:p>
        </w:tc>
        <w:tc>
          <w:tcPr>
            <w:tcW w:w="35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9"/>
              </w:rPr>
              <w:t>[***] month period</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 units may be taken at [***] units a month for a [***] month period. If by December 31, 2008, Kornit has not taken delivery of the [***] units, FUJIFILM reserves the right to increase pricing to $[***] for any future units.</w:t>
      </w:r>
    </w:p>
    <w:p>
      <w:pPr>
        <w:spacing w:after="0" w:line="170" w:lineRule="exact"/>
        <w:rPr>
          <w:sz w:val="20"/>
          <w:szCs w:val="20"/>
          <w:color w:val="auto"/>
        </w:rPr>
      </w:pPr>
    </w:p>
    <w:p>
      <w:pPr>
        <w:ind w:right="540" w:firstLine="1297"/>
        <w:spacing w:after="0" w:line="277" w:lineRule="auto"/>
        <w:tabs>
          <w:tab w:leader="none" w:pos="1878"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current Schedule 3 (for avoidance of doubt, the current Schedule 3 refers to Schedule 3 of Amendment #1 to the OEM Supply Agreement) is hereby deleted in its entirety and replaced with the new Schedule 3 attached.</w:t>
      </w:r>
    </w:p>
    <w:p>
      <w:pPr>
        <w:spacing w:after="0" w:line="170" w:lineRule="exact"/>
        <w:rPr>
          <w:rFonts w:ascii="Arial" w:cs="Arial" w:eastAsia="Arial" w:hAnsi="Arial"/>
          <w:sz w:val="18"/>
          <w:szCs w:val="18"/>
          <w:color w:val="auto"/>
        </w:rPr>
      </w:pPr>
    </w:p>
    <w:p>
      <w:pPr>
        <w:ind w:left="1880" w:hanging="583"/>
        <w:spacing w:after="0"/>
        <w:tabs>
          <w:tab w:leader="none" w:pos="18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This Amendment Agreement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rFonts w:ascii="Arial" w:cs="Arial" w:eastAsia="Arial" w:hAnsi="Arial"/>
          <w:sz w:val="18"/>
          <w:szCs w:val="18"/>
          <w:color w:val="auto"/>
        </w:rPr>
      </w:pPr>
    </w:p>
    <w:p>
      <w:pPr>
        <w:spacing w:after="0" w:line="342" w:lineRule="auto"/>
        <w:tabs>
          <w:tab w:leader="none" w:pos="325" w:val="left"/>
        </w:tabs>
        <w:numPr>
          <w:ilvl w:val="0"/>
          <w:numId w:val="39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71" w:name="page272"/>
    <w:bookmarkEnd w:id="271"/>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Agreement to be executed by their duly authorized representatives on the date above written.</w:t>
      </w:r>
    </w:p>
    <w:p>
      <w:pPr>
        <w:spacing w:after="0" w:line="166"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b w:val="1"/>
          <w:bCs w:val="1"/>
          <w:color w:val="auto"/>
        </w:rPr>
        <w:t>FUJIFILM DIMATIX, INC.</w:t>
      </w:r>
      <w:r>
        <w:rPr>
          <w:sz w:val="20"/>
          <w:szCs w:val="20"/>
          <w:color w:val="auto"/>
        </w:rPr>
        <w:tab/>
      </w:r>
      <w:r>
        <w:rPr>
          <w:rFonts w:ascii="Arial" w:cs="Arial" w:eastAsia="Arial" w:hAnsi="Arial"/>
          <w:sz w:val="18"/>
          <w:szCs w:val="18"/>
          <w:b w:val="1"/>
          <w:bCs w:val="1"/>
          <w:color w:val="auto"/>
        </w:rPr>
        <w:t>KORNIT DIGITAL LTD.</w:t>
      </w:r>
    </w:p>
    <w:p>
      <w:pPr>
        <w:sectPr>
          <w:pgSz w:w="11900" w:h="16838" w:orient="portrait"/>
          <w:cols w:equalWidth="0" w:num="1">
            <w:col w:w="11260"/>
          </w:cols>
          <w:pgMar w:left="320" w:top="881" w:right="31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Batterton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C. Batterton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and President</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/s/Ofer Ben-Zur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ectPr>
          <w:pgSz w:w="11900" w:h="16838" w:orient="portrait"/>
          <w:cols w:equalWidth="0" w:num="2">
            <w:col w:w="5540" w:space="220"/>
            <w:col w:w="5500"/>
          </w:cols>
          <w:pgMar w:left="320" w:top="881" w:right="319" w:bottom="1440" w:gutter="0" w:footer="0" w:header="0"/>
          <w:type w:val="continuous"/>
        </w:sectPr>
      </w:pPr>
    </w:p>
    <w:p>
      <w:pPr>
        <w:spacing w:after="0" w:line="2" w:lineRule="exact"/>
        <w:rPr>
          <w:sz w:val="20"/>
          <w:szCs w:val="20"/>
          <w:color w:val="auto"/>
        </w:rPr>
      </w:pPr>
    </w:p>
    <w:p>
      <w:pPr>
        <w:spacing w:after="0" w:line="342" w:lineRule="auto"/>
        <w:tabs>
          <w:tab w:leader="none" w:pos="32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type w:val="continuous"/>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 MARKETS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“Reserved Market” means monochrome or spot color (as opposed to process color) applications for printing Product Identification Information:</w:t>
      </w:r>
    </w:p>
    <w:p>
      <w:pPr>
        <w:spacing w:after="0" w:line="237" w:lineRule="exact"/>
        <w:rPr>
          <w:sz w:val="20"/>
          <w:szCs w:val="20"/>
          <w:color w:val="auto"/>
        </w:rPr>
      </w:pPr>
    </w:p>
    <w:p>
      <w:pPr>
        <w:ind w:left="1260" w:hanging="612"/>
        <w:spacing w:after="0"/>
        <w:tabs>
          <w:tab w:leader="none" w:pos="12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directly onto products or onto the packaging for products;</w:t>
      </w:r>
    </w:p>
    <w:p>
      <w:pPr>
        <w:spacing w:after="0" w:line="225" w:lineRule="exact"/>
        <w:rPr>
          <w:rFonts w:ascii="Arial" w:cs="Arial" w:eastAsia="Arial" w:hAnsi="Arial"/>
          <w:sz w:val="18"/>
          <w:szCs w:val="18"/>
          <w:color w:val="auto"/>
        </w:rPr>
      </w:pPr>
    </w:p>
    <w:p>
      <w:pPr>
        <w:ind w:left="1280" w:hanging="632"/>
        <w:spacing w:after="0"/>
        <w:tabs>
          <w:tab w:leader="none" w:pos="12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a product manufacturing or distribution environment; and</w:t>
      </w:r>
    </w:p>
    <w:p>
      <w:pPr>
        <w:spacing w:after="0" w:line="225" w:lineRule="exact"/>
        <w:rPr>
          <w:rFonts w:ascii="Arial" w:cs="Arial" w:eastAsia="Arial" w:hAnsi="Arial"/>
          <w:sz w:val="18"/>
          <w:szCs w:val="18"/>
          <w:color w:val="auto"/>
        </w:rPr>
      </w:pPr>
    </w:p>
    <w:p>
      <w:pPr>
        <w:ind w:left="1280" w:hanging="632"/>
        <w:spacing w:after="0"/>
        <w:tabs>
          <w:tab w:leader="none" w:pos="12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using a system:</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incorporating less than [***] Dollars ($[***]) of Jetting Assemblies, or</w:t>
      </w:r>
    </w:p>
    <w:p>
      <w:pPr>
        <w:spacing w:after="0" w:line="225" w:lineRule="exact"/>
        <w:rPr>
          <w:rFonts w:ascii="Arial" w:cs="Arial" w:eastAsia="Arial" w:hAnsi="Arial"/>
          <w:sz w:val="18"/>
          <w:szCs w:val="18"/>
          <w:color w:val="auto"/>
        </w:rPr>
      </w:pPr>
    </w:p>
    <w:p>
      <w:pPr>
        <w:ind w:left="1300" w:hanging="3"/>
        <w:spacing w:after="0" w:line="277" w:lineRule="auto"/>
        <w:tabs>
          <w:tab w:leader="none" w:pos="1999"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in the case of printing packaging or labels, using a system having a selling price of less than [***] Dollars ($[***])* (excluding materials handling subsystems), or</w:t>
      </w:r>
    </w:p>
    <w:p>
      <w:pPr>
        <w:spacing w:after="0" w:line="170" w:lineRule="exact"/>
        <w:rPr>
          <w:rFonts w:ascii="Arial" w:cs="Arial" w:eastAsia="Arial" w:hAnsi="Arial"/>
          <w:sz w:val="18"/>
          <w:szCs w:val="18"/>
          <w:color w:val="auto"/>
        </w:rPr>
      </w:pPr>
    </w:p>
    <w:p>
      <w:pPr>
        <w:ind w:left="1300" w:hanging="3"/>
        <w:spacing w:after="0" w:line="277" w:lineRule="auto"/>
        <w:tabs>
          <w:tab w:leader="none" w:pos="2013"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in the case of printing on products, using a system having a selling price less than [***] Dollars ($[***])* (excluding materials handling subsystems).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application that does not meet all of the criteria set forth in (i), (ii) and (iii) above is outside the Reserved Market. For purposes of this Schedule 3, “Product Identification Information” means date or lot codes, bar codes, serial and part numbers, prices, manufacturer’s name, ingredients, nutritional data, instructions, warnings or other product-related or manufacturer-related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to the above limits, the Reserved Market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w:t>
      </w:r>
    </w:p>
    <w:p>
      <w:pPr>
        <w:spacing w:after="0" w:line="225" w:lineRule="exact"/>
        <w:rPr>
          <w:sz w:val="20"/>
          <w:szCs w:val="20"/>
          <w:color w:val="auto"/>
        </w:rPr>
      </w:pPr>
    </w:p>
    <w:p>
      <w:pPr>
        <w:ind w:left="3240" w:hanging="647"/>
        <w:spacing w:after="0" w:line="277" w:lineRule="auto"/>
        <w:tabs>
          <w:tab w:leader="none" w:pos="328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system that combines Product Identification Information and information other than Product Identification Information;</w:t>
      </w:r>
    </w:p>
    <w:p>
      <w:pPr>
        <w:spacing w:after="0" w:line="170" w:lineRule="exact"/>
        <w:rPr>
          <w:rFonts w:ascii="Arial" w:cs="Arial" w:eastAsia="Arial" w:hAnsi="Arial"/>
          <w:sz w:val="18"/>
          <w:szCs w:val="18"/>
          <w:color w:val="auto"/>
        </w:rPr>
      </w:pPr>
    </w:p>
    <w:p>
      <w:pPr>
        <w:ind w:left="3240" w:hanging="647"/>
        <w:spacing w:after="0" w:line="277" w:lineRule="auto"/>
        <w:tabs>
          <w:tab w:leader="none" w:pos="3304"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system that uses process color printing, whether alone or in combination with monochrome or spot color printing;</w:t>
      </w:r>
    </w:p>
    <w:p>
      <w:pPr>
        <w:spacing w:after="0" w:line="170" w:lineRule="exact"/>
        <w:rPr>
          <w:rFonts w:ascii="Arial" w:cs="Arial" w:eastAsia="Arial" w:hAnsi="Arial"/>
          <w:sz w:val="18"/>
          <w:szCs w:val="18"/>
          <w:color w:val="auto"/>
        </w:rPr>
      </w:pPr>
    </w:p>
    <w:p>
      <w:pPr>
        <w:jc w:val="both"/>
        <w:ind w:left="3240" w:hanging="647"/>
        <w:spacing w:after="0" w:line="264" w:lineRule="auto"/>
        <w:tabs>
          <w:tab w:leader="none" w:pos="3359"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system that jets fluids other than human-perceivable inks, such as conductive fluids for electronics, bio materials for analysis, etc. (referred to herein as “Functional Fluids”), whether jetting Functional Fluids alone or in combination with human-perceivable inks;</w:t>
      </w:r>
    </w:p>
    <w:p>
      <w:pPr>
        <w:spacing w:after="0" w:line="181" w:lineRule="exact"/>
        <w:rPr>
          <w:rFonts w:ascii="Arial" w:cs="Arial" w:eastAsia="Arial" w:hAnsi="Arial"/>
          <w:sz w:val="18"/>
          <w:szCs w:val="18"/>
          <w:color w:val="auto"/>
        </w:rPr>
      </w:pPr>
    </w:p>
    <w:p>
      <w:pPr>
        <w:ind w:left="3220" w:hanging="627"/>
        <w:spacing w:after="0"/>
        <w:tabs>
          <w:tab w:leader="none" w:pos="32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printing using inks that are invisible to the naked eye, including but not limited to infrared ink;</w:t>
      </w:r>
    </w:p>
    <w:p>
      <w:pPr>
        <w:spacing w:after="0" w:line="225" w:lineRule="exact"/>
        <w:rPr>
          <w:rFonts w:ascii="Arial" w:cs="Arial" w:eastAsia="Arial" w:hAnsi="Arial"/>
          <w:sz w:val="18"/>
          <w:szCs w:val="18"/>
          <w:color w:val="auto"/>
        </w:rPr>
      </w:pPr>
    </w:p>
    <w:p>
      <w:pPr>
        <w:ind w:left="3240" w:hanging="647"/>
        <w:spacing w:after="0" w:line="277" w:lineRule="auto"/>
        <w:tabs>
          <w:tab w:leader="none" w:pos="338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printing of goods where the primary value of the goods is the printed content, such as documents, posters, signs, etc. (referred to herein as “Printed Media”); and</w:t>
      </w:r>
    </w:p>
    <w:p>
      <w:pPr>
        <w:spacing w:after="0" w:line="170" w:lineRule="exact"/>
        <w:rPr>
          <w:rFonts w:ascii="Arial" w:cs="Arial" w:eastAsia="Arial" w:hAnsi="Arial"/>
          <w:sz w:val="18"/>
          <w:szCs w:val="18"/>
          <w:color w:val="auto"/>
        </w:rPr>
      </w:pPr>
    </w:p>
    <w:p>
      <w:pPr>
        <w:spacing w:after="0" w:line="342" w:lineRule="auto"/>
        <w:tabs>
          <w:tab w:leader="none" w:pos="32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73" w:name="page274"/>
    <w:bookmarkEnd w:id="273"/>
    <w:p>
      <w:pPr>
        <w:ind w:left="3240" w:hanging="647"/>
        <w:spacing w:after="0" w:line="277" w:lineRule="auto"/>
        <w:tabs>
          <w:tab w:leader="none" w:pos="3233"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any system used in commercial printing environments (for example, where Printed Media is produced) or other environments outside of manufacturing and distribution environments.</w:t>
      </w:r>
    </w:p>
    <w:p>
      <w:pPr>
        <w:spacing w:after="0" w:line="170"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In January of each year after 2005, the price threshold set forth above are adjusted for inflation or deflation. The Price threshold in effect on any date will be available upon request.</w:t>
      </w:r>
    </w:p>
    <w:p>
      <w:pPr>
        <w:spacing w:after="0" w:line="170" w:lineRule="exact"/>
        <w:rPr>
          <w:rFonts w:ascii="Arial" w:cs="Arial" w:eastAsia="Arial" w:hAnsi="Arial"/>
          <w:sz w:val="18"/>
          <w:szCs w:val="18"/>
          <w:color w:val="auto"/>
        </w:rPr>
      </w:pPr>
    </w:p>
    <w:p>
      <w:pPr>
        <w:spacing w:after="0" w:line="342" w:lineRule="auto"/>
        <w:tabs>
          <w:tab w:leader="none" w:pos="32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74" w:name="page275"/>
    <w:bookmarkEnd w:id="274"/>
    <w:p>
      <w:pPr>
        <w:ind w:left="1034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OEM SUPPLY AGREEMENT AMENDMENT #3</w:t>
      </w:r>
    </w:p>
    <w:p>
      <w:pPr>
        <w:spacing w:after="0" w:line="233" w:lineRule="exact"/>
        <w:rPr>
          <w:sz w:val="20"/>
          <w:szCs w:val="20"/>
          <w:color w:val="auto"/>
        </w:rPr>
      </w:pPr>
    </w:p>
    <w:p>
      <w:pPr>
        <w:jc w:val="both"/>
        <w:ind w:firstLine="1297"/>
        <w:spacing w:after="0" w:line="210" w:lineRule="auto"/>
        <w:rPr>
          <w:sz w:val="20"/>
          <w:szCs w:val="20"/>
          <w:color w:val="auto"/>
        </w:rPr>
      </w:pPr>
      <w:r>
        <w:rPr>
          <w:rFonts w:ascii="Arial" w:cs="Arial" w:eastAsia="Arial" w:hAnsi="Arial"/>
          <w:sz w:val="18"/>
          <w:szCs w:val="18"/>
          <w:color w:val="auto"/>
        </w:rPr>
        <w:t>This Amendment Agreement made and entered into as of the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2008 by and between FUJIFILM Dimatix, Inc. formerly Spectra Printing, a Division of Dimatix Inc. (“FUJIFILM”) and Kornit Digital Ltd. (“Kornit”).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FUJIFILM and Kornit are parties to an OEM Supply Agreement dated as of January 6, 2006 (the “Agreement”), an OEM Supply Agreement Amendment #1 dated as of September 20, 2006 and OEM Supply Agreement Amendment #2 dated as of September 1, 2007 (collectively, the “Amendments”) under which FUJIFILM agreed to provide to Kornit and Kornit wishes to procure certain FUJIFILM products for integration with Kornit products;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Kornit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80" w:hanging="583"/>
        <w:spacing w:after="0"/>
        <w:tabs>
          <w:tab w:leader="none" w:pos="18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Schedule 2 of the Agreement is hereby amended by deleting the existing Schedule 2 and replacing with the attached Schedule 2.</w:t>
      </w:r>
    </w:p>
    <w:p>
      <w:pPr>
        <w:spacing w:after="0" w:line="248" w:lineRule="exact"/>
        <w:rPr>
          <w:rFonts w:ascii="Arial" w:cs="Arial" w:eastAsia="Arial" w:hAnsi="Arial"/>
          <w:sz w:val="16"/>
          <w:szCs w:val="16"/>
          <w:color w:val="auto"/>
        </w:rPr>
      </w:pPr>
    </w:p>
    <w:p>
      <w:pPr>
        <w:ind w:left="1880" w:hanging="583"/>
        <w:spacing w:after="0"/>
        <w:tabs>
          <w:tab w:leader="none" w:pos="18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This Amendment Agreement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Agreement to be executed by their duly authorized representatives on the date above written.</w:t>
      </w:r>
    </w:p>
    <w:p>
      <w:pPr>
        <w:sectPr>
          <w:pgSz w:w="11900" w:h="16838" w:orient="portrait"/>
          <w:cols w:equalWidth="0" w:num="1">
            <w:col w:w="11260"/>
          </w:cols>
          <w:pgMar w:left="320" w:top="364" w:right="3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FUJIFILM DIMATIX, INC.</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520"/>
        <w:spacing w:after="0"/>
        <w:rPr>
          <w:sz w:val="20"/>
          <w:szCs w:val="20"/>
          <w:color w:val="auto"/>
        </w:rPr>
      </w:pPr>
      <w:r>
        <w:rPr>
          <w:rFonts w:ascii="Arial" w:cs="Arial" w:eastAsia="Arial" w:hAnsi="Arial"/>
          <w:sz w:val="18"/>
          <w:szCs w:val="18"/>
          <w:b w:val="1"/>
          <w:bCs w:val="1"/>
          <w:color w:val="auto"/>
        </w:rPr>
        <w:t>KORNIT DIGITAL LTD.</w:t>
      </w:r>
    </w:p>
    <w:p>
      <w:pPr>
        <w:spacing w:after="0" w:line="200" w:lineRule="exact"/>
        <w:rPr>
          <w:sz w:val="20"/>
          <w:szCs w:val="20"/>
          <w:color w:val="auto"/>
        </w:rPr>
      </w:pPr>
    </w:p>
    <w:p>
      <w:pPr>
        <w:sectPr>
          <w:pgSz w:w="11900" w:h="16838" w:orient="portrait"/>
          <w:cols w:equalWidth="0" w:num="2">
            <w:col w:w="5040" w:space="720"/>
            <w:col w:w="5500"/>
          </w:cols>
          <w:pgMar w:left="320" w:top="364" w:right="3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By: /s/ John C. Batterton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000"/>
        <w:spacing w:after="0"/>
        <w:rPr>
          <w:sz w:val="20"/>
          <w:szCs w:val="20"/>
          <w:color w:val="auto"/>
        </w:rPr>
      </w:pPr>
      <w:r>
        <w:rPr>
          <w:rFonts w:ascii="Arial" w:cs="Arial" w:eastAsia="Arial" w:hAnsi="Arial"/>
          <w:sz w:val="16"/>
          <w:szCs w:val="16"/>
          <w:color w:val="auto"/>
        </w:rPr>
        <w:t>By: /s/ Ofer Ben-Zur</w:t>
      </w:r>
    </w:p>
    <w:p>
      <w:pPr>
        <w:spacing w:after="0" w:line="200" w:lineRule="exact"/>
        <w:rPr>
          <w:sz w:val="20"/>
          <w:szCs w:val="20"/>
          <w:color w:val="auto"/>
        </w:rPr>
      </w:pPr>
    </w:p>
    <w:p>
      <w:pPr>
        <w:sectPr>
          <w:pgSz w:w="11900" w:h="16838" w:orient="portrait"/>
          <w:cols w:equalWidth="0" w:num="2">
            <w:col w:w="5040" w:space="720"/>
            <w:col w:w="5500"/>
          </w:cols>
          <w:pgMar w:left="320" w:top="364"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Name: John C. Batterton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000"/>
        <w:spacing w:after="0"/>
        <w:rPr>
          <w:sz w:val="20"/>
          <w:szCs w:val="20"/>
          <w:color w:val="auto"/>
        </w:rPr>
      </w:pPr>
      <w:r>
        <w:rPr>
          <w:rFonts w:ascii="Arial" w:cs="Arial" w:eastAsia="Arial" w:hAnsi="Arial"/>
          <w:sz w:val="16"/>
          <w:szCs w:val="16"/>
          <w:color w:val="auto"/>
        </w:rPr>
        <w:t>Name: Ofer Ben-Zur</w:t>
      </w:r>
    </w:p>
    <w:p>
      <w:pPr>
        <w:spacing w:after="0" w:line="200" w:lineRule="exact"/>
        <w:rPr>
          <w:sz w:val="20"/>
          <w:szCs w:val="20"/>
          <w:color w:val="auto"/>
        </w:rPr>
      </w:pPr>
    </w:p>
    <w:p>
      <w:pPr>
        <w:sectPr>
          <w:pgSz w:w="11900" w:h="16838" w:orient="portrait"/>
          <w:cols w:equalWidth="0" w:num="2">
            <w:col w:w="5040" w:space="720"/>
            <w:col w:w="5500"/>
          </w:cols>
          <w:pgMar w:left="320" w:top="364"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Title: CEO and President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Title: CEO</w:t>
      </w:r>
    </w:p>
    <w:p>
      <w:pPr>
        <w:spacing w:after="0" w:line="200" w:lineRule="exact"/>
        <w:rPr>
          <w:sz w:val="20"/>
          <w:szCs w:val="20"/>
          <w:color w:val="auto"/>
        </w:rPr>
      </w:pPr>
    </w:p>
    <w:p>
      <w:pPr>
        <w:sectPr>
          <w:pgSz w:w="11900" w:h="16838" w:orient="portrait"/>
          <w:cols w:equalWidth="0" w:num="2">
            <w:col w:w="5040" w:space="720"/>
            <w:col w:w="5500"/>
          </w:cols>
          <w:pgMar w:left="320" w:top="364" w:right="319" w:bottom="1440" w:gutter="0" w:footer="0" w:header="0"/>
          <w:type w:val="continuous"/>
        </w:sectPr>
      </w:pPr>
    </w:p>
    <w:p>
      <w:pPr>
        <w:spacing w:after="0" w:line="48" w:lineRule="exact"/>
        <w:rPr>
          <w:sz w:val="20"/>
          <w:szCs w:val="20"/>
          <w:color w:val="auto"/>
        </w:rPr>
      </w:pPr>
    </w:p>
    <w:p>
      <w:pPr>
        <w:spacing w:after="0" w:line="342" w:lineRule="auto"/>
        <w:tabs>
          <w:tab w:leader="none" w:pos="32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type w:val="continuous"/>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Prices for all FUJIFILM Products include standard packaging.</w:t>
      </w:r>
    </w:p>
    <w:p>
      <w:pPr>
        <w:spacing w:after="0" w:line="221" w:lineRule="exact"/>
        <w:rPr>
          <w:sz w:val="20"/>
          <w:szCs w:val="20"/>
          <w:color w:val="auto"/>
        </w:rPr>
      </w:pPr>
    </w:p>
    <w:p>
      <w:pPr>
        <w:ind w:left="680" w:hanging="680"/>
        <w:spacing w:after="0"/>
        <w:tabs>
          <w:tab w:leader="none" w:pos="68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PART NUMBER</w:t>
            </w:r>
          </w:p>
        </w:tc>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ORDER QTY</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2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256-Channel Jetting Assemblies</w:t>
            </w: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40" w:type="dxa"/>
            <w:vAlign w:val="bottom"/>
            <w:tcBorders>
              <w:top w:val="single" w:sz="8" w:color="auto"/>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05536</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 JA 256/80 AAA</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08991</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Galaxy JA 256/30 AAA</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09272</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Galaxy JA 256/50 AAA</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09493</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Galaxy JA 256/80 AAA</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128-Channel Jetting Assemblies</w:t>
            </w: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40" w:type="dxa"/>
            <w:vAlign w:val="bottom"/>
            <w:tcBorders>
              <w:top w:val="single" w:sz="8" w:color="auto"/>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gridSpan w:val="2"/>
          </w:tcPr>
          <w:p>
            <w:pPr>
              <w:spacing w:after="0"/>
              <w:rPr>
                <w:sz w:val="18"/>
                <w:szCs w:val="18"/>
                <w:color w:val="auto"/>
              </w:rPr>
            </w:pPr>
          </w:p>
        </w:tc>
        <w:tc>
          <w:tcPr>
            <w:tcW w:w="3260" w:type="dxa"/>
            <w:vAlign w:val="bottom"/>
            <w:tcBorders>
              <w:top w:val="single" w:sz="8" w:color="CCEEFF"/>
            </w:tcBorders>
            <w:gridSpan w:val="2"/>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09158</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Spectra SL-128</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to [***]</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 to [***]</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to [***]</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09084</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Spectra SM-128</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Same</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08935</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Spectra SE-128</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Same</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line="342" w:lineRule="auto"/>
        <w:tabs>
          <w:tab w:leader="none" w:pos="32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76" w:name="page277"/>
    <w:bookmarkEnd w:id="276"/>
    <w:p>
      <w:pPr>
        <w:ind w:left="660" w:hanging="660"/>
        <w:spacing w:after="0"/>
        <w:tabs>
          <w:tab w:leader="none" w:pos="66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HARDWARE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INDIVIDUAL</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PART NUMBER</w:t>
            </w:r>
          </w:p>
        </w:tc>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ORDER QTY</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3800-038</w:t>
            </w:r>
          </w:p>
        </w:tc>
        <w:tc>
          <w:tcPr>
            <w:tcW w:w="12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Pressure Regulator</w:t>
            </w:r>
          </w:p>
        </w:tc>
        <w:tc>
          <w:tcPr>
            <w:tcW w:w="1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08162</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Meniscus Pressure Controller (MPC)</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06543</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Remote Lung/Reservoir</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08371</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Molded Lung Module (MLM)</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05841</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Remote Lung, S.S.</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04649</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Head Drive Electronics Module</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(HDEM-4)</w:t>
            </w: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3500-189</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HDEM Daughter Cards</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3800-037</w:t>
            </w:r>
          </w:p>
        </w:tc>
        <w:tc>
          <w:tcPr>
            <w:tcW w:w="1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Head Drive Control Board (HDC2)</w:t>
            </w: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line="342" w:lineRule="auto"/>
        <w:tabs>
          <w:tab w:leader="none" w:pos="325" w:val="left"/>
        </w:tabs>
        <w:numPr>
          <w:ilvl w:val="0"/>
          <w:numId w:val="40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b w:val="1"/>
                <w:bCs w:val="1"/>
                <w:color w:val="auto"/>
              </w:rPr>
              <w:t>C.</w:t>
            </w:r>
          </w:p>
        </w:tc>
        <w:tc>
          <w:tcPr>
            <w:tcW w:w="2760" w:type="dxa"/>
            <w:vAlign w:val="bottom"/>
            <w:gridSpan w:val="3"/>
          </w:tcPr>
          <w:p>
            <w:pPr>
              <w:ind w:left="20"/>
              <w:spacing w:after="0"/>
              <w:rPr>
                <w:sz w:val="20"/>
                <w:szCs w:val="20"/>
                <w:color w:val="auto"/>
              </w:rPr>
            </w:pPr>
            <w:r>
              <w:rPr>
                <w:rFonts w:ascii="Arial" w:cs="Arial" w:eastAsia="Arial" w:hAnsi="Arial"/>
                <w:sz w:val="18"/>
                <w:szCs w:val="18"/>
                <w:b w:val="1"/>
                <w:bCs w:val="1"/>
                <w:color w:val="auto"/>
              </w:rPr>
              <w:t>INK PRODUCTS</w:t>
            </w: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Note: All ink prices are per order, per color.</w:t>
            </w: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UNIT PRICE (per</w:t>
            </w:r>
          </w:p>
        </w:tc>
      </w:tr>
      <w:tr>
        <w:trPr>
          <w:trHeight w:val="234"/>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PART NUMBER</w:t>
            </w: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ORDER QTY</w:t>
            </w:r>
          </w:p>
        </w:tc>
        <w:tc>
          <w:tcPr>
            <w:tcW w:w="700" w:type="dxa"/>
            <w:vAlign w:val="bottom"/>
          </w:tcPr>
          <w:p>
            <w:pPr>
              <w:spacing w:after="0"/>
              <w:rPr>
                <w:sz w:val="20"/>
                <w:szCs w:val="20"/>
                <w:color w:val="auto"/>
              </w:rPr>
            </w:pPr>
            <w:r>
              <w:rPr>
                <w:rFonts w:ascii="Arial" w:cs="Arial" w:eastAsia="Arial" w:hAnsi="Arial"/>
                <w:sz w:val="18"/>
                <w:szCs w:val="18"/>
                <w:b w:val="1"/>
                <w:bCs w:val="1"/>
                <w:color w:val="auto"/>
              </w:rPr>
              <w:t>case)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7060-804-93</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 Model Fluid</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04322</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 Blue</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08178</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Model Fluid - Black</w:t>
            </w:r>
          </w:p>
        </w:tc>
        <w:tc>
          <w:tcPr>
            <w:tcW w:w="3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08180</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 Yellow</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08399</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Model Fluid - Red</w:t>
            </w:r>
          </w:p>
        </w:tc>
        <w:tc>
          <w:tcPr>
            <w:tcW w:w="3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12327</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Model Fluid, Room Temp - Blue</w:t>
            </w:r>
          </w:p>
        </w:tc>
        <w:tc>
          <w:tcPr>
            <w:tcW w:w="3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12329</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Room Temp - Black</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12328</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Model Fluid, Room Temp - Yellow</w:t>
            </w:r>
          </w:p>
        </w:tc>
        <w:tc>
          <w:tcPr>
            <w:tcW w:w="3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12321</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Room Temp - Red</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06291</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 Flush</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for all FUJIFILM Products include standard packaging.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PRICE INCREASES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 after the date of this Agreement, FUJIFILM may, by written notice delivered [***] in advance to Customer, increase prices for Products listed on Schedule 2. Price increases will not apply to orders that are non-cancelable and non-deferrable (pursuant to Schedule 1) at the time of notice of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Any notice of price increase in accordance with the foregoing shall constitute an amendment to this Schedule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ROYALTIES</w:t>
      </w:r>
    </w:p>
    <w:p>
      <w:pPr>
        <w:spacing w:after="0" w:line="229" w:lineRule="exact"/>
        <w:rPr>
          <w:sz w:val="20"/>
          <w:szCs w:val="20"/>
          <w:color w:val="auto"/>
        </w:rPr>
      </w:pPr>
    </w:p>
    <w:p>
      <w:pPr>
        <w:ind w:left="640" w:hanging="640"/>
        <w:spacing w:after="0" w:line="277" w:lineRule="auto"/>
        <w:tabs>
          <w:tab w:leader="none" w:pos="6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Kornit will pay to FUJIFILM a royalty of [***]% ([***] percent) of the amounts received by Kornit (net of returns and allowances and sales and use taxes) upon the sale by Kornit of Ink for use in Kornit Products, except Spectra Ink.</w:t>
      </w:r>
    </w:p>
    <w:p>
      <w:pPr>
        <w:spacing w:after="0" w:line="170" w:lineRule="exact"/>
        <w:rPr>
          <w:rFonts w:ascii="Arial" w:cs="Arial" w:eastAsia="Arial" w:hAnsi="Arial"/>
          <w:sz w:val="18"/>
          <w:szCs w:val="18"/>
          <w:color w:val="auto"/>
        </w:rPr>
      </w:pPr>
    </w:p>
    <w:p>
      <w:pPr>
        <w:ind w:left="640" w:hanging="640"/>
        <w:spacing w:after="0" w:line="308" w:lineRule="auto"/>
        <w:tabs>
          <w:tab w:leader="none" w:pos="64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If Kornit does not supply Ink to be used in Kornit Products Kornit will, in lieu of 1) above, pay to FUJIFILM a royalty of [***]% ([***] percent) of the amounts received by Kornit (net of returns and allowances and sales and use taxes) upon the sale by Kornit of Kornit Products.</w:t>
      </w:r>
    </w:p>
    <w:p>
      <w:pPr>
        <w:spacing w:after="0" w:line="146" w:lineRule="exact"/>
        <w:rPr>
          <w:rFonts w:ascii="Arial" w:cs="Arial" w:eastAsia="Arial" w:hAnsi="Arial"/>
          <w:sz w:val="17"/>
          <w:szCs w:val="17"/>
          <w:color w:val="auto"/>
        </w:rPr>
      </w:pPr>
    </w:p>
    <w:p>
      <w:pPr>
        <w:ind w:left="640" w:hanging="640"/>
        <w:spacing w:after="0"/>
        <w:tabs>
          <w:tab w:leader="none" w:pos="6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first $[***] of ink sales (on an annual basis) is not subject to the royalty provisions under Section 1 above.</w:t>
      </w:r>
    </w:p>
    <w:p>
      <w:pPr>
        <w:spacing w:after="0" w:line="225" w:lineRule="exact"/>
        <w:rPr>
          <w:sz w:val="20"/>
          <w:szCs w:val="20"/>
          <w:color w:val="auto"/>
        </w:rPr>
      </w:pPr>
    </w:p>
    <w:p>
      <w:pPr>
        <w:spacing w:after="0" w:line="342" w:lineRule="auto"/>
        <w:tabs>
          <w:tab w:leader="none" w:pos="325" w:val="left"/>
        </w:tabs>
        <w:numPr>
          <w:ilvl w:val="0"/>
          <w:numId w:val="40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5" w:right="319" w:bottom="1440" w:gutter="0" w:footer="0" w:header="0"/>
        </w:sectPr>
      </w:pPr>
    </w:p>
    <w:bookmarkStart w:id="278" w:name="page279"/>
    <w:bookmarkEnd w:id="278"/>
    <w:p>
      <w:pPr>
        <w:ind w:left="1034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 AMENDMENT #4</w:t>
      </w:r>
    </w:p>
    <w:p>
      <w:pPr>
        <w:spacing w:after="0" w:line="233" w:lineRule="exact"/>
        <w:rPr>
          <w:sz w:val="20"/>
          <w:szCs w:val="20"/>
          <w:color w:val="auto"/>
        </w:rPr>
      </w:pPr>
    </w:p>
    <w:p>
      <w:pPr>
        <w:jc w:val="both"/>
        <w:ind w:firstLine="1297"/>
        <w:spacing w:after="0" w:line="227" w:lineRule="auto"/>
        <w:rPr>
          <w:sz w:val="20"/>
          <w:szCs w:val="20"/>
          <w:color w:val="auto"/>
        </w:rPr>
      </w:pPr>
      <w:r>
        <w:rPr>
          <w:rFonts w:ascii="Arial" w:cs="Arial" w:eastAsia="Arial" w:hAnsi="Arial"/>
          <w:sz w:val="18"/>
          <w:szCs w:val="18"/>
          <w:color w:val="auto"/>
        </w:rPr>
        <w:t>This OEM Supply Agreement Amendment #</w:t>
      </w:r>
      <w:r>
        <w:rPr>
          <w:rFonts w:ascii="Arial" w:cs="Arial" w:eastAsia="Arial" w:hAnsi="Arial"/>
          <w:sz w:val="18"/>
          <w:szCs w:val="18"/>
          <w:b w:val="1"/>
          <w:bCs w:val="1"/>
          <w:color w:val="auto"/>
        </w:rPr>
        <w:t>4</w:t>
      </w:r>
      <w:r>
        <w:rPr>
          <w:rFonts w:ascii="Arial" w:cs="Arial" w:eastAsia="Arial" w:hAnsi="Arial"/>
          <w:sz w:val="18"/>
          <w:szCs w:val="18"/>
          <w:color w:val="auto"/>
        </w:rPr>
        <w:t xml:space="preserve"> (the “Amendment”) is made and entered into as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w:t>
      </w:r>
      <w:r>
        <w:rPr>
          <w:rFonts w:ascii="Arial" w:cs="Arial" w:eastAsia="Arial" w:hAnsi="Arial"/>
          <w:sz w:val="18"/>
          <w:szCs w:val="18"/>
          <w:b w:val="1"/>
          <w:bCs w:val="1"/>
          <w:color w:val="auto"/>
        </w:rPr>
        <w:t>July</w:t>
      </w:r>
      <w:r>
        <w:rPr>
          <w:rFonts w:ascii="Arial" w:cs="Arial" w:eastAsia="Arial" w:hAnsi="Arial"/>
          <w:sz w:val="18"/>
          <w:szCs w:val="18"/>
          <w:color w:val="auto"/>
        </w:rPr>
        <w:t xml:space="preserve">, 2010 by and between FUJIFILM Dimatix, Inc., formerly known as </w:t>
      </w:r>
      <w:r>
        <w:rPr>
          <w:rFonts w:ascii="Arial" w:cs="Arial" w:eastAsia="Arial" w:hAnsi="Arial"/>
          <w:sz w:val="18"/>
          <w:szCs w:val="18"/>
          <w:b w:val="1"/>
          <w:bCs w:val="1"/>
          <w:color w:val="auto"/>
        </w:rPr>
        <w:t>Spectra Printing, a division of Dimatix,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w:t>
      </w:r>
      <w:r>
        <w:rPr>
          <w:rFonts w:ascii="Arial" w:cs="Arial" w:eastAsia="Arial" w:hAnsi="Arial"/>
          <w:sz w:val="18"/>
          <w:szCs w:val="18"/>
          <w:color w:val="auto"/>
        </w:rPr>
        <w:t xml:space="preserve"> (“</w:t>
      </w:r>
      <w:r>
        <w:rPr>
          <w:rFonts w:ascii="Arial" w:cs="Arial" w:eastAsia="Arial" w:hAnsi="Arial"/>
          <w:sz w:val="18"/>
          <w:szCs w:val="18"/>
          <w:b w:val="1"/>
          <w:bCs w:val="1"/>
          <w:color w:val="auto"/>
        </w:rPr>
        <w:t>Kornit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Kornit Digital Technologies Ltd., a division of Kornit Digital Ltd. </w:t>
      </w:r>
      <w:r>
        <w:rPr>
          <w:rFonts w:ascii="Arial" w:cs="Arial" w:eastAsia="Arial" w:hAnsi="Arial"/>
          <w:sz w:val="18"/>
          <w:szCs w:val="18"/>
          <w:color w:val="auto"/>
        </w:rPr>
        <w:t>(collectively, “Company”). All capitalized terms used but not defined herein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meanings assigned to them in the Agreement, as hereinafter defined.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WHEREAS, FUJIFILM and Kornit are parties to an OEM Supply Agreement dated </w:t>
      </w:r>
      <w:r>
        <w:rPr>
          <w:rFonts w:ascii="Arial" w:cs="Arial" w:eastAsia="Arial" w:hAnsi="Arial"/>
          <w:sz w:val="18"/>
          <w:szCs w:val="18"/>
          <w:b w:val="1"/>
          <w:bCs w:val="1"/>
          <w:color w:val="auto"/>
        </w:rPr>
        <w:t>January 6, 2006, OEM Supply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Amendment #1 dated September 20, 2006, OEM Supply Agreement Amendment #2 dated September 1, 2007 and OEM Supply Agreement Amendment #3 dated March 17, 2008 </w:t>
      </w:r>
      <w:r>
        <w:rPr>
          <w:rFonts w:ascii="Arial" w:cs="Arial" w:eastAsia="Arial" w:hAnsi="Arial"/>
          <w:sz w:val="18"/>
          <w:szCs w:val="18"/>
          <w:color w:val="auto"/>
        </w:rPr>
        <w:t>(the “Agreement”), under which FUJIFILM provides to Kornit, and Kornit procures from FUJIFILM,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FUJIFILM products for incorporation with Company products;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w:t>
      </w:r>
    </w:p>
    <w:p>
      <w:pPr>
        <w:spacing w:after="0" w:line="221" w:lineRule="exact"/>
        <w:rPr>
          <w:sz w:val="20"/>
          <w:szCs w:val="20"/>
          <w:color w:val="auto"/>
        </w:rPr>
      </w:pPr>
    </w:p>
    <w:p>
      <w:pPr>
        <w:ind w:left="1880" w:hanging="583"/>
        <w:spacing w:after="0"/>
        <w:tabs>
          <w:tab w:leader="none" w:pos="188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Section 2.4 is hereby deleted in its entirety and replaced with the following new Section 2.4:</w:t>
      </w:r>
    </w:p>
    <w:p>
      <w:pPr>
        <w:spacing w:after="0" w:line="22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2.4 Kornit will provide FUJIFILM with a written report, no later than [***] following the end of [***] during the Term, describing (i) the amount, type and price of all Ink sold, leased or otherwise disposed of, for use with Kornit Product during such period, together with a detailed calculation sufficient to establish a state of Royalties due for [***], and (ii) Royalties, if any, due pursuant to Schedule 2 for Kornit Products sold during such period. Kornit will pay any Royalties due on a bi-annual basis (June 30 and December 31 of each year). FUJIFILM shall have the right to audit the books and records of Kornit [***] during the Term to verify the Royalties paid and applicable [***] reports. The audit shall be conducted by an accounting firm designated by FUJIFILM. If any such audit discloses an underpayment of Royalties, Kornit will pay the shortfall immediately upon receipt of written notice. If such shortfall exceeds [***] percent ([***]%) of the Royalties due, Kornit shall also reimburse FUJIFILM for the costs of the audit.</w:t>
      </w:r>
    </w:p>
    <w:p>
      <w:pPr>
        <w:spacing w:after="0" w:line="167" w:lineRule="exact"/>
        <w:rPr>
          <w:sz w:val="20"/>
          <w:szCs w:val="20"/>
          <w:color w:val="auto"/>
        </w:rPr>
      </w:pPr>
    </w:p>
    <w:p>
      <w:pPr>
        <w:ind w:left="1880" w:hanging="583"/>
        <w:spacing w:after="0"/>
        <w:tabs>
          <w:tab w:leader="none" w:pos="188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Schedule 2 of the Agreement is hereby deleted in its entirety and replaced with the attached Schedule 2.</w:t>
      </w:r>
    </w:p>
    <w:p>
      <w:pPr>
        <w:spacing w:after="0" w:line="225" w:lineRule="exact"/>
        <w:rPr>
          <w:rFonts w:ascii="Arial" w:cs="Arial" w:eastAsia="Arial" w:hAnsi="Arial"/>
          <w:sz w:val="18"/>
          <w:szCs w:val="18"/>
          <w:color w:val="auto"/>
        </w:rPr>
      </w:pPr>
    </w:p>
    <w:p>
      <w:pPr>
        <w:spacing w:after="0" w:line="342" w:lineRule="auto"/>
        <w:tabs>
          <w:tab w:leader="none" w:pos="32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79" w:name="page280"/>
    <w:bookmarkEnd w:id="279"/>
    <w:p>
      <w:pPr>
        <w:ind w:right="20" w:firstLine="1297"/>
        <w:spacing w:after="0" w:line="277" w:lineRule="auto"/>
        <w:tabs>
          <w:tab w:leader="none" w:pos="1881" w:val="left"/>
        </w:tabs>
        <w:numPr>
          <w:ilvl w:val="0"/>
          <w:numId w:val="408"/>
        </w:numPr>
        <w:rPr>
          <w:rFonts w:ascii="Arial" w:cs="Arial" w:eastAsia="Arial" w:hAnsi="Arial"/>
          <w:sz w:val="18"/>
          <w:szCs w:val="18"/>
          <w:color w:val="auto"/>
        </w:rPr>
      </w:pPr>
      <w:r>
        <w:rPr>
          <w:rFonts w:ascii="Arial" w:cs="Arial" w:eastAsia="Arial" w:hAnsi="Arial"/>
          <w:sz w:val="18"/>
          <w:szCs w:val="18"/>
          <w:color w:val="auto"/>
        </w:rPr>
        <w:t>Each reference to Kornit Digital Ltd. contained in the Agreement, shall from and after the above written date above be changed to include Kornit Digital Technologies Ltd.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Amendments:</w:t>
      </w:r>
    </w:p>
    <w:p>
      <w:pPr>
        <w:spacing w:after="0" w:line="221" w:lineRule="exact"/>
        <w:rPr>
          <w:sz w:val="20"/>
          <w:szCs w:val="20"/>
          <w:color w:val="auto"/>
        </w:rPr>
      </w:pPr>
    </w:p>
    <w:p>
      <w:pPr>
        <w:ind w:left="1300" w:right="200" w:hanging="3"/>
        <w:spacing w:after="0" w:line="503" w:lineRule="auto"/>
        <w:tabs>
          <w:tab w:leader="none" w:pos="188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Section </w:t>
      </w:r>
      <w:r>
        <w:rPr>
          <w:rFonts w:ascii="Arial" w:cs="Arial" w:eastAsia="Arial" w:hAnsi="Arial"/>
          <w:sz w:val="18"/>
          <w:szCs w:val="18"/>
          <w:b w:val="1"/>
          <w:bCs w:val="1"/>
          <w:color w:val="auto"/>
        </w:rPr>
        <w:t>7.9</w:t>
      </w:r>
      <w:r>
        <w:rPr>
          <w:rFonts w:ascii="Arial" w:cs="Arial" w:eastAsia="Arial" w:hAnsi="Arial"/>
          <w:sz w:val="18"/>
          <w:szCs w:val="18"/>
          <w:color w:val="auto"/>
        </w:rPr>
        <w:t xml:space="preserve"> of the Agreement is hereby changed by replacing the address for notices to be sent to FUJIFILM to read as follows: “In the case of FUJIFILM:</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Dimatix,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2230 Martin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565-9151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Holdings America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Summit Lake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Valhalla, NY 10595-1356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(914) 789-8514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 Department@fujifilm.com</w:t>
      </w:r>
    </w:p>
    <w:p>
      <w:pPr>
        <w:spacing w:after="0" w:line="211" w:lineRule="exact"/>
        <w:rPr>
          <w:sz w:val="20"/>
          <w:szCs w:val="20"/>
          <w:color w:val="auto"/>
        </w:rPr>
      </w:pPr>
    </w:p>
    <w:p>
      <w:pPr>
        <w:ind w:left="1880" w:hanging="583"/>
        <w:spacing w:after="0"/>
        <w:tabs>
          <w:tab w:leader="none" w:pos="18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This Amendment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duly authorized representatives as of the date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880" w:type="dxa"/>
            <w:vAlign w:val="bottom"/>
            <w:gridSpan w:val="2"/>
          </w:tcPr>
          <w:p>
            <w:pPr>
              <w:ind w:left="68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1160" w:type="dxa"/>
            <w:vAlign w:val="bottom"/>
          </w:tcPr>
          <w:p>
            <w:pPr>
              <w:ind w:left="6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Martin Schoeppler</w:t>
            </w:r>
          </w:p>
        </w:tc>
        <w:tc>
          <w:tcPr>
            <w:tcW w:w="5880" w:type="dxa"/>
            <w:vAlign w:val="bottom"/>
            <w:gridSpan w:val="2"/>
          </w:tcPr>
          <w:p>
            <w:pPr>
              <w:ind w:left="680"/>
              <w:spacing w:after="0"/>
              <w:rPr>
                <w:sz w:val="20"/>
                <w:szCs w:val="20"/>
                <w:color w:val="auto"/>
              </w:rPr>
            </w:pPr>
            <w:r>
              <w:rPr>
                <w:rFonts w:ascii="Arial" w:cs="Arial" w:eastAsia="Arial" w:hAnsi="Arial"/>
                <w:sz w:val="18"/>
                <w:szCs w:val="18"/>
                <w:color w:val="auto"/>
              </w:rPr>
              <w:t>Name:Ofer Ben-Zur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CEO and President</w:t>
            </w:r>
          </w:p>
        </w:tc>
        <w:tc>
          <w:tcPr>
            <w:tcW w:w="1160" w:type="dxa"/>
            <w:vAlign w:val="bottom"/>
          </w:tcPr>
          <w:p>
            <w:pPr>
              <w:ind w:left="680"/>
              <w:spacing w:after="0"/>
              <w:rPr>
                <w:sz w:val="20"/>
                <w:szCs w:val="20"/>
                <w:color w:val="auto"/>
              </w:rPr>
            </w:pPr>
            <w:r>
              <w:rPr>
                <w:rFonts w:ascii="Arial" w:cs="Arial" w:eastAsia="Arial" w:hAnsi="Arial"/>
                <w:sz w:val="18"/>
                <w:szCs w:val="18"/>
                <w:color w:val="auto"/>
              </w:rPr>
              <w:t>Title:</w:t>
            </w: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26"/>
        </w:trPr>
        <w:tc>
          <w:tcPr>
            <w:tcW w:w="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80" w:type="dxa"/>
            <w:vAlign w:val="bottom"/>
            <w:gridSpan w:val="2"/>
          </w:tcPr>
          <w:p>
            <w:pPr>
              <w:ind w:left="680"/>
              <w:spacing w:after="0"/>
              <w:rPr>
                <w:sz w:val="20"/>
                <w:szCs w:val="20"/>
                <w:color w:val="auto"/>
              </w:rPr>
            </w:pPr>
            <w:r>
              <w:rPr>
                <w:rFonts w:ascii="Arial" w:cs="Arial" w:eastAsia="Arial" w:hAnsi="Arial"/>
                <w:sz w:val="18"/>
                <w:szCs w:val="18"/>
                <w:b w:val="1"/>
                <w:bCs w:val="1"/>
                <w:color w:val="auto"/>
              </w:rPr>
              <w:t>KORNIT DIGITAL TECHNOLOGIES LTD</w:t>
            </w:r>
            <w:r>
              <w:rPr>
                <w:rFonts w:ascii="Arial" w:cs="Arial" w:eastAsia="Arial" w:hAnsi="Arial"/>
                <w:sz w:val="18"/>
                <w:szCs w:val="18"/>
                <w:color w:val="auto"/>
              </w:rPr>
              <w:t>.</w:t>
            </w:r>
          </w:p>
        </w:tc>
      </w:tr>
      <w:tr>
        <w:trPr>
          <w:trHeight w:val="432"/>
        </w:trPr>
        <w:tc>
          <w:tcPr>
            <w:tcW w:w="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210"/>
        </w:trPr>
        <w:tc>
          <w:tcPr>
            <w:tcW w:w="6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Arial" w:cs="Arial" w:eastAsia="Arial" w:hAnsi="Arial"/>
                <w:sz w:val="18"/>
                <w:szCs w:val="18"/>
                <w:color w:val="auto"/>
                <w:w w:val="86"/>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210"/>
        </w:trPr>
        <w:tc>
          <w:tcPr>
            <w:tcW w:w="6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spacing w:after="0" w:line="342" w:lineRule="auto"/>
        <w:tabs>
          <w:tab w:leader="none" w:pos="325" w:val="left"/>
        </w:tabs>
        <w:numPr>
          <w:ilvl w:val="0"/>
          <w:numId w:val="41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80" w:hanging="680"/>
        <w:spacing w:after="0"/>
        <w:tabs>
          <w:tab w:leader="none" w:pos="68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jc w:val="right"/>
              <w:ind w:right="1130"/>
              <w:spacing w:after="0"/>
              <w:rPr>
                <w:sz w:val="20"/>
                <w:szCs w:val="20"/>
                <w:color w:val="auto"/>
              </w:rPr>
            </w:pPr>
            <w:r>
              <w:rPr>
                <w:rFonts w:ascii="Arial" w:cs="Arial" w:eastAsia="Arial" w:hAnsi="Arial"/>
                <w:sz w:val="18"/>
                <w:szCs w:val="18"/>
                <w:b w:val="1"/>
                <w:bCs w:val="1"/>
                <w:color w:val="auto"/>
                <w:w w:val="97"/>
              </w:rPr>
              <w:t>PART NUMBER</w:t>
            </w:r>
          </w:p>
        </w:tc>
        <w:tc>
          <w:tcPr>
            <w:tcW w:w="3340" w:type="dxa"/>
            <w:vAlign w:val="bottom"/>
          </w:tcPr>
          <w:p>
            <w:pPr>
              <w:jc w:val="center"/>
              <w:ind w:left="90"/>
              <w:spacing w:after="0"/>
              <w:rPr>
                <w:sz w:val="20"/>
                <w:szCs w:val="20"/>
                <w:color w:val="auto"/>
              </w:rPr>
            </w:pPr>
            <w:r>
              <w:rPr>
                <w:rFonts w:ascii="Arial" w:cs="Arial" w:eastAsia="Arial" w:hAnsi="Arial"/>
                <w:sz w:val="18"/>
                <w:szCs w:val="18"/>
                <w:b w:val="1"/>
                <w:bCs w:val="1"/>
                <w:color w:val="auto"/>
              </w:rPr>
              <w:t>DESCRIPTION</w:t>
            </w:r>
          </w:p>
        </w:tc>
        <w:tc>
          <w:tcPr>
            <w:tcW w:w="2240" w:type="dxa"/>
            <w:vAlign w:val="bottom"/>
          </w:tcPr>
          <w:p>
            <w:pPr>
              <w:jc w:val="center"/>
              <w:ind w:left="150"/>
              <w:spacing w:after="0"/>
              <w:rPr>
                <w:sz w:val="20"/>
                <w:szCs w:val="20"/>
                <w:color w:val="auto"/>
              </w:rPr>
            </w:pPr>
            <w:r>
              <w:rPr>
                <w:rFonts w:ascii="Arial" w:cs="Arial" w:eastAsia="Arial" w:hAnsi="Arial"/>
                <w:sz w:val="18"/>
                <w:szCs w:val="18"/>
                <w:b w:val="1"/>
                <w:bCs w:val="1"/>
                <w:color w:val="auto"/>
              </w:rPr>
              <w:t>ORDER QTY</w:t>
            </w:r>
          </w:p>
        </w:tc>
        <w:tc>
          <w:tcPr>
            <w:tcW w:w="880" w:type="dxa"/>
            <w:vAlign w:val="bottom"/>
          </w:tcPr>
          <w:p>
            <w:pPr>
              <w:spacing w:after="0"/>
              <w:rPr>
                <w:sz w:val="20"/>
                <w:szCs w:val="20"/>
                <w:color w:val="auto"/>
              </w:rPr>
            </w:pPr>
          </w:p>
        </w:tc>
        <w:tc>
          <w:tcPr>
            <w:tcW w:w="2260" w:type="dxa"/>
            <w:vAlign w:val="bottom"/>
          </w:tcPr>
          <w:p>
            <w:pPr>
              <w:ind w:left="34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2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5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05536</w:t>
            </w:r>
          </w:p>
        </w:tc>
        <w:tc>
          <w:tcPr>
            <w:tcW w:w="33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Nova JA 256/80 AAA</w:t>
            </w: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5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09493</w:t>
            </w:r>
          </w:p>
        </w:tc>
        <w:tc>
          <w:tcPr>
            <w:tcW w:w="33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Galaxy JA 256/80 AAA</w:t>
            </w:r>
          </w:p>
        </w:tc>
        <w:tc>
          <w:tcPr>
            <w:tcW w:w="22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*Note - This pricing is based on Kornit taking delivery of a minimum of [***] Nova JA 256/80 AAA units for the period July 1, 2010 through June 30, 2011. If the volume is not achieved, FUJIFILM reserves the right to increase pricing to $[***] for future units.</w:t>
      </w:r>
    </w:p>
    <w:p>
      <w:pPr>
        <w:spacing w:after="0" w:line="162" w:lineRule="exact"/>
        <w:rPr>
          <w:sz w:val="20"/>
          <w:szCs w:val="20"/>
          <w:color w:val="auto"/>
        </w:rPr>
      </w:pPr>
    </w:p>
    <w:p>
      <w:pPr>
        <w:ind w:left="660" w:hanging="660"/>
        <w:spacing w:after="0"/>
        <w:tabs>
          <w:tab w:leader="none" w:pos="66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 after the Effective Date, FUJIFILM may, by written notice delivered [***] in advance to Kornit, increase prices for FUJIFILM Products listed on this Schedule 2. Price increases will not apply to orders that are non-cancelable and non-deferrable (pursuant to Schedule 1) at the time of notice of the increase. Any notice of price increase in accordance with the foregoing shall constitute an amendment to this Schedule 2.</w:t>
      </w:r>
    </w:p>
    <w:p>
      <w:pPr>
        <w:spacing w:after="0" w:line="162" w:lineRule="exact"/>
        <w:rPr>
          <w:sz w:val="20"/>
          <w:szCs w:val="20"/>
          <w:color w:val="auto"/>
        </w:rPr>
      </w:pPr>
    </w:p>
    <w:p>
      <w:pPr>
        <w:ind w:left="680" w:hanging="680"/>
        <w:spacing w:after="0"/>
        <w:tabs>
          <w:tab w:leader="none" w:pos="68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ind w:left="1300" w:hanging="652"/>
        <w:spacing w:after="0" w:line="308" w:lineRule="auto"/>
        <w:tabs>
          <w:tab w:leader="none" w:pos="13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Kornit shall pay to FUJIFILM a Royalty equal to five percent (5%) of the total amount received by Kornit (net of returns, allowances, sales and use taxes) upon the sale to a Third Party Customer of Ink for use in Kornit Products, except FUJIFILM Ink.</w:t>
      </w:r>
    </w:p>
    <w:p>
      <w:pPr>
        <w:spacing w:after="0" w:line="146" w:lineRule="exact"/>
        <w:rPr>
          <w:rFonts w:ascii="Arial" w:cs="Arial" w:eastAsia="Arial" w:hAnsi="Arial"/>
          <w:sz w:val="17"/>
          <w:szCs w:val="17"/>
          <w:color w:val="auto"/>
        </w:rPr>
      </w:pPr>
    </w:p>
    <w:p>
      <w:pPr>
        <w:jc w:val="both"/>
        <w:ind w:left="1300" w:hanging="652"/>
        <w:spacing w:after="0" w:line="259" w:lineRule="auto"/>
        <w:tabs>
          <w:tab w:leader="none" w:pos="130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five percent (5%) Royalty referenced in subsection 1) above, pay to FUJIFILM a Royalty equal to two percent (2%) of the total amount received by Kornit (net of returns, allowances, sales and use taxes) upon the sale to a Third Party Customer of Kornit Products, in addition to the price paid for such Kornit Product pursuant to this Schedule 2.</w:t>
      </w:r>
    </w:p>
    <w:p>
      <w:pPr>
        <w:spacing w:after="0" w:line="186" w:lineRule="exact"/>
        <w:rPr>
          <w:rFonts w:ascii="Arial" w:cs="Arial" w:eastAsia="Arial" w:hAnsi="Arial"/>
          <w:sz w:val="18"/>
          <w:szCs w:val="18"/>
          <w:color w:val="auto"/>
        </w:rPr>
      </w:pPr>
    </w:p>
    <w:p>
      <w:pPr>
        <w:ind w:left="1300" w:hanging="652"/>
        <w:spacing w:after="0" w:line="277" w:lineRule="auto"/>
        <w:tabs>
          <w:tab w:leader="none" w:pos="130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first $500,000 of ink sales (on an annual basis, with annual being January 1 to December 31) is not subject to the royalty provisions under Section 1 above.</w:t>
      </w:r>
    </w:p>
    <w:p>
      <w:pPr>
        <w:spacing w:after="0" w:line="170" w:lineRule="exact"/>
        <w:rPr>
          <w:sz w:val="20"/>
          <w:szCs w:val="20"/>
          <w:color w:val="auto"/>
        </w:rPr>
      </w:pPr>
    </w:p>
    <w:p>
      <w:pPr>
        <w:spacing w:after="0" w:line="342" w:lineRule="auto"/>
        <w:tabs>
          <w:tab w:leader="none" w:pos="32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 PRICING AMENDMENT #5</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This OEM Supply Agreement Pricing Amendment #5 (the “Amendment”) is made and entered into as of the 4th day of October, 2011 by and between FUJIFILM Dimatix, Inc., formerly known as </w:t>
      </w:r>
      <w:r>
        <w:rPr>
          <w:rFonts w:ascii="Arial" w:cs="Arial" w:eastAsia="Arial" w:hAnsi="Arial"/>
          <w:sz w:val="18"/>
          <w:szCs w:val="18"/>
          <w:b w:val="1"/>
          <w:bCs w:val="1"/>
          <w:color w:val="auto"/>
        </w:rPr>
        <w:t>Spectra Printing, a division of Dimatix,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Kornit Digital Technologies Ltd., a division of Kornit Digital Ltd. </w:t>
      </w:r>
      <w:r>
        <w:rPr>
          <w:rFonts w:ascii="Arial" w:cs="Arial" w:eastAsia="Arial" w:hAnsi="Arial"/>
          <w:sz w:val="18"/>
          <w:szCs w:val="18"/>
          <w:color w:val="auto"/>
        </w:rPr>
        <w:t>(“Company”). All capitalized terms used but not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assigned to them in the Agreement, as hereinafter defined.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color w:val="auto"/>
        </w:rPr>
        <w:t xml:space="preserve">WHEREAS, FUJIFILM and Company are parties to an OEM Supply Agreement dated </w:t>
      </w:r>
      <w:r>
        <w:rPr>
          <w:rFonts w:ascii="Arial" w:cs="Arial" w:eastAsia="Arial" w:hAnsi="Arial"/>
          <w:sz w:val="17"/>
          <w:szCs w:val="17"/>
          <w:b w:val="1"/>
          <w:bCs w:val="1"/>
          <w:color w:val="auto"/>
        </w:rPr>
        <w:t>January 6, 2006, OEM Supply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Amendment #1 dated September 20, 2006, OEM Supply Agreement Amendment #2 dated September 1, 2007, OEM Supply Agreement Amendment #3 dated March 17, 2008 and OEM Supply Agreement Amendment #4 dated July 1, 2010 </w:t>
      </w:r>
      <w:r>
        <w:rPr>
          <w:rFonts w:ascii="Arial" w:cs="Arial" w:eastAsia="Arial" w:hAnsi="Arial"/>
          <w:sz w:val="17"/>
          <w:szCs w:val="17"/>
          <w:color w:val="auto"/>
        </w:rPr>
        <w:t>(the “Agreement”), under which FUJIFILM</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to Company, and Company procures from FUJIFILM, certain FUJIFILM products for incorporation with Company products; and</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40" w:hanging="543"/>
        <w:spacing w:after="0"/>
        <w:tabs>
          <w:tab w:leader="none" w:pos="18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Schedule 2 of the Agreement is hereby deleted in its entirety and a new Schedule 2 is attached.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Additional Amendments</w:t>
      </w:r>
      <w:r>
        <w:rPr>
          <w:rFonts w:ascii="Arial" w:cs="Arial" w:eastAsia="Arial" w:hAnsi="Arial"/>
          <w:sz w:val="18"/>
          <w:szCs w:val="18"/>
          <w:color w:val="auto"/>
        </w:rPr>
        <w:t>:</w:t>
      </w:r>
    </w:p>
    <w:p>
      <w:pPr>
        <w:spacing w:after="0" w:line="225" w:lineRule="exact"/>
        <w:rPr>
          <w:sz w:val="20"/>
          <w:szCs w:val="20"/>
          <w:color w:val="auto"/>
        </w:rPr>
      </w:pPr>
    </w:p>
    <w:p>
      <w:pPr>
        <w:ind w:left="1840" w:hanging="543"/>
        <w:spacing w:after="0"/>
        <w:tabs>
          <w:tab w:leader="none" w:pos="184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Section 7.9 of the Agreement is hereby changed by replacing the address for notices to be sent to FUJIFILM to read as follows: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FUJIFILM:</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Dimatix,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2230 Martin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565-9151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Holdings America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Summit Lake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Valhalla, NY 10595-1356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(914) 789-8514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 artment@fujifilm.com</w:t>
      </w:r>
    </w:p>
    <w:p>
      <w:pPr>
        <w:spacing w:after="0" w:line="211" w:lineRule="exact"/>
        <w:rPr>
          <w:sz w:val="20"/>
          <w:szCs w:val="20"/>
          <w:color w:val="auto"/>
        </w:rPr>
      </w:pPr>
    </w:p>
    <w:p>
      <w:pPr>
        <w:spacing w:after="0" w:line="342" w:lineRule="auto"/>
        <w:tabs>
          <w:tab w:leader="none" w:pos="325" w:val="left"/>
        </w:tabs>
        <w:numPr>
          <w:ilvl w:val="0"/>
          <w:numId w:val="41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82" w:name="page283"/>
    <w:bookmarkEnd w:id="282"/>
    <w:p>
      <w:pPr>
        <w:ind w:left="1840" w:hanging="543"/>
        <w:spacing w:after="0"/>
        <w:tabs>
          <w:tab w:leader="none" w:pos="18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This Amendment will be effective as of the date above written.</w:t>
      </w:r>
    </w:p>
    <w:p>
      <w:pPr>
        <w:spacing w:after="0" w:line="225" w:lineRule="exact"/>
        <w:rPr>
          <w:rFonts w:ascii="Arial" w:cs="Arial" w:eastAsia="Arial" w:hAnsi="Arial"/>
          <w:sz w:val="18"/>
          <w:szCs w:val="18"/>
          <w:color w:val="auto"/>
        </w:rPr>
      </w:pPr>
    </w:p>
    <w:p>
      <w:pPr>
        <w:ind w:left="1840" w:hanging="543"/>
        <w:spacing w:after="0"/>
        <w:tabs>
          <w:tab w:leader="none" w:pos="18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6180" w:type="dxa"/>
            <w:vAlign w:val="bottom"/>
            <w:gridSpan w:val="3"/>
          </w:tcPr>
          <w:p>
            <w:pPr>
              <w:ind w:left="22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By:  /s/ Martin Schoeppler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/s/ Ofer Ben-Zur</w:t>
            </w:r>
          </w:p>
        </w:tc>
      </w:tr>
      <w:tr>
        <w:trPr>
          <w:trHeight w:val="20"/>
        </w:trPr>
        <w:tc>
          <w:tcPr>
            <w:tcW w:w="4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r>
      <w:tr>
        <w:trPr>
          <w:trHeight w:val="264"/>
        </w:trPr>
        <w:tc>
          <w:tcPr>
            <w:tcW w:w="5080" w:type="dxa"/>
            <w:vAlign w:val="bottom"/>
            <w:gridSpan w:val="2"/>
          </w:tcPr>
          <w:p>
            <w:pPr>
              <w:spacing w:after="0"/>
              <w:rPr>
                <w:sz w:val="20"/>
                <w:szCs w:val="20"/>
                <w:color w:val="auto"/>
              </w:rPr>
            </w:pPr>
            <w:r>
              <w:rPr>
                <w:rFonts w:ascii="Arial" w:cs="Arial" w:eastAsia="Arial" w:hAnsi="Arial"/>
                <w:sz w:val="18"/>
                <w:szCs w:val="18"/>
                <w:color w:val="auto"/>
              </w:rPr>
              <w:t>Name: Martin Schoeppler</w:t>
            </w:r>
          </w:p>
        </w:tc>
        <w:tc>
          <w:tcPr>
            <w:tcW w:w="700" w:type="dxa"/>
            <w:vAlign w:val="bottom"/>
          </w:tcPr>
          <w:p>
            <w:pPr>
              <w:spacing w:after="0"/>
              <w:rPr>
                <w:sz w:val="22"/>
                <w:szCs w:val="22"/>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426"/>
        </w:trPr>
        <w:tc>
          <w:tcPr>
            <w:tcW w:w="5080" w:type="dxa"/>
            <w:vAlign w:val="bottom"/>
            <w:gridSpan w:val="2"/>
          </w:tcPr>
          <w:p>
            <w:pPr>
              <w:spacing w:after="0"/>
              <w:rPr>
                <w:sz w:val="20"/>
                <w:szCs w:val="20"/>
                <w:color w:val="auto"/>
              </w:rPr>
            </w:pPr>
            <w:r>
              <w:rPr>
                <w:rFonts w:ascii="Arial" w:cs="Arial" w:eastAsia="Arial" w:hAnsi="Arial"/>
                <w:sz w:val="18"/>
                <w:szCs w:val="18"/>
                <w:color w:val="auto"/>
              </w:rPr>
              <w:t>Title: CEO and President</w:t>
            </w:r>
          </w:p>
        </w:tc>
        <w:tc>
          <w:tcPr>
            <w:tcW w:w="70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12"/>
        </w:trPr>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180" w:type="dxa"/>
            <w:vAlign w:val="bottom"/>
            <w:gridSpan w:val="3"/>
          </w:tcPr>
          <w:p>
            <w:pPr>
              <w:ind w:left="220"/>
              <w:spacing w:after="0"/>
              <w:rPr>
                <w:sz w:val="20"/>
                <w:szCs w:val="20"/>
                <w:color w:val="auto"/>
              </w:rPr>
            </w:pPr>
            <w:r>
              <w:rPr>
                <w:rFonts w:ascii="Arial" w:cs="Arial" w:eastAsia="Arial" w:hAnsi="Arial"/>
                <w:sz w:val="18"/>
                <w:szCs w:val="18"/>
                <w:b w:val="1"/>
                <w:bCs w:val="1"/>
                <w:color w:val="auto"/>
              </w:rPr>
              <w:t>KORNIT DIGITALTECHNOLOGIES LTD.</w:t>
            </w:r>
          </w:p>
        </w:tc>
      </w:tr>
      <w:tr>
        <w:trPr>
          <w:trHeight w:val="432"/>
        </w:trPr>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Ofer Ben-Zur</w:t>
            </w:r>
          </w:p>
        </w:tc>
      </w:tr>
    </w:tbl>
    <w:p>
      <w:pPr>
        <w:spacing w:after="0" w:line="20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347345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34734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spacing w:after="0" w:line="342" w:lineRule="auto"/>
        <w:tabs>
          <w:tab w:leader="none" w:pos="32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40" w:hanging="640"/>
        <w:spacing w:after="0"/>
        <w:tabs>
          <w:tab w:leader="none" w:pos="64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PART NUMBER</w:t>
            </w: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200" w:type="dxa"/>
            <w:vAlign w:val="bottom"/>
          </w:tcPr>
          <w:p>
            <w:pPr>
              <w:jc w:val="center"/>
              <w:ind w:left="430"/>
              <w:spacing w:after="0"/>
              <w:rPr>
                <w:sz w:val="20"/>
                <w:szCs w:val="20"/>
                <w:color w:val="auto"/>
              </w:rPr>
            </w:pPr>
            <w:r>
              <w:rPr>
                <w:rFonts w:ascii="Arial" w:cs="Arial" w:eastAsia="Arial" w:hAnsi="Arial"/>
                <w:sz w:val="18"/>
                <w:szCs w:val="18"/>
                <w:b w:val="1"/>
                <w:bCs w:val="1"/>
                <w:color w:val="auto"/>
              </w:rPr>
              <w:t>ORDER QTY</w:t>
            </w:r>
          </w:p>
        </w:tc>
        <w:tc>
          <w:tcPr>
            <w:tcW w:w="740" w:type="dxa"/>
            <w:vAlign w:val="bottom"/>
          </w:tcPr>
          <w:p>
            <w:pPr>
              <w:spacing w:after="0"/>
              <w:rPr>
                <w:sz w:val="20"/>
                <w:szCs w:val="20"/>
                <w:color w:val="auto"/>
              </w:rPr>
            </w:pPr>
          </w:p>
        </w:tc>
        <w:tc>
          <w:tcPr>
            <w:tcW w:w="2020" w:type="dxa"/>
            <w:vAlign w:val="bottom"/>
            <w:gridSpan w:val="2"/>
          </w:tcPr>
          <w:p>
            <w:pPr>
              <w:ind w:left="360"/>
              <w:spacing w:after="0"/>
              <w:rPr>
                <w:sz w:val="20"/>
                <w:szCs w:val="20"/>
                <w:color w:val="auto"/>
              </w:rPr>
            </w:pPr>
            <w:r>
              <w:rPr>
                <w:rFonts w:ascii="Arial" w:cs="Arial" w:eastAsia="Arial" w:hAnsi="Arial"/>
                <w:sz w:val="18"/>
                <w:szCs w:val="18"/>
                <w:b w:val="1"/>
                <w:bCs w:val="1"/>
                <w:color w:val="auto"/>
              </w:rPr>
              <w:t>UNIT PRICE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05536</w:t>
            </w: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Nova JA 256/80 AAA</w:t>
            </w:r>
          </w:p>
        </w:tc>
        <w:tc>
          <w:tcPr>
            <w:tcW w:w="22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09493</w:t>
            </w: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Galaxy JA 256/80 AAA</w:t>
            </w:r>
          </w:p>
        </w:tc>
        <w:tc>
          <w:tcPr>
            <w:tcW w:w="22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hanging="640"/>
        <w:spacing w:after="0"/>
        <w:tabs>
          <w:tab w:leader="none" w:pos="64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 after the Effective Date, FUJIFILM may, by written notice delivered [***]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p>
    <w:p>
      <w:pPr>
        <w:spacing w:after="0" w:line="162" w:lineRule="exact"/>
        <w:rPr>
          <w:sz w:val="20"/>
          <w:szCs w:val="20"/>
          <w:color w:val="auto"/>
        </w:rPr>
      </w:pPr>
    </w:p>
    <w:p>
      <w:pPr>
        <w:ind w:left="640" w:hanging="640"/>
        <w:spacing w:after="0"/>
        <w:tabs>
          <w:tab w:leader="none" w:pos="64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ind w:left="1300" w:hanging="652"/>
        <w:spacing w:after="0" w:line="308" w:lineRule="auto"/>
        <w:tabs>
          <w:tab w:leader="none" w:pos="130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Kornit shall pay to FUJIFILM a Royalty equal to [***] percent ([***]%) of the total amount received by Kornit (net of returns, allowances, sales and use taxes) upon the sale to a Third Party Customer of Ink for use in Kornit Products, except FUJIFILM Ink.</w:t>
      </w:r>
    </w:p>
    <w:p>
      <w:pPr>
        <w:spacing w:after="0" w:line="146" w:lineRule="exact"/>
        <w:rPr>
          <w:rFonts w:ascii="Arial" w:cs="Arial" w:eastAsia="Arial" w:hAnsi="Arial"/>
          <w:sz w:val="17"/>
          <w:szCs w:val="17"/>
          <w:color w:val="auto"/>
        </w:rPr>
      </w:pPr>
    </w:p>
    <w:p>
      <w:pPr>
        <w:jc w:val="both"/>
        <w:ind w:left="1300" w:hanging="652"/>
        <w:spacing w:after="0" w:line="259" w:lineRule="auto"/>
        <w:tabs>
          <w:tab w:leader="none" w:pos="13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Royalty referenced in subsection 1) above, pay to FUJIFILM a Royalty equal to [***] percent ([***]%) of the total amount received by Kornit (net of returns, allowances, sales and use taxes) upon the sale to a Third Party Customer of Kornit Products, in addition to the price paid for such Kornit Product pursuant to this Schedule 2.</w:t>
      </w:r>
    </w:p>
    <w:p>
      <w:pPr>
        <w:spacing w:after="0" w:line="186" w:lineRule="exact"/>
        <w:rPr>
          <w:rFonts w:ascii="Arial" w:cs="Arial" w:eastAsia="Arial" w:hAnsi="Arial"/>
          <w:sz w:val="18"/>
          <w:szCs w:val="18"/>
          <w:color w:val="auto"/>
        </w:rPr>
      </w:pPr>
    </w:p>
    <w:p>
      <w:pPr>
        <w:ind w:left="1300" w:hanging="652"/>
        <w:spacing w:after="0" w:line="277" w:lineRule="auto"/>
        <w:tabs>
          <w:tab w:leader="none" w:pos="13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first $[***] of ink sales (on an annual basis, with annual being January 1 to December 31) is not subject to the royalty provisions under Section 1 above.</w:t>
      </w:r>
    </w:p>
    <w:p>
      <w:pPr>
        <w:spacing w:after="0" w:line="166" w:lineRule="exact"/>
        <w:rPr>
          <w:rFonts w:ascii="Arial" w:cs="Arial" w:eastAsia="Arial" w:hAnsi="Arial"/>
          <w:sz w:val="18"/>
          <w:szCs w:val="18"/>
          <w:color w:val="auto"/>
        </w:rPr>
      </w:pPr>
    </w:p>
    <w:p>
      <w:pPr>
        <w:ind w:left="640" w:hanging="640"/>
        <w:spacing w:after="0"/>
        <w:tabs>
          <w:tab w:leader="none" w:pos="64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be issued as a credit toward current or new invoices for purchases of FUJIFILM Products. This rebate program became effective June 1, 2010.</w:t>
      </w:r>
    </w:p>
    <w:p>
      <w:pPr>
        <w:spacing w:after="0" w:line="166" w:lineRule="exact"/>
        <w:rPr>
          <w:sz w:val="20"/>
          <w:szCs w:val="20"/>
          <w:color w:val="auto"/>
        </w:rPr>
      </w:pPr>
    </w:p>
    <w:p>
      <w:pPr>
        <w:spacing w:after="0" w:line="342" w:lineRule="auto"/>
        <w:tabs>
          <w:tab w:leader="none" w:pos="325" w:val="left"/>
        </w:tabs>
        <w:numPr>
          <w:ilvl w:val="0"/>
          <w:numId w:val="42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OEM SUPPLY AGREEMENT PRICING AMENDMENT #6</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OEM Supply Agreement Pricing Amendment #6 (the “Amendment”) is made and entered into as of the </w:t>
      </w:r>
      <w:r>
        <w:rPr>
          <w:rFonts w:ascii="Arial" w:cs="Arial" w:eastAsia="Arial" w:hAnsi="Arial"/>
          <w:sz w:val="18"/>
          <w:szCs w:val="18"/>
          <w:b w:val="1"/>
          <w:bCs w:val="1"/>
          <w:color w:val="auto"/>
        </w:rPr>
        <w:t>6th</w:t>
      </w:r>
      <w:r>
        <w:rPr>
          <w:rFonts w:ascii="Arial" w:cs="Arial" w:eastAsia="Arial" w:hAnsi="Arial"/>
          <w:sz w:val="18"/>
          <w:szCs w:val="18"/>
          <w:color w:val="auto"/>
        </w:rPr>
        <w:t xml:space="preserve"> day of </w:t>
      </w:r>
      <w:r>
        <w:rPr>
          <w:rFonts w:ascii="Arial" w:cs="Arial" w:eastAsia="Arial" w:hAnsi="Arial"/>
          <w:sz w:val="18"/>
          <w:szCs w:val="18"/>
          <w:b w:val="1"/>
          <w:bCs w:val="1"/>
          <w:color w:val="auto"/>
        </w:rPr>
        <w:t>December, 202012</w:t>
      </w:r>
      <w:r>
        <w:rPr>
          <w:rFonts w:ascii="Arial" w:cs="Arial" w:eastAsia="Arial" w:hAnsi="Arial"/>
          <w:sz w:val="18"/>
          <w:szCs w:val="18"/>
          <w:color w:val="auto"/>
        </w:rPr>
        <w:t xml:space="preserve"> by and between FUJIFILM Dimatix, Inc., formerly known as </w:t>
      </w:r>
      <w:r>
        <w:rPr>
          <w:rFonts w:ascii="Arial" w:cs="Arial" w:eastAsia="Arial" w:hAnsi="Arial"/>
          <w:sz w:val="18"/>
          <w:szCs w:val="18"/>
          <w:b w:val="1"/>
          <w:bCs w:val="1"/>
          <w:color w:val="auto"/>
        </w:rPr>
        <w:t>Spectra Printing, a division of Dimatix,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 and Kornit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Digital Technologies Ltd., a division of Kornit Digital Ltd. </w:t>
      </w:r>
      <w:r>
        <w:rPr>
          <w:rFonts w:ascii="Arial" w:cs="Arial" w:eastAsia="Arial" w:hAnsi="Arial"/>
          <w:sz w:val="18"/>
          <w:szCs w:val="18"/>
          <w:color w:val="auto"/>
        </w:rPr>
        <w:t>(“Company”). All capitalized terms used but not defined herein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them in the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 xml:space="preserve">WHEREAS, FUJIFILM and Company are parties to an OEM Supply Agreement dated </w:t>
      </w:r>
      <w:r>
        <w:rPr>
          <w:rFonts w:ascii="Arial" w:cs="Arial" w:eastAsia="Arial" w:hAnsi="Arial"/>
          <w:sz w:val="18"/>
          <w:szCs w:val="18"/>
          <w:b w:val="1"/>
          <w:bCs w:val="1"/>
          <w:color w:val="auto"/>
        </w:rPr>
        <w:t>January 6, 2006, OEM Supply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Amendment #1 dated September 20, 2006, OEM Supply Agreement Amendment #2 dated September 1, 2007, OEM Supply Agreement Amendment #3 dated March 17, 2008, OEM Supply Agreement Amendment #4 dated July 1, 2010 and OEM Supply Agreement Pricing Amendment #5 dated October 4, 2011 </w:t>
      </w:r>
      <w:r>
        <w:rPr>
          <w:rFonts w:ascii="Arial" w:cs="Arial" w:eastAsia="Arial" w:hAnsi="Arial"/>
          <w:sz w:val="18"/>
          <w:szCs w:val="18"/>
          <w:color w:val="auto"/>
        </w:rPr>
        <w:t>(the “Agreement”), under which FUJIFILM provides to Company, and Company procures from FUJIFILM,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FUJIFILM products for incorporation with Company products; and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80" w:hanging="583"/>
        <w:spacing w:after="0"/>
        <w:tabs>
          <w:tab w:leader="none" w:pos="18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Schedule 2 of the Agreement is hereby deleted in its entirety and a new Schedule 2 is attached.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Additional Amendments:</w:t>
      </w:r>
    </w:p>
    <w:p>
      <w:pPr>
        <w:spacing w:after="0" w:line="225" w:lineRule="exact"/>
        <w:rPr>
          <w:sz w:val="20"/>
          <w:szCs w:val="20"/>
          <w:color w:val="auto"/>
        </w:rPr>
      </w:pPr>
    </w:p>
    <w:p>
      <w:pPr>
        <w:ind w:left="1880" w:hanging="583"/>
        <w:spacing w:after="0"/>
        <w:tabs>
          <w:tab w:leader="none" w:pos="188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Section 7.9 of the Agreement is hereby changed by replacing the address for notices to be sent to FUJIFILM to read as follows: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FUJIFILM:</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Dimatix,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2230 Martin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565-9151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Holdings America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Valhalla, NY 10595-1356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(914) 789-8514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E-mail:legaldepartment@fujifilm.com</w:t>
      </w:r>
    </w:p>
    <w:p>
      <w:pPr>
        <w:spacing w:after="0" w:line="211" w:lineRule="exact"/>
        <w:rPr>
          <w:sz w:val="20"/>
          <w:szCs w:val="20"/>
          <w:color w:val="auto"/>
        </w:rPr>
      </w:pPr>
    </w:p>
    <w:p>
      <w:pPr>
        <w:spacing w:after="0" w:line="342" w:lineRule="auto"/>
        <w:tabs>
          <w:tab w:leader="none" w:pos="325" w:val="left"/>
        </w:tabs>
        <w:numPr>
          <w:ilvl w:val="0"/>
          <w:numId w:val="42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85" w:name="page286"/>
    <w:bookmarkEnd w:id="285"/>
    <w:p>
      <w:pPr>
        <w:ind w:left="1880" w:hanging="583"/>
        <w:spacing w:after="0"/>
        <w:tabs>
          <w:tab w:leader="none" w:pos="18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This Amendment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CEO and President</w:t>
            </w:r>
          </w:p>
        </w:tc>
        <w:tc>
          <w:tcPr>
            <w:tcW w:w="880" w:type="dxa"/>
            <w:vAlign w:val="bottom"/>
          </w:tcPr>
          <w:p>
            <w:pPr>
              <w:ind w:left="2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8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KORNIT DIGITAL TECHNOLOGIES LTD</w:t>
      </w:r>
    </w:p>
    <w:p>
      <w:pPr>
        <w:spacing w:after="0" w:line="22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Name:</w:t>
        <w:tab/>
        <w:t>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spacing w:after="0" w:line="342" w:lineRule="auto"/>
        <w:tabs>
          <w:tab w:leader="none" w:pos="325" w:val="left"/>
        </w:tabs>
        <w:numPr>
          <w:ilvl w:val="0"/>
          <w:numId w:val="42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40" w:hanging="640"/>
        <w:spacing w:after="0"/>
        <w:tabs>
          <w:tab w:leader="none" w:pos="640"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PART NUMBER</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180" w:type="dxa"/>
            <w:vAlign w:val="bottom"/>
          </w:tcPr>
          <w:p>
            <w:pPr>
              <w:jc w:val="center"/>
              <w:ind w:left="330"/>
              <w:spacing w:after="0"/>
              <w:rPr>
                <w:sz w:val="20"/>
                <w:szCs w:val="20"/>
                <w:color w:val="auto"/>
              </w:rPr>
            </w:pPr>
            <w:r>
              <w:rPr>
                <w:rFonts w:ascii="Arial" w:cs="Arial" w:eastAsia="Arial" w:hAnsi="Arial"/>
                <w:sz w:val="18"/>
                <w:szCs w:val="18"/>
                <w:b w:val="1"/>
                <w:bCs w:val="1"/>
                <w:color w:val="auto"/>
              </w:rPr>
              <w:t>ORDER QTY</w:t>
            </w:r>
          </w:p>
        </w:tc>
        <w:tc>
          <w:tcPr>
            <w:tcW w:w="860" w:type="dxa"/>
            <w:vAlign w:val="bottom"/>
          </w:tcPr>
          <w:p>
            <w:pPr>
              <w:spacing w:after="0"/>
              <w:rPr>
                <w:sz w:val="20"/>
                <w:szCs w:val="20"/>
                <w:color w:val="auto"/>
              </w:rPr>
            </w:pPr>
          </w:p>
        </w:tc>
        <w:tc>
          <w:tcPr>
            <w:tcW w:w="22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UNIT PRICE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05536</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Nova JA 256/80 AAA</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09493</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Galaxy JA 256/80 AAA</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22140</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PQ-256/35 JM</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jc w:val="center"/>
              <w:spacing w:after="0"/>
              <w:rPr>
                <w:sz w:val="20"/>
                <w:szCs w:val="20"/>
                <w:color w:val="auto"/>
              </w:rPr>
            </w:pPr>
            <w:r>
              <w:rPr>
                <w:rFonts w:ascii="Arial" w:cs="Arial" w:eastAsia="Arial" w:hAnsi="Arial"/>
                <w:sz w:val="18"/>
                <w:szCs w:val="18"/>
                <w:color w:val="auto"/>
                <w:w w:val="87"/>
              </w:rPr>
              <w:t>22168</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PQ-256/85 JM</w:t>
            </w:r>
          </w:p>
        </w:tc>
        <w:tc>
          <w:tcPr>
            <w:tcW w:w="2180" w:type="dxa"/>
            <w:vAlign w:val="bottom"/>
          </w:tcPr>
          <w:p>
            <w:pPr>
              <w:jc w:val="center"/>
              <w:ind w:lef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40" w:hanging="640"/>
        <w:spacing w:after="0"/>
        <w:tabs>
          <w:tab w:leader="none" w:pos="64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 after the Effective Date, FUJIFILM may, by written notice delivered [***]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p>
    <w:p>
      <w:pPr>
        <w:spacing w:after="0" w:line="162" w:lineRule="exact"/>
        <w:rPr>
          <w:sz w:val="20"/>
          <w:szCs w:val="20"/>
          <w:color w:val="auto"/>
        </w:rPr>
      </w:pPr>
    </w:p>
    <w:p>
      <w:pPr>
        <w:ind w:left="640" w:hanging="640"/>
        <w:spacing w:after="0"/>
        <w:tabs>
          <w:tab w:leader="none" w:pos="64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jc w:val="both"/>
        <w:ind w:left="1300" w:hanging="652"/>
        <w:spacing w:after="0" w:line="264" w:lineRule="auto"/>
        <w:tabs>
          <w:tab w:leader="none" w:pos="130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Beginning January 1, 2013, Kornit shall pay to FUJIFILM Royalty based on the total amount received by Kornit (net of returns, allowances, sales and use taxes) upon the sale to a Third Party Customer of Ink for use in Kornit Products, except FUJIFILM Ink as follows:</w:t>
      </w:r>
    </w:p>
    <w:p>
      <w:pPr>
        <w:spacing w:after="0" w:line="181" w:lineRule="exact"/>
        <w:rPr>
          <w:rFonts w:ascii="Arial" w:cs="Arial" w:eastAsia="Arial" w:hAnsi="Arial"/>
          <w:sz w:val="18"/>
          <w:szCs w:val="18"/>
          <w:color w:val="auto"/>
        </w:rPr>
      </w:pPr>
    </w:p>
    <w:p>
      <w:pPr>
        <w:ind w:left="1940" w:hanging="643"/>
        <w:spacing w:after="0" w:line="308" w:lineRule="auto"/>
        <w:tabs>
          <w:tab w:leader="none" w:pos="1940" w:val="left"/>
        </w:tabs>
        <w:numPr>
          <w:ilvl w:val="2"/>
          <w:numId w:val="432"/>
        </w:numPr>
        <w:rPr>
          <w:rFonts w:ascii="Arial" w:cs="Arial" w:eastAsia="Arial" w:hAnsi="Arial"/>
          <w:sz w:val="17"/>
          <w:szCs w:val="17"/>
          <w:color w:val="auto"/>
        </w:rPr>
      </w:pPr>
      <w:r>
        <w:rPr>
          <w:rFonts w:ascii="Arial" w:cs="Arial" w:eastAsia="Arial" w:hAnsi="Arial"/>
          <w:sz w:val="17"/>
          <w:szCs w:val="17"/>
          <w:color w:val="auto"/>
        </w:rPr>
        <w:t>At a rate equal to [***] percent ([***]%) of the first $[***] million on a yearly basis (with yearly defined as January 1 to December 31) and then at a rate equal to [***] percent ([***]%) of amounts over $[***] million for the remainder of same year.</w:t>
      </w:r>
    </w:p>
    <w:p>
      <w:pPr>
        <w:spacing w:after="0" w:line="146" w:lineRule="exact"/>
        <w:rPr>
          <w:rFonts w:ascii="Arial" w:cs="Arial" w:eastAsia="Arial" w:hAnsi="Arial"/>
          <w:sz w:val="17"/>
          <w:szCs w:val="17"/>
          <w:color w:val="auto"/>
        </w:rPr>
      </w:pPr>
    </w:p>
    <w:p>
      <w:pPr>
        <w:ind w:left="1940" w:hanging="643"/>
        <w:spacing w:after="0"/>
        <w:tabs>
          <w:tab w:leader="none" w:pos="1940" w:val="left"/>
        </w:tabs>
        <w:numPr>
          <w:ilvl w:val="2"/>
          <w:numId w:val="432"/>
        </w:numPr>
        <w:rPr>
          <w:rFonts w:ascii="Arial" w:cs="Arial" w:eastAsia="Arial" w:hAnsi="Arial"/>
          <w:sz w:val="18"/>
          <w:szCs w:val="18"/>
          <w:color w:val="auto"/>
        </w:rPr>
      </w:pPr>
      <w:r>
        <w:rPr>
          <w:rFonts w:ascii="Arial" w:cs="Arial" w:eastAsia="Arial" w:hAnsi="Arial"/>
          <w:sz w:val="18"/>
          <w:szCs w:val="18"/>
          <w:color w:val="auto"/>
        </w:rPr>
        <w:t>The Royalty rate will reset as defined in a) above each January 1.</w:t>
      </w:r>
    </w:p>
    <w:p>
      <w:pPr>
        <w:spacing w:after="0" w:line="225" w:lineRule="exact"/>
        <w:rPr>
          <w:rFonts w:ascii="Arial" w:cs="Arial" w:eastAsia="Arial" w:hAnsi="Arial"/>
          <w:sz w:val="18"/>
          <w:szCs w:val="18"/>
          <w:color w:val="auto"/>
        </w:rPr>
      </w:pPr>
    </w:p>
    <w:p>
      <w:pPr>
        <w:jc w:val="both"/>
        <w:ind w:left="1300" w:hanging="652"/>
        <w:spacing w:after="0" w:line="259" w:lineRule="auto"/>
        <w:tabs>
          <w:tab w:leader="none" w:pos="130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Royalty referenced in subsection 1) above, pay to FUJIFILM a Royalty equal to [***] percent ([***]%) of the total amount received by Kornit (net of returns, allowances, sales and use taxes) upon the sale to a Third Party Customer of Kornit Products, in addition to the price paid for such Kornit Product pursuant to this Schedule 2</w:t>
      </w:r>
    </w:p>
    <w:p>
      <w:pPr>
        <w:spacing w:after="0" w:line="187" w:lineRule="exact"/>
        <w:rPr>
          <w:sz w:val="20"/>
          <w:szCs w:val="20"/>
          <w:color w:val="auto"/>
        </w:rPr>
      </w:pPr>
    </w:p>
    <w:p>
      <w:pPr>
        <w:spacing w:after="0" w:line="342" w:lineRule="auto"/>
        <w:tabs>
          <w:tab w:leader="none" w:pos="325" w:val="left"/>
        </w:tabs>
        <w:numPr>
          <w:ilvl w:val="0"/>
          <w:numId w:val="43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87" w:name="page288"/>
    <w:bookmarkEnd w:id="287"/>
    <w:p>
      <w:pPr>
        <w:ind w:left="640" w:hanging="640"/>
        <w:spacing w:after="0"/>
        <w:tabs>
          <w:tab w:leader="none" w:pos="64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be issued as a credit toward current or new invoices for purchases of FUJIFILM Products. This rebate program became effective June 1, 2010.</w:t>
      </w:r>
    </w:p>
    <w:p>
      <w:pPr>
        <w:spacing w:after="0" w:line="181" w:lineRule="exact"/>
        <w:rPr>
          <w:sz w:val="20"/>
          <w:szCs w:val="20"/>
          <w:color w:val="auto"/>
        </w:rPr>
      </w:pPr>
    </w:p>
    <w:p>
      <w:pPr>
        <w:spacing w:after="0" w:line="342" w:lineRule="auto"/>
        <w:tabs>
          <w:tab w:leader="none" w:pos="325" w:val="left"/>
        </w:tabs>
        <w:numPr>
          <w:ilvl w:val="0"/>
          <w:numId w:val="43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10.12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OEM SUPPLY AGREEMENT PRICING AMENDMENT #7</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This OEM Supply Agreement Pricing Amendment #7 (the “Amendment”) is made and entered into as of the 1st day of </w:t>
      </w:r>
      <w:r>
        <w:rPr>
          <w:rFonts w:ascii="Arial" w:cs="Arial" w:eastAsia="Arial" w:hAnsi="Arial"/>
          <w:sz w:val="18"/>
          <w:szCs w:val="18"/>
          <w:b w:val="1"/>
          <w:bCs w:val="1"/>
          <w:color w:val="auto"/>
        </w:rPr>
        <w:t>February,</w:t>
      </w:r>
      <w:r>
        <w:rPr>
          <w:rFonts w:ascii="Arial" w:cs="Arial" w:eastAsia="Arial" w:hAnsi="Arial"/>
          <w:sz w:val="18"/>
          <w:szCs w:val="18"/>
          <w:color w:val="auto"/>
        </w:rPr>
        <w:t xml:space="preserve"> 2013 by and between FUJIFILM Dimatix, Inc., formerly known as </w:t>
      </w:r>
      <w:r>
        <w:rPr>
          <w:rFonts w:ascii="Arial" w:cs="Arial" w:eastAsia="Arial" w:hAnsi="Arial"/>
          <w:sz w:val="18"/>
          <w:szCs w:val="18"/>
          <w:b w:val="1"/>
          <w:bCs w:val="1"/>
          <w:color w:val="auto"/>
        </w:rPr>
        <w:t>Spectra Printing, a division of Dimatix,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Kornit Digital Technologies Ltd., a division of Kornit Digital Ltd. </w:t>
      </w:r>
      <w:r>
        <w:rPr>
          <w:rFonts w:ascii="Arial" w:cs="Arial" w:eastAsia="Arial" w:hAnsi="Arial"/>
          <w:sz w:val="18"/>
          <w:szCs w:val="18"/>
          <w:color w:val="auto"/>
        </w:rPr>
        <w:t>(“Company”). All capitalized terms used but not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assigned to them in the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 xml:space="preserve">WHEREAS, FUJIFILM and Company are parties to an OEM Supply Agreement dated </w:t>
      </w:r>
      <w:r>
        <w:rPr>
          <w:rFonts w:ascii="Arial" w:cs="Arial" w:eastAsia="Arial" w:hAnsi="Arial"/>
          <w:sz w:val="16"/>
          <w:szCs w:val="16"/>
          <w:b w:val="1"/>
          <w:bCs w:val="1"/>
          <w:color w:val="auto"/>
        </w:rPr>
        <w:t>January 6, 2006, OEM Supply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Amendment #1 dated September 20, 2006, OEM Supply Agreement Amendment #2 dated September 1, 2007, OEM Supply Agreement Amendment #3 dated March 17, 2008, OEM Supply Agreement Amendment #4 dated July 1, 2010, OEM Supply Agreement Pricing Amendment #5 dated October 4, 2011 and OEM Supply Agreement Pricing Amendment #6 dated December 6,2012 </w:t>
      </w:r>
      <w:r>
        <w:rPr>
          <w:rFonts w:ascii="Arial" w:cs="Arial" w:eastAsia="Arial" w:hAnsi="Arial"/>
          <w:sz w:val="16"/>
          <w:szCs w:val="16"/>
          <w:color w:val="auto"/>
        </w:rPr>
        <w:t>(the “Agreement”), under which FUJIFILM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to Company, and Company procures from FUJIFILM, certain FUJIFILM products for incorporation with Company products; and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80" w:hanging="583"/>
        <w:spacing w:after="0"/>
        <w:tabs>
          <w:tab w:leader="none" w:pos="18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Schedule 2 of the Agreement is hereby deleted in its entirety and a new Schedule 2 is attached.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Additional Amendments:</w:t>
      </w:r>
    </w:p>
    <w:p>
      <w:pPr>
        <w:spacing w:after="0" w:line="225" w:lineRule="exact"/>
        <w:rPr>
          <w:sz w:val="20"/>
          <w:szCs w:val="20"/>
          <w:color w:val="auto"/>
        </w:rPr>
      </w:pPr>
    </w:p>
    <w:p>
      <w:pPr>
        <w:ind w:left="1880" w:hanging="583"/>
        <w:spacing w:after="0"/>
        <w:tabs>
          <w:tab w:leader="none" w:pos="188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Section 7.9 of the Agreement is hereby changed by replacing the address for notices to be sent to FUJIFILM to read as follows: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FUJIFILM:</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Dimatix,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2230 Martin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565-9151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Holdings America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Summit Lake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Valhalla, NY 10595-1356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211" w:lineRule="exact"/>
        <w:rPr>
          <w:sz w:val="20"/>
          <w:szCs w:val="20"/>
          <w:color w:val="auto"/>
        </w:rPr>
      </w:pPr>
    </w:p>
    <w:p>
      <w:pPr>
        <w:spacing w:after="0" w:line="342" w:lineRule="auto"/>
        <w:tabs>
          <w:tab w:leader="none" w:pos="325" w:val="left"/>
        </w:tabs>
        <w:numPr>
          <w:ilvl w:val="0"/>
          <w:numId w:val="43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89" w:name="page290"/>
    <w:bookmarkEnd w:id="289"/>
    <w:p>
      <w:pPr>
        <w:ind w:left="1940"/>
        <w:spacing w:after="0"/>
        <w:rPr>
          <w:sz w:val="20"/>
          <w:szCs w:val="20"/>
          <w:color w:val="auto"/>
        </w:rPr>
      </w:pPr>
      <w:r>
        <w:rPr>
          <w:rFonts w:ascii="Arial" w:cs="Arial" w:eastAsia="Arial" w:hAnsi="Arial"/>
          <w:sz w:val="18"/>
          <w:szCs w:val="18"/>
          <w:color w:val="auto"/>
        </w:rPr>
        <w:t>Facsimile: (914) 789-8514</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legaldepartment@fujifilm.com</w:t>
      </w:r>
    </w:p>
    <w:p>
      <w:pPr>
        <w:spacing w:after="0" w:line="211" w:lineRule="exact"/>
        <w:rPr>
          <w:sz w:val="20"/>
          <w:szCs w:val="20"/>
          <w:color w:val="auto"/>
        </w:rPr>
      </w:pPr>
    </w:p>
    <w:p>
      <w:pPr>
        <w:ind w:left="1880" w:hanging="583"/>
        <w:spacing w:after="0"/>
        <w:tabs>
          <w:tab w:leader="none" w:pos="18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This Amendment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920" w:type="dxa"/>
            <w:vAlign w:val="bottom"/>
            <w:gridSpan w:val="2"/>
          </w:tcPr>
          <w:p>
            <w:pPr>
              <w:ind w:left="66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1320" w:type="dxa"/>
            <w:vAlign w:val="bottom"/>
          </w:tcPr>
          <w:p>
            <w:pPr>
              <w:ind w:left="6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Martin Schoeppler</w:t>
            </w:r>
          </w:p>
        </w:tc>
        <w:tc>
          <w:tcPr>
            <w:tcW w:w="1320" w:type="dxa"/>
            <w:vAlign w:val="bottom"/>
          </w:tcPr>
          <w:p>
            <w:pPr>
              <w:ind w:left="660"/>
              <w:spacing w:after="0"/>
              <w:rPr>
                <w:sz w:val="20"/>
                <w:szCs w:val="20"/>
                <w:color w:val="auto"/>
              </w:rPr>
            </w:pPr>
            <w:r>
              <w:rPr>
                <w:rFonts w:ascii="Arial" w:cs="Arial" w:eastAsia="Arial" w:hAnsi="Arial"/>
                <w:sz w:val="18"/>
                <w:szCs w:val="18"/>
                <w:color w:val="auto"/>
              </w:rPr>
              <w:t>Name:</w:t>
            </w:r>
          </w:p>
        </w:tc>
        <w:tc>
          <w:tcPr>
            <w:tcW w:w="4600" w:type="dxa"/>
            <w:vAlign w:val="bottom"/>
            <w:tcBorders>
              <w:bottom w:val="single" w:sz="8" w:color="auto"/>
            </w:tcBorders>
          </w:tcPr>
          <w:p>
            <w:pPr>
              <w:spacing w:after="0"/>
              <w:rPr>
                <w:sz w:val="24"/>
                <w:szCs w:val="24"/>
                <w:color w:val="auto"/>
              </w:rPr>
            </w:pP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CEO &amp; President</w:t>
            </w:r>
          </w:p>
        </w:tc>
        <w:tc>
          <w:tcPr>
            <w:tcW w:w="1320" w:type="dxa"/>
            <w:vAlign w:val="bottom"/>
          </w:tcPr>
          <w:p>
            <w:pPr>
              <w:ind w:left="660"/>
              <w:spacing w:after="0"/>
              <w:rPr>
                <w:sz w:val="20"/>
                <w:szCs w:val="20"/>
                <w:color w:val="auto"/>
              </w:rPr>
            </w:pPr>
            <w:r>
              <w:rPr>
                <w:rFonts w:ascii="Arial" w:cs="Arial" w:eastAsia="Arial" w:hAnsi="Arial"/>
                <w:sz w:val="18"/>
                <w:szCs w:val="18"/>
                <w:color w:val="auto"/>
              </w:rPr>
              <w:t>Title:</w:t>
            </w:r>
          </w:p>
        </w:tc>
        <w:tc>
          <w:tcPr>
            <w:tcW w:w="460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KORNIT DIGITAL TECHNOLOGIES LTD</w:t>
      </w:r>
    </w:p>
    <w:p>
      <w:pPr>
        <w:spacing w:after="0" w:line="229" w:lineRule="exact"/>
        <w:rPr>
          <w:sz w:val="20"/>
          <w:szCs w:val="20"/>
          <w:color w:val="auto"/>
        </w:rPr>
      </w:pPr>
    </w:p>
    <w:p>
      <w:pPr>
        <w:ind w:left="60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14605</wp:posOffset>
            </wp:positionV>
            <wp:extent cx="29241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14605</wp:posOffset>
            </wp:positionV>
            <wp:extent cx="29241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14605</wp:posOffset>
            </wp:positionV>
            <wp:extent cx="29241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9" w:lineRule="exact"/>
        <w:rPr>
          <w:sz w:val="20"/>
          <w:szCs w:val="20"/>
          <w:color w:val="auto"/>
        </w:rPr>
      </w:pPr>
    </w:p>
    <w:p>
      <w:pPr>
        <w:spacing w:after="0" w:line="342" w:lineRule="auto"/>
        <w:tabs>
          <w:tab w:leader="none" w:pos="325" w:val="left"/>
        </w:tabs>
        <w:numPr>
          <w:ilvl w:val="0"/>
          <w:numId w:val="44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80" w:hanging="680"/>
        <w:spacing w:after="0"/>
        <w:tabs>
          <w:tab w:leader="none" w:pos="68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7"/>
              </w:rPr>
              <w:t>PART NUMBER</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240" w:type="dxa"/>
            <w:vAlign w:val="bottom"/>
          </w:tcPr>
          <w:p>
            <w:pPr>
              <w:jc w:val="center"/>
              <w:ind w:left="150"/>
              <w:spacing w:after="0"/>
              <w:rPr>
                <w:sz w:val="20"/>
                <w:szCs w:val="20"/>
                <w:color w:val="auto"/>
              </w:rPr>
            </w:pPr>
            <w:r>
              <w:rPr>
                <w:rFonts w:ascii="Arial" w:cs="Arial" w:eastAsia="Arial" w:hAnsi="Arial"/>
                <w:sz w:val="18"/>
                <w:szCs w:val="18"/>
                <w:b w:val="1"/>
                <w:bCs w:val="1"/>
                <w:color w:val="auto"/>
              </w:rPr>
              <w:t>ORDER QTY</w:t>
            </w:r>
          </w:p>
        </w:tc>
        <w:tc>
          <w:tcPr>
            <w:tcW w:w="880" w:type="dxa"/>
            <w:vAlign w:val="bottom"/>
          </w:tcPr>
          <w:p>
            <w:pPr>
              <w:spacing w:after="0"/>
              <w:rPr>
                <w:sz w:val="20"/>
                <w:szCs w:val="20"/>
                <w:color w:val="auto"/>
              </w:rPr>
            </w:pPr>
          </w:p>
        </w:tc>
        <w:tc>
          <w:tcPr>
            <w:tcW w:w="2260" w:type="dxa"/>
            <w:vAlign w:val="bottom"/>
          </w:tcPr>
          <w:p>
            <w:pPr>
              <w:jc w:val="right"/>
              <w:ind w:right="77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05536</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Nova JA 256/80 AAA</w:t>
            </w:r>
          </w:p>
        </w:tc>
        <w:tc>
          <w:tcPr>
            <w:tcW w:w="22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09493</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Galaxy JA 256/80 AAA</w:t>
            </w:r>
          </w:p>
        </w:tc>
        <w:tc>
          <w:tcPr>
            <w:tcW w:w="22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22140</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PQ-256/35 JM</w:t>
            </w:r>
          </w:p>
        </w:tc>
        <w:tc>
          <w:tcPr>
            <w:tcW w:w="22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740" w:type="dxa"/>
            <w:vAlign w:val="bottom"/>
          </w:tcPr>
          <w:p>
            <w:pPr>
              <w:jc w:val="center"/>
              <w:spacing w:after="0"/>
              <w:rPr>
                <w:sz w:val="20"/>
                <w:szCs w:val="20"/>
                <w:color w:val="auto"/>
              </w:rPr>
            </w:pPr>
            <w:r>
              <w:rPr>
                <w:rFonts w:ascii="Arial" w:cs="Arial" w:eastAsia="Arial" w:hAnsi="Arial"/>
                <w:sz w:val="18"/>
                <w:szCs w:val="18"/>
                <w:color w:val="auto"/>
                <w:w w:val="91"/>
              </w:rPr>
              <w:t>22168</w:t>
            </w:r>
          </w:p>
        </w:tc>
        <w:tc>
          <w:tcPr>
            <w:tcW w:w="3140" w:type="dxa"/>
            <w:vAlign w:val="bottom"/>
          </w:tcPr>
          <w:p>
            <w:pPr>
              <w:jc w:val="center"/>
              <w:spacing w:after="0"/>
              <w:rPr>
                <w:sz w:val="20"/>
                <w:szCs w:val="20"/>
                <w:color w:val="auto"/>
              </w:rPr>
            </w:pPr>
            <w:r>
              <w:rPr>
                <w:rFonts w:ascii="Arial" w:cs="Arial" w:eastAsia="Arial" w:hAnsi="Arial"/>
                <w:sz w:val="18"/>
                <w:szCs w:val="18"/>
                <w:color w:val="auto"/>
                <w:w w:val="93"/>
              </w:rPr>
              <w:t>PQ-256/85 JM</w:t>
            </w:r>
          </w:p>
        </w:tc>
        <w:tc>
          <w:tcPr>
            <w:tcW w:w="2240" w:type="dxa"/>
            <w:vAlign w:val="bottom"/>
          </w:tcPr>
          <w:p>
            <w:pPr>
              <w:jc w:val="center"/>
              <w:ind w:lef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left="660" w:hanging="660"/>
        <w:spacing w:after="0"/>
        <w:tabs>
          <w:tab w:leader="none" w:pos="66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 after the Effective Date, FUJIFILM may, by written notice delivered [***]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r>
        <w:rPr>
          <w:rFonts w:ascii="Arial" w:cs="Arial" w:eastAsia="Arial" w:hAnsi="Arial"/>
          <w:sz w:val="17"/>
          <w:szCs w:val="17"/>
          <w:b w:val="1"/>
          <w:bCs w:val="1"/>
          <w:color w:val="auto"/>
        </w:rPr>
        <w:t>.</w:t>
      </w:r>
    </w:p>
    <w:p>
      <w:pPr>
        <w:spacing w:after="0" w:line="162" w:lineRule="exact"/>
        <w:rPr>
          <w:sz w:val="20"/>
          <w:szCs w:val="20"/>
          <w:color w:val="auto"/>
        </w:rPr>
      </w:pPr>
    </w:p>
    <w:p>
      <w:pPr>
        <w:ind w:left="680" w:hanging="680"/>
        <w:spacing w:after="0"/>
        <w:tabs>
          <w:tab w:leader="none" w:pos="68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jc w:val="both"/>
        <w:ind w:left="1300" w:hanging="652"/>
        <w:spacing w:after="0" w:line="264" w:lineRule="auto"/>
        <w:tabs>
          <w:tab w:leader="none" w:pos="13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Beginning January 1, 2013, Kornit shall pay to FUJIFILM Royalty based on the total amount received by Kornit (net of returns, allowances, sales and use taxes) upon the sale to a Third Party Customer of Ink for use in Kornit Products, except FUJIFILM Ink as follows:</w:t>
      </w:r>
    </w:p>
    <w:p>
      <w:pPr>
        <w:spacing w:after="0" w:line="181" w:lineRule="exact"/>
        <w:rPr>
          <w:rFonts w:ascii="Arial" w:cs="Arial" w:eastAsia="Arial" w:hAnsi="Arial"/>
          <w:sz w:val="18"/>
          <w:szCs w:val="18"/>
          <w:color w:val="auto"/>
        </w:rPr>
      </w:pPr>
    </w:p>
    <w:p>
      <w:pPr>
        <w:ind w:left="1940" w:hanging="643"/>
        <w:spacing w:after="0" w:line="308" w:lineRule="auto"/>
        <w:tabs>
          <w:tab w:leader="none" w:pos="1940" w:val="left"/>
        </w:tabs>
        <w:numPr>
          <w:ilvl w:val="2"/>
          <w:numId w:val="443"/>
        </w:numPr>
        <w:rPr>
          <w:rFonts w:ascii="Arial" w:cs="Arial" w:eastAsia="Arial" w:hAnsi="Arial"/>
          <w:sz w:val="17"/>
          <w:szCs w:val="17"/>
          <w:color w:val="auto"/>
        </w:rPr>
      </w:pPr>
      <w:r>
        <w:rPr>
          <w:rFonts w:ascii="Arial" w:cs="Arial" w:eastAsia="Arial" w:hAnsi="Arial"/>
          <w:sz w:val="17"/>
          <w:szCs w:val="17"/>
          <w:color w:val="auto"/>
        </w:rPr>
        <w:t>At a rate equal to [***] percent ([***]%) of the first $[***] million on a yearly basis (with yearly defined as January 1 to December 31) and then at a rate equal to [***] percent ([***]%) of amounts over $[***] million for the remainder of same year.</w:t>
      </w:r>
    </w:p>
    <w:p>
      <w:pPr>
        <w:spacing w:after="0" w:line="146" w:lineRule="exact"/>
        <w:rPr>
          <w:rFonts w:ascii="Arial" w:cs="Arial" w:eastAsia="Arial" w:hAnsi="Arial"/>
          <w:sz w:val="17"/>
          <w:szCs w:val="17"/>
          <w:color w:val="auto"/>
        </w:rPr>
      </w:pPr>
    </w:p>
    <w:p>
      <w:pPr>
        <w:ind w:left="1940" w:hanging="643"/>
        <w:spacing w:after="0"/>
        <w:tabs>
          <w:tab w:leader="none" w:pos="1940" w:val="left"/>
        </w:tabs>
        <w:numPr>
          <w:ilvl w:val="2"/>
          <w:numId w:val="443"/>
        </w:numPr>
        <w:rPr>
          <w:rFonts w:ascii="Arial" w:cs="Arial" w:eastAsia="Arial" w:hAnsi="Arial"/>
          <w:sz w:val="18"/>
          <w:szCs w:val="18"/>
          <w:color w:val="auto"/>
        </w:rPr>
      </w:pPr>
      <w:r>
        <w:rPr>
          <w:rFonts w:ascii="Arial" w:cs="Arial" w:eastAsia="Arial" w:hAnsi="Arial"/>
          <w:sz w:val="18"/>
          <w:szCs w:val="18"/>
          <w:color w:val="auto"/>
        </w:rPr>
        <w:t>The Royalty rate will reset as defined in a) above each January 1.</w:t>
      </w:r>
    </w:p>
    <w:p>
      <w:pPr>
        <w:spacing w:after="0" w:line="225" w:lineRule="exact"/>
        <w:rPr>
          <w:rFonts w:ascii="Arial" w:cs="Arial" w:eastAsia="Arial" w:hAnsi="Arial"/>
          <w:sz w:val="18"/>
          <w:szCs w:val="18"/>
          <w:color w:val="auto"/>
        </w:rPr>
      </w:pPr>
    </w:p>
    <w:p>
      <w:pPr>
        <w:jc w:val="both"/>
        <w:ind w:left="1300" w:hanging="652"/>
        <w:spacing w:after="0" w:line="259" w:lineRule="auto"/>
        <w:tabs>
          <w:tab w:leader="none" w:pos="13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Royalty referenced in subsection 1) above, pay to FUJIFILM a Royalty equal to [***] percent ([***]%) of the total amount received by Kornit (net of returns, allowances, sales and use taxes) upon the sale to a Third Party Customer of Kornit Products, in addition to the price paid for such Kornit Product pursuant to this Schedule 2</w:t>
      </w:r>
    </w:p>
    <w:p>
      <w:pPr>
        <w:spacing w:after="0" w:line="187" w:lineRule="exact"/>
        <w:rPr>
          <w:sz w:val="20"/>
          <w:szCs w:val="20"/>
          <w:color w:val="auto"/>
        </w:rPr>
      </w:pPr>
    </w:p>
    <w:p>
      <w:pPr>
        <w:spacing w:after="0" w:line="342" w:lineRule="auto"/>
        <w:tabs>
          <w:tab w:leader="none" w:pos="32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91" w:name="page292"/>
    <w:bookmarkEnd w:id="291"/>
    <w:p>
      <w:pPr>
        <w:ind w:left="680" w:hanging="680"/>
        <w:spacing w:after="0"/>
        <w:tabs>
          <w:tab w:leader="none" w:pos="68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commence on February 1, 2013 and continue for twelve (12) months until January 31, 2014. The rebate will be issued as a credit toward current or new invoices for purchases of FUJIFILM Products.</w:t>
      </w:r>
    </w:p>
    <w:p>
      <w:pPr>
        <w:spacing w:after="0" w:line="187" w:lineRule="exact"/>
        <w:rPr>
          <w:sz w:val="20"/>
          <w:szCs w:val="20"/>
          <w:color w:val="auto"/>
        </w:rPr>
      </w:pPr>
    </w:p>
    <w:p>
      <w:pPr>
        <w:spacing w:after="0" w:line="342" w:lineRule="auto"/>
        <w:tabs>
          <w:tab w:leader="none" w:pos="325" w:val="left"/>
        </w:tabs>
        <w:numPr>
          <w:ilvl w:val="0"/>
          <w:numId w:val="44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OEM SUPPLY AGREEMENT AMENDMENT #8</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This OEM Supply Agreement Amendment #8 (the “Amendment”) is made and entered into as of the 1st day of January, 2014 (“Amendment #8 Effective Date) by and between FUJIFILM Dimatix, Inc., formerly known as </w:t>
      </w:r>
      <w:r>
        <w:rPr>
          <w:rFonts w:ascii="Arial" w:cs="Arial" w:eastAsia="Arial" w:hAnsi="Arial"/>
          <w:sz w:val="18"/>
          <w:szCs w:val="18"/>
          <w:b w:val="1"/>
          <w:bCs w:val="1"/>
          <w:color w:val="auto"/>
        </w:rPr>
        <w:t>Spectra,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 and</w:t>
      </w:r>
      <w:r>
        <w:rPr>
          <w:rFonts w:ascii="Arial" w:cs="Arial" w:eastAsia="Arial" w:hAnsi="Arial"/>
          <w:sz w:val="18"/>
          <w:szCs w:val="18"/>
          <w:color w:val="auto"/>
        </w:rPr>
        <w:t xml:space="preserve"> </w:t>
      </w:r>
      <w:r>
        <w:rPr>
          <w:rFonts w:ascii="Arial" w:cs="Arial" w:eastAsia="Arial" w:hAnsi="Arial"/>
          <w:sz w:val="18"/>
          <w:szCs w:val="18"/>
          <w:b w:val="1"/>
          <w:bCs w:val="1"/>
          <w:color w:val="auto"/>
        </w:rPr>
        <w:t>Kornit Digital Technologies Ltd., a division of Kornit Digital Ltd</w:t>
      </w:r>
      <w:r>
        <w:rPr>
          <w:rFonts w:ascii="Arial" w:cs="Arial" w:eastAsia="Arial" w:hAnsi="Arial"/>
          <w:sz w:val="18"/>
          <w:szCs w:val="18"/>
          <w:color w:val="auto"/>
        </w:rPr>
        <w:t>. (“Company”). All capitalized terms used but not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assigned to them in the Agreement, as hereinafter defined.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WHEREAS, FUJIFILM and Company are parties to an OEM Supply Agreement dated </w:t>
      </w:r>
      <w:r>
        <w:rPr>
          <w:rFonts w:ascii="Arial" w:cs="Arial" w:eastAsia="Arial" w:hAnsi="Arial"/>
          <w:sz w:val="18"/>
          <w:szCs w:val="18"/>
          <w:b w:val="1"/>
          <w:bCs w:val="1"/>
          <w:color w:val="auto"/>
        </w:rPr>
        <w:t>January 6, 2006, OEM Supply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Amendment #1, dated September 20, 2006, OEM Supply Agreement Amendment #2 dated September 1, 2007, OEM Supply Agreement Amendment #3 dated March 17, 2008, OEM Supply Agreement Amendment #4 dated July 1, 2010, OEM Supply Agreement Pricing Amendment #5 dated October 4, 2011, OEM Supply Agreement Pricing Amendment #6 dated December 6, 2012 and OEM Supply Agreement Pricing Amendment #7 dated February 1, 2013 </w:t>
      </w:r>
      <w:r>
        <w:rPr>
          <w:rFonts w:ascii="Arial" w:cs="Arial" w:eastAsia="Arial" w:hAnsi="Arial"/>
          <w:sz w:val="18"/>
          <w:szCs w:val="18"/>
          <w:color w:val="auto"/>
        </w:rPr>
        <w:t>(the “Agreement”), under which FUJIFILM provides to Company, and Company procures from FUJIFILM,</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FUJIFILM products for incorporation with Company products; and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1880" w:hanging="583"/>
        <w:spacing w:after="0"/>
        <w:tabs>
          <w:tab w:leader="none" w:pos="188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Schedule 2 of the Agreement is hereby deleted in its entirety and a new Schedule 2 is attached hereto and made a part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880" w:hanging="583"/>
        <w:spacing w:after="0"/>
        <w:tabs>
          <w:tab w:leader="none" w:pos="1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This Amendment will be effective as of the Amendment #8 Effective Date.</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rFonts w:ascii="Arial" w:cs="Arial" w:eastAsia="Arial" w:hAnsi="Arial"/>
          <w:sz w:val="18"/>
          <w:szCs w:val="18"/>
          <w:color w:val="auto"/>
        </w:rPr>
      </w:pPr>
    </w:p>
    <w:p>
      <w:pPr>
        <w:spacing w:after="0" w:line="342" w:lineRule="auto"/>
        <w:tabs>
          <w:tab w:leader="none" w:pos="32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93" w:name="page294"/>
    <w:bookmarkEnd w:id="293"/>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duly authorized representatives as of the Amendment #8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CEO and President</w:t>
            </w:r>
          </w:p>
        </w:tc>
        <w:tc>
          <w:tcPr>
            <w:tcW w:w="880" w:type="dxa"/>
            <w:vAlign w:val="bottom"/>
          </w:tcPr>
          <w:p>
            <w:pPr>
              <w:ind w:left="2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KORNIT DIGITAL TECHNOLOGIES LTD</w:t>
      </w:r>
    </w:p>
    <w:p>
      <w:pPr>
        <w:spacing w:after="0" w:line="22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Osnar Michaeli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Name:</w:t>
        <w:tab/>
        <w:t>Osnar Michaeli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spacing w:after="0" w:line="342" w:lineRule="auto"/>
        <w:tabs>
          <w:tab w:leader="none" w:pos="325" w:val="left"/>
        </w:tabs>
        <w:numPr>
          <w:ilvl w:val="0"/>
          <w:numId w:val="44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80" w:hanging="680"/>
        <w:spacing w:after="0"/>
        <w:tabs>
          <w:tab w:leader="none" w:pos="68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PART NUMBER</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520" w:type="dxa"/>
            <w:vAlign w:val="bottom"/>
          </w:tcPr>
          <w:p>
            <w:pPr>
              <w:jc w:val="center"/>
              <w:ind w:left="270"/>
              <w:spacing w:after="0"/>
              <w:rPr>
                <w:sz w:val="20"/>
                <w:szCs w:val="20"/>
                <w:color w:val="auto"/>
              </w:rPr>
            </w:pPr>
            <w:r>
              <w:rPr>
                <w:rFonts w:ascii="Arial" w:cs="Arial" w:eastAsia="Arial" w:hAnsi="Arial"/>
                <w:sz w:val="18"/>
                <w:szCs w:val="18"/>
                <w:b w:val="1"/>
                <w:bCs w:val="1"/>
                <w:color w:val="auto"/>
              </w:rPr>
              <w:t>ORDER QTY</w:t>
            </w:r>
          </w:p>
        </w:tc>
        <w:tc>
          <w:tcPr>
            <w:tcW w:w="1880" w:type="dxa"/>
            <w:vAlign w:val="bottom"/>
            <w:gridSpan w:val="2"/>
          </w:tcPr>
          <w:p>
            <w:pPr>
              <w:ind w:left="64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3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05536</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Nova JA 256/80 AAA</w:t>
            </w:r>
          </w:p>
        </w:tc>
        <w:tc>
          <w:tcPr>
            <w:tcW w:w="25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09493</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Galaxy JA 256/80 AAA</w:t>
            </w:r>
          </w:p>
        </w:tc>
        <w:tc>
          <w:tcPr>
            <w:tcW w:w="25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22140</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PQ-256/35 JM</w:t>
            </w:r>
          </w:p>
        </w:tc>
        <w:tc>
          <w:tcPr>
            <w:tcW w:w="25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jc w:val="center"/>
              <w:ind w:left="30"/>
              <w:spacing w:after="0"/>
              <w:rPr>
                <w:sz w:val="20"/>
                <w:szCs w:val="20"/>
                <w:color w:val="auto"/>
              </w:rPr>
            </w:pPr>
            <w:r>
              <w:rPr>
                <w:rFonts w:ascii="Arial" w:cs="Arial" w:eastAsia="Arial" w:hAnsi="Arial"/>
                <w:sz w:val="18"/>
                <w:szCs w:val="18"/>
                <w:color w:val="auto"/>
                <w:w w:val="87"/>
              </w:rPr>
              <w:t>22168</w:t>
            </w: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PQ-256/85 JM</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ind w:left="3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pricing for Nova JA 256/80 AAA and Galaxy JA 256/80 AAA is set for [***] starting [***] and ending [***].</w:t>
      </w:r>
    </w:p>
    <w:p>
      <w:pPr>
        <w:spacing w:after="0" w:line="221" w:lineRule="exact"/>
        <w:rPr>
          <w:sz w:val="20"/>
          <w:szCs w:val="20"/>
          <w:color w:val="auto"/>
        </w:rPr>
      </w:pPr>
    </w:p>
    <w:p>
      <w:pPr>
        <w:ind w:left="660" w:hanging="660"/>
        <w:spacing w:after="0"/>
        <w:tabs>
          <w:tab w:leader="none" w:pos="660"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 after the Effective Date, and/or from time to time thereafter, FUJIFILM may, by written notice delivered [***] in advance to Kornit, increase prices for FUJIFILM Products listed on this Schedule 2. Price increases will not apply to orders that are non- cancelable and non-deferrable (pursuant to Schedule 1) at the time of notice of the increase. Any notice of price increase in accordance with the foregoing shall constitute an amendment to this Schedule 2.</w:t>
      </w:r>
    </w:p>
    <w:p>
      <w:pPr>
        <w:spacing w:after="0" w:line="183" w:lineRule="exact"/>
        <w:rPr>
          <w:sz w:val="20"/>
          <w:szCs w:val="20"/>
          <w:color w:val="auto"/>
        </w:rPr>
      </w:pPr>
    </w:p>
    <w:p>
      <w:pPr>
        <w:ind w:left="680" w:hanging="680"/>
        <w:spacing w:after="0"/>
        <w:tabs>
          <w:tab w:leader="none" w:pos="68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jc w:val="both"/>
        <w:ind w:left="1300" w:hanging="652"/>
        <w:spacing w:after="0" w:line="264" w:lineRule="auto"/>
        <w:tabs>
          <w:tab w:leader="none" w:pos="13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Beginning January 1, 2014, Kornit shall pay to FUJIFILM a Royalty based on the total amount received by Kornit (net of returns, allowances, sales and use taxes) upon the sale to a Third Party Customer of Ink for use in Kornit Products, except FUJIFILM Ink as follows:</w:t>
      </w:r>
    </w:p>
    <w:p>
      <w:pPr>
        <w:spacing w:after="0" w:line="181" w:lineRule="exact"/>
        <w:rPr>
          <w:rFonts w:ascii="Arial" w:cs="Arial" w:eastAsia="Arial" w:hAnsi="Arial"/>
          <w:sz w:val="18"/>
          <w:szCs w:val="18"/>
          <w:color w:val="auto"/>
        </w:rPr>
      </w:pPr>
    </w:p>
    <w:p>
      <w:pPr>
        <w:ind w:left="1940" w:hanging="643"/>
        <w:spacing w:after="0" w:line="277" w:lineRule="auto"/>
        <w:tabs>
          <w:tab w:leader="none" w:pos="1875" w:val="left"/>
        </w:tabs>
        <w:numPr>
          <w:ilvl w:val="2"/>
          <w:numId w:val="452"/>
        </w:numPr>
        <w:rPr>
          <w:rFonts w:ascii="Arial" w:cs="Arial" w:eastAsia="Arial" w:hAnsi="Arial"/>
          <w:sz w:val="18"/>
          <w:szCs w:val="18"/>
          <w:color w:val="auto"/>
        </w:rPr>
      </w:pPr>
      <w:r>
        <w:rPr>
          <w:rFonts w:ascii="Arial" w:cs="Arial" w:eastAsia="Arial" w:hAnsi="Arial"/>
          <w:sz w:val="18"/>
          <w:szCs w:val="18"/>
          <w:color w:val="auto"/>
        </w:rPr>
        <w:t>At a rate equal to [***] percent ([***]%) up to a maximum of $[***] million for a two (2) year period, beginning January 1, 2014 and ending December 31, 2015.</w:t>
      </w:r>
    </w:p>
    <w:p>
      <w:pPr>
        <w:spacing w:after="0" w:line="170" w:lineRule="exact"/>
        <w:rPr>
          <w:rFonts w:ascii="Arial" w:cs="Arial" w:eastAsia="Arial" w:hAnsi="Arial"/>
          <w:sz w:val="18"/>
          <w:szCs w:val="18"/>
          <w:color w:val="auto"/>
        </w:rPr>
      </w:pPr>
    </w:p>
    <w:p>
      <w:pPr>
        <w:jc w:val="both"/>
        <w:ind w:left="1300" w:hanging="652"/>
        <w:spacing w:after="0" w:line="259" w:lineRule="auto"/>
        <w:tabs>
          <w:tab w:leader="none" w:pos="13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Royalty referenced in subsection 1 above, pay to FUJIFILM a Royalty equal to [***] percent ([***]%) of the total amount received by Kornit (net of returns, allowances, sales and use taxes) upon the sale to a Third Party Customer of Kornit Products, in addition to the price paid for FUJIFILM Products pursuant to this Schedule 2.</w:t>
      </w:r>
    </w:p>
    <w:p>
      <w:pPr>
        <w:spacing w:after="0" w:line="187" w:lineRule="exact"/>
        <w:rPr>
          <w:sz w:val="20"/>
          <w:szCs w:val="20"/>
          <w:color w:val="auto"/>
        </w:rPr>
      </w:pPr>
    </w:p>
    <w:p>
      <w:pPr>
        <w:spacing w:after="0" w:line="342" w:lineRule="auto"/>
        <w:tabs>
          <w:tab w:leader="none" w:pos="32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95" w:name="page296"/>
    <w:bookmarkEnd w:id="295"/>
    <w:p>
      <w:pPr>
        <w:ind w:left="680" w:hanging="680"/>
        <w:spacing w:after="0"/>
        <w:tabs>
          <w:tab w:leader="none" w:pos="68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Kornit shall earn a per machine rebate for Galaxy JA 256/80 AAA Printheads (7 printheads per machine) that are used in the Kornit Breeze Direct on Garment Entry Level Printer. The rebate will be $[***] per printer shipped by Kornit ($[***] rebate x 7 printheads) to a Third Party Customer. This rebate offer will commence on January 1, 2014 and continue in effect for twelve (12) months until December 31, 2014. The rebate will be issued to Kornit as a credit to be used by Kornit toward future FUJIFILM Product purchases.</w:t>
      </w:r>
    </w:p>
    <w:p>
      <w:pPr>
        <w:spacing w:after="0" w:line="187" w:lineRule="exact"/>
        <w:rPr>
          <w:sz w:val="20"/>
          <w:szCs w:val="20"/>
          <w:color w:val="auto"/>
        </w:rPr>
      </w:pPr>
    </w:p>
    <w:p>
      <w:pPr>
        <w:spacing w:after="0" w:line="342" w:lineRule="auto"/>
        <w:tabs>
          <w:tab w:leader="none" w:pos="325" w:val="left"/>
        </w:tabs>
        <w:numPr>
          <w:ilvl w:val="0"/>
          <w:numId w:val="45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 AMENDMENT #9</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OEM Supply Agreement Amendment #9 (“Amendment #9”) is made as of August 22, 2014 (“Amendment #9 Effective Date”) between FUJIFILM Dimatix, Inc., formerly known as Spectra, Inc. (“FUJIFILM”) and Kornit Digital Ltd. and Kornit Digital Technologies Ltd., a division of Kornit Digital Ltd. (“Company”). Capitalized terms used but not defined herein shall have the meanings assigned to them in the Agreement (as defined below).</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FUJIFILM and Company are parties to an OEM Supply Agreement dated January 6, 2006, as amended by Amendment #1 dated September 20, 2006, Amendment #2 dated September 1, 2007, Amendment #3 dated March 17, 2008, Amendments dated July 1, 2010, Amendment #5 dated October 4, 2011, Amendment #6 dated December 6, 2012, Amendment #7 dated February 1, 2013 and Amendment #8 dated January 1, 2014 (collectively, the “Agreement”) under which FUJIFILM provides to Company, and Company procures from FUJIFILM, certain FUJIFILM products for incorporation with Company products; and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FUJIFILM and Company desire to amend the Agreement as set forth herein.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300" w:hanging="652"/>
        <w:spacing w:after="0"/>
        <w:tabs>
          <w:tab w:leader="none" w:pos="13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Section 2.4 of the Agreement is deleted in its entirety and replaced with the following new Section 2.4:</w:t>
      </w:r>
    </w:p>
    <w:p>
      <w:pPr>
        <w:spacing w:after="0" w:line="225" w:lineRule="exact"/>
        <w:rPr>
          <w:rFonts w:ascii="Arial" w:cs="Arial" w:eastAsia="Arial" w:hAnsi="Arial"/>
          <w:sz w:val="18"/>
          <w:szCs w:val="18"/>
          <w:color w:val="auto"/>
        </w:rPr>
      </w:pPr>
    </w:p>
    <w:p>
      <w:pPr>
        <w:jc w:val="both"/>
        <w:ind w:left="1300"/>
        <w:spacing w:after="0" w:line="270" w:lineRule="auto"/>
        <w:rPr>
          <w:rFonts w:ascii="Arial" w:cs="Arial" w:eastAsia="Arial" w:hAnsi="Arial"/>
          <w:sz w:val="18"/>
          <w:szCs w:val="18"/>
          <w:color w:val="auto"/>
        </w:rPr>
      </w:pPr>
      <w:r>
        <w:rPr>
          <w:rFonts w:ascii="Arial" w:cs="Arial" w:eastAsia="Arial" w:hAnsi="Arial"/>
          <w:sz w:val="17"/>
          <w:szCs w:val="17"/>
          <w:color w:val="auto"/>
        </w:rPr>
        <w:t>2.4 Kornit will provide FUJIFILM with a written report, no later than [***] following the end of [***] during the Term, describing (i) the amount, type and price of all Ink sold, leased or otherwise disposed of, for use with Kornit Product during such period, together with a detailed calculation sufficient to establish a state of contingent payment due for [***], and (ii) a contingent payment, if any, due pursuant to Schedule 2 attached hereto for Kornit Products sold during such period. Kornit will pay any contingent payment due on a bi-annual basis (June 30 and December 31 of each year). FUJIFILM shall have the right to audit the books and records of Kornit [***] year during the Term to verify the contingent payment paid and applicable [***] reports. The audit shall be conducted by an accounting firm designated by FUJIFILM. If any such audit discloses an underpayment of contingent payment, Kornit will pay the shortfall immediately upon receipt of written notice. If such shortfall exceeds [***] percent ([***]%) of the contingent payments due, Kornit shall also reimburse FUJIFILM for the costs of the audit.</w:t>
      </w:r>
    </w:p>
    <w:p>
      <w:pPr>
        <w:spacing w:after="0" w:line="181" w:lineRule="exact"/>
        <w:rPr>
          <w:rFonts w:ascii="Arial" w:cs="Arial" w:eastAsia="Arial" w:hAnsi="Arial"/>
          <w:sz w:val="18"/>
          <w:szCs w:val="18"/>
          <w:color w:val="auto"/>
        </w:rPr>
      </w:pPr>
    </w:p>
    <w:p>
      <w:pPr>
        <w:ind w:left="1300" w:right="840" w:hanging="652"/>
        <w:spacing w:after="0" w:line="277" w:lineRule="auto"/>
        <w:tabs>
          <w:tab w:leader="none" w:pos="13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Schedule 2 of the Agreement is deleted in its entirety and replaced with a new Schedule 2 attached hereto and made part of the Agreement.</w:t>
      </w:r>
    </w:p>
    <w:p>
      <w:pPr>
        <w:spacing w:after="0" w:line="170" w:lineRule="exact"/>
        <w:rPr>
          <w:rFonts w:ascii="Arial" w:cs="Arial" w:eastAsia="Arial" w:hAnsi="Arial"/>
          <w:sz w:val="18"/>
          <w:szCs w:val="18"/>
          <w:color w:val="auto"/>
        </w:rPr>
      </w:pPr>
    </w:p>
    <w:p>
      <w:pPr>
        <w:ind w:left="1300" w:hanging="652"/>
        <w:spacing w:after="0"/>
        <w:tabs>
          <w:tab w:leader="none" w:pos="13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This Amendment #9 shall be effective as of the Amendment #9 Effective Date.</w:t>
      </w:r>
    </w:p>
    <w:p>
      <w:pPr>
        <w:spacing w:after="0" w:line="225" w:lineRule="exact"/>
        <w:rPr>
          <w:rFonts w:ascii="Arial" w:cs="Arial" w:eastAsia="Arial" w:hAnsi="Arial"/>
          <w:sz w:val="18"/>
          <w:szCs w:val="18"/>
          <w:color w:val="auto"/>
        </w:rPr>
      </w:pPr>
    </w:p>
    <w:p>
      <w:pPr>
        <w:spacing w:after="0" w:line="342" w:lineRule="auto"/>
        <w:tabs>
          <w:tab w:leader="none" w:pos="325" w:val="left"/>
        </w:tabs>
        <w:numPr>
          <w:ilvl w:val="0"/>
          <w:numId w:val="45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297" w:name="page298"/>
    <w:bookmarkEnd w:id="297"/>
    <w:p>
      <w:pPr>
        <w:ind w:left="1300" w:right="240" w:hanging="652"/>
        <w:spacing w:after="0" w:line="264" w:lineRule="auto"/>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state and federal law of the State of California, United States of America, shall govern the interpretation and enforcement of this Agreement and any dispute arising out of or related to this Agreement, without giving effect to any conflict of laws principles that may cause the law of any other jurisdiction to apply.</w:t>
      </w:r>
    </w:p>
    <w:p>
      <w:pPr>
        <w:spacing w:after="0" w:line="181" w:lineRule="exact"/>
        <w:rPr>
          <w:rFonts w:ascii="Arial" w:cs="Arial" w:eastAsia="Arial" w:hAnsi="Arial"/>
          <w:sz w:val="18"/>
          <w:szCs w:val="18"/>
          <w:color w:val="auto"/>
        </w:rPr>
      </w:pPr>
    </w:p>
    <w:p>
      <w:pPr>
        <w:ind w:left="1300" w:hanging="652"/>
        <w:spacing w:after="0"/>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Except as expressly provided herein, the Agreement remains unchanged in all respects.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#9 to be executed by their duly authorized representatives as of the Amendment #9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Osnar Michaeli, /s/ 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Osnar Michaeli, /s/ 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CEO and President</w:t>
            </w:r>
          </w:p>
        </w:tc>
        <w:tc>
          <w:tcPr>
            <w:tcW w:w="880" w:type="dxa"/>
            <w:vAlign w:val="bottom"/>
          </w:tcPr>
          <w:p>
            <w:pPr>
              <w:ind w:left="2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 CEO</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jc w:val="right"/>
              <w:ind w:right="2810"/>
              <w:spacing w:after="0"/>
              <w:rPr>
                <w:sz w:val="20"/>
                <w:szCs w:val="20"/>
                <w:color w:val="auto"/>
              </w:rPr>
            </w:pPr>
            <w:r>
              <w:rPr>
                <w:rFonts w:ascii="Arial" w:cs="Arial" w:eastAsia="Arial" w:hAnsi="Arial"/>
                <w:sz w:val="10"/>
                <w:szCs w:val="10"/>
                <w:color w:val="auto"/>
                <w:w w:val="70"/>
              </w:rPr>
              <w:t>.</w:t>
            </w:r>
          </w:p>
        </w:tc>
        <w:tc>
          <w:tcPr>
            <w:tcW w:w="8360" w:type="dxa"/>
            <w:vAlign w:val="bottom"/>
            <w:gridSpan w:val="2"/>
          </w:tcPr>
          <w:p>
            <w:pPr>
              <w:ind w:left="2860"/>
              <w:spacing w:after="0"/>
              <w:rPr>
                <w:sz w:val="20"/>
                <w:szCs w:val="20"/>
                <w:color w:val="auto"/>
              </w:rPr>
            </w:pPr>
            <w:r>
              <w:rPr>
                <w:rFonts w:ascii="Arial" w:cs="Arial" w:eastAsia="Arial" w:hAnsi="Arial"/>
                <w:sz w:val="18"/>
                <w:szCs w:val="18"/>
                <w:b w:val="1"/>
                <w:bCs w:val="1"/>
                <w:color w:val="auto"/>
              </w:rPr>
              <w:t>KORNIT DIGITAL TECHNOLOGIES LTD</w:t>
            </w:r>
          </w:p>
        </w:tc>
      </w:tr>
      <w:tr>
        <w:trPr>
          <w:trHeight w:val="432"/>
        </w:trPr>
        <w:tc>
          <w:tcPr>
            <w:tcW w:w="2900" w:type="dxa"/>
            <w:vAlign w:val="bottom"/>
          </w:tcPr>
          <w:p>
            <w:pPr>
              <w:spacing w:after="0"/>
              <w:rPr>
                <w:sz w:val="24"/>
                <w:szCs w:val="24"/>
                <w:color w:val="auto"/>
              </w:rPr>
            </w:pPr>
          </w:p>
        </w:tc>
        <w:tc>
          <w:tcPr>
            <w:tcW w:w="3520" w:type="dxa"/>
            <w:vAlign w:val="bottom"/>
          </w:tcPr>
          <w:p>
            <w:pPr>
              <w:ind w:left="28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Osnar Michaeli, /s/ Ofer Ben-Zur</w:t>
            </w:r>
          </w:p>
        </w:tc>
      </w:tr>
      <w:tr>
        <w:trPr>
          <w:trHeight w:val="426"/>
        </w:trPr>
        <w:tc>
          <w:tcPr>
            <w:tcW w:w="2900" w:type="dxa"/>
            <w:vAlign w:val="bottom"/>
          </w:tcPr>
          <w:p>
            <w:pPr>
              <w:spacing w:after="0"/>
              <w:rPr>
                <w:sz w:val="24"/>
                <w:szCs w:val="24"/>
                <w:color w:val="auto"/>
              </w:rPr>
            </w:pPr>
          </w:p>
        </w:tc>
        <w:tc>
          <w:tcPr>
            <w:tcW w:w="3520" w:type="dxa"/>
            <w:vAlign w:val="bottom"/>
          </w:tcPr>
          <w:p>
            <w:pPr>
              <w:ind w:left="286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Osnar Michaeli, /s/ Ofer Ben-Zur</w:t>
            </w:r>
          </w:p>
        </w:tc>
      </w:tr>
      <w:tr>
        <w:trPr>
          <w:trHeight w:val="426"/>
        </w:trPr>
        <w:tc>
          <w:tcPr>
            <w:tcW w:w="2900" w:type="dxa"/>
            <w:vAlign w:val="bottom"/>
          </w:tcPr>
          <w:p>
            <w:pPr>
              <w:spacing w:after="0"/>
              <w:rPr>
                <w:sz w:val="24"/>
                <w:szCs w:val="24"/>
                <w:color w:val="auto"/>
              </w:rPr>
            </w:pPr>
          </w:p>
        </w:tc>
        <w:tc>
          <w:tcPr>
            <w:tcW w:w="3520" w:type="dxa"/>
            <w:vAlign w:val="bottom"/>
          </w:tcPr>
          <w:p>
            <w:pPr>
              <w:ind w:left="286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 CEO</w:t>
            </w:r>
          </w:p>
        </w:tc>
      </w:tr>
    </w:tbl>
    <w:p>
      <w:pPr>
        <w:spacing w:after="0" w:line="202" w:lineRule="exact"/>
        <w:rPr>
          <w:sz w:val="20"/>
          <w:szCs w:val="20"/>
          <w:color w:val="auto"/>
        </w:rPr>
      </w:pPr>
    </w:p>
    <w:p>
      <w:pPr>
        <w:spacing w:after="0" w:line="342" w:lineRule="auto"/>
        <w:tabs>
          <w:tab w:leader="none" w:pos="325" w:val="left"/>
        </w:tabs>
        <w:numPr>
          <w:ilvl w:val="0"/>
          <w:numId w:val="45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40" w:hanging="640"/>
        <w:spacing w:after="0"/>
        <w:tabs>
          <w:tab w:leader="none" w:pos="64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jc w:val="center"/>
              <w:ind w:right="510"/>
              <w:spacing w:after="0"/>
              <w:rPr>
                <w:sz w:val="20"/>
                <w:szCs w:val="20"/>
                <w:color w:val="auto"/>
              </w:rPr>
            </w:pPr>
            <w:r>
              <w:rPr>
                <w:rFonts w:ascii="Arial" w:cs="Arial" w:eastAsia="Arial" w:hAnsi="Arial"/>
                <w:sz w:val="18"/>
                <w:szCs w:val="18"/>
                <w:b w:val="1"/>
                <w:bCs w:val="1"/>
                <w:color w:val="auto"/>
                <w:w w:val="97"/>
              </w:rPr>
              <w:t>PART NUMBER</w:t>
            </w:r>
          </w:p>
        </w:tc>
        <w:tc>
          <w:tcPr>
            <w:tcW w:w="3880" w:type="dxa"/>
            <w:vAlign w:val="bottom"/>
          </w:tcPr>
          <w:p>
            <w:pPr>
              <w:jc w:val="center"/>
              <w:ind w:left="30"/>
              <w:spacing w:after="0"/>
              <w:rPr>
                <w:sz w:val="20"/>
                <w:szCs w:val="20"/>
                <w:color w:val="auto"/>
              </w:rPr>
            </w:pPr>
            <w:r>
              <w:rPr>
                <w:rFonts w:ascii="Arial" w:cs="Arial" w:eastAsia="Arial" w:hAnsi="Arial"/>
                <w:sz w:val="18"/>
                <w:szCs w:val="18"/>
                <w:b w:val="1"/>
                <w:bCs w:val="1"/>
                <w:color w:val="auto"/>
              </w:rPr>
              <w:t>DESCRIPTION</w:t>
            </w:r>
          </w:p>
        </w:tc>
        <w:tc>
          <w:tcPr>
            <w:tcW w:w="2300" w:type="dxa"/>
            <w:vAlign w:val="bottom"/>
          </w:tcPr>
          <w:p>
            <w:pPr>
              <w:jc w:val="center"/>
              <w:ind w:left="690"/>
              <w:spacing w:after="0"/>
              <w:rPr>
                <w:sz w:val="20"/>
                <w:szCs w:val="20"/>
                <w:color w:val="auto"/>
              </w:rPr>
            </w:pPr>
            <w:r>
              <w:rPr>
                <w:rFonts w:ascii="Arial" w:cs="Arial" w:eastAsia="Arial" w:hAnsi="Arial"/>
                <w:sz w:val="18"/>
                <w:szCs w:val="18"/>
                <w:b w:val="1"/>
                <w:bCs w:val="1"/>
                <w:color w:val="auto"/>
              </w:rPr>
              <w:t>ORDER QTY</w:t>
            </w:r>
          </w:p>
        </w:tc>
        <w:tc>
          <w:tcPr>
            <w:tcW w:w="420" w:type="dxa"/>
            <w:vAlign w:val="bottom"/>
          </w:tcPr>
          <w:p>
            <w:pPr>
              <w:spacing w:after="0"/>
              <w:rPr>
                <w:sz w:val="20"/>
                <w:szCs w:val="20"/>
                <w:color w:val="auto"/>
              </w:rPr>
            </w:pPr>
          </w:p>
        </w:tc>
        <w:tc>
          <w:tcPr>
            <w:tcW w:w="1680" w:type="dxa"/>
            <w:vAlign w:val="bottom"/>
          </w:tcPr>
          <w:p>
            <w:pPr>
              <w:ind w:left="14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9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1"/>
              </w:rPr>
              <w:t>05536</w:t>
            </w:r>
          </w:p>
        </w:tc>
        <w:tc>
          <w:tcPr>
            <w:tcW w:w="3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Nova JA 256/80 AAA</w:t>
            </w:r>
          </w:p>
        </w:tc>
        <w:tc>
          <w:tcPr>
            <w:tcW w:w="2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9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1"/>
              </w:rPr>
              <w:t>09493</w:t>
            </w:r>
          </w:p>
        </w:tc>
        <w:tc>
          <w:tcPr>
            <w:tcW w:w="3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Galaxy JA 256/80 AAA</w:t>
            </w:r>
          </w:p>
        </w:tc>
        <w:tc>
          <w:tcPr>
            <w:tcW w:w="2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9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1"/>
              </w:rPr>
              <w:t>22140</w:t>
            </w:r>
          </w:p>
        </w:tc>
        <w:tc>
          <w:tcPr>
            <w:tcW w:w="3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PQ-256/35 JM</w:t>
            </w:r>
          </w:p>
        </w:tc>
        <w:tc>
          <w:tcPr>
            <w:tcW w:w="2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9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1"/>
              </w:rPr>
              <w:t>22168</w:t>
            </w:r>
          </w:p>
        </w:tc>
        <w:tc>
          <w:tcPr>
            <w:tcW w:w="3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PQ-256/85 JM</w:t>
            </w:r>
          </w:p>
        </w:tc>
        <w:tc>
          <w:tcPr>
            <w:tcW w:w="2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pricing for Nova JA 256/80 AAA and Galaxy JA 256/80 AAA is set for [***] starting [***] and ending [***].</w:t>
      </w:r>
    </w:p>
    <w:p>
      <w:pPr>
        <w:spacing w:after="0" w:line="221" w:lineRule="exact"/>
        <w:rPr>
          <w:sz w:val="20"/>
          <w:szCs w:val="20"/>
          <w:color w:val="auto"/>
        </w:rPr>
      </w:pPr>
    </w:p>
    <w:p>
      <w:pPr>
        <w:ind w:left="640" w:hanging="640"/>
        <w:spacing w:after="0"/>
        <w:tabs>
          <w:tab w:leader="none" w:pos="64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 after the Effective Date, and/or from time to time thereafter, FUJIFILM may, by written notice delivered [***] in advance to Kornit, increase prices for FUJIFILM Products listed on this Schedule 2. Price increases will not apply to orders that are non-cancelable and non-deferrable (pursuant to Schedule 1) at the time of notice of the increase. Any notice of price increase in accordance with the foregoing shall constitute an amendment to this Schedule 2.</w:t>
      </w:r>
    </w:p>
    <w:p>
      <w:pPr>
        <w:spacing w:after="0" w:line="183" w:lineRule="exact"/>
        <w:rPr>
          <w:sz w:val="20"/>
          <w:szCs w:val="20"/>
          <w:color w:val="auto"/>
        </w:rPr>
      </w:pPr>
    </w:p>
    <w:p>
      <w:pPr>
        <w:ind w:left="640" w:hanging="640"/>
        <w:spacing w:after="0"/>
        <w:tabs>
          <w:tab w:leader="none" w:pos="64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PAYMENT</w:t>
      </w:r>
    </w:p>
    <w:p>
      <w:pPr>
        <w:spacing w:after="0" w:line="229" w:lineRule="exact"/>
        <w:rPr>
          <w:rFonts w:ascii="Arial" w:cs="Arial" w:eastAsia="Arial" w:hAnsi="Arial"/>
          <w:sz w:val="18"/>
          <w:szCs w:val="18"/>
          <w:b w:val="1"/>
          <w:bCs w:val="1"/>
          <w:color w:val="auto"/>
        </w:rPr>
      </w:pPr>
    </w:p>
    <w:p>
      <w:pPr>
        <w:jc w:val="both"/>
        <w:ind w:left="1300" w:hanging="652"/>
        <w:spacing w:after="0" w:line="264" w:lineRule="auto"/>
        <w:tabs>
          <w:tab w:leader="none" w:pos="130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Beginning January 1, 2014, Kornit shall pay to FUJIFILM a contingent payment based on the total amount received by Kornit (net of returns, allowances, sales and use taxes) upon the sale to a Third Party Customer of Ink for use in Kornit Products, except FUJIFILM Ink as follows:</w:t>
      </w:r>
    </w:p>
    <w:p>
      <w:pPr>
        <w:spacing w:after="0" w:line="181" w:lineRule="exact"/>
        <w:rPr>
          <w:sz w:val="20"/>
          <w:szCs w:val="20"/>
          <w:color w:val="auto"/>
        </w:rPr>
      </w:pPr>
    </w:p>
    <w:p>
      <w:pPr>
        <w:ind w:left="1940" w:hanging="643"/>
        <w:spacing w:after="0" w:line="277" w:lineRule="auto"/>
        <w:tabs>
          <w:tab w:leader="none" w:pos="194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At a rate equal to [***] percent ([***]%) up to a maximum of $[***] million for a two (2) year period, beginning January 1, 2014 and ending December 31, 2015.</w:t>
      </w:r>
    </w:p>
    <w:p>
      <w:pPr>
        <w:spacing w:after="0" w:line="170" w:lineRule="exact"/>
        <w:rPr>
          <w:rFonts w:ascii="Arial" w:cs="Arial" w:eastAsia="Arial" w:hAnsi="Arial"/>
          <w:sz w:val="18"/>
          <w:szCs w:val="18"/>
          <w:color w:val="auto"/>
        </w:rPr>
      </w:pPr>
    </w:p>
    <w:p>
      <w:pPr>
        <w:spacing w:after="0" w:line="342" w:lineRule="auto"/>
        <w:tabs>
          <w:tab w:leader="none" w:pos="32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99" w:name="page300"/>
    <w:bookmarkEnd w:id="299"/>
    <w:p>
      <w:pPr>
        <w:jc w:val="both"/>
        <w:ind w:left="1300" w:hanging="652"/>
        <w:spacing w:after="0" w:line="259" w:lineRule="auto"/>
        <w:tabs>
          <w:tab w:leader="none" w:pos="13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contingent payment referenced in subsection 1 above, pay to FUJIFILM a contingent payment equal to [***] percent ([***]%) of the total amount received by Kornit (net of returns, allowances, sales and use taxes) upon the sale to a Third Party Customer of Kornit Products, in addition to the price paid for FUJIFILM Products pursuant to this Schedule 2.</w:t>
      </w:r>
    </w:p>
    <w:p>
      <w:pPr>
        <w:spacing w:after="0" w:line="182" w:lineRule="exact"/>
        <w:rPr>
          <w:rFonts w:ascii="Arial" w:cs="Arial" w:eastAsia="Arial" w:hAnsi="Arial"/>
          <w:sz w:val="18"/>
          <w:szCs w:val="18"/>
          <w:color w:val="auto"/>
        </w:rPr>
      </w:pPr>
    </w:p>
    <w:p>
      <w:pPr>
        <w:ind w:left="640" w:hanging="640"/>
        <w:spacing w:after="0"/>
        <w:tabs>
          <w:tab w:leader="none" w:pos="64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Kornit shall earn a per machine rebate for Galaxy JA 256/80 AAA Printheads (7 printheads per machine) that are used in the Kornit Breeze Direct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Garment Entry Level Printer. The rebate will be $[***] per printer shipped by Kornit ($[***] rebate x 7 printheads) to a Third Party Customer. This rebate offer will commence on January 1, 2014 and continue in effect for twelve (12) months until December 31, 2014. The rebate will be issued to Kornit - as a credit to be used by Kornit toward future FUJIFILM Product purchases.</w:t>
      </w:r>
    </w:p>
    <w:p>
      <w:pPr>
        <w:spacing w:after="0" w:line="190" w:lineRule="exact"/>
        <w:rPr>
          <w:sz w:val="20"/>
          <w:szCs w:val="20"/>
          <w:color w:val="auto"/>
        </w:rPr>
      </w:pPr>
    </w:p>
    <w:p>
      <w:pPr>
        <w:spacing w:after="0" w:line="342" w:lineRule="auto"/>
        <w:tabs>
          <w:tab w:leader="none" w:pos="325" w:val="left"/>
        </w:tabs>
        <w:numPr>
          <w:ilvl w:val="0"/>
          <w:numId w:val="46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00" w:name="page301"/>
    <w:bookmarkEnd w:id="300"/>
    <w:p>
      <w:pPr>
        <w:jc w:val="right"/>
        <w:spacing w:after="0"/>
        <w:rPr>
          <w:sz w:val="20"/>
          <w:szCs w:val="20"/>
          <w:color w:val="auto"/>
        </w:rPr>
      </w:pPr>
      <w:r>
        <w:rPr>
          <w:rFonts w:ascii="Arial" w:cs="Arial" w:eastAsia="Arial" w:hAnsi="Arial"/>
          <w:sz w:val="22"/>
          <w:szCs w:val="22"/>
          <w:b w:val="1"/>
          <w:bCs w:val="1"/>
          <w:color w:val="auto"/>
        </w:rPr>
        <w:t>Exhibit 10.15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English translation of the original Hebrew document.</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u w:val="single" w:color="auto"/>
          <w:color w:val="auto"/>
        </w:rPr>
        <w:t xml:space="preserve">Framework Agreement for the Serial Turn Key Manufacture and Supply of Avalanche, Avalanche 1000 and Storm II Printers </w:t>
      </w:r>
      <w:r>
        <w:rPr>
          <w:rFonts w:ascii="Arial" w:cs="Arial" w:eastAsia="Arial" w:hAnsi="Arial"/>
          <w:sz w:val="18"/>
          <w:szCs w:val="18"/>
          <w:color w:val="auto"/>
        </w:rPr>
        <w:t>Made and executed on the 19th day of November 2014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ITS Industrial Techno logic Solutions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 Company No. 512833740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Supplier</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 Company No. 513846758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Customer is a manufacturer in the field of machinery for digital printing on textiles; and</w:t>
      </w:r>
    </w:p>
    <w:p>
      <w:pPr>
        <w:spacing w:after="0" w:line="225" w:lineRule="exact"/>
        <w:rPr>
          <w:sz w:val="20"/>
          <w:szCs w:val="20"/>
          <w:color w:val="auto"/>
        </w:rPr>
      </w:pPr>
    </w:p>
    <w:p>
      <w:pPr>
        <w:jc w:val="both"/>
        <w:ind w:left="1300" w:hanging="1296"/>
        <w:spacing w:after="0" w:line="264" w:lineRule="auto"/>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Supplier is a sub-contractor with the experience, equipment, expertise, skill and human resources required for the serial manufacture and supply of the digital printing machines in accordance with the provisions of this Agreement, and all subject to the provisions of this Agreement; and</w:t>
      </w:r>
    </w:p>
    <w:p>
      <w:pPr>
        <w:spacing w:after="0" w:line="181"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Supplier is available and is capable of performing its undertakings under this Agreement in accordance with the conditions and stipulations of this Agreement below; and</w:t>
      </w:r>
    </w:p>
    <w:p>
      <w:pPr>
        <w:spacing w:after="0" w:line="170"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May 24, 2009, the Supplier and the Customer entered into a framework serial manufacture and turn-key supply agreement (the “</w:t>
      </w:r>
      <w:r>
        <w:rPr>
          <w:rFonts w:ascii="Arial" w:cs="Arial" w:eastAsia="Arial" w:hAnsi="Arial"/>
          <w:sz w:val="18"/>
          <w:szCs w:val="18"/>
          <w:b w:val="1"/>
          <w:bCs w:val="1"/>
          <w:color w:val="auto"/>
        </w:rPr>
        <w:t>Previous Agreement</w:t>
      </w:r>
      <w:r>
        <w:rPr>
          <w:rFonts w:ascii="Arial" w:cs="Arial" w:eastAsia="Arial" w:hAnsi="Arial"/>
          <w:sz w:val="18"/>
          <w:szCs w:val="18"/>
          <w:color w:val="auto"/>
        </w:rPr>
        <w:t>”); and</w:t>
      </w:r>
    </w:p>
    <w:p>
      <w:pPr>
        <w:spacing w:after="0" w:line="170" w:lineRule="exact"/>
        <w:rPr>
          <w:sz w:val="20"/>
          <w:szCs w:val="20"/>
          <w:color w:val="auto"/>
        </w:rPr>
      </w:pPr>
    </w:p>
    <w:p>
      <w:pPr>
        <w:jc w:val="both"/>
        <w:ind w:left="1300" w:hanging="1296"/>
        <w:spacing w:after="0" w:line="312" w:lineRule="auto"/>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Parties have decided to terminate the Previous Agreement, including all sections and appendixes thereto, and to replace it with this Agreement, so that the provisions of this Agreement shall apply as of the Effective Date (and the Previous Agreement shall continue to apply with respect to the Supplier's undertakings that were given prior to the Effective Date), all as set out in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Therefore, it is agreed, declared and stipulated between the Parties as follows:</w:t>
      </w:r>
    </w:p>
    <w:p>
      <w:pPr>
        <w:spacing w:after="0" w:line="225" w:lineRule="exact"/>
        <w:rPr>
          <w:sz w:val="20"/>
          <w:szCs w:val="20"/>
          <w:color w:val="auto"/>
        </w:rPr>
      </w:pPr>
    </w:p>
    <w:p>
      <w:pPr>
        <w:ind w:left="640" w:hanging="640"/>
        <w:spacing w:after="0"/>
        <w:tabs>
          <w:tab w:leader="none" w:pos="64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Appendixes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All of the definitions and the Appendixes constitute an integral and binding part of this Agreement.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terms in this Agreement shall have the meanings set out below:</w:t>
      </w:r>
    </w:p>
    <w:p>
      <w:pPr>
        <w:spacing w:after="0" w:line="225" w:lineRule="exact"/>
        <w:rPr>
          <w:sz w:val="20"/>
          <w:szCs w:val="20"/>
          <w:color w:val="auto"/>
        </w:rPr>
      </w:pPr>
    </w:p>
    <w:p>
      <w:pPr>
        <w:spacing w:after="0" w:line="342" w:lineRule="auto"/>
        <w:tabs>
          <w:tab w:leader="none" w:pos="324" w:val="left"/>
        </w:tabs>
        <w:numPr>
          <w:ilvl w:val="0"/>
          <w:numId w:val="46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301" w:name="page302"/>
    <w:bookmarkEnd w:id="301"/>
    <w:p>
      <w:pPr>
        <w:jc w:val="both"/>
        <w:ind w:left="1940" w:hanging="647"/>
        <w:spacing w:after="0" w:line="254" w:lineRule="auto"/>
        <w:tabs>
          <w:tab w:leader="none" w:pos="1920" w:val="left"/>
        </w:tabs>
        <w:rPr>
          <w:sz w:val="20"/>
          <w:szCs w:val="20"/>
          <w:color w:val="auto"/>
        </w:rPr>
      </w:pPr>
      <w:r>
        <w:rPr>
          <w:rFonts w:ascii="Arial" w:cs="Arial" w:eastAsia="Arial" w:hAnsi="Arial"/>
          <w:sz w:val="18"/>
          <w:szCs w:val="18"/>
          <w:color w:val="auto"/>
        </w:rPr>
        <w:t>1.2.1.</w:t>
        <w:tab/>
        <w:t>The “</w:t>
      </w:r>
      <w:r>
        <w:rPr>
          <w:rFonts w:ascii="Arial" w:cs="Arial" w:eastAsia="Arial" w:hAnsi="Arial"/>
          <w:sz w:val="18"/>
          <w:szCs w:val="18"/>
          <w:b w:val="1"/>
          <w:bCs w:val="1"/>
          <w:color w:val="auto"/>
        </w:rPr>
        <w:t>Production File</w:t>
      </w:r>
      <w:r>
        <w:rPr>
          <w:rFonts w:ascii="Arial" w:cs="Arial" w:eastAsia="Arial" w:hAnsi="Arial"/>
          <w:sz w:val="18"/>
          <w:szCs w:val="18"/>
          <w:color w:val="auto"/>
        </w:rPr>
        <w:t>” or the “</w:t>
      </w:r>
      <w:r>
        <w:rPr>
          <w:rFonts w:ascii="Arial" w:cs="Arial" w:eastAsia="Arial" w:hAnsi="Arial"/>
          <w:sz w:val="18"/>
          <w:szCs w:val="18"/>
          <w:b w:val="1"/>
          <w:bCs w:val="1"/>
          <w:color w:val="auto"/>
        </w:rPr>
        <w:t>Product File</w:t>
      </w:r>
      <w:r>
        <w:rPr>
          <w:rFonts w:ascii="Arial" w:cs="Arial" w:eastAsia="Arial" w:hAnsi="Arial"/>
          <w:sz w:val="18"/>
          <w:szCs w:val="18"/>
          <w:color w:val="auto"/>
        </w:rPr>
        <w:t>” – A document that shall be delivered to the Supplier by the Customer, containing all of the information required in order to manufacture the product the subject of the Production File, including: the technical specifications of the product, a list of the components of the product, a list of the suppliers from whom the Supplier must purchase such; the Product Tree (as defined below), the quality requirements of all parts of the product, charts, definitions of materials, drawings, sketches and plans, specifications of tests during the process and calibrations, ATP, all documentary engineering supplements done by the Supplier, and any other information relevant for manufacture of the product. The Production Files shall be in the form attached hereto as Appendix 1. For the avoidance of doubt, the Product File shall be the entire and exclusive property of the Customer and shall constitute part of the confidential information as defined in this Agreement below.</w:t>
      </w:r>
    </w:p>
    <w:p>
      <w:pPr>
        <w:spacing w:after="0" w:line="189" w:lineRule="exact"/>
        <w:rPr>
          <w:sz w:val="20"/>
          <w:szCs w:val="20"/>
          <w:color w:val="auto"/>
        </w:rPr>
      </w:pPr>
    </w:p>
    <w:p>
      <w:pPr>
        <w:jc w:val="both"/>
        <w:ind w:left="1940" w:hanging="647"/>
        <w:spacing w:after="0" w:line="303" w:lineRule="auto"/>
        <w:tabs>
          <w:tab w:leader="none" w:pos="1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or “</w:t>
      </w:r>
      <w:r>
        <w:rPr>
          <w:rFonts w:ascii="Arial" w:cs="Arial" w:eastAsia="Arial" w:hAnsi="Arial"/>
          <w:sz w:val="16"/>
          <w:szCs w:val="16"/>
          <w:b w:val="1"/>
          <w:bCs w:val="1"/>
          <w:color w:val="auto"/>
        </w:rPr>
        <w:t>Products</w:t>
      </w:r>
      <w:r>
        <w:rPr>
          <w:rFonts w:ascii="Arial" w:cs="Arial" w:eastAsia="Arial" w:hAnsi="Arial"/>
          <w:sz w:val="16"/>
          <w:szCs w:val="16"/>
          <w:color w:val="auto"/>
        </w:rPr>
        <w:t>” – including all of the following: (a) The finished machine set out in the Production File; (b) the components of the machine set out in the Production File; (c) all of the spare parts of the machine and its components, as defined below; (d) any inventory of any kind whatsoever of all of the machines including the components, whether such inventory has been and/or is being manufactured and/or stored at the Customer's request or at the Supplier's decision and/or request.</w:t>
      </w:r>
    </w:p>
    <w:p>
      <w:pPr>
        <w:spacing w:after="0" w:line="151"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1.2.3.</w:t>
        <w:tab/>
        <w:t>“</w:t>
      </w:r>
      <w:r>
        <w:rPr>
          <w:rFonts w:ascii="Arial" w:cs="Arial" w:eastAsia="Arial" w:hAnsi="Arial"/>
          <w:sz w:val="18"/>
          <w:szCs w:val="18"/>
          <w:b w:val="1"/>
          <w:bCs w:val="1"/>
          <w:color w:val="auto"/>
        </w:rPr>
        <w:t>Machine</w:t>
      </w:r>
      <w:r>
        <w:rPr>
          <w:rFonts w:ascii="Arial" w:cs="Arial" w:eastAsia="Arial" w:hAnsi="Arial"/>
          <w:sz w:val="18"/>
          <w:szCs w:val="18"/>
          <w:color w:val="auto"/>
        </w:rPr>
        <w:t>” or “</w:t>
      </w:r>
      <w:r>
        <w:rPr>
          <w:rFonts w:ascii="Arial" w:cs="Arial" w:eastAsia="Arial" w:hAnsi="Arial"/>
          <w:sz w:val="18"/>
          <w:szCs w:val="18"/>
          <w:b w:val="1"/>
          <w:bCs w:val="1"/>
          <w:color w:val="auto"/>
        </w:rPr>
        <w:t>Machines</w:t>
      </w:r>
      <w:r>
        <w:rPr>
          <w:rFonts w:ascii="Arial" w:cs="Arial" w:eastAsia="Arial" w:hAnsi="Arial"/>
          <w:sz w:val="18"/>
          <w:szCs w:val="18"/>
          <w:color w:val="auto"/>
        </w:rPr>
        <w:t>” – A finished printer delivered to the Customer or a printer meeting all of the requirements of the Production File, and the conditions of this Agreement.</w:t>
      </w:r>
    </w:p>
    <w:p>
      <w:pPr>
        <w:spacing w:after="0" w:line="162"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1.2.4.</w:t>
        <w:tab/>
        <w:t>“</w:t>
      </w:r>
      <w:r>
        <w:rPr>
          <w:rFonts w:ascii="Arial" w:cs="Arial" w:eastAsia="Arial" w:hAnsi="Arial"/>
          <w:sz w:val="18"/>
          <w:szCs w:val="18"/>
          <w:b w:val="1"/>
          <w:bCs w:val="1"/>
          <w:color w:val="auto"/>
        </w:rPr>
        <w:t>Security Inventory</w:t>
      </w:r>
      <w:r>
        <w:rPr>
          <w:rFonts w:ascii="Arial" w:cs="Arial" w:eastAsia="Arial" w:hAnsi="Arial"/>
          <w:sz w:val="18"/>
          <w:szCs w:val="18"/>
          <w:color w:val="auto"/>
        </w:rPr>
        <w:t>” – The minimum quantity of components kept in the Supplier's warehouses as security in accordance with the Customer's demand as set out in Appendix 2.</w:t>
      </w:r>
    </w:p>
    <w:p>
      <w:pPr>
        <w:spacing w:after="0" w:line="162"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1.2.5.</w:t>
        <w:tab/>
        <w:t>“</w:t>
      </w:r>
      <w:r>
        <w:rPr>
          <w:rFonts w:ascii="Arial" w:cs="Arial" w:eastAsia="Arial" w:hAnsi="Arial"/>
          <w:sz w:val="18"/>
          <w:szCs w:val="18"/>
          <w:b w:val="1"/>
          <w:bCs w:val="1"/>
          <w:color w:val="auto"/>
        </w:rPr>
        <w:t>OSP Items</w:t>
      </w:r>
      <w:r>
        <w:rPr>
          <w:rFonts w:ascii="Arial" w:cs="Arial" w:eastAsia="Arial" w:hAnsi="Arial"/>
          <w:sz w:val="18"/>
          <w:szCs w:val="18"/>
          <w:color w:val="auto"/>
        </w:rPr>
        <w:t>” – The items, parts, spare parts and components that the Customer will provide, which the Supplier is not required to pay for.</w:t>
      </w:r>
    </w:p>
    <w:p>
      <w:pPr>
        <w:spacing w:after="0" w:line="162"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Arial" w:cs="Arial" w:eastAsia="Arial" w:hAnsi="Arial"/>
          <w:sz w:val="18"/>
          <w:szCs w:val="18"/>
          <w:color w:val="auto"/>
        </w:rPr>
        <w:t>1.2.6.</w:t>
        <w:tab/>
        <w:t>“</w:t>
      </w:r>
      <w:r>
        <w:rPr>
          <w:rFonts w:ascii="Arial" w:cs="Arial" w:eastAsia="Arial" w:hAnsi="Arial"/>
          <w:sz w:val="18"/>
          <w:szCs w:val="18"/>
          <w:b w:val="1"/>
          <w:bCs w:val="1"/>
          <w:color w:val="auto"/>
        </w:rPr>
        <w:t>Components</w:t>
      </w:r>
      <w:r>
        <w:rPr>
          <w:rFonts w:ascii="Arial" w:cs="Arial" w:eastAsia="Arial" w:hAnsi="Arial"/>
          <w:sz w:val="18"/>
          <w:szCs w:val="18"/>
          <w:color w:val="auto"/>
        </w:rPr>
        <w:t>” – All items, parts, spare parts and components that may be ordered by the Customer from the Supplier or that may be sold or supplied by the Supplier to the Customer, provided that such are not Machines. For the avoidance of doubt, OSP Items shall not be considered to be Components.</w:t>
      </w:r>
    </w:p>
    <w:p>
      <w:pPr>
        <w:spacing w:after="0" w:line="176"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Arial" w:cs="Arial" w:eastAsia="Arial" w:hAnsi="Arial"/>
          <w:sz w:val="18"/>
          <w:szCs w:val="18"/>
          <w:color w:val="auto"/>
        </w:rPr>
        <w:t>1.2.7.</w:t>
        <w:tab/>
        <w:t>The “</w:t>
      </w:r>
      <w:r>
        <w:rPr>
          <w:rFonts w:ascii="Arial" w:cs="Arial" w:eastAsia="Arial" w:hAnsi="Arial"/>
          <w:sz w:val="18"/>
          <w:szCs w:val="18"/>
          <w:b w:val="1"/>
          <w:bCs w:val="1"/>
          <w:color w:val="auto"/>
        </w:rPr>
        <w:t>Order</w:t>
      </w:r>
      <w:r>
        <w:rPr>
          <w:rFonts w:ascii="Arial" w:cs="Arial" w:eastAsia="Arial" w:hAnsi="Arial"/>
          <w:sz w:val="18"/>
          <w:szCs w:val="18"/>
          <w:color w:val="auto"/>
        </w:rPr>
        <w:t>” – As such term is defined in section 5.1 below. Any Order that is sent in any way, in writing, by the Customer, including via email, shall be an order that is lawfully signed by the authorized signatory of the Customer, for the purposes of this Agreement.</w:t>
      </w:r>
    </w:p>
    <w:p>
      <w:pPr>
        <w:spacing w:after="0" w:line="176"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1.2.8.</w:t>
        <w:tab/>
        <w:t>“</w:t>
      </w:r>
      <w:r>
        <w:rPr>
          <w:rFonts w:ascii="Arial" w:cs="Arial" w:eastAsia="Arial" w:hAnsi="Arial"/>
          <w:sz w:val="18"/>
          <w:szCs w:val="18"/>
          <w:b w:val="1"/>
          <w:bCs w:val="1"/>
          <w:color w:val="auto"/>
        </w:rPr>
        <w:t>Supply</w:t>
      </w:r>
      <w:r>
        <w:rPr>
          <w:rFonts w:ascii="Arial" w:cs="Arial" w:eastAsia="Arial" w:hAnsi="Arial"/>
          <w:sz w:val="18"/>
          <w:szCs w:val="18"/>
          <w:color w:val="auto"/>
        </w:rPr>
        <w:t>” – Products which the Supplier has delivered to the Customer. With respect to Machines – supply at the gates of the Supplier's factory.</w:t>
      </w:r>
    </w:p>
    <w:p>
      <w:pPr>
        <w:spacing w:after="0" w:line="162" w:lineRule="exact"/>
        <w:rPr>
          <w:sz w:val="20"/>
          <w:szCs w:val="20"/>
          <w:color w:val="auto"/>
        </w:rPr>
      </w:pPr>
    </w:p>
    <w:p>
      <w:pPr>
        <w:jc w:val="both"/>
        <w:ind w:left="1940" w:hanging="647"/>
        <w:spacing w:after="0" w:line="295" w:lineRule="auto"/>
        <w:tabs>
          <w:tab w:leader="none" w:pos="19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Receipt</w:t>
      </w:r>
      <w:r>
        <w:rPr>
          <w:rFonts w:ascii="Arial" w:cs="Arial" w:eastAsia="Arial" w:hAnsi="Arial"/>
          <w:sz w:val="16"/>
          <w:szCs w:val="16"/>
          <w:color w:val="auto"/>
        </w:rPr>
        <w:t>” – (a) The Execution of testing by the Customer in accordance with the ATP defined by the Customer in writing as an integral part of the Product File and in accordance with the conditions of this Agreement, for Machines in accordance with the contents of the Product File; or (b) physical receipt by the Customer of the Products sent by the Supplier. It is agreed that any Product that is physically delivered to the Customer in respect of which no written notice of Rejection or no written notice of any defect in the Product has been delivered (including a notice via email or fax) within a period of 3 days after the date of delivery thereof to the Customer shall be deemed to be a product that has been lawfully received by the Customer.</w:t>
      </w:r>
    </w:p>
    <w:p>
      <w:pPr>
        <w:spacing w:after="0" w:line="187" w:lineRule="exact"/>
        <w:rPr>
          <w:sz w:val="20"/>
          <w:szCs w:val="20"/>
          <w:color w:val="auto"/>
        </w:rPr>
      </w:pPr>
    </w:p>
    <w:p>
      <w:pPr>
        <w:spacing w:after="0" w:line="342" w:lineRule="auto"/>
        <w:tabs>
          <w:tab w:leader="none" w:pos="324" w:val="left"/>
        </w:tabs>
        <w:numPr>
          <w:ilvl w:val="0"/>
          <w:numId w:val="46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302" w:name="page303"/>
    <w:bookmarkEnd w:id="302"/>
    <w:p>
      <w:pPr>
        <w:jc w:val="both"/>
        <w:ind w:left="1940" w:hanging="647"/>
        <w:spacing w:after="0" w:line="266" w:lineRule="auto"/>
        <w:tabs>
          <w:tab w:leader="none" w:pos="1920" w:val="left"/>
        </w:tabs>
        <w:rPr>
          <w:sz w:val="20"/>
          <w:szCs w:val="20"/>
          <w:color w:val="auto"/>
        </w:rPr>
      </w:pPr>
      <w:r>
        <w:rPr>
          <w:rFonts w:ascii="Arial" w:cs="Arial" w:eastAsia="Arial" w:hAnsi="Arial"/>
          <w:sz w:val="18"/>
          <w:szCs w:val="18"/>
          <w:color w:val="auto"/>
        </w:rPr>
        <w:t>1.2.10.</w:t>
        <w:tab/>
        <w:t>“</w:t>
      </w:r>
      <w:r>
        <w:rPr>
          <w:rFonts w:ascii="Arial" w:cs="Arial" w:eastAsia="Arial" w:hAnsi="Arial"/>
          <w:sz w:val="18"/>
          <w:szCs w:val="18"/>
          <w:b w:val="1"/>
          <w:bCs w:val="1"/>
          <w:color w:val="auto"/>
        </w:rPr>
        <w:t>Product Tree</w:t>
      </w:r>
      <w:r>
        <w:rPr>
          <w:rFonts w:ascii="Arial" w:cs="Arial" w:eastAsia="Arial" w:hAnsi="Arial"/>
          <w:sz w:val="18"/>
          <w:szCs w:val="18"/>
          <w:color w:val="auto"/>
        </w:rPr>
        <w:t>” – Written details which shall be given by the Customer to the Supplier, including all of the parts, components and items required for construction of the Product. In the Product Tree, the Customer shall set out, for each part, component and item, the party that manufactures it. The Product Tree shall be kept in the Product File.</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Loading</w:t>
      </w:r>
      <w:r>
        <w:rPr>
          <w:rFonts w:ascii="Arial" w:cs="Arial" w:eastAsia="Arial" w:hAnsi="Arial"/>
          <w:sz w:val="16"/>
          <w:szCs w:val="16"/>
          <w:color w:val="auto"/>
        </w:rPr>
        <w:t>” – The price that the Customer will pay the Supplier for the costs of supply in the Supply of the Customer's Orders.</w:t>
      </w:r>
    </w:p>
    <w:p>
      <w:pPr>
        <w:spacing w:after="0" w:line="225" w:lineRule="exact"/>
        <w:rPr>
          <w:sz w:val="20"/>
          <w:szCs w:val="20"/>
          <w:color w:val="auto"/>
        </w:rPr>
      </w:pPr>
    </w:p>
    <w:p>
      <w:pPr>
        <w:jc w:val="both"/>
        <w:ind w:left="1940" w:hanging="647"/>
        <w:spacing w:after="0" w:line="303" w:lineRule="auto"/>
        <w:tabs>
          <w:tab w:leader="none" w:pos="192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BOM</w:t>
      </w:r>
      <w:r>
        <w:rPr>
          <w:rFonts w:ascii="Arial" w:cs="Arial" w:eastAsia="Arial" w:hAnsi="Arial"/>
          <w:sz w:val="16"/>
          <w:szCs w:val="16"/>
          <w:color w:val="auto"/>
        </w:rPr>
        <w:t>” (Bill of Material) – A list that will be prepared by the Supplier, setting out the price of each of the parts and items contained in the Product Tree. It is agreed that any change to the Product Tree or to the BOM will give rise to a change in the prices of the Machines and the Products set out in this Agreement. Any price change as aforesaid shall be effected with the consent of both of the Parties to this Agreement in writing, under the ECO procedure as defined in this Agreement below.</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ECO</w:t>
      </w:r>
      <w:r>
        <w:rPr>
          <w:rFonts w:ascii="Arial" w:cs="Arial" w:eastAsia="Arial" w:hAnsi="Arial"/>
          <w:sz w:val="16"/>
          <w:szCs w:val="16"/>
          <w:color w:val="auto"/>
        </w:rPr>
        <w:t>” – As this term is defined in section 14.3.</w:t>
      </w:r>
    </w:p>
    <w:p>
      <w:pPr>
        <w:spacing w:after="0" w:line="225"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1.2.14.</w:t>
        <w:tab/>
        <w:t>“</w:t>
      </w:r>
      <w:r>
        <w:rPr>
          <w:rFonts w:ascii="Arial" w:cs="Arial" w:eastAsia="Arial" w:hAnsi="Arial"/>
          <w:sz w:val="18"/>
          <w:szCs w:val="18"/>
          <w:b w:val="1"/>
          <w:bCs w:val="1"/>
          <w:color w:val="auto"/>
        </w:rPr>
        <w:t>ECO Procedure</w:t>
      </w:r>
      <w:r>
        <w:rPr>
          <w:rFonts w:ascii="Arial" w:cs="Arial" w:eastAsia="Arial" w:hAnsi="Arial"/>
          <w:sz w:val="18"/>
          <w:szCs w:val="18"/>
          <w:color w:val="auto"/>
        </w:rPr>
        <w:t>” – A process of presentation of the significance of application by the Supplier and approval in writing by the Customer of the written document that will be drafted by the Supplier.</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AVL</w:t>
      </w:r>
      <w:r>
        <w:rPr>
          <w:rFonts w:ascii="Arial" w:cs="Arial" w:eastAsia="Arial" w:hAnsi="Arial"/>
          <w:sz w:val="16"/>
          <w:szCs w:val="16"/>
          <w:color w:val="auto"/>
        </w:rPr>
        <w:t>” – A list of suppliers approved by the Customer (Approved Vendors' List).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Obsolete Items</w:t>
      </w:r>
      <w:r>
        <w:rPr>
          <w:rFonts w:ascii="Arial" w:cs="Arial" w:eastAsia="Arial" w:hAnsi="Arial"/>
          <w:sz w:val="16"/>
          <w:szCs w:val="16"/>
          <w:color w:val="auto"/>
        </w:rPr>
        <w:t>” – As such term is defined in section 12 below.</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Disqualification Report</w:t>
      </w:r>
      <w:r>
        <w:rPr>
          <w:rFonts w:ascii="Arial" w:cs="Arial" w:eastAsia="Arial" w:hAnsi="Arial"/>
          <w:sz w:val="16"/>
          <w:szCs w:val="16"/>
          <w:color w:val="auto"/>
        </w:rPr>
        <w:t>” – A report accompanying a disqualified item setting out the substance of the fault.</w:t>
      </w:r>
    </w:p>
    <w:p>
      <w:pPr>
        <w:spacing w:after="0" w:line="225"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Arial" w:cs="Arial" w:eastAsia="Arial" w:hAnsi="Arial"/>
          <w:sz w:val="18"/>
          <w:szCs w:val="18"/>
          <w:color w:val="auto"/>
        </w:rPr>
        <w:t>1.2.18.</w:t>
        <w:tab/>
        <w:t>“</w:t>
      </w:r>
      <w:r>
        <w:rPr>
          <w:rFonts w:ascii="Arial" w:cs="Arial" w:eastAsia="Arial" w:hAnsi="Arial"/>
          <w:sz w:val="18"/>
          <w:szCs w:val="18"/>
          <w:b w:val="1"/>
          <w:bCs w:val="1"/>
          <w:color w:val="auto"/>
        </w:rPr>
        <w:t>ATP</w:t>
      </w:r>
      <w:r>
        <w:rPr>
          <w:rFonts w:ascii="Arial" w:cs="Arial" w:eastAsia="Arial" w:hAnsi="Arial"/>
          <w:sz w:val="18"/>
          <w:szCs w:val="18"/>
          <w:color w:val="auto"/>
        </w:rPr>
        <w:t>” – Acceptance Test Procedure – Written procedures for testing the Product, which shall be applied and set by the Customer, setting out the tests that are required to be performed on the Product in order to ensure that it is complete and in working order. The ATP shall match the Product File.</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MOQ</w:t>
      </w:r>
      <w:r>
        <w:rPr>
          <w:rFonts w:ascii="Arial" w:cs="Arial" w:eastAsia="Arial" w:hAnsi="Arial"/>
          <w:sz w:val="17"/>
          <w:szCs w:val="17"/>
          <w:color w:val="auto"/>
        </w:rPr>
        <w:t>” – The minimum quantity of Orders of Products.</w:t>
      </w:r>
    </w:p>
    <w:p>
      <w:pPr>
        <w:spacing w:after="0" w:line="225"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1.2.20.</w:t>
        <w:tab/>
        <w:t>“</w:t>
      </w:r>
      <w:r>
        <w:rPr>
          <w:rFonts w:ascii="Arial" w:cs="Arial" w:eastAsia="Arial" w:hAnsi="Arial"/>
          <w:sz w:val="18"/>
          <w:szCs w:val="18"/>
          <w:b w:val="1"/>
          <w:bCs w:val="1"/>
          <w:color w:val="auto"/>
        </w:rPr>
        <w:t>Lead Time</w:t>
      </w:r>
      <w:r>
        <w:rPr>
          <w:rFonts w:ascii="Arial" w:cs="Arial" w:eastAsia="Arial" w:hAnsi="Arial"/>
          <w:sz w:val="18"/>
          <w:szCs w:val="18"/>
          <w:color w:val="auto"/>
        </w:rPr>
        <w:t>” – Details issued by the Supplier to the Customer setting out the amount of time after the date of the Order in which the Customer will be able to receive the Product ordered by it.</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List of Appendixes</w:t>
      </w:r>
    </w:p>
    <w:p>
      <w:pPr>
        <w:spacing w:after="0" w:line="221"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b w:val="1"/>
          <w:bCs w:val="1"/>
          <w:color w:val="auto"/>
        </w:rPr>
        <w:t>Appendix 1</w:t>
      </w:r>
      <w:r>
        <w:rPr>
          <w:rFonts w:ascii="Arial" w:cs="Arial" w:eastAsia="Arial" w:hAnsi="Arial"/>
          <w:sz w:val="18"/>
          <w:szCs w:val="18"/>
          <w:color w:val="auto"/>
        </w:rPr>
        <w:t>: Production File + BOM + Full pricing of the Machines + ATP list for the Product the subject of the Production File +</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Tree the subject of the Production File.</w:t>
      </w:r>
    </w:p>
    <w:p>
      <w:pPr>
        <w:spacing w:after="0" w:line="162"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b w:val="1"/>
          <w:bCs w:val="1"/>
          <w:color w:val="auto"/>
        </w:rPr>
        <w:t>Appendix 2</w:t>
      </w:r>
      <w:r>
        <w:rPr>
          <w:rFonts w:ascii="Arial" w:cs="Arial" w:eastAsia="Arial" w:hAnsi="Arial"/>
          <w:sz w:val="18"/>
          <w:szCs w:val="18"/>
          <w:color w:val="auto"/>
        </w:rPr>
        <w:t>: LLI (Long Lead Items) components; MOQ (Minimum of Quantity) items; AVL (Approved Vendors List);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w:t>
      </w:r>
    </w:p>
    <w:p>
      <w:pPr>
        <w:spacing w:after="0" w:line="162"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b w:val="1"/>
          <w:bCs w:val="1"/>
          <w:color w:val="auto"/>
        </w:rPr>
        <w:t>Appendix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Non-Disclosure and Non-Competition Undertaking Qualified to Specific Field.</w:t>
      </w:r>
    </w:p>
    <w:p>
      <w:pPr>
        <w:spacing w:after="0" w:line="229" w:lineRule="exact"/>
        <w:rPr>
          <w:sz w:val="20"/>
          <w:szCs w:val="20"/>
          <w:color w:val="auto"/>
        </w:rPr>
      </w:pPr>
    </w:p>
    <w:p>
      <w:pPr>
        <w:spacing w:after="0" w:line="342" w:lineRule="auto"/>
        <w:tabs>
          <w:tab w:leader="none" w:pos="324" w:val="left"/>
        </w:tabs>
        <w:numPr>
          <w:ilvl w:val="0"/>
          <w:numId w:val="46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03" w:name="page304"/>
    <w:bookmarkEnd w:id="303"/>
    <w:p>
      <w:pPr>
        <w:ind w:left="1300"/>
        <w:spacing w:after="0"/>
        <w:tabs>
          <w:tab w:leader="none" w:pos="2480" w:val="left"/>
        </w:tabs>
        <w:rPr>
          <w:sz w:val="20"/>
          <w:szCs w:val="20"/>
          <w:color w:val="auto"/>
        </w:rPr>
      </w:pPr>
      <w:r>
        <w:rPr>
          <w:rFonts w:ascii="Arial" w:cs="Arial" w:eastAsia="Arial" w:hAnsi="Arial"/>
          <w:sz w:val="18"/>
          <w:szCs w:val="18"/>
          <w:b w:val="1"/>
          <w:bCs w:val="1"/>
          <w:color w:val="auto"/>
        </w:rPr>
        <w:t>Appendix 4</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Certificate of Insurances.</w:t>
      </w:r>
    </w:p>
    <w:p>
      <w:pPr>
        <w:spacing w:after="0" w:line="22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b w:val="1"/>
          <w:bCs w:val="1"/>
          <w:color w:val="auto"/>
        </w:rPr>
        <w:t>Appendix 5</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Authorized Signatories for the Customer.</w:t>
      </w:r>
    </w:p>
    <w:p>
      <w:pPr>
        <w:spacing w:after="0" w:line="22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b w:val="1"/>
          <w:bCs w:val="1"/>
          <w:color w:val="auto"/>
        </w:rPr>
        <w:t>Appendix 6</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Details of ATP Procedures for every Product the subject of a Production File.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u w:val="single" w:color="auto"/>
          <w:color w:val="auto"/>
        </w:rPr>
        <w:t>Scope of Agreement</w:t>
      </w:r>
    </w:p>
    <w:p>
      <w:pPr>
        <w:spacing w:after="0" w:line="229" w:lineRule="exact"/>
        <w:rPr>
          <w:sz w:val="20"/>
          <w:szCs w:val="20"/>
          <w:color w:val="auto"/>
        </w:rPr>
      </w:pPr>
    </w:p>
    <w:p>
      <w:pPr>
        <w:jc w:val="both"/>
        <w:ind w:left="640"/>
        <w:spacing w:after="0" w:line="290" w:lineRule="auto"/>
        <w:rPr>
          <w:sz w:val="20"/>
          <w:szCs w:val="20"/>
          <w:color w:val="auto"/>
        </w:rPr>
      </w:pPr>
      <w:r>
        <w:rPr>
          <w:rFonts w:ascii="Arial" w:cs="Arial" w:eastAsia="Arial" w:hAnsi="Arial"/>
          <w:sz w:val="16"/>
          <w:szCs w:val="16"/>
          <w:color w:val="auto"/>
        </w:rPr>
        <w:t>This Agreement constitutes a framework for the legal and commercial relations between the Parties to the extent that such relate to Orders, to the planning of purchases, and to the production of the Products the subject of this Agreement. This Agreement, and the Appendixes hereto, including all of the declarations and undertakings contained herein, shall apply to each of the Orders of Products under this Agreement (including the order of Machines and Components and shall also apply to all of the Production Files which shall be provided by the Customer to the Supplier from time to time, and to the relationship between the Parties to this Agreement to the extent that such relates to any Product that may be ordered from the Supplier by the Customer and/or that may be designed and/or manufactured and/or ordered and/or prepared and/or delivered by the Supplier to the Customer). The provisions of this Agreement shall constitute an integral part of all of the work orders and of any other document that may be exchanged by the Parties and/or a person acting on their behalf with respect to any product the subject of this Agreement.</w:t>
      </w:r>
    </w:p>
    <w:p>
      <w:pPr>
        <w:spacing w:after="0" w:line="166"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Parties confirm and declare that this Agreement terminates the Previous Agreement and all of the conditions, Appendixes and provisions thereof, in such a way that as of the date of execution of this Agreement, the Previous Agreement shall be deemed to have been terminated by the consent of the Parties and to have expired completely.</w:t>
      </w:r>
    </w:p>
    <w:p>
      <w:pPr>
        <w:spacing w:after="0" w:line="177" w:lineRule="exact"/>
        <w:rPr>
          <w:sz w:val="20"/>
          <w:szCs w:val="20"/>
          <w:color w:val="auto"/>
        </w:rPr>
      </w:pPr>
    </w:p>
    <w:p>
      <w:pPr>
        <w:ind w:left="640" w:hanging="640"/>
        <w:spacing w:after="0"/>
        <w:tabs>
          <w:tab w:leader="none" w:pos="64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Declarations of the Parties</w:t>
      </w:r>
    </w:p>
    <w:p>
      <w:pPr>
        <w:spacing w:after="0" w:line="229" w:lineRule="exact"/>
        <w:rPr>
          <w:rFonts w:ascii="Arial" w:cs="Arial" w:eastAsia="Arial" w:hAnsi="Arial"/>
          <w:sz w:val="18"/>
          <w:szCs w:val="18"/>
          <w:b w:val="1"/>
          <w:bCs w:val="1"/>
          <w:color w:val="auto"/>
        </w:rPr>
      </w:pPr>
    </w:p>
    <w:p>
      <w:pPr>
        <w:ind w:left="1300" w:hanging="648"/>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3.1.The Supplier declares that it has the equipment, knowledge, ability, experience, tools, skills, means and professional qualifications required for the performance of its undertakings under this Agreement, including that it is able to meet its undertakings under this Agreement in terms of the human resources that will be required in order to perform its undertakings, and with respect to the quality and skill of such performance. The Supplier hereby undertakes to manufacture the Machines in accordance with the provisions of the Orders and the Production Files, exclusively for the Customer, in accordance with the Production Files, the AVLs that constitute an appendix to this Agreement and the technical specifications contained in the Production File that constitutes an appendix to this Agreement, at the appropriate production quality, in accordance with reasonable standards acceptable in the market, and in accordance with the conditions and stipulations of this Agreement.</w:t>
      </w:r>
    </w:p>
    <w:p>
      <w:pPr>
        <w:spacing w:after="0" w:line="192" w:lineRule="exact"/>
        <w:rPr>
          <w:rFonts w:ascii="Arial" w:cs="Arial" w:eastAsia="Arial" w:hAnsi="Arial"/>
          <w:sz w:val="18"/>
          <w:szCs w:val="18"/>
          <w:b w:val="1"/>
          <w:bCs w:val="1"/>
          <w:color w:val="auto"/>
        </w:rPr>
      </w:pPr>
    </w:p>
    <w:p>
      <w:pPr>
        <w:ind w:left="1300"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7"/>
          <w:szCs w:val="17"/>
          <w:color w:val="auto"/>
        </w:rPr>
        <w:t>The Supplier declares and undertakes that its entry into this Agreement and performance of its undertakings hereunder shall not contradict and/or contravene any other undertaking nor breach any other agreement, whether oral or in writing, by the Supplier vis-à-vis any third party whatsoever. The Supplier undertakes that it has all of the licenses or permits required under any law for the purpose of performance of its undertakings under the provisions of this Agreement and inter alia, a business license. The Supplier undertakes to obtain all of the permits and certificates required in the future of the Supplier by any competent authority if so required, under any law, for the purpose of manufacture of the Products in accordance with the provisions of this Agreement and the law, in such a way as not to harm the continued continuous manufacture of the Machines and the parts the subject of this Agreement for the Customer, all in accordance with the provisions of this Agreement.</w:t>
      </w:r>
    </w:p>
    <w:p>
      <w:pPr>
        <w:spacing w:after="0" w:line="206" w:lineRule="exact"/>
        <w:rPr>
          <w:sz w:val="20"/>
          <w:szCs w:val="20"/>
          <w:color w:val="auto"/>
        </w:rPr>
      </w:pPr>
    </w:p>
    <w:p>
      <w:pPr>
        <w:spacing w:after="0" w:line="342" w:lineRule="auto"/>
        <w:tabs>
          <w:tab w:leader="none" w:pos="324" w:val="left"/>
        </w:tabs>
        <w:numPr>
          <w:ilvl w:val="0"/>
          <w:numId w:val="47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04" w:name="page305"/>
    <w:bookmarkEnd w:id="304"/>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Supplier declares that it has the economic and financial abilities and the other characteristics required to enable it to perform its undertakings under this Agreement.</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Supplier undertakes to implement an internal quality control process prior to delivery of the Products to the Customer.</w:t>
      </w:r>
    </w:p>
    <w:p>
      <w:pPr>
        <w:spacing w:after="0" w:line="225"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Without derogating from the provisions of this Contract, to the extent set out in the Supplier's undertakings in accordance with the provisions of this Agreement, the Supplier hereby undertakes to act in accordance with all of the laws and/or regulations and/or ordinances and/or orders and/or provisions and/or rules of any law and/or any collective agreement or other labor agreement that may apply to its employees, including, without restriction: with respect to deductions and/or deposits by the Supplier with respect to National Insurance; government health insurance; pension plans; or other remunerations plans of any kind whatsoever; insurance for loss of capacity to work; for the performance of all safety rules. The Supplier hereby expressly declares and agrees that it shall indemnify the Customer for any direct damage that may be caused to the Customer for the breach set out in this section, and the Customer shall not bear any liability and/or responsibility whatsoever in the event that the Supplier does not perform the provisions of this section.</w:t>
      </w:r>
    </w:p>
    <w:p>
      <w:pPr>
        <w:spacing w:after="0" w:line="166"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The Supplier is aware that neither this Contract nor any of the provisions of it shall serve to restrict the Customer from contracting, in such manner and on such conditions and at such time as it may see fit, with any other supplier for the purpose of manufacture of the Products or alternatively, from manufacturing the Products itself. Furthermore, the Customer is aware that this Agreement or any of the provisions hereof shall not serve to restrict the Supplier from contracting, in such manner and on such conditions and at such time as it may see fit, with any third party for the purposes of planning and/or manufacturing and/or constructing any products that are not the Products as defined in this Agreement, for any third party, subject to section 23 (non-competition).</w:t>
      </w:r>
    </w:p>
    <w:p>
      <w:pPr>
        <w:spacing w:after="0" w:line="174" w:lineRule="exact"/>
        <w:rPr>
          <w:sz w:val="20"/>
          <w:szCs w:val="20"/>
          <w:color w:val="auto"/>
        </w:rPr>
      </w:pPr>
    </w:p>
    <w:p>
      <w:pPr>
        <w:ind w:left="640" w:hanging="640"/>
        <w:spacing w:after="0"/>
        <w:tabs>
          <w:tab w:leader="none" w:pos="64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Human Resources</w:t>
      </w:r>
    </w:p>
    <w:p>
      <w:pPr>
        <w:spacing w:after="0" w:line="229"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4.1.Transition of the system to turn-key manufacture involves the provision of a great deal of technological and operational information from the Customer to the Supplier and therefore, it is very important that the Supplier consolidates and maintains a suitable technological and operational team.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team shall include:</w:t>
      </w:r>
    </w:p>
    <w:p>
      <w:pPr>
        <w:spacing w:after="0" w:line="225" w:lineRule="exact"/>
        <w:rPr>
          <w:sz w:val="20"/>
          <w:szCs w:val="20"/>
          <w:color w:val="auto"/>
        </w:rPr>
      </w:pPr>
    </w:p>
    <w:p>
      <w:pPr>
        <w:ind w:left="1940" w:hanging="643"/>
        <w:spacing w:after="0"/>
        <w:tabs>
          <w:tab w:leader="none" w:pos="19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 project manager who shall be the commercial and operational Point of Contact (POC).</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 Head of Assembly Team.</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An advisory Engineer from the Engineering Department who will be the POC for all future engineering conduct.</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225"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Supplier's Human Resources shall be skilled and professional and shall have the qualifications required to manufacture the Products the subject of this Agreement with skill and to a reasonable level.</w:t>
      </w:r>
    </w:p>
    <w:p>
      <w:pPr>
        <w:spacing w:after="0" w:line="197" w:lineRule="exact"/>
        <w:rPr>
          <w:sz w:val="20"/>
          <w:szCs w:val="20"/>
          <w:color w:val="auto"/>
        </w:rPr>
      </w:pPr>
    </w:p>
    <w:p>
      <w:pPr>
        <w:spacing w:after="0" w:line="342" w:lineRule="auto"/>
        <w:tabs>
          <w:tab w:leader="none" w:pos="324" w:val="left"/>
        </w:tabs>
        <w:numPr>
          <w:ilvl w:val="0"/>
          <w:numId w:val="47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05" w:name="page306"/>
    <w:bookmarkEnd w:id="305"/>
    <w:p>
      <w:pPr>
        <w:ind w:left="640" w:hanging="640"/>
        <w:spacing w:after="0"/>
        <w:tabs>
          <w:tab w:leader="none" w:pos="64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w:t>
      </w:r>
    </w:p>
    <w:p>
      <w:pPr>
        <w:spacing w:after="0" w:line="229" w:lineRule="exact"/>
        <w:rPr>
          <w:rFonts w:ascii="Arial" w:cs="Arial" w:eastAsia="Arial" w:hAnsi="Arial"/>
          <w:sz w:val="18"/>
          <w:szCs w:val="18"/>
          <w:b w:val="1"/>
          <w:bCs w:val="1"/>
          <w:color w:val="auto"/>
        </w:rPr>
      </w:pPr>
    </w:p>
    <w:p>
      <w:pPr>
        <w:ind w:left="1300" w:hanging="648"/>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7"/>
          <w:szCs w:val="17"/>
          <w:color w:val="auto"/>
        </w:rPr>
        <w:t>The Customer shall order manufacture of the Products from the Supplier at its discretion. The Customer shall order Products from the Supplier in writing, by dispatch of a written order or email, approved by the Customer's authorized signatory, which shall contain all of the details necessary in order to manufacture the ordered Product, including a Product Tree, BOM, a full Production File and any other information that may be required for the purpose of manufacture of the ordered Product (hereinabove and hereinafter: the “</w:t>
      </w:r>
      <w:r>
        <w:rPr>
          <w:rFonts w:ascii="Arial" w:cs="Arial" w:eastAsia="Arial" w:hAnsi="Arial"/>
          <w:sz w:val="17"/>
          <w:szCs w:val="17"/>
          <w:b w:val="1"/>
          <w:bCs w:val="1"/>
          <w:color w:val="auto"/>
        </w:rPr>
        <w:t>Order</w:t>
      </w:r>
      <w:r>
        <w:rPr>
          <w:rFonts w:ascii="Arial" w:cs="Arial" w:eastAsia="Arial" w:hAnsi="Arial"/>
          <w:sz w:val="17"/>
          <w:szCs w:val="17"/>
          <w:color w:val="auto"/>
        </w:rPr>
        <w:t xml:space="preserve">”). The Supplier shall confirm receipt of the Order, in the event that it complies with the conditions of the Contract, by email, within five (5) business days of the date of receipt thereof. Confirmation of receipt of the Order shall not constitute confirmation of the dates of supply, which shall be agreed upon by the Parties. </w:t>
      </w:r>
      <w:r>
        <w:rPr>
          <w:rFonts w:ascii="Arial" w:cs="Arial" w:eastAsia="Arial" w:hAnsi="Arial"/>
          <w:sz w:val="17"/>
          <w:szCs w:val="17"/>
          <w:u w:val="single" w:color="auto"/>
          <w:color w:val="auto"/>
        </w:rPr>
        <w:t>The Orders shall be delivered to the Supplier at least [***] months prior to the date of Supply</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requisite Lead Time)</w:t>
      </w:r>
      <w:r>
        <w:rPr>
          <w:rFonts w:ascii="Arial" w:cs="Arial" w:eastAsia="Arial" w:hAnsi="Arial"/>
          <w:sz w:val="17"/>
          <w:szCs w:val="17"/>
          <w:color w:val="auto"/>
        </w:rPr>
        <w:t>. The Supplier is required to manufacture the Products in the quantities and within the times required in accordance with the Production Orders, subject to the provisions of this Agreement.</w:t>
      </w:r>
    </w:p>
    <w:p>
      <w:pPr>
        <w:spacing w:after="0" w:line="181"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5.2.Lead Time – the Supplier shall supply the Order within 20 business days after receipt of the component with the longest supply time, and all subject to the performance of all of the Customer's undertakings under the provisions of this Agreement. The Customer agrees that the Lead Time may be extended in accordance with the list of suppliers (AVL) with whom the Supplier is required to work in accordance with the Customer's instructions.</w:t>
      </w:r>
    </w:p>
    <w:p>
      <w:pPr>
        <w:spacing w:after="0" w:line="186"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5.3.Forecast of Production Orders. The Customer shall provide the Supplier with the forecast of Orders for the subsequent year, not later than the end of November of each calendar year, and shall update such forecast from time to time. The Order forecast shall not bind the Parties and shall be used for the Supplier's planning purposes only. The forecast shall be for the sake of indication only, and shall not bind the Parties. Only actual Orders shall be binding.</w:t>
      </w:r>
    </w:p>
    <w:p>
      <w:pPr>
        <w:spacing w:after="0" w:line="186"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5.4.It is agreed that the provisions of this Agreement shall apply to any Production Order issued by the Customer to the Supplier for supply of the Products, whether the Production Order contains an express reference to this Agreement, or not. In the event of a contradiction between the provisions of this Agreement and the provisions of the Production Order, the provisions of this Agreement shall prevail unless the Production Order specifically states that a specific provision shall prevail over the provisions of this Agreement, and the Production Order is signed by both Parties.</w:t>
      </w:r>
    </w:p>
    <w:p>
      <w:pPr>
        <w:spacing w:after="0" w:line="184" w:lineRule="exact"/>
        <w:rPr>
          <w:rFonts w:ascii="Arial" w:cs="Arial" w:eastAsia="Arial" w:hAnsi="Arial"/>
          <w:sz w:val="18"/>
          <w:szCs w:val="18"/>
          <w:b w:val="1"/>
          <w:bCs w:val="1"/>
          <w:color w:val="auto"/>
        </w:rPr>
      </w:pPr>
    </w:p>
    <w:p>
      <w:pPr>
        <w:ind w:left="640" w:hanging="640"/>
        <w:spacing w:after="0"/>
        <w:tabs>
          <w:tab w:leader="none" w:pos="64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Inventory</w:t>
      </w:r>
    </w:p>
    <w:p>
      <w:pPr>
        <w:spacing w:after="0" w:line="229" w:lineRule="exact"/>
        <w:rPr>
          <w:rFonts w:ascii="Arial" w:cs="Arial" w:eastAsia="Arial" w:hAnsi="Arial"/>
          <w:sz w:val="18"/>
          <w:szCs w:val="18"/>
          <w:b w:val="1"/>
          <w:bCs w:val="1"/>
          <w:color w:val="auto"/>
        </w:rPr>
      </w:pPr>
    </w:p>
    <w:p>
      <w:pPr>
        <w:ind w:left="1300" w:hanging="648"/>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7"/>
          <w:szCs w:val="17"/>
          <w:color w:val="auto"/>
        </w:rPr>
        <w:t>The Supplier is responsible for purchasing the raw materials in the quantity and quality sufficient for the performance of the Production Order. The Supplier shall keep security inventory for the raw material suppliers in accordance with the Customer's instructions and subject to a cover order received from the Customer, and subject to the effecting of the required payment by the Customer to the Supplier for the cover order. The Supplier undertakes to warn the Customer of any significant lack (known to it) of raw materials immediately upon becoming aware of such. Any change in any raw material shall require the prior written consent of the Customer and shall only be made after the successful completion of manufacture of the Product experimentally, using the raw material. The Customer may give notice to the Supplier that it will itself, and at its own expense, manage the security inventory directly with the raw material suppliers, and in such a case, the Customer waives any claim and/or suit and/or demand against the Supplier originating in and/or relating to and/or connected with management of the security inventory, and in such a case, the Supplier shall be required to receive the Customer's consent in order to make use of the security inventory.</w:t>
      </w:r>
    </w:p>
    <w:p>
      <w:pPr>
        <w:spacing w:after="0" w:line="205" w:lineRule="exact"/>
        <w:rPr>
          <w:sz w:val="20"/>
          <w:szCs w:val="20"/>
          <w:color w:val="auto"/>
        </w:rPr>
      </w:pPr>
    </w:p>
    <w:p>
      <w:pPr>
        <w:spacing w:after="0" w:line="342" w:lineRule="auto"/>
        <w:tabs>
          <w:tab w:leader="none" w:pos="324" w:val="left"/>
        </w:tabs>
        <w:numPr>
          <w:ilvl w:val="0"/>
          <w:numId w:val="47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06" w:name="page307"/>
    <w:bookmarkEnd w:id="306"/>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Inventory imported from ITS China in accordance with the AVL – the Supplier undertakes to maintain security inventory in Israel subject to a cover order for withdrawal which shall be provided by the Customer, and subject to the making of the requisite payment by the Customer to the Supplier for such cover order, at the end of one year after the date of the order, beyond the Order for the Machines. For the avoidance of doubt, the Customer undertakes to purchase the aforesaid security inventory at the price and on the payment conditions set out in such cover order, in the event that the Supplier and/or the Customer do not use the inventory imported from ITS China prior to one year after the date of order of it. The Customer shall be entitled to give notice to the Supplier, in writing, to use the existing security inventory and not to add any additional inventory, all at the Customer's liability.</w:t>
      </w:r>
    </w:p>
    <w:p>
      <w:pPr>
        <w:spacing w:after="0" w:line="17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Customer may define a list of LLI items which the Supplier must keep in stock in order to shorten the Lead Time, including a number of units of each such item. Upon receipt of LLI items and/or any part thereof in the Supplier's Warehouse, the Customer shall pay the Supplier the price of such items (as appearing in the BOM).</w:t>
      </w:r>
    </w:p>
    <w:p>
      <w:pPr>
        <w:spacing w:after="0" w:line="177" w:lineRule="exact"/>
        <w:rPr>
          <w:sz w:val="20"/>
          <w:szCs w:val="20"/>
          <w:color w:val="auto"/>
        </w:rPr>
      </w:pPr>
    </w:p>
    <w:p>
      <w:pPr>
        <w:ind w:left="640" w:hanging="640"/>
        <w:spacing w:after="0"/>
        <w:tabs>
          <w:tab w:leader="none" w:pos="64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Production and Assembly</w:t>
      </w:r>
    </w:p>
    <w:p>
      <w:pPr>
        <w:spacing w:after="0" w:line="225" w:lineRule="exact"/>
        <w:rPr>
          <w:rFonts w:ascii="Arial" w:cs="Arial" w:eastAsia="Arial" w:hAnsi="Arial"/>
          <w:sz w:val="18"/>
          <w:szCs w:val="18"/>
          <w:b w:val="1"/>
          <w:bCs w:val="1"/>
          <w:color w:val="auto"/>
        </w:rPr>
      </w:pPr>
    </w:p>
    <w:p>
      <w:pPr>
        <w:ind w:left="13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7.1.Production of the parts and the items manufactured exclusively for the Customer that are not shelf items (hereinafter: “</w:t>
      </w:r>
      <w:r>
        <w:rPr>
          <w:rFonts w:ascii="Arial" w:cs="Arial" w:eastAsia="Arial" w:hAnsi="Arial"/>
          <w:sz w:val="18"/>
          <w:szCs w:val="18"/>
          <w:b w:val="1"/>
          <w:bCs w:val="1"/>
          <w:color w:val="auto"/>
        </w:rPr>
        <w:t>Make Items</w:t>
      </w:r>
      <w:r>
        <w:rPr>
          <w:rFonts w:ascii="Arial" w:cs="Arial" w:eastAsia="Arial" w:hAnsi="Arial"/>
          <w:sz w:val="18"/>
          <w:szCs w:val="18"/>
          <w:color w:val="auto"/>
        </w:rPr>
        <w:t>”) shall be effected in accordance with the Customer's sketch that is contained in the Product File. The Machines shall be assembled in accordance with the assembly instructions that will be provided by the Customer in writing as part of the Production File on the date of provision of the Production File to the Supplier.</w:t>
      </w:r>
    </w:p>
    <w:p>
      <w:pPr>
        <w:spacing w:after="0" w:line="18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7.2.The Machines shall only be assembled by a team that has undergone training by the Supplier and that has received a certificate of authorization from the Supplier's Quality Assurance Unit. The Supplier shall be responsible for authorizing the assembly team and for issuing an appropriate certificate for them. The Customer's Engineering Department Director shall receive a report of employees so authorized, upon demand.</w:t>
      </w:r>
    </w:p>
    <w:p>
      <w:pPr>
        <w:spacing w:after="0" w:line="186"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7.3.Machines shall be supplied in accordance with the integration procedures and ATP, which shall be defined by the Customer, and which shall be delivered to the Supplier in writing as part of the Production File.</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7.4.</w:t>
      </w:r>
      <w:r>
        <w:rPr>
          <w:rFonts w:ascii="Arial" w:cs="Arial" w:eastAsia="Arial" w:hAnsi="Arial"/>
          <w:sz w:val="16"/>
          <w:szCs w:val="16"/>
          <w:color w:val="auto"/>
        </w:rPr>
        <w:t>The Supplier shall be responsible for ensuring that the assembly area is in good order in accordance with the scope of production.</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7.5.</w:t>
      </w:r>
      <w:r>
        <w:rPr>
          <w:rFonts w:ascii="Arial" w:cs="Arial" w:eastAsia="Arial" w:hAnsi="Arial"/>
          <w:sz w:val="16"/>
          <w:szCs w:val="16"/>
          <w:color w:val="auto"/>
        </w:rPr>
        <w:t>All of the equipment assembled shall be stored under a roof.</w:t>
      </w:r>
    </w:p>
    <w:p>
      <w:pPr>
        <w:spacing w:after="0" w:line="221" w:lineRule="exact"/>
        <w:rPr>
          <w:rFonts w:ascii="Arial" w:cs="Arial" w:eastAsia="Arial" w:hAnsi="Arial"/>
          <w:sz w:val="18"/>
          <w:szCs w:val="18"/>
          <w:b w:val="1"/>
          <w:bCs w:val="1"/>
          <w:color w:val="auto"/>
        </w:rPr>
      </w:pPr>
    </w:p>
    <w:p>
      <w:pPr>
        <w:ind w:left="640" w:hanging="640"/>
        <w:spacing w:after="0"/>
        <w:tabs>
          <w:tab w:leader="none" w:pos="64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Reports</w:t>
      </w:r>
    </w:p>
    <w:p>
      <w:pPr>
        <w:spacing w:after="0" w:line="229"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At the written request of the Customer, within two days of the date of such request, a production and supply plan status report shall be provided to the Customer which shall be prepared and updated by the Supplier from time to time in accordance with the progress of work on the Product by the Project Manager. In addition, within seven days of the date of the request, a report of deficiencies shall be provided.</w:t>
      </w:r>
    </w:p>
    <w:p>
      <w:pPr>
        <w:spacing w:after="0" w:line="147" w:lineRule="exact"/>
        <w:rPr>
          <w:sz w:val="20"/>
          <w:szCs w:val="20"/>
          <w:color w:val="auto"/>
        </w:rPr>
      </w:pPr>
    </w:p>
    <w:p>
      <w:pPr>
        <w:spacing w:after="0" w:line="342" w:lineRule="auto"/>
        <w:tabs>
          <w:tab w:leader="none" w:pos="324" w:val="left"/>
        </w:tabs>
        <w:numPr>
          <w:ilvl w:val="0"/>
          <w:numId w:val="47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307" w:name="page308"/>
    <w:bookmarkEnd w:id="307"/>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At the Customer's request, the Supplier shall supply a stocktake report to the Customer of components belonging to the Customer which are in the Supplier's warehouses, once every quarter.</w:t>
      </w:r>
    </w:p>
    <w:p>
      <w:pPr>
        <w:spacing w:after="0" w:line="170"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At the Customer's request, within seven (7) days of the date of such request, the Supplier shall provide a stocktake report to the Customer of the printer heads (contained in the BOM) of Products ordered by the Customer which are in the Supplier's warehouses, once a month.</w:t>
      </w:r>
    </w:p>
    <w:p>
      <w:pPr>
        <w:spacing w:after="0" w:line="124"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Supplier shall purchase the components of the Products which the Supplier is responsible for purchasing in accordance with the provisions of this Agreement, and subject to the performance of the Customer's undertakings under the provisions of this Agreement. Purchasing shall be effected in accordance with the provisions of the Production File, the AVL list, and the provisions of this Agreement, and the Customer shall provide the Supplier with all of the components that it is responsible for providing to the Supplier, in accordance with the Production File. Any addition and/or replacement of a Supplier on the AVL list shall require the prior written consent of the Customer.</w:t>
      </w:r>
    </w:p>
    <w:p>
      <w:pPr>
        <w:spacing w:after="0" w:line="193"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Supplier shall report the commencement of the implementation of every ECO by email, bearing the date of application and the Machine number.</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The Customer shall be liable for updating sketches and current specifications of the engineering changes to all approved suppliers (the AVL), and shall provide the Supplier with a copy of all up-to-date sketches and specifications. The Supplier shall update the price of the Machine in accordance with the changes made to the BOM. The Supplier shall update the sub-suppliers (AVL) with updated sketches which shall be provided by the Customer within a reasonable time.</w:t>
      </w:r>
    </w:p>
    <w:p>
      <w:pPr>
        <w:spacing w:after="0" w:line="187"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The Supplier shall report to the Customer of any substantial faults or problematic work processes that may be discovered or that are expected to be discovered, to the best of the Supplier's knowledge, in manufacture, within a reasonable time of occurrence of the fault. In the event of a substantial fault which might cause a safety or quality problem, a reasonable time shall be considered to be one business day after occurrence of the fault.</w:t>
      </w:r>
    </w:p>
    <w:p>
      <w:pPr>
        <w:spacing w:after="0" w:line="183" w:lineRule="exact"/>
        <w:rPr>
          <w:sz w:val="20"/>
          <w:szCs w:val="20"/>
          <w:color w:val="auto"/>
        </w:rPr>
      </w:pPr>
    </w:p>
    <w:p>
      <w:pPr>
        <w:ind w:left="640" w:hanging="640"/>
        <w:spacing w:after="0"/>
        <w:tabs>
          <w:tab w:leader="none" w:pos="64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 Management</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Supplier shall store the product inventory, the parts, the components and the equipment ordered by the Customer (hereinabove and hereinafter: the “</w:t>
      </w:r>
      <w:r>
        <w:rPr>
          <w:rFonts w:ascii="Arial" w:cs="Arial" w:eastAsia="Arial" w:hAnsi="Arial"/>
          <w:sz w:val="18"/>
          <w:szCs w:val="18"/>
          <w:b w:val="1"/>
          <w:bCs w:val="1"/>
          <w:color w:val="auto"/>
        </w:rPr>
        <w:t>Inventory”</w:t>
      </w:r>
      <w:r>
        <w:rPr>
          <w:rFonts w:ascii="Arial" w:cs="Arial" w:eastAsia="Arial" w:hAnsi="Arial"/>
          <w:sz w:val="18"/>
          <w:szCs w:val="18"/>
          <w:color w:val="auto"/>
        </w:rPr>
        <w:t>) in accordance with the manufacturer's instructions.</w:t>
      </w:r>
    </w:p>
    <w:p>
      <w:pPr>
        <w:spacing w:after="0" w:line="166" w:lineRule="exact"/>
        <w:rPr>
          <w:rFonts w:ascii="Arial" w:cs="Arial" w:eastAsia="Arial" w:hAnsi="Arial"/>
          <w:sz w:val="18"/>
          <w:szCs w:val="18"/>
          <w:b w:val="1"/>
          <w:bCs w:val="1"/>
          <w:color w:val="auto"/>
        </w:rPr>
      </w:pPr>
    </w:p>
    <w:p>
      <w:pPr>
        <w:ind w:left="640" w:hanging="640"/>
        <w:spacing w:after="0"/>
        <w:tabs>
          <w:tab w:leader="none" w:pos="64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Supplier's Obligation to Purchase Inventory from the Customer</w:t>
      </w:r>
    </w:p>
    <w:p>
      <w:pPr>
        <w:spacing w:after="0" w:line="229"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prices of the components included in the Inventory that are sold to the Supplier by the Customer shall be identical to the price in the BOM of such components appearing on the up-to-date BOM list.</w:t>
      </w:r>
    </w:p>
    <w:p>
      <w:pPr>
        <w:spacing w:after="0" w:line="170" w:lineRule="exact"/>
        <w:rPr>
          <w:sz w:val="20"/>
          <w:szCs w:val="20"/>
          <w:color w:val="auto"/>
        </w:rPr>
      </w:pPr>
    </w:p>
    <w:p>
      <w:pPr>
        <w:jc w:val="both"/>
        <w:ind w:left="1940" w:hanging="647"/>
        <w:spacing w:after="0" w:line="264" w:lineRule="auto"/>
        <w:tabs>
          <w:tab w:leader="none" w:pos="1920" w:val="left"/>
        </w:tabs>
        <w:rPr>
          <w:sz w:val="20"/>
          <w:szCs w:val="20"/>
          <w:color w:val="auto"/>
        </w:rPr>
      </w:pPr>
      <w:r>
        <w:rPr>
          <w:rFonts w:ascii="Arial" w:cs="Arial" w:eastAsia="Arial" w:hAnsi="Arial"/>
          <w:sz w:val="18"/>
          <w:szCs w:val="18"/>
          <w:color w:val="auto"/>
        </w:rPr>
        <w:t>10.1.1.</w:t>
        <w:tab/>
        <w:t>An item that is found not to be in compliance with the Supplier's requirements shall be reported soon after discovery of the problem by the Supplier and shall be returned to the Customer with a credit to the Supplier for return of the item, in the sum of the relevant purchase price as set out in section 20 of this Agreement.</w:t>
      </w:r>
    </w:p>
    <w:p>
      <w:pPr>
        <w:spacing w:after="0" w:line="181" w:lineRule="exact"/>
        <w:rPr>
          <w:sz w:val="20"/>
          <w:szCs w:val="20"/>
          <w:color w:val="auto"/>
        </w:rPr>
      </w:pPr>
    </w:p>
    <w:p>
      <w:pPr>
        <w:spacing w:after="0" w:line="342" w:lineRule="auto"/>
        <w:tabs>
          <w:tab w:leader="none" w:pos="324" w:val="left"/>
        </w:tabs>
        <w:numPr>
          <w:ilvl w:val="0"/>
          <w:numId w:val="48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08" w:name="page309"/>
    <w:bookmarkEnd w:id="308"/>
    <w:p>
      <w:pPr>
        <w:jc w:val="both"/>
        <w:ind w:left="1940" w:hanging="647"/>
        <w:spacing w:after="0" w:line="271" w:lineRule="auto"/>
        <w:tabs>
          <w:tab w:leader="none" w:pos="1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The Customer undertakes that all of the items of Inventory provided to or sold by it and/or a person acting on its behalf to the Supplier shall be in good and proper condition, in compliance with the production standard and the warranty of the manufacturer who manufactured the aforesaid items, and are suitable to be included among the Products the subject of this Agreement. The Customer shall be liable for any damage that may be caused to the Supplier and/or the Product and/or the Machine for any fault and/or problem and/or defect and/or damage to the items of Inventory and/or to any item or component whatsoever sold and/or delivered by the Customer and/or a person acting on its behalf to the Supplier. Items of Inventory shall be purchased in such quantities, on such dates of supply and payment in accordance with the Customer's Orders and subject to the performance of the Customer's undertakings under the provisions of this Agreement.</w:t>
      </w:r>
    </w:p>
    <w:p>
      <w:pPr>
        <w:spacing w:after="0" w:line="179" w:lineRule="exact"/>
        <w:rPr>
          <w:sz w:val="20"/>
          <w:szCs w:val="20"/>
          <w:color w:val="auto"/>
        </w:rPr>
      </w:pPr>
    </w:p>
    <w:p>
      <w:pPr>
        <w:jc w:val="both"/>
        <w:ind w:left="1940" w:hanging="647"/>
        <w:spacing w:after="0" w:line="291" w:lineRule="auto"/>
        <w:tabs>
          <w:tab w:leader="none" w:pos="1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The Customer shall, at its expense, collect from the Supplier items of Inventory that are damaged and/or faulty and/or not in order and/or in any other way not in accordance with the provisions of this Agreement, and shall immediately provide alternative items of Inventory to the Supplier, at its expense, that are in order and suitable and in compliance with all of the conditions set out in this Agreement. The Supplier undertakes to prepare for the Customer's collection faulty items supplied by the Customer and/or a person acting on its behalf and discovered by the Supplier within 10 business days of discovery of the faulty items, together with a disqualification report. The Customer undertakes to replace the faulty items with working items within 3 business days. This section shall not be relevant to machining, kits, beams and frames and other Make Items.</w:t>
      </w:r>
    </w:p>
    <w:p>
      <w:pPr>
        <w:spacing w:after="0" w:line="167" w:lineRule="exact"/>
        <w:rPr>
          <w:sz w:val="20"/>
          <w:szCs w:val="20"/>
          <w:color w:val="auto"/>
        </w:rPr>
      </w:pPr>
    </w:p>
    <w:p>
      <w:pPr>
        <w:jc w:val="both"/>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10.1.4.</w:t>
        <w:tab/>
        <w:t>The Customer shall provide the items at least two weeks prior to the start of the date of assembly planned by the Supplier, and not less than one month prior to the planned date of delivery.</w:t>
      </w:r>
    </w:p>
    <w:p>
      <w:pPr>
        <w:spacing w:after="0" w:line="166" w:lineRule="exact"/>
        <w:rPr>
          <w:sz w:val="20"/>
          <w:szCs w:val="20"/>
          <w:color w:val="auto"/>
        </w:rPr>
      </w:pPr>
    </w:p>
    <w:p>
      <w:pPr>
        <w:ind w:left="640" w:hanging="640"/>
        <w:spacing w:after="0"/>
        <w:tabs>
          <w:tab w:leader="none" w:pos="64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Quality Assurance; Inspection and Review</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11.1. The Supplier shall manufacture the Product and the Components only from materials approved in the Customer's Production File. The Supplier shall not make any changes to the Product File without the prior written approval of the Customer.</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11.2. The Supplier shall not make use of Products or Components that have not undergone acceptance review as set out in sections 11.3-11.5 below, and have been found to be perfect and precisely compliant with the specifications of the Product ordered.</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11.3. The Supplier shall implement such acceptance review as set out in section 11.4 except for OSP Items for which no acceptance review shall be implemented.</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11.4.   Acceptance review shall be implemented on:</w:t>
      </w:r>
    </w:p>
    <w:p>
      <w:pPr>
        <w:spacing w:after="0" w:line="225" w:lineRule="exact"/>
        <w:rPr>
          <w:sz w:val="20"/>
          <w:szCs w:val="20"/>
          <w:color w:val="auto"/>
        </w:rPr>
      </w:pPr>
    </w:p>
    <w:p>
      <w:pPr>
        <w:ind w:left="1940" w:hanging="643"/>
        <w:spacing w:after="0" w:line="277" w:lineRule="auto"/>
        <w:tabs>
          <w:tab w:leader="none" w:pos="194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Items manufactured by the Supplier – visual review, testing of measurements, supply and raw material tests shall be implemented on 100% of items.</w:t>
      </w:r>
    </w:p>
    <w:p>
      <w:pPr>
        <w:spacing w:after="0" w:line="170" w:lineRule="exact"/>
        <w:rPr>
          <w:rFonts w:ascii="Arial" w:cs="Arial" w:eastAsia="Arial" w:hAnsi="Arial"/>
          <w:sz w:val="18"/>
          <w:szCs w:val="18"/>
          <w:color w:val="auto"/>
        </w:rPr>
      </w:pPr>
    </w:p>
    <w:p>
      <w:pPr>
        <w:ind w:left="1940" w:hanging="643"/>
        <w:spacing w:after="0" w:line="277" w:lineRule="auto"/>
        <w:tabs>
          <w:tab w:leader="none" w:pos="194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Shelf items not specifically manufactured for Kornit – a visual inspection shall be implemented together with verification of the manufacturer's catalog number.</w:t>
      </w:r>
    </w:p>
    <w:p>
      <w:pPr>
        <w:spacing w:after="0" w:line="170"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With respect to a disqualified item, or in the event of any quality problem the treatment of which needs to be decided upon (destruction, return to the Supplier, etc.) (hereinafter: MRD treatment). For OSP items, the Supplier shall be responsible for MRB reporting of OSP items to the Customer within 3 business days, together with an MRB form.</w:t>
      </w:r>
    </w:p>
    <w:p>
      <w:pPr>
        <w:spacing w:after="0" w:line="208" w:lineRule="exact"/>
        <w:rPr>
          <w:sz w:val="20"/>
          <w:szCs w:val="20"/>
          <w:color w:val="auto"/>
        </w:rPr>
      </w:pPr>
    </w:p>
    <w:p>
      <w:pPr>
        <w:spacing w:after="0" w:line="342" w:lineRule="auto"/>
        <w:tabs>
          <w:tab w:leader="none" w:pos="324" w:val="left"/>
        </w:tabs>
        <w:numPr>
          <w:ilvl w:val="0"/>
          <w:numId w:val="48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09" w:name="page310"/>
    <w:bookmarkEnd w:id="309"/>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Once a month, the Supplier shall provide the Customer with a concentrated MRB report, i.e., a report that contains all of the items found in quality control to be faulty or disqualified.</w:t>
      </w:r>
    </w:p>
    <w:p>
      <w:pPr>
        <w:spacing w:after="0" w:line="17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In the event that a problem or fault is found in one of the parts or mechanisms of the Product caused as the result of an act or omission on the part of the Supplier, the Supplier's Quality Manager shall send a report to the Customer's Engineering Department describing the flaw, the remedial operations and the preventative operations taken in order to prevent recurrence of the incident.</w:t>
      </w:r>
    </w:p>
    <w:p>
      <w:pPr>
        <w:spacing w:after="0" w:line="166"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The Products shall be subject to final testing and examination at the Supplier's facility (ATP) as such final tests are set out in Appendix 6 to this Agreement, notwithstanding any test or examination having been originally conducted by the Supplier. The process of testing by the Customer, as set out in Appendix 6 to this Agreement, shall be implemented by the Customer at its expense, prior to the process of preparation for packaging which is done by the Supplier. The Customer shall conduct its own tests within 3 business days of receipt of appropriate notice in writing or by email from the Supplier. The Supplier shall participate, advise and assist, in a reasonable manner and on the basis of good will, in the design and performance of the tests by the Customer, where necessary. Should any faults be discovered in the Products, the Supplier shall take care to remedy such at its expense and immediately, quickly, efficiently and continuously. No test by the Customer shall release the Supplier from its liability for any incompatibility of the Product to the items in the technical specifications in the Production File.</w:t>
      </w:r>
    </w:p>
    <w:p>
      <w:pPr>
        <w:spacing w:after="0" w:line="182"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color w:val="auto"/>
        </w:rPr>
        <w:t>The representatives of the Customer shall be entitled, upon prior coordination with the Supplier, to enter into the Supplier's factories where the Products are being manufactured, and to effect inspections and follow-up with respect to the production process and compliance thereof with the provisions of this Agreement, including with respect to the raw materials and inventory items used by the Supplier for manufacture of the Products, the production processes and the quality assurance processes.</w:t>
      </w:r>
    </w:p>
    <w:p>
      <w:pPr>
        <w:spacing w:after="0" w:line="167" w:lineRule="exact"/>
        <w:rPr>
          <w:sz w:val="20"/>
          <w:szCs w:val="20"/>
          <w:color w:val="auto"/>
        </w:rPr>
      </w:pPr>
    </w:p>
    <w:p>
      <w:pPr>
        <w:ind w:left="640" w:hanging="640"/>
        <w:spacing w:after="0"/>
        <w:tabs>
          <w:tab w:leader="none" w:pos="64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Purchase Data</w:t>
      </w:r>
    </w:p>
    <w:p>
      <w:pPr>
        <w:spacing w:after="0" w:line="229"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12.1. “Obsolete Items”, within the meaning of this Agreement, are items or components whose manufacturer or an authorized representative of them gave notice to the Supplier and/or published a notice that the manufacture of them has been stopped on a given date (hereinafter: the “</w:t>
      </w:r>
      <w:r>
        <w:rPr>
          <w:rFonts w:ascii="Arial" w:cs="Arial" w:eastAsia="Arial" w:hAnsi="Arial"/>
          <w:sz w:val="18"/>
          <w:szCs w:val="18"/>
          <w:b w:val="1"/>
          <w:bCs w:val="1"/>
          <w:color w:val="auto"/>
        </w:rPr>
        <w:t>Obsolete Notice</w:t>
      </w:r>
      <w:r>
        <w:rPr>
          <w:rFonts w:ascii="Arial" w:cs="Arial" w:eastAsia="Arial" w:hAnsi="Arial"/>
          <w:sz w:val="18"/>
          <w:szCs w:val="18"/>
          <w:color w:val="auto"/>
        </w:rPr>
        <w:t>”). The Supplier undertakes to give notice to the Customer within 2 business days of the date of receipt by the Supplier of an Obsolete Notice as aforesaid from the manufacturer, with respect to any relevant item. The Customer shall confirm in writing to the Supplier receipt of the Obsolete Notice from the Supplier.</w:t>
      </w:r>
    </w:p>
    <w:p>
      <w:pPr>
        <w:spacing w:after="0" w:line="188"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12.2. Once a year, the Supplier shall provide the Customer with an Excel File (Appendix 2) which shall contain all of the items of the Machine including MOQ, Lead Time, and security inventory, which shall be approved by the Customer. If a new item is added, the file shall be updated in accordance with data that will be provided by the Customer. The provisions of the Excel file as aforesaid shall not serve to amend the Product File or any of the appendixes thereof. Any amendment of the Product File may only be made in accordance with the procedures set out in this Agreement.</w:t>
      </w:r>
    </w:p>
    <w:p>
      <w:pPr>
        <w:spacing w:after="0" w:line="188" w:lineRule="exact"/>
        <w:rPr>
          <w:sz w:val="20"/>
          <w:szCs w:val="20"/>
          <w:color w:val="auto"/>
        </w:rPr>
      </w:pPr>
    </w:p>
    <w:p>
      <w:pPr>
        <w:spacing w:after="0" w:line="342" w:lineRule="auto"/>
        <w:tabs>
          <w:tab w:leader="none" w:pos="324" w:val="left"/>
        </w:tabs>
        <w:numPr>
          <w:ilvl w:val="0"/>
          <w:numId w:val="48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10" w:name="page311"/>
    <w:bookmarkEnd w:id="310"/>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Supplier shall be entitled to purchase items from alternative sources of supply, i.e., sources of supply that are not set out in the Product File, and that may be chosen exclusively by the Supplier, provided that the prices set out in this Agreement shall not be changed to the Customer as a result of such change. The Supplier shall be liable for the quality of the items. The Supplier shall provide the Customer with documentation if requested. The Supplier shall not be entitled to replace OEM manufacturers without the Customer's consent. In any event, the price offered by the Supplier shall not be greater than any alternative price that the Customer may find for the same item, of the same quality. At the Customer's request, the Supplier shall provide a list of all suppliers of the manufactured items (namely that are not a shelf products), the Customer shall be entitled to approve this list. The supplier shall not modify this list without the prior written consent of the Customer.</w:t>
      </w:r>
    </w:p>
    <w:p>
      <w:pPr>
        <w:spacing w:after="0" w:line="188" w:lineRule="exact"/>
        <w:rPr>
          <w:sz w:val="20"/>
          <w:szCs w:val="20"/>
          <w:color w:val="auto"/>
        </w:rPr>
      </w:pPr>
    </w:p>
    <w:p>
      <w:pPr>
        <w:ind w:left="640" w:hanging="640"/>
        <w:spacing w:after="0"/>
        <w:tabs>
          <w:tab w:leader="none" w:pos="64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OSP Items</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13.1. The Supplier shall not be liable for the quality of OSP Items or their condition and they are not included in the warranty that the Supplier grants the Customer for the Machine.</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13.2.   OSP items shall be defined in the Production File.</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13.3.   The Supplier shall assemble and install the OSP Items in accordance with the Production File and/or the Customer's written instructions.</w:t>
      </w:r>
    </w:p>
    <w:p>
      <w:pPr>
        <w:spacing w:after="0" w:line="24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13.4. The Customer shall supply all of the OSP Items required for assembling the Product up to 45 days prior to the ate of supply of the Machine approved by the Supplier, and upon coordination with the Supplier.</w:t>
      </w:r>
    </w:p>
    <w:p>
      <w:pPr>
        <w:spacing w:after="0" w:line="170" w:lineRule="exact"/>
        <w:rPr>
          <w:rFonts w:ascii="Arial" w:cs="Arial" w:eastAsia="Arial" w:hAnsi="Arial"/>
          <w:sz w:val="18"/>
          <w:szCs w:val="18"/>
          <w:b w:val="1"/>
          <w:bCs w:val="1"/>
          <w:color w:val="auto"/>
        </w:rPr>
      </w:pPr>
    </w:p>
    <w:p>
      <w:pPr>
        <w:ind w:left="1300" w:hanging="648"/>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13.5. A delay in the supply of OSP Items up to 15 days prior to the date of supply shall entitle the Supplier to demand that the Customer pay the entire price of the Machine on the date of supply, in accordance with the Order, and in accordance with the agreed payment conditions, notwithstanding the fact that the date of actual supply of the Machine may be deferred by the Supplier due to the delay in supply of the OSP Items, on condition that the delay in supply of them contributed to the delay in supplying the Machine. By way of example, if the Customer ordered a Machine on February 20, and the date of supply approved by the Supplier was set for June 20, but the Customer only supplied the heads for installation in the Machine on June 19, the Supplier may supply the Machine on a later date, however since the delay in supply of the heads was what caused the delay in supply of the Order, the Customer shall be charged on June 20 and shall pay the price of the Machine to the Supplier on the date so required by the Supplier.</w:t>
      </w:r>
    </w:p>
    <w:p>
      <w:pPr>
        <w:spacing w:after="0" w:line="1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13.6.   OSP Items found to be faulty in the assembly process shall be replaced by the Customer within three business days.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13.7.   The Customer shall be liable for the working order and quality of the OSP components.</w:t>
      </w:r>
    </w:p>
    <w:p>
      <w:pPr>
        <w:spacing w:after="0" w:line="225" w:lineRule="exact"/>
        <w:rPr>
          <w:rFonts w:ascii="Arial" w:cs="Arial" w:eastAsia="Arial" w:hAnsi="Arial"/>
          <w:sz w:val="18"/>
          <w:szCs w:val="18"/>
          <w:b w:val="1"/>
          <w:bCs w:val="1"/>
          <w:color w:val="auto"/>
        </w:rPr>
      </w:pPr>
    </w:p>
    <w:p>
      <w:pPr>
        <w:ind w:left="130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13.8. The Supplier shall handle the OSP Items responsibly and carefully. Only the Supplier's human resources who have undergone training to construct the Products the subject of this Agreement and staff in the warehouse and quality assurance shall be entitled to handle OSP Items. </w:t>
      </w:r>
      <w:r>
        <w:rPr>
          <w:rFonts w:ascii="Arial" w:cs="Arial" w:eastAsia="Arial" w:hAnsi="Arial"/>
          <w:sz w:val="18"/>
          <w:szCs w:val="18"/>
          <w:b w:val="1"/>
          <w:bCs w:val="1"/>
          <w:color w:val="auto"/>
        </w:rPr>
        <w:t>The Supplier shall not be liable for any damage that might be caused to OSP Items</w:t>
      </w:r>
      <w:r>
        <w:rPr>
          <w:rFonts w:ascii="Arial" w:cs="Arial" w:eastAsia="Arial" w:hAnsi="Arial"/>
          <w:sz w:val="18"/>
          <w:szCs w:val="18"/>
          <w:color w:val="auto"/>
        </w:rPr>
        <w:t xml:space="preserve">, from receipt thereof by the Customer to completion of assembly of the Machine, including during the warranty period of the Machine. Notwithstanding the aforesaid, if the Supplier's information system, </w:t>
      </w:r>
      <w:r>
        <w:rPr>
          <w:rFonts w:ascii="Arial" w:cs="Arial" w:eastAsia="Arial" w:hAnsi="Arial"/>
          <w:sz w:val="18"/>
          <w:szCs w:val="18"/>
          <w:b w:val="1"/>
          <w:bCs w:val="1"/>
          <w:color w:val="auto"/>
        </w:rPr>
        <w:t>when compared with Orders from the Supplier only</w:t>
      </w:r>
      <w:r>
        <w:rPr>
          <w:rFonts w:ascii="Arial" w:cs="Arial" w:eastAsia="Arial" w:hAnsi="Arial"/>
          <w:sz w:val="18"/>
          <w:szCs w:val="18"/>
          <w:color w:val="auto"/>
        </w:rPr>
        <w:t>, and following a stock take at the Supplier, encounters a situation in which OSP Items provided to the Supplier are discovered to be missing, the Supplier shall pay the cost of the missing items to the Customer.</w:t>
      </w:r>
    </w:p>
    <w:p>
      <w:pPr>
        <w:spacing w:after="0" w:line="216" w:lineRule="exact"/>
        <w:rPr>
          <w:sz w:val="20"/>
          <w:szCs w:val="20"/>
          <w:color w:val="auto"/>
        </w:rPr>
      </w:pPr>
    </w:p>
    <w:p>
      <w:pPr>
        <w:spacing w:after="0" w:line="342" w:lineRule="auto"/>
        <w:tabs>
          <w:tab w:leader="none" w:pos="324" w:val="left"/>
        </w:tabs>
        <w:numPr>
          <w:ilvl w:val="0"/>
          <w:numId w:val="48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11" w:name="page312"/>
    <w:bookmarkEnd w:id="311"/>
    <w:p>
      <w:pPr>
        <w:ind w:left="640" w:hanging="640"/>
        <w:spacing w:after="0"/>
        <w:tabs>
          <w:tab w:leader="none" w:pos="64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w:t>
      </w:r>
    </w:p>
    <w:p>
      <w:pPr>
        <w:spacing w:after="0" w:line="229"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14.1. The Customer shall be entitled, at any time and by notice in advance and in writing, to make changes to the Production File. The Customer shall bear all of the costs involved in any such change, in accordance with this Agreement. The Parties shall reach understandings, in good faith, with respect to possible changes in timetables and with respect to the application of the costs of such changes to the price of the Product and the Inventory to the Parties.</w:t>
      </w:r>
    </w:p>
    <w:p>
      <w:pPr>
        <w:spacing w:after="0" w:line="186"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14.2. It is emphasized that the Supplier shall not have any authority to make any changes to the Product File without the prior written approval of the Customer.</w:t>
      </w:r>
    </w:p>
    <w:p>
      <w:pPr>
        <w:spacing w:after="0" w:line="170"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14.3. In the event of any change whatsoever in the Product File, the Customer shall be responsible for providing the Supplier with an document setting out engineering changes to the Product File (hereinabove and hereinafter: “</w:t>
      </w:r>
      <w:r>
        <w:rPr>
          <w:rFonts w:ascii="Arial" w:cs="Arial" w:eastAsia="Arial" w:hAnsi="Arial"/>
          <w:sz w:val="18"/>
          <w:szCs w:val="18"/>
          <w:b w:val="1"/>
          <w:bCs w:val="1"/>
          <w:color w:val="auto"/>
        </w:rPr>
        <w:t>Engineering Changes</w:t>
      </w:r>
      <w:r>
        <w:rPr>
          <w:rFonts w:ascii="Arial" w:cs="Arial" w:eastAsia="Arial" w:hAnsi="Arial"/>
          <w:sz w:val="18"/>
          <w:szCs w:val="18"/>
          <w:color w:val="auto"/>
        </w:rPr>
        <w:t>” or “</w:t>
      </w:r>
      <w:r>
        <w:rPr>
          <w:rFonts w:ascii="Arial" w:cs="Arial" w:eastAsia="Arial" w:hAnsi="Arial"/>
          <w:sz w:val="18"/>
          <w:szCs w:val="18"/>
          <w:b w:val="1"/>
          <w:bCs w:val="1"/>
          <w:color w:val="auto"/>
        </w:rPr>
        <w:t>ECO</w:t>
      </w:r>
      <w:r>
        <w:rPr>
          <w:rFonts w:ascii="Arial" w:cs="Arial" w:eastAsia="Arial" w:hAnsi="Arial"/>
          <w:sz w:val="18"/>
          <w:szCs w:val="18"/>
          <w:color w:val="auto"/>
        </w:rPr>
        <w:t>”) within 3 business days of the date of imposition of any such change. The ECO document shall be submitted to the Supplier's Engineering Department for orderly receiving and implementation in the Production File. Confirmation that the ECO has been received and is being handled shall be provided by the Supplier within 2 business days of receipt.</w:t>
      </w:r>
    </w:p>
    <w:p>
      <w:pPr>
        <w:spacing w:after="0" w:line="18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14.4. Implementation of the ECO in assembly shall apply in accordance with the Customer's instruction, i.e., the Customer shall set out to the Supplier, in writing, the Machine in which ECO implementation is to commence.</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14.5. The process of implementation of ECO includes the following Departments: Engineering, Configuration Control, Production Design and Supervision, Purchasing, and Warehouse.</w:t>
      </w:r>
    </w:p>
    <w:p>
      <w:pPr>
        <w:spacing w:after="0" w:line="170"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14.6. The ECO shall be updated and implemented in products by the Supplier within 15 business days of the date of receipt of it, subject to the Supplier being able to obtain all of the necessary components within such timeframe. If this is not possible, the Customer shall choose whether to defer the date of implementation of the Engineering Change or to supply the components required in order to implement the Change to the Supplier itself, on the date prescribed in writing by the Supplier.</w:t>
      </w:r>
    </w:p>
    <w:p>
      <w:pPr>
        <w:spacing w:after="0" w:line="186" w:lineRule="exact"/>
        <w:rPr>
          <w:rFonts w:ascii="Arial" w:cs="Arial" w:eastAsia="Arial" w:hAnsi="Arial"/>
          <w:sz w:val="18"/>
          <w:szCs w:val="18"/>
          <w:b w:val="1"/>
          <w:bCs w:val="1"/>
          <w:color w:val="auto"/>
        </w:rPr>
      </w:pPr>
    </w:p>
    <w:p>
      <w:pPr>
        <w:ind w:left="1300" w:hanging="648"/>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14.7. The Customer shall be responsible for providing the Supplier, in writing, with purchasing details for new items contained in the ECO (including price, supplier, MOQ). If the Customer gives notice to the Supplier in writing that the ECO is mandatory, i.e., critical and urgent, update and implementation of the ECO in Products shall be executed within 7 business days, subject to the Parties reaching a written agreement with respect to the change that may be required in the price, and in the payment conditions. In such a case, the Customer shall supply the components required for updating the ECO at its expense, immediately upon the date required by the Supplier.</w:t>
      </w:r>
    </w:p>
    <w:p>
      <w:pPr>
        <w:spacing w:after="0" w:line="158"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14.8. If there is surplus Inventory as a result of the Engineering Change and this is purchased by the Supplier in accordance with the Orders provided by the Customer, all such surplus Inventory shall be purchased by the Customer, within 7 business days of the date of the notice in writing regarding the Engineering Changes, at the price agreed for pricing the Machine, plus [***]% (cost + [***]%) (cost + [***]% as set out in the price list in section 19.3), plus VAT at law.</w:t>
      </w:r>
    </w:p>
    <w:p>
      <w:pPr>
        <w:spacing w:after="0" w:line="214" w:lineRule="exact"/>
        <w:rPr>
          <w:sz w:val="20"/>
          <w:szCs w:val="20"/>
          <w:color w:val="auto"/>
        </w:rPr>
      </w:pPr>
    </w:p>
    <w:p>
      <w:pPr>
        <w:spacing w:after="0" w:line="342" w:lineRule="auto"/>
        <w:tabs>
          <w:tab w:leader="none" w:pos="324" w:val="left"/>
        </w:tabs>
        <w:numPr>
          <w:ilvl w:val="0"/>
          <w:numId w:val="48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12" w:name="page313"/>
    <w:bookmarkEnd w:id="312"/>
    <w:p>
      <w:pPr>
        <w:ind w:left="640" w:hanging="640"/>
        <w:spacing w:after="0"/>
        <w:tabs>
          <w:tab w:leader="none" w:pos="64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15.1. Machines shall undergo integration (i.e., a process set out in the Production File and effected by the Supplier), ATP and preparation for packaging (cleaning, color corrections, etc.), defined by the Customer.</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15.2. After preparation of the Machine for packaging, the Supplier shall conduct a review of the packaging process, in coordination with the Customer and in accordance with the packaging procedures set out in the Production File.</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15.3.   The Machines shall be supplied at the gates of the Supplier's factory.</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15.4.   Packaged Machines shall be sent for storage by the Customer, at the Customer's expense, to a storage site selected by the Customer.</w:t>
      </w:r>
    </w:p>
    <w:p>
      <w:pPr>
        <w:spacing w:after="0" w:line="24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15.5. Machines that do not contain all of the items defined in the exit kit as such term is defined in the Production File shall not be packaged and shall not leave the gates of the Supplier's factory without the written consent of the Customer.</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15.6. The Supplier shall be liable for the completion and orderly functioning of the Products up to delivery thereof to the Customer or to the packaging company at the gate of the Supplier's factory.</w:t>
      </w:r>
    </w:p>
    <w:p>
      <w:pPr>
        <w:spacing w:after="0" w:line="170"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15.7. If there is a delay in the supply plan, the Supplier must, within one week of the date requested in the Purchase Order, submit a renewed supply plan, setting out the method for closing the gap for subsequent Machines in line for Supply (a Recovery Plan) during the following month. In other words, if there is a delay in the supply of one Machine, the Supplier must send an updated supply plan containing an up-to-date date of supply for such Machine and for all subsequent Machines the supply of which is also delayed due to the delay in supplying the first Machine.</w:t>
      </w:r>
    </w:p>
    <w:p>
      <w:pPr>
        <w:spacing w:after="0" w:line="184" w:lineRule="exact"/>
        <w:rPr>
          <w:rFonts w:ascii="Arial" w:cs="Arial" w:eastAsia="Arial" w:hAnsi="Arial"/>
          <w:sz w:val="18"/>
          <w:szCs w:val="18"/>
          <w:b w:val="1"/>
          <w:bCs w:val="1"/>
          <w:color w:val="auto"/>
        </w:rPr>
      </w:pPr>
    </w:p>
    <w:p>
      <w:pPr>
        <w:ind w:left="640" w:hanging="640"/>
        <w:spacing w:after="0"/>
        <w:tabs>
          <w:tab w:leader="none" w:pos="64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Cancellations, Deferrals and Advancements: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Customer shall have the right to advance, defer or cancel the supply of Products, as follows:</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auto"/>
        </w:rPr>
        <w:t>Cancellations</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Orders may be cancelled at no cost, except for the payments set out in this Agreement below, by way of written notice which shall be given to the Supplier at least three months prior to the date set out in the Work Order.</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In the event of any cancellation of an Order, the Customer shall pay for any Inventory that the Supplier purchased in accordance with the Customer's Orders / undertakings and which cannot be cancelled without payment after the Supplier has made reasonable efforts to cancel them, plus [***]% plus VAT at law (cost + [***]% + VAT).</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u w:val="single" w:color="auto"/>
          <w:color w:val="auto"/>
        </w:rPr>
        <w:t>Deferrals</w:t>
      </w:r>
    </w:p>
    <w:p>
      <w:pPr>
        <w:spacing w:after="0" w:line="22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The Customer shall be entitled to defer the dates of supply set out in the Work Order provided that the Supplier receive a written notice of deferral from the Customer at least [***] days prior to the date of supply set out in the Work Order, the deferral shall be for a period of not more than 30 days, in an advance written notice to the Supplier in accordance with the following conditions and details:</w:t>
      </w:r>
    </w:p>
    <w:p>
      <w:pPr>
        <w:spacing w:after="0" w:line="166" w:lineRule="exact"/>
        <w:rPr>
          <w:sz w:val="20"/>
          <w:szCs w:val="20"/>
          <w:color w:val="auto"/>
        </w:rPr>
      </w:pPr>
    </w:p>
    <w:p>
      <w:pPr>
        <w:spacing w:after="0" w:line="342" w:lineRule="auto"/>
        <w:tabs>
          <w:tab w:leader="none" w:pos="324" w:val="left"/>
        </w:tabs>
        <w:numPr>
          <w:ilvl w:val="0"/>
          <w:numId w:val="49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13" w:name="page314"/>
    <w:bookmarkEnd w:id="313"/>
    <w:tbl>
      <w:tblPr>
        <w:tblLayout w:type="fixed"/>
        <w:tblInd w:w="130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2"/>
              </w:rPr>
              <w:t>Period Prior to Date of</w:t>
            </w:r>
          </w:p>
        </w:tc>
      </w:tr>
      <w:tr>
        <w:trPr>
          <w:trHeight w:val="216"/>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Supply set out in the Work</w:t>
            </w:r>
          </w:p>
        </w:tc>
      </w:tr>
      <w:tr>
        <w:trPr>
          <w:trHeight w:val="234"/>
        </w:trPr>
        <w:tc>
          <w:tcPr>
            <w:tcW w:w="6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Deferral Option</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7"/>
              </w:rPr>
              <w:t>Order</w:t>
            </w:r>
          </w:p>
        </w:tc>
      </w:tr>
      <w:tr>
        <w:trPr>
          <w:trHeight w:val="195"/>
        </w:trPr>
        <w:tc>
          <w:tcPr>
            <w:tcW w:w="6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3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Up to 30 days</w:t>
            </w:r>
          </w:p>
        </w:tc>
      </w:tr>
      <w:tr>
        <w:trPr>
          <w:trHeight w:val="216"/>
        </w:trPr>
        <w:tc>
          <w:tcPr>
            <w:tcW w:w="6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 of the quantity of the Machines intended to be supplied in the coming month</w:t>
            </w: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Between 31-60 days</w:t>
            </w:r>
          </w:p>
        </w:tc>
      </w:tr>
      <w:tr>
        <w:trPr>
          <w:trHeight w:val="216"/>
        </w:trPr>
        <w:tc>
          <w:tcPr>
            <w:tcW w:w="6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(i.e., the calendar month following the original date of supply set out in the original</w:t>
            </w:r>
          </w:p>
        </w:tc>
        <w:tc>
          <w:tcPr>
            <w:tcW w:w="3560" w:type="dxa"/>
            <w:vAlign w:val="bottom"/>
          </w:tcPr>
          <w:p>
            <w:pPr>
              <w:spacing w:after="0"/>
              <w:rPr>
                <w:sz w:val="18"/>
                <w:szCs w:val="18"/>
                <w:color w:val="auto"/>
              </w:rPr>
            </w:pPr>
          </w:p>
        </w:tc>
      </w:tr>
      <w:tr>
        <w:trPr>
          <w:trHeight w:val="216"/>
        </w:trPr>
        <w:tc>
          <w:tcPr>
            <w:tcW w:w="6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Order)</w:t>
            </w:r>
          </w:p>
        </w:tc>
        <w:tc>
          <w:tcPr>
            <w:tcW w:w="3560" w:type="dxa"/>
            <w:vAlign w:val="bottom"/>
          </w:tcPr>
          <w:p>
            <w:pPr>
              <w:spacing w:after="0"/>
              <w:rPr>
                <w:sz w:val="18"/>
                <w:szCs w:val="18"/>
                <w:color w:val="auto"/>
              </w:rPr>
            </w:pPr>
          </w:p>
        </w:tc>
      </w:tr>
      <w:tr>
        <w:trPr>
          <w:trHeight w:val="216"/>
        </w:trPr>
        <w:tc>
          <w:tcPr>
            <w:tcW w:w="6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 of the quantity of the Machines intended to be supplied in the coming month</w:t>
            </w: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Between 61-90 days</w:t>
            </w:r>
          </w:p>
        </w:tc>
      </w:tr>
      <w:tr>
        <w:trPr>
          <w:trHeight w:val="216"/>
        </w:trPr>
        <w:tc>
          <w:tcPr>
            <w:tcW w:w="6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(i.e., the calendar month following the original date of supply set out in the original</w:t>
            </w:r>
          </w:p>
        </w:tc>
        <w:tc>
          <w:tcPr>
            <w:tcW w:w="3560" w:type="dxa"/>
            <w:vAlign w:val="bottom"/>
          </w:tcPr>
          <w:p>
            <w:pPr>
              <w:spacing w:after="0"/>
              <w:rPr>
                <w:sz w:val="18"/>
                <w:szCs w:val="18"/>
                <w:color w:val="auto"/>
              </w:rPr>
            </w:pPr>
          </w:p>
        </w:tc>
      </w:tr>
      <w:tr>
        <w:trPr>
          <w:trHeight w:val="230"/>
        </w:trPr>
        <w:tc>
          <w:tcPr>
            <w:tcW w:w="6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Order)</w:t>
            </w:r>
          </w:p>
        </w:tc>
        <w:tc>
          <w:tcPr>
            <w:tcW w:w="3560" w:type="dxa"/>
            <w:vAlign w:val="bottom"/>
          </w:tcPr>
          <w:p>
            <w:pPr>
              <w:spacing w:after="0"/>
              <w:rPr>
                <w:sz w:val="20"/>
                <w:szCs w:val="20"/>
                <w:color w:val="auto"/>
              </w:rPr>
            </w:pPr>
          </w:p>
        </w:tc>
      </w:tr>
    </w:tbl>
    <w:p>
      <w:pPr>
        <w:spacing w:after="0" w:line="20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A notice of deferral as aforesaid may be given only once for each Machine (i.e., the Customer shall be entitled to give only one notice of deferral for each of the Machines in the Order).</w:t>
      </w:r>
    </w:p>
    <w:p>
      <w:pPr>
        <w:spacing w:after="0" w:line="170"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Delivery of a notice of deferral within a period of less than 30 days prior to the date of supply set out in the Work Order shall require the Customer to pay [***] set out in the Work Order for the relevant Machine at the time of supply agreed upon in the original Order, and as of the date set out in the original Work Order, on the date on which the Machine is prepared for dispatch to the Customer, the Customer shall be required to send the Machine for storage immediately, at the Customer's expense and liability, at the storage site prescribed by the Customer.</w:t>
      </w:r>
    </w:p>
    <w:p>
      <w:pPr>
        <w:spacing w:after="0" w:line="18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the event of deferral of the date of supply by more than 7 days due to the performance of development works by the Customer, the Customer shall be charged with payment for the production floor area that will be required for performance of the development works in accordance with the size of the area required and the period of performance of the development works (and all in accordance with the price list as set out in section 19.3 below).</w:t>
      </w:r>
    </w:p>
    <w:p>
      <w:pPr>
        <w:spacing w:after="0" w:line="18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u w:val="single" w:color="auto"/>
          <w:color w:val="auto"/>
        </w:rPr>
        <w:t>Advancement of Supply of the Machine to the Customer</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Advancement of Supply of a Machine to the Customer relates both to existing Orders and to new Orders that are required to be supplied within a shorter time than the Lead Time. The Supplier shall act, to the extent that such is reasonably possible, to bring forward the date of supply set out in the Order, in accordance with the written request of the Customer.</w:t>
      </w:r>
    </w:p>
    <w:p>
      <w:pPr>
        <w:spacing w:after="0" w:line="181"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Customer shall bear all of the costs directly incurred by the Supplier for bringing forward the date of supply (if any), including for: flying in parts and/or components and/or human resources, manufacture by an alternative supplier, sub-supplier requests for price supplements, and any other actual expense that may be incurred by the Supplier. The Supplier shall present invoices to the Customer for independent production (an agreed price list shall be presented in this case) for any such additional expenses. Every expense shall be approved in advance and in writing (including by email) by the Customer and shall be paid by the Customer on the date of payment for the Machine set out in the Order, together with the payment for the Machine, or on such other date as may be agreed upon in writing by the Parties.</w:t>
      </w:r>
    </w:p>
    <w:p>
      <w:pPr>
        <w:spacing w:after="0" w:line="216" w:lineRule="exact"/>
        <w:rPr>
          <w:sz w:val="20"/>
          <w:szCs w:val="20"/>
          <w:color w:val="auto"/>
        </w:rPr>
      </w:pPr>
    </w:p>
    <w:p>
      <w:pPr>
        <w:spacing w:after="0" w:line="342" w:lineRule="auto"/>
        <w:tabs>
          <w:tab w:leader="none" w:pos="324" w:val="left"/>
        </w:tabs>
        <w:numPr>
          <w:ilvl w:val="0"/>
          <w:numId w:val="49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14" w:name="page315"/>
    <w:bookmarkEnd w:id="314"/>
    <w:p>
      <w:pPr>
        <w:jc w:val="both"/>
        <w:ind w:left="1300"/>
        <w:spacing w:after="0" w:line="259" w:lineRule="auto"/>
        <w:rPr>
          <w:sz w:val="20"/>
          <w:szCs w:val="20"/>
          <w:color w:val="auto"/>
        </w:rPr>
      </w:pPr>
      <w:r>
        <w:rPr>
          <w:rFonts w:ascii="Arial" w:cs="Arial" w:eastAsia="Arial" w:hAnsi="Arial"/>
          <w:sz w:val="18"/>
          <w:szCs w:val="18"/>
          <w:color w:val="auto"/>
        </w:rPr>
        <w:t>If, for the purpose of bringing forward the date of supply, the Supplier is required to deviate from ordinary operating hours, subject to the prior written approval of the Customer, the Customer shall be charged for all additional work hours invested by the Supplier, including its employees and contractors, in order to bring forward the date of supply, in accordance with the special work hour tariff under the price list set out in section 19.3.</w:t>
      </w:r>
    </w:p>
    <w:p>
      <w:pPr>
        <w:spacing w:after="0" w:line="183" w:lineRule="exact"/>
        <w:rPr>
          <w:sz w:val="20"/>
          <w:szCs w:val="20"/>
          <w:color w:val="auto"/>
        </w:rPr>
      </w:pPr>
    </w:p>
    <w:p>
      <w:pPr>
        <w:ind w:left="640" w:hanging="640"/>
        <w:spacing w:after="0"/>
        <w:tabs>
          <w:tab w:leader="none" w:pos="64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Production File</w:t>
      </w:r>
    </w:p>
    <w:p>
      <w:pPr>
        <w:spacing w:after="0" w:line="229" w:lineRule="exact"/>
        <w:rPr>
          <w:rFonts w:ascii="Arial" w:cs="Arial" w:eastAsia="Arial" w:hAnsi="Arial"/>
          <w:sz w:val="18"/>
          <w:szCs w:val="18"/>
          <w:b w:val="1"/>
          <w:bCs w:val="1"/>
          <w:color w:val="auto"/>
        </w:rPr>
      </w:pPr>
    </w:p>
    <w:p>
      <w:pPr>
        <w:jc w:val="both"/>
        <w:ind w:left="6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Production File or Files and all information and intellectual property rights of the Customer that are contained therein and/or that are related thereto, including as defined above, shall be and shall remain the property of the Customer alone, and there is and shall be no claim, right or argument of any kind whatsoever against the Customer for the Customer's intellectual property that is in the Production File, in whole or in part. The Production File or Files, and all of the aforesaid information, shall be returned to the Customer by the Supplier upon termination of this Agreement for any reason whatsoever, or upon termination of the orderly manufacture of the Product the subject of the Production File, whichever is the earlier. The Supplier undertakes to make no use, except as set out explicitly in this Agreement, of the Production File or Files and any of the above information, or any other equipment belonging to the Customer and/or any intellectual property right belonging to the Customer. The aforesaid shall not derogate from the Supplier's right to keep a copy of the Production File in its possession in order to perform its undertakings under this Agreement and/or in order to document the reason for the Supplier's actions, provided that the Production File, as aforesaid, and all of the portions of it, shall be subject to all of the Supplier's non-disclosure undertakings as set out in this Agreement.</w:t>
      </w:r>
    </w:p>
    <w:p>
      <w:pPr>
        <w:spacing w:after="0" w:line="165" w:lineRule="exact"/>
        <w:rPr>
          <w:rFonts w:ascii="Arial" w:cs="Arial" w:eastAsia="Arial" w:hAnsi="Arial"/>
          <w:sz w:val="18"/>
          <w:szCs w:val="18"/>
          <w:b w:val="1"/>
          <w:bCs w:val="1"/>
          <w:color w:val="auto"/>
        </w:rPr>
      </w:pPr>
    </w:p>
    <w:p>
      <w:pPr>
        <w:ind w:left="640" w:hanging="640"/>
        <w:spacing w:after="0"/>
        <w:tabs>
          <w:tab w:leader="none" w:pos="64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Production Tools</w:t>
      </w:r>
    </w:p>
    <w:p>
      <w:pPr>
        <w:spacing w:after="0" w:line="229" w:lineRule="exact"/>
        <w:rPr>
          <w:rFonts w:ascii="Arial" w:cs="Arial" w:eastAsia="Arial" w:hAnsi="Arial"/>
          <w:sz w:val="18"/>
          <w:szCs w:val="18"/>
          <w:b w:val="1"/>
          <w:bCs w:val="1"/>
          <w:color w:val="auto"/>
        </w:rPr>
      </w:pPr>
    </w:p>
    <w:p>
      <w:pPr>
        <w:ind w:left="1300" w:hanging="648"/>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18.1. With respect to all of the production tools which the Product Tree prescribes are to be supplied by the Customer and at its expense, but which will in fact be supplied to the Supplier by the Customer and at its expense (hereinafter: the “</w:t>
      </w:r>
      <w:r>
        <w:rPr>
          <w:rFonts w:ascii="Arial" w:cs="Arial" w:eastAsia="Arial" w:hAnsi="Arial"/>
          <w:sz w:val="17"/>
          <w:szCs w:val="17"/>
          <w:b w:val="1"/>
          <w:bCs w:val="1"/>
          <w:color w:val="auto"/>
        </w:rPr>
        <w:t>Production Tools</w:t>
      </w:r>
      <w:r>
        <w:rPr>
          <w:rFonts w:ascii="Arial" w:cs="Arial" w:eastAsia="Arial" w:hAnsi="Arial"/>
          <w:sz w:val="17"/>
          <w:szCs w:val="17"/>
          <w:color w:val="auto"/>
        </w:rPr>
        <w:t>”), the Supplier undertakes: (a) To keep and maintain all of the Production Tools and to store them in the Supplier's warehouses, all at the Supplier's expense; (b) to store the Production Tools at its own facility separate from materials that are not related to the performance of this Agreement and/or that belong to any third party whatsoever, and to mark them clearly as being the property of the Customer; (c) to keep the Production Tools in good order, with the exception of reasonable wear and tear, and to replace and repair them at its expense, if they are damaged as a result of an act of malice or negligence of the Supplier.</w:t>
      </w:r>
    </w:p>
    <w:p>
      <w:pPr>
        <w:spacing w:after="0" w:line="177"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18.2. Immediately upon the rescission or termination of this Agreement, the Supplier shall return the Production Tools in full to the Customer, in working order, except for reasonable wear and tear. The Customer shall bear the costs of transfer.</w:t>
      </w:r>
    </w:p>
    <w:p>
      <w:pPr>
        <w:spacing w:after="0" w:line="166" w:lineRule="exact"/>
        <w:rPr>
          <w:rFonts w:ascii="Arial" w:cs="Arial" w:eastAsia="Arial" w:hAnsi="Arial"/>
          <w:sz w:val="18"/>
          <w:szCs w:val="18"/>
          <w:b w:val="1"/>
          <w:bCs w:val="1"/>
          <w:color w:val="auto"/>
        </w:rPr>
      </w:pPr>
    </w:p>
    <w:p>
      <w:pPr>
        <w:ind w:left="640" w:hanging="640"/>
        <w:spacing w:after="0"/>
        <w:tabs>
          <w:tab w:leader="none" w:pos="64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Machines shall be priced in the following way, and the Customer shall pay the payments set out below to the Supplier. For each Machine, the Customer shall pay the Supplier all of the following components:</w:t>
      </w:r>
    </w:p>
    <w:p>
      <w:pPr>
        <w:spacing w:after="0" w:line="170" w:lineRule="exact"/>
        <w:rPr>
          <w:sz w:val="20"/>
          <w:szCs w:val="20"/>
          <w:color w:val="auto"/>
        </w:rPr>
      </w:pPr>
    </w:p>
    <w:p>
      <w:pPr>
        <w:spacing w:after="0" w:line="342" w:lineRule="auto"/>
        <w:tabs>
          <w:tab w:leader="none" w:pos="324" w:val="left"/>
        </w:tabs>
        <w:numPr>
          <w:ilvl w:val="0"/>
          <w:numId w:val="49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15" w:name="page316"/>
    <w:bookmarkEnd w:id="315"/>
    <w:p>
      <w:pPr>
        <w:ind w:left="640"/>
        <w:spacing w:after="0"/>
        <w:tabs>
          <w:tab w:leader="none" w:pos="12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u w:val="single" w:color="auto"/>
          <w:color w:val="auto"/>
        </w:rPr>
        <w:t>Payment for Raw Material:</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Customer shall pay the Supplier for the raw material as set out in the BOM, in accordance with the pricing for raw materials which shall be provided from time to time (and for each product that will be ordered separately) by the Supplier to the Customer, in accordance with the list of components (BOM) which will be provided by the Customer to the Supplier, plus payment for work and loading as set out in the Table below.</w:t>
      </w:r>
    </w:p>
    <w:p>
      <w:pPr>
        <w:spacing w:after="0" w:line="18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u w:val="single" w:color="auto"/>
          <w:color w:val="auto"/>
        </w:rPr>
        <w:t>Payment for Work and Loading:</w:t>
      </w:r>
    </w:p>
    <w:p>
      <w:pPr>
        <w:spacing w:after="0" w:line="225"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In addition to the payment that the Customer shall pay to the Supplier as set out in section 19.1, and to the extent that the matter relates to the specific machines set out in the Table below, the payment that the Customer shall make for loading and all work hours that the Supplier and/or a person acting on its behalf may invest in the construction and/or production and/or assembly of each of the Machines that may be ordered by the Customer shall be in accordance with the tariff appearing in the Table below. With respect to Machines that are not set out in the Table, the Parties shall agree on a price and conditions between them, in writing, and until the date of such agreement, the provisions of section 19.3 shall apply.</w:t>
      </w:r>
    </w:p>
    <w:p>
      <w:pPr>
        <w:spacing w:after="0" w:line="193"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 xml:space="preserve">The level of prices set out in the Table has been set given the situation in which </w:t>
      </w:r>
      <w:r>
        <w:rPr>
          <w:rFonts w:ascii="Arial" w:cs="Arial" w:eastAsia="Arial" w:hAnsi="Arial"/>
          <w:sz w:val="17"/>
          <w:szCs w:val="17"/>
          <w:u w:val="single" w:color="auto"/>
          <w:color w:val="auto"/>
        </w:rPr>
        <w:t>the Supplier is the manufacturer of at least [***]%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Machines that it will sell to the Customer</w:t>
      </w:r>
      <w:r>
        <w:rPr>
          <w:rFonts w:ascii="Arial" w:cs="Arial" w:eastAsia="Arial" w:hAnsi="Arial"/>
          <w:sz w:val="17"/>
          <w:szCs w:val="17"/>
          <w:color w:val="auto"/>
        </w:rPr>
        <w:t>, with respect to the aforesaid Machines during the Term of the Agreement.</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952 (Avalanche</w:t>
            </w:r>
          </w:p>
        </w:tc>
        <w:tc>
          <w:tcPr>
            <w:tcW w:w="0" w:type="dxa"/>
            <w:vAlign w:val="bottom"/>
          </w:tcPr>
          <w:p>
            <w:pPr>
              <w:spacing w:after="0"/>
              <w:rPr>
                <w:sz w:val="1"/>
                <w:szCs w:val="1"/>
                <w:color w:val="auto"/>
              </w:rPr>
            </w:pPr>
          </w:p>
        </w:tc>
      </w:tr>
      <w:tr>
        <w:trPr>
          <w:trHeight w:val="234"/>
        </w:trPr>
        <w:tc>
          <w:tcPr>
            <w:tcW w:w="1360" w:type="dxa"/>
            <w:vAlign w:val="bottom"/>
            <w:vMerge w:val="restart"/>
          </w:tcPr>
          <w:p>
            <w:pPr>
              <w:spacing w:after="0"/>
              <w:rPr>
                <w:sz w:val="20"/>
                <w:szCs w:val="20"/>
                <w:color w:val="auto"/>
              </w:rPr>
            </w:pPr>
            <w:r>
              <w:rPr>
                <w:rFonts w:ascii="Arial" w:cs="Arial" w:eastAsia="Arial" w:hAnsi="Arial"/>
                <w:sz w:val="18"/>
                <w:szCs w:val="18"/>
                <w:color w:val="auto"/>
              </w:rPr>
              <w:t>Loading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931 (Storm II)</w:t>
            </w: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951 (Avalanche)</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1"/>
              </w:rPr>
              <w:t>1000)</w:t>
            </w:r>
          </w:p>
        </w:tc>
        <w:tc>
          <w:tcPr>
            <w:tcW w:w="0" w:type="dxa"/>
            <w:vAlign w:val="bottom"/>
          </w:tcPr>
          <w:p>
            <w:pPr>
              <w:spacing w:after="0"/>
              <w:rPr>
                <w:sz w:val="1"/>
                <w:szCs w:val="1"/>
                <w:color w:val="auto"/>
              </w:rPr>
            </w:pPr>
          </w:p>
        </w:tc>
      </w:tr>
      <w:tr>
        <w:trPr>
          <w:trHeight w:val="195"/>
        </w:trPr>
        <w:tc>
          <w:tcPr>
            <w:tcW w:w="1360" w:type="dxa"/>
            <w:vAlign w:val="bottom"/>
            <w:vMerge w:val="continue"/>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NIS [***]</w:t>
            </w:r>
          </w:p>
        </w:tc>
        <w:tc>
          <w:tcPr>
            <w:tcW w:w="100" w:type="dxa"/>
            <w:vAlign w:val="bottom"/>
          </w:tcPr>
          <w:p>
            <w:pPr>
              <w:spacing w:after="0"/>
              <w:rPr>
                <w:sz w:val="16"/>
                <w:szCs w:val="16"/>
                <w:color w:val="auto"/>
              </w:rPr>
            </w:pPr>
          </w:p>
        </w:tc>
        <w:tc>
          <w:tcPr>
            <w:tcW w:w="2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NIS [***]</w:t>
            </w:r>
          </w:p>
        </w:tc>
        <w:tc>
          <w:tcPr>
            <w:tcW w:w="10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NIS [***]</w:t>
            </w:r>
          </w:p>
        </w:tc>
        <w:tc>
          <w:tcPr>
            <w:tcW w:w="0" w:type="dxa"/>
            <w:vAlign w:val="bottom"/>
          </w:tcPr>
          <w:p>
            <w:pPr>
              <w:spacing w:after="0"/>
              <w:rPr>
                <w:sz w:val="1"/>
                <w:szCs w:val="1"/>
                <w:color w:val="auto"/>
              </w:rPr>
            </w:pPr>
          </w:p>
        </w:tc>
      </w:tr>
      <w:tr>
        <w:trPr>
          <w:trHeight w:val="212"/>
        </w:trPr>
        <w:tc>
          <w:tcPr>
            <w:tcW w:w="1360" w:type="dxa"/>
            <w:vAlign w:val="bottom"/>
          </w:tcPr>
          <w:p>
            <w:pPr>
              <w:spacing w:after="0"/>
              <w:rPr>
                <w:sz w:val="20"/>
                <w:szCs w:val="20"/>
                <w:color w:val="auto"/>
              </w:rPr>
            </w:pPr>
            <w:r>
              <w:rPr>
                <w:rFonts w:ascii="Arial" w:cs="Arial" w:eastAsia="Arial" w:hAnsi="Arial"/>
                <w:sz w:val="18"/>
                <w:szCs w:val="18"/>
                <w:color w:val="auto"/>
              </w:rPr>
              <w:t>Work</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NIS [***]</w:t>
            </w: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rPr>
              <w:t>NIS [***]</w:t>
            </w:r>
          </w:p>
        </w:tc>
        <w:tc>
          <w:tcPr>
            <w:tcW w:w="3260" w:type="dxa"/>
            <w:vAlign w:val="bottom"/>
          </w:tcPr>
          <w:p>
            <w:pPr>
              <w:jc w:val="center"/>
              <w:spacing w:after="0"/>
              <w:rPr>
                <w:sz w:val="20"/>
                <w:szCs w:val="20"/>
                <w:color w:val="auto"/>
              </w:rPr>
            </w:pPr>
            <w:r>
              <w:rPr>
                <w:rFonts w:ascii="Arial" w:cs="Arial" w:eastAsia="Arial" w:hAnsi="Arial"/>
                <w:sz w:val="18"/>
                <w:szCs w:val="18"/>
                <w:color w:val="auto"/>
              </w:rPr>
              <w:t>NIS [***]</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NIS [***]</w:t>
            </w:r>
          </w:p>
        </w:tc>
        <w:tc>
          <w:tcPr>
            <w:tcW w:w="2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NIS [***]</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rPr>
              <w:t>NIS [***]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Additional agreements between the Parties with respect to the pricing of the Machines: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price set out in the Table above is for the manufacture of one Machine and does not include VAT.</w:t>
      </w:r>
    </w:p>
    <w:p>
      <w:pPr>
        <w:spacing w:after="0" w:line="225" w:lineRule="exact"/>
        <w:rPr>
          <w:sz w:val="20"/>
          <w:szCs w:val="20"/>
          <w:color w:val="auto"/>
        </w:rPr>
      </w:pPr>
    </w:p>
    <w:p>
      <w:pPr>
        <w:ind w:left="1300" w:hanging="3"/>
        <w:spacing w:after="0" w:line="277" w:lineRule="auto"/>
        <w:tabs>
          <w:tab w:leader="none" w:pos="1718"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The price of Machine 952 does not include costs for [***] hours of work, in the sum of NIS [***]</w:t>
      </w:r>
      <w:r>
        <w:rPr>
          <w:rFonts w:ascii="Arial" w:cs="Arial" w:eastAsia="Arial" w:hAnsi="Arial"/>
          <w:sz w:val="18"/>
          <w:szCs w:val="18"/>
          <w:color w:val="auto"/>
        </w:rPr>
        <w:t xml:space="preserve"> for the assembly of a [***] system. These costs, plus VAT, will be added to the cost of that Machine.</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 xml:space="preserve">If a total of </w:t>
      </w:r>
      <w:r>
        <w:rPr>
          <w:rFonts w:ascii="Arial" w:cs="Arial" w:eastAsia="Arial" w:hAnsi="Arial"/>
          <w:sz w:val="18"/>
          <w:szCs w:val="18"/>
          <w:u w:val="single" w:color="auto"/>
          <w:color w:val="auto"/>
        </w:rPr>
        <w:t>fewer than [***] Machines</w:t>
      </w:r>
      <w:r>
        <w:rPr>
          <w:rFonts w:ascii="Arial" w:cs="Arial" w:eastAsia="Arial" w:hAnsi="Arial"/>
          <w:sz w:val="18"/>
          <w:szCs w:val="18"/>
          <w:color w:val="auto"/>
        </w:rPr>
        <w:t xml:space="preserve"> are manufactured during one calendar month, an additional NIS [***] plus VAT at law shall be added to the price for each of the Machines manufactured during such calendar month.</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So long as the actual BOM of the Machine, compared with the BOM appearing in Appendix 1 to this Agreement, alters by a sum of not more than NIS [***] plus VAT, the rate of the load on the Machine shall remain unchanged. In other words, a difference of up to NIS [***] shall not give rise to a change in the price of the Machine.</w:t>
      </w:r>
    </w:p>
    <w:p>
      <w:pPr>
        <w:spacing w:after="0" w:line="181"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BOM of a Machine pursuant to Appendix 1 to this Agreement, less the actual requested BOM of a Machine shall hereinafter be known as: the “</w:t>
      </w:r>
      <w:r>
        <w:rPr>
          <w:rFonts w:ascii="Arial" w:cs="Arial" w:eastAsia="Arial" w:hAnsi="Arial"/>
          <w:sz w:val="18"/>
          <w:szCs w:val="18"/>
          <w:b w:val="1"/>
          <w:bCs w:val="1"/>
          <w:color w:val="auto"/>
        </w:rPr>
        <w:t>Difference</w:t>
      </w:r>
      <w:r>
        <w:rPr>
          <w:rFonts w:ascii="Arial" w:cs="Arial" w:eastAsia="Arial" w:hAnsi="Arial"/>
          <w:sz w:val="18"/>
          <w:szCs w:val="18"/>
          <w:color w:val="auto"/>
        </w:rPr>
        <w:t>”).</w:t>
      </w:r>
    </w:p>
    <w:p>
      <w:pPr>
        <w:spacing w:after="0" w:line="170"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If the Difference is greater than NIS [***] plus VAT, the rate of the load paid for the relevant machine shall increase by [***]% of the Difference, plus VAT at law. If the Difference is negative, and is lower than minus NIS [***] plus VAT at law, the load price shall be reduced by [***]% of the Difference. A numerical example for the purpose of illustration: If, following Engineering Changes, the price of Machine 931 drops by NIS [***], the load cost shall drop by NIS [***] ([***]% x [***]), and the final price of Machine 931 will be NIS [***].</w:t>
      </w:r>
    </w:p>
    <w:p>
      <w:pPr>
        <w:spacing w:after="0" w:line="215" w:lineRule="exact"/>
        <w:rPr>
          <w:sz w:val="20"/>
          <w:szCs w:val="20"/>
          <w:color w:val="auto"/>
        </w:rPr>
      </w:pPr>
    </w:p>
    <w:p>
      <w:pPr>
        <w:spacing w:after="0" w:line="342" w:lineRule="auto"/>
        <w:tabs>
          <w:tab w:leader="none" w:pos="324" w:val="left"/>
        </w:tabs>
        <w:numPr>
          <w:ilvl w:val="0"/>
          <w:numId w:val="49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16" w:name="page317"/>
    <w:bookmarkEnd w:id="316"/>
    <w:p>
      <w:pPr>
        <w:jc w:val="both"/>
        <w:ind w:left="1300"/>
        <w:spacing w:after="0" w:line="259" w:lineRule="auto"/>
        <w:rPr>
          <w:sz w:val="20"/>
          <w:szCs w:val="20"/>
          <w:color w:val="auto"/>
        </w:rPr>
      </w:pPr>
      <w:r>
        <w:rPr>
          <w:rFonts w:ascii="Arial" w:cs="Arial" w:eastAsia="Arial" w:hAnsi="Arial"/>
          <w:sz w:val="18"/>
          <w:szCs w:val="18"/>
          <w:color w:val="auto"/>
        </w:rPr>
        <w:t>In pricing a new model machine that has not yet moved over to serial production, the estimated working hours of an engineer, at an agreed tariff for hourly engineering work (as set out in the price list for services in section 19.3 below), shall be added. For the avoidance of doubt, an Order of a new model machine that has not yet moved to serial production shall require the prior written consent of the Parties to this Agreement with respect to the price of such machine.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of the payments set out in this section 19.2 shall be valid for the entire term of the Agreement.</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u w:val="single" w:color="auto"/>
          <w:color w:val="auto"/>
        </w:rPr>
        <w:t>Price List for Services: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Product</w:t>
            </w:r>
          </w:p>
        </w:tc>
        <w:tc>
          <w:tcPr>
            <w:tcW w:w="4480" w:type="dxa"/>
            <w:vAlign w:val="bottom"/>
          </w:tcPr>
          <w:p>
            <w:pPr>
              <w:spacing w:after="0"/>
              <w:rPr>
                <w:sz w:val="20"/>
                <w:szCs w:val="20"/>
                <w:color w:val="auto"/>
              </w:rPr>
            </w:pPr>
            <w:r>
              <w:rPr>
                <w:rFonts w:ascii="Arial" w:cs="Arial" w:eastAsia="Arial" w:hAnsi="Arial"/>
                <w:sz w:val="18"/>
                <w:szCs w:val="18"/>
                <w:b w:val="1"/>
                <w:bCs w:val="1"/>
                <w:color w:val="auto"/>
              </w:rPr>
              <w:t>Price per Unit before VAT</w:t>
            </w:r>
          </w:p>
        </w:tc>
      </w:tr>
      <w:tr>
        <w:trPr>
          <w:trHeight w:val="195"/>
        </w:trPr>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Loading on spare parts</w:t>
            </w:r>
          </w:p>
        </w:tc>
        <w:tc>
          <w:tcPr>
            <w:tcW w:w="200" w:type="dxa"/>
            <w:vAlign w:val="bottom"/>
          </w:tcPr>
          <w:p>
            <w:pPr>
              <w:spacing w:after="0"/>
              <w:rPr>
                <w:sz w:val="16"/>
                <w:szCs w:val="16"/>
                <w:color w:val="auto"/>
              </w:rPr>
            </w:pPr>
          </w:p>
        </w:tc>
        <w:tc>
          <w:tcPr>
            <w:tcW w:w="4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of the agreed Machine price for each spare part.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One assembly worker hour.</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Floor space Kfar Saba – sqm per month</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Floor space Nir Eliyahu – sqm per month</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Loading on sale of slow or dead inventory (in the</w:t>
            </w:r>
          </w:p>
        </w:tc>
        <w:tc>
          <w:tcPr>
            <w:tcW w:w="4480" w:type="dxa"/>
            <w:vAlign w:val="bottom"/>
          </w:tcPr>
          <w:p>
            <w:pPr>
              <w:spacing w:after="0"/>
              <w:rPr>
                <w:sz w:val="20"/>
                <w:szCs w:val="20"/>
                <w:color w:val="auto"/>
              </w:rPr>
            </w:pPr>
            <w:r>
              <w:rPr>
                <w:rFonts w:ascii="Arial" w:cs="Arial" w:eastAsia="Arial" w:hAnsi="Arial"/>
                <w:sz w:val="18"/>
                <w:szCs w:val="18"/>
                <w:color w:val="auto"/>
                <w:w w:val="99"/>
              </w:rPr>
              <w:t>[***]% of purchase price of all Inventory that has become</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case of ECO)</w:t>
            </w:r>
          </w:p>
        </w:tc>
        <w:tc>
          <w:tcPr>
            <w:tcW w:w="4480" w:type="dxa"/>
            <w:vAlign w:val="bottom"/>
          </w:tcPr>
          <w:p>
            <w:pPr>
              <w:spacing w:after="0"/>
              <w:rPr>
                <w:sz w:val="20"/>
                <w:szCs w:val="20"/>
                <w:color w:val="auto"/>
              </w:rPr>
            </w:pPr>
            <w:r>
              <w:rPr>
                <w:rFonts w:ascii="Arial" w:cs="Arial" w:eastAsia="Arial" w:hAnsi="Arial"/>
                <w:sz w:val="18"/>
                <w:szCs w:val="18"/>
                <w:color w:val="auto"/>
              </w:rPr>
              <w:t>slow or dead inventory.</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special work hour and renovation</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one working day overseas for assembly</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worker **</w:t>
            </w:r>
          </w:p>
        </w:tc>
        <w:tc>
          <w:tcPr>
            <w:tcW w:w="448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one working day overseas for engineer **</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one working hour in development</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7"/>
              </w:rPr>
              <w:t>Change in a new product (first 10 Machines, or one</w:t>
            </w:r>
          </w:p>
        </w:tc>
        <w:tc>
          <w:tcPr>
            <w:tcW w:w="4480" w:type="dxa"/>
            <w:vAlign w:val="bottom"/>
          </w:tcPr>
          <w:p>
            <w:pPr>
              <w:spacing w:after="0"/>
              <w:rPr>
                <w:sz w:val="20"/>
                <w:szCs w:val="20"/>
                <w:color w:val="auto"/>
              </w:rPr>
            </w:pPr>
            <w:r>
              <w:rPr>
                <w:rFonts w:ascii="Arial" w:cs="Arial" w:eastAsia="Arial" w:hAnsi="Arial"/>
                <w:sz w:val="18"/>
                <w:szCs w:val="18"/>
                <w:color w:val="auto"/>
                <w:w w:val="99"/>
              </w:rPr>
              <w:t>NIS [***] for each ECO that contains a change in content</w:t>
            </w:r>
          </w:p>
        </w:tc>
      </w:tr>
      <w:tr>
        <w:trPr>
          <w:trHeight w:val="230"/>
        </w:trPr>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year, whichever is the earlier)</w:t>
            </w:r>
          </w:p>
        </w:tc>
        <w:tc>
          <w:tcPr>
            <w:tcW w:w="4480" w:type="dxa"/>
            <w:vAlign w:val="bottom"/>
          </w:tcPr>
          <w:p>
            <w:pPr>
              <w:spacing w:after="0"/>
              <w:rPr>
                <w:sz w:val="20"/>
                <w:szCs w:val="20"/>
                <w:color w:val="auto"/>
              </w:rPr>
            </w:pPr>
          </w:p>
        </w:tc>
      </w:tr>
    </w:tbl>
    <w:p>
      <w:pPr>
        <w:spacing w:after="0" w:line="202" w:lineRule="exact"/>
        <w:rPr>
          <w:sz w:val="20"/>
          <w:szCs w:val="20"/>
          <w:color w:val="auto"/>
        </w:rPr>
      </w:pPr>
    </w:p>
    <w:p>
      <w:pPr>
        <w:jc w:val="both"/>
        <w:ind w:left="1300" w:hanging="3"/>
        <w:spacing w:after="0" w:line="264" w:lineRule="auto"/>
        <w:tabs>
          <w:tab w:leader="none" w:pos="1527"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Customer shall be charged with an additional payment for each day on which an employee of the Supplier is overseas on a Friday and Saturday. If the Supplier's employee is required to work on a Friday or Saturday whilst overseas, a [***]% supplement to the tariff set out in the above table shall be added to the above.</w:t>
      </w:r>
    </w:p>
    <w:p>
      <w:pPr>
        <w:spacing w:after="0" w:line="181" w:lineRule="exact"/>
        <w:rPr>
          <w:rFonts w:ascii="Arial" w:cs="Arial" w:eastAsia="Arial" w:hAnsi="Arial"/>
          <w:sz w:val="18"/>
          <w:szCs w:val="18"/>
          <w:color w:val="auto"/>
        </w:rPr>
      </w:pPr>
    </w:p>
    <w:p>
      <w:pPr>
        <w:jc w:val="both"/>
        <w:ind w:left="1300" w:hanging="3"/>
        <w:spacing w:after="0" w:line="286" w:lineRule="auto"/>
        <w:tabs>
          <w:tab w:leader="none" w:pos="153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In addition to the tariff set out in the Table, the Customer shall pay full coverage of the costs of the Supplier's employees for overseas stays, including costs for flights, accommodation, travel, communications, etc., but not including salary, living expenses and overseas travel insurance. For the avoidance of doubt, the Customer shall pay up to NIS [***] per day for communications costs.</w:t>
      </w:r>
    </w:p>
    <w:p>
      <w:pPr>
        <w:spacing w:after="0" w:line="166"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The Customer's Orders for works that are not defined in the Production File, which shall be approved in writing by the Supplier, shall be charged in accordance with the work hours in fact invested, calculated in accordance with the price list in section 19.3 above.</w:t>
      </w:r>
    </w:p>
    <w:p>
      <w:pPr>
        <w:spacing w:after="0" w:line="147" w:lineRule="exact"/>
        <w:rPr>
          <w:sz w:val="20"/>
          <w:szCs w:val="20"/>
          <w:color w:val="auto"/>
        </w:rPr>
      </w:pPr>
    </w:p>
    <w:p>
      <w:pPr>
        <w:spacing w:after="0" w:line="342" w:lineRule="auto"/>
        <w:tabs>
          <w:tab w:leader="none" w:pos="324" w:val="left"/>
        </w:tabs>
        <w:numPr>
          <w:ilvl w:val="0"/>
          <w:numId w:val="49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317" w:name="page318"/>
    <w:bookmarkEnd w:id="317"/>
    <w:p>
      <w:pPr>
        <w:jc w:val="both"/>
        <w:ind w:left="1300"/>
        <w:spacing w:after="0" w:line="259" w:lineRule="auto"/>
        <w:rPr>
          <w:sz w:val="20"/>
          <w:szCs w:val="20"/>
          <w:color w:val="auto"/>
        </w:rPr>
      </w:pPr>
      <w:r>
        <w:rPr>
          <w:rFonts w:ascii="Arial" w:cs="Arial" w:eastAsia="Arial" w:hAnsi="Arial"/>
          <w:sz w:val="18"/>
          <w:szCs w:val="18"/>
          <w:color w:val="auto"/>
        </w:rPr>
        <w:t>All of the payments set out in this section 19.3 shall be valid for a period of [***] calendar months after the date of execution of this Agreement. After the end of the first such calendar year, the validity of the prices set out in this section 19.3 shall be extended unless one of the Parties gives notice to the other Party of its wish to renegotiate the prices. For the avoidance of doubt, the prices set out in the other sections of this Agreement shall remain in force for the entire term of the Agreement.</w:t>
      </w:r>
    </w:p>
    <w:p>
      <w:pPr>
        <w:spacing w:after="0" w:line="18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u w:val="single" w:color="auto"/>
          <w:color w:val="auto"/>
        </w:rPr>
        <w:t>Special discounts:</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It is agreed that in the event that the Supplier manufactures more than [***] Machines for the Customer during one calendar year, then the Customer shall receive a discount in the sum of NIS [***] on the Machine price set out in this Agreement for each Machine after the 101st Machine manufactured during such calendar year.</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u w:val="single" w:color="auto"/>
          <w:color w:val="auto"/>
        </w:rPr>
        <w:t>Payment Conditions:</w:t>
      </w:r>
    </w:p>
    <w:p>
      <w:pPr>
        <w:spacing w:after="0" w:line="225" w:lineRule="exact"/>
        <w:rPr>
          <w:sz w:val="20"/>
          <w:szCs w:val="20"/>
          <w:color w:val="auto"/>
        </w:rPr>
      </w:pPr>
    </w:p>
    <w:p>
      <w:pPr>
        <w:ind w:left="1940" w:hanging="643"/>
        <w:spacing w:after="0"/>
        <w:tabs>
          <w:tab w:leader="none" w:pos="19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Payment Conditions: End of month + [***] days after the date of issue of the invoice, for new Orders.</w:t>
      </w:r>
    </w:p>
    <w:p>
      <w:pPr>
        <w:spacing w:after="0" w:line="225" w:lineRule="exact"/>
        <w:rPr>
          <w:rFonts w:ascii="Arial" w:cs="Arial" w:eastAsia="Arial" w:hAnsi="Arial"/>
          <w:sz w:val="18"/>
          <w:szCs w:val="18"/>
          <w:color w:val="auto"/>
        </w:rPr>
      </w:pPr>
    </w:p>
    <w:p>
      <w:pPr>
        <w:ind w:left="1940" w:hanging="643"/>
        <w:spacing w:after="0" w:line="277" w:lineRule="auto"/>
        <w:tabs>
          <w:tab w:leader="none" w:pos="19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VAT on the invoices shall be paid to the Supplier on the basis of end of month + [***] days after the date of issue of the invoice. These shall be paid to the Supplier as a rollover advance payment.</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u w:val="single" w:color="auto"/>
          <w:color w:val="auto"/>
        </w:rPr>
        <w:t>Sale of Parts and Assemblies to Customer:</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19.6.1.</w:t>
      </w:r>
      <w:r>
        <w:rPr>
          <w:sz w:val="20"/>
          <w:szCs w:val="20"/>
          <w:color w:val="auto"/>
        </w:rPr>
        <w:tab/>
      </w:r>
      <w:r>
        <w:rPr>
          <w:rFonts w:ascii="Arial" w:cs="Arial" w:eastAsia="Arial" w:hAnsi="Arial"/>
          <w:sz w:val="16"/>
          <w:szCs w:val="16"/>
          <w:color w:val="auto"/>
        </w:rPr>
        <w:t>A quote for manufacture or ordering of a single item shall be given within [***] business days.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19.6.2.</w:t>
      </w:r>
      <w:r>
        <w:rPr>
          <w:sz w:val="20"/>
          <w:szCs w:val="20"/>
          <w:color w:val="auto"/>
        </w:rPr>
        <w:tab/>
      </w:r>
      <w:r>
        <w:rPr>
          <w:rFonts w:ascii="Arial" w:cs="Arial" w:eastAsia="Arial" w:hAnsi="Arial"/>
          <w:sz w:val="16"/>
          <w:szCs w:val="16"/>
          <w:color w:val="auto"/>
        </w:rPr>
        <w:t>A quote for an assembly shall be given within [***] business days.</w:t>
      </w:r>
    </w:p>
    <w:p>
      <w:pPr>
        <w:spacing w:after="0" w:line="225"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19.6.3.</w:t>
        <w:tab/>
        <w:t>Business days will be counted with respect to the day on which the Customer provides full details of the Item or the Product Tree to the Supplier, in writing.</w:t>
      </w:r>
    </w:p>
    <w:p>
      <w:pPr>
        <w:spacing w:after="0" w:line="170"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19.6.4.</w:t>
        <w:tab/>
        <w:t>Once every quarter, the Customer shall provide the Supplier, in writing, with orders of parts and assemblies for a time period of four months.</w:t>
      </w:r>
    </w:p>
    <w:p>
      <w:pPr>
        <w:spacing w:after="0" w:line="170"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19.6.5.</w:t>
        <w:tab/>
        <w:t>Orders for parts and assemblies shall be supplied in accordance with the agreed Lead Time for the Item and taking into account the requirements of the MOQ for the Item, subject to payment of the prices set out in section 19.3.</w:t>
      </w:r>
    </w:p>
    <w:p>
      <w:pPr>
        <w:spacing w:after="0" w:line="170"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19.6.6.</w:t>
        <w:tab/>
        <w:t>Items shall be supplied from Inventory on condition that such does not harm the Supplier's production plans, i.e., does not cause any delay in the supply of Machines as a result of supply of parts for the Service Department.</w:t>
      </w:r>
    </w:p>
    <w:p>
      <w:pPr>
        <w:spacing w:after="0" w:line="170"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19.6.7.</w:t>
      </w:r>
      <w:r>
        <w:rPr>
          <w:sz w:val="20"/>
          <w:szCs w:val="20"/>
          <w:color w:val="auto"/>
        </w:rPr>
        <w:tab/>
      </w:r>
      <w:r>
        <w:rPr>
          <w:rFonts w:ascii="Arial" w:cs="Arial" w:eastAsia="Arial" w:hAnsi="Arial"/>
          <w:sz w:val="18"/>
          <w:szCs w:val="18"/>
          <w:u w:val="single" w:color="auto"/>
          <w:color w:val="auto"/>
        </w:rPr>
        <w:t xml:space="preserve">The minimum sum for an order of parts or components </w:t>
      </w:r>
      <w:r>
        <w:rPr>
          <w:rFonts w:ascii="Arial" w:cs="Arial" w:eastAsia="Arial" w:hAnsi="Arial"/>
          <w:sz w:val="18"/>
          <w:szCs w:val="18"/>
          <w:color w:val="auto"/>
        </w:rPr>
        <w:t>shall be NIS [***], except for urgent cases in which the Customer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have the option to send an order for parts or components in a sum of less than NIS [***].</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u w:val="single" w:color="auto"/>
          <w:color w:val="auto"/>
        </w:rPr>
        <w:t>Transportation Service:</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 xml:space="preserve">The Customer shall have the option of using the Supplier's transportation service for transporting OSP Items or Orders for service or for transporting parts for development purposes, </w:t>
      </w:r>
      <w:r>
        <w:rPr>
          <w:rFonts w:ascii="Arial" w:cs="Arial" w:eastAsia="Arial" w:hAnsi="Arial"/>
          <w:sz w:val="18"/>
          <w:szCs w:val="18"/>
          <w:u w:val="single" w:color="auto"/>
          <w:color w:val="auto"/>
        </w:rPr>
        <w:t>twice a month, at no cost</w:t>
      </w:r>
      <w:r>
        <w:rPr>
          <w:rFonts w:ascii="Arial" w:cs="Arial" w:eastAsia="Arial" w:hAnsi="Arial"/>
          <w:sz w:val="18"/>
          <w:szCs w:val="18"/>
          <w:color w:val="auto"/>
        </w:rPr>
        <w:t>.</w:t>
      </w:r>
    </w:p>
    <w:p>
      <w:pPr>
        <w:spacing w:after="0" w:line="197" w:lineRule="exact"/>
        <w:rPr>
          <w:sz w:val="20"/>
          <w:szCs w:val="20"/>
          <w:color w:val="auto"/>
        </w:rPr>
      </w:pPr>
    </w:p>
    <w:p>
      <w:pPr>
        <w:spacing w:after="0" w:line="342" w:lineRule="auto"/>
        <w:tabs>
          <w:tab w:leader="none" w:pos="324" w:val="left"/>
        </w:tabs>
        <w:numPr>
          <w:ilvl w:val="0"/>
          <w:numId w:val="50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18" w:name="page319"/>
    <w:bookmarkEnd w:id="318"/>
    <w:p>
      <w:pPr>
        <w:ind w:left="640" w:hanging="640"/>
        <w:spacing w:after="0"/>
        <w:tabs>
          <w:tab w:leader="none" w:pos="64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Warranty</w:t>
      </w:r>
    </w:p>
    <w:p>
      <w:pPr>
        <w:spacing w:after="0" w:line="229" w:lineRule="exact"/>
        <w:rPr>
          <w:rFonts w:ascii="Arial" w:cs="Arial" w:eastAsia="Arial" w:hAnsi="Arial"/>
          <w:sz w:val="18"/>
          <w:szCs w:val="18"/>
          <w:b w:val="1"/>
          <w:bCs w:val="1"/>
          <w:color w:val="auto"/>
        </w:rPr>
      </w:pPr>
    </w:p>
    <w:p>
      <w:pPr>
        <w:ind w:left="1300" w:hanging="648"/>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20.1. The Supplier undertakes to the Customer that the Products: (1) shall be in full and complete compliance with the Production File, shall be new and from current production, without any harm to design (to the extent that the design is within the Supplier's responsibility), materials and work, including with respect to packaging (all apart from components and/or spare parts and/or parts that are to be supplied by the Customer) and (2) the Products shall be free and released from any debt, undertaking, claim, pledge, charge, lien or any other right of any third party whatsoever, stemming from an act or omission on the part of the Supplier (hereinafter: the “</w:t>
      </w:r>
      <w:r>
        <w:rPr>
          <w:rFonts w:ascii="Arial" w:cs="Arial" w:eastAsia="Arial" w:hAnsi="Arial"/>
          <w:sz w:val="16"/>
          <w:szCs w:val="16"/>
          <w:b w:val="1"/>
          <w:bCs w:val="1"/>
          <w:color w:val="auto"/>
        </w:rPr>
        <w:t>Warranty</w:t>
      </w:r>
      <w:r>
        <w:rPr>
          <w:rFonts w:ascii="Arial" w:cs="Arial" w:eastAsia="Arial" w:hAnsi="Arial"/>
          <w:sz w:val="16"/>
          <w:szCs w:val="16"/>
          <w:color w:val="auto"/>
        </w:rPr>
        <w:t>”).</w:t>
      </w:r>
    </w:p>
    <w:p>
      <w:pPr>
        <w:spacing w:after="0" w:line="158"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20.2. Without derogating from the provisions of section 20.1 above, with respect to the Products, </w:t>
      </w:r>
      <w:r>
        <w:rPr>
          <w:rFonts w:ascii="Arial" w:cs="Arial" w:eastAsia="Arial" w:hAnsi="Arial"/>
          <w:sz w:val="18"/>
          <w:szCs w:val="18"/>
          <w:u w:val="single" w:color="auto"/>
          <w:color w:val="auto"/>
        </w:rPr>
        <w:t>the Warranty Period shall be [</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from the date of supply of the Product to the Customer or from the date of charging of the Customer with payment, whichever is the [***] (the “</w:t>
      </w:r>
      <w:r>
        <w:rPr>
          <w:rFonts w:ascii="Arial" w:cs="Arial" w:eastAsia="Arial" w:hAnsi="Arial"/>
          <w:sz w:val="18"/>
          <w:szCs w:val="18"/>
          <w:b w:val="1"/>
          <w:bCs w:val="1"/>
          <w:color w:val="auto"/>
        </w:rPr>
        <w:t>Warranty Period</w:t>
      </w:r>
      <w:r>
        <w:rPr>
          <w:rFonts w:ascii="Arial" w:cs="Arial" w:eastAsia="Arial" w:hAnsi="Arial"/>
          <w:sz w:val="18"/>
          <w:szCs w:val="18"/>
          <w:color w:val="auto"/>
        </w:rPr>
        <w:t>”). With respect to all of the parts from which the Products are made, the Warranty shall remain in force so long as there is a third party warranty in place vis-à-vis the Supplier (back-to-back).</w:t>
      </w:r>
    </w:p>
    <w:p>
      <w:pPr>
        <w:spacing w:after="0" w:line="182" w:lineRule="exact"/>
        <w:rPr>
          <w:rFonts w:ascii="Arial" w:cs="Arial" w:eastAsia="Arial" w:hAnsi="Arial"/>
          <w:sz w:val="18"/>
          <w:szCs w:val="18"/>
          <w:b w:val="1"/>
          <w:bCs w:val="1"/>
          <w:color w:val="auto"/>
        </w:rPr>
      </w:pPr>
    </w:p>
    <w:p>
      <w:pPr>
        <w:ind w:left="1300" w:hanging="648"/>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20.3. If during the Warranty Period the Customer discovers a flaw that comes within the ambit of the Warranty (hereinafter: the “</w:t>
      </w:r>
      <w:r>
        <w:rPr>
          <w:rFonts w:ascii="Arial" w:cs="Arial" w:eastAsia="Arial" w:hAnsi="Arial"/>
          <w:sz w:val="17"/>
          <w:szCs w:val="17"/>
          <w:b w:val="1"/>
          <w:bCs w:val="1"/>
          <w:color w:val="auto"/>
        </w:rPr>
        <w:t>fault</w:t>
      </w:r>
      <w:r>
        <w:rPr>
          <w:rFonts w:ascii="Arial" w:cs="Arial" w:eastAsia="Arial" w:hAnsi="Arial"/>
          <w:sz w:val="17"/>
          <w:szCs w:val="17"/>
          <w:color w:val="auto"/>
        </w:rPr>
        <w:t>” or “</w:t>
      </w:r>
      <w:r>
        <w:rPr>
          <w:rFonts w:ascii="Arial" w:cs="Arial" w:eastAsia="Arial" w:hAnsi="Arial"/>
          <w:sz w:val="17"/>
          <w:szCs w:val="17"/>
          <w:b w:val="1"/>
          <w:bCs w:val="1"/>
          <w:color w:val="auto"/>
        </w:rPr>
        <w:t>flaw</w:t>
      </w:r>
      <w:r>
        <w:rPr>
          <w:rFonts w:ascii="Arial" w:cs="Arial" w:eastAsia="Arial" w:hAnsi="Arial"/>
          <w:sz w:val="17"/>
          <w:szCs w:val="17"/>
          <w:color w:val="auto"/>
        </w:rPr>
        <w:t>”), notice of such shall be given to the Supplier in writing / by email (subject to a confirmation of receipt), and the Supplier undertakes: (a) to replace the faulty Item or any part thereof; or (b) to repair the flaws, upon coordination between the Supplier and the Customer, all for no consideration and within seven working days after the faulty Item reaches the Supplier's facility (except in the case of a design flaw by the Customer, which shall be repaired by mutual consent between the Parties, within a reasonable period of time, at the Customer's expense and upon the giving of warning of such by the Supplier). The repaired or replaced Product shall remain under Warranty for the remainder of the original Warranty Period on the faulty Item, but for not fewer than 3 months after the end of the repair, at the same time as any warranty that the Supplier may have from the third party manufacturer, if any (back to back). All of the aforesaid shall be effected by the Customer issuing an Order to the Supplier for the faulty Item and by way of a charge to the Customer, and when the faulty Item is returned following repair or replacement, the Customer shall receive a credit (full total set-off) if the allegation that the Item is faulty turns out to be correct.</w:t>
      </w:r>
    </w:p>
    <w:p>
      <w:pPr>
        <w:spacing w:after="0" w:line="178" w:lineRule="exact"/>
        <w:rPr>
          <w:rFonts w:ascii="Arial" w:cs="Arial" w:eastAsia="Arial" w:hAnsi="Arial"/>
          <w:sz w:val="18"/>
          <w:szCs w:val="18"/>
          <w:b w:val="1"/>
          <w:bCs w:val="1"/>
          <w:color w:val="auto"/>
        </w:rPr>
      </w:pPr>
    </w:p>
    <w:p>
      <w:pPr>
        <w:ind w:left="1300" w:hanging="648"/>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20.4. Notwithstanding all of the aforesaid provisions, the Warranty under this Agreement shall apply only to direct faults or flaws or damages originating in the assembly and/or production processes. The Warranty shall not apply to flaws or faults or damages caused as a result of an act of malice and/or negligence and/or incorrect use of the Product by the Customer or by the end user, or stemming from the design of the Product, including faulty and/or inappropriate design of the Product and/or any harm stemming from a fault in any component and/or part supplied by the Customer, or due to faulty maintenance or natural and reasonable wear and tear. The Customer shall examine the Products soon after receiving them, including operation of the Products, and shall give notice to the Supplier of any fault and/or flaw that may become apparent in such examination.</w:t>
      </w:r>
    </w:p>
    <w:p>
      <w:pPr>
        <w:spacing w:after="0" w:line="17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color w:val="auto"/>
        </w:rPr>
        <w:t>The Supplier's Warranty is at the factory gate, i.e., any repaid made during the Warranty Period shall be made at the Supplier's factory.</w:t>
      </w:r>
    </w:p>
    <w:p>
      <w:pPr>
        <w:spacing w:after="0" w:line="225" w:lineRule="exact"/>
        <w:rPr>
          <w:sz w:val="20"/>
          <w:szCs w:val="20"/>
          <w:color w:val="auto"/>
        </w:rPr>
      </w:pPr>
    </w:p>
    <w:p>
      <w:pPr>
        <w:spacing w:after="0" w:line="342" w:lineRule="auto"/>
        <w:tabs>
          <w:tab w:leader="none" w:pos="324" w:val="left"/>
        </w:tabs>
        <w:numPr>
          <w:ilvl w:val="0"/>
          <w:numId w:val="50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19" w:name="page320"/>
    <w:bookmarkEnd w:id="319"/>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If during the Warranty Period, the Customer wishes to repair a fault, the duty of repair of which falls on the Supplier, on a Product that is outside of Israel, the Customer shall bear all of the costs of flight and sojourn (including flight, accommodation, communications, travel, etc. (provided that with respect to communications costs, the Customer shall bear a cost of up to NIS [***] per day)) for the Supplier and/or a person acting on its behalf, except for salary costs and travel expenses, which shall be covered by the Supplier.</w:t>
      </w:r>
    </w:p>
    <w:p>
      <w:pPr>
        <w:spacing w:after="0" w:line="15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color w:val="auto"/>
        </w:rPr>
        <w:t>For the avoidance of doubt, it is agreed that the Warranty the subject of this Agreement does not apply to OSP Items.</w:t>
      </w:r>
    </w:p>
    <w:p>
      <w:pPr>
        <w:spacing w:after="0" w:line="221" w:lineRule="exact"/>
        <w:rPr>
          <w:sz w:val="20"/>
          <w:szCs w:val="20"/>
          <w:color w:val="auto"/>
        </w:rPr>
      </w:pPr>
    </w:p>
    <w:p>
      <w:pPr>
        <w:ind w:left="640" w:hanging="640"/>
        <w:spacing w:after="0"/>
        <w:tabs>
          <w:tab w:leader="none" w:pos="640"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Rescission of the Agreement</w:t>
      </w:r>
    </w:p>
    <w:p>
      <w:pPr>
        <w:spacing w:after="0" w:line="225"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21.1. The term of this Agreement shall commence on November 19, 2014, and shall terminate on November 18, 2016 (the “</w:t>
      </w:r>
      <w:r>
        <w:rPr>
          <w:rFonts w:ascii="Arial" w:cs="Arial" w:eastAsia="Arial" w:hAnsi="Arial"/>
          <w:sz w:val="18"/>
          <w:szCs w:val="18"/>
          <w:b w:val="1"/>
          <w:bCs w:val="1"/>
          <w:color w:val="auto"/>
        </w:rPr>
        <w:t>Term of the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21.2. This Agreement shall automatically renew for consecutive periods of one year (the first of which shall commence on November 19, 2016), in the event that neither Party sends a registered letter of termination 30 days prior to the end of the Term of the Agreement, or the end of each relevant year of the Agreement.</w:t>
      </w:r>
    </w:p>
    <w:p>
      <w:pPr>
        <w:spacing w:after="0" w:line="181" w:lineRule="exact"/>
        <w:rPr>
          <w:rFonts w:ascii="Arial" w:cs="Arial" w:eastAsia="Arial" w:hAnsi="Arial"/>
          <w:sz w:val="18"/>
          <w:szCs w:val="18"/>
          <w:b w:val="1"/>
          <w:bCs w:val="1"/>
          <w:color w:val="auto"/>
        </w:rPr>
      </w:pPr>
    </w:p>
    <w:p>
      <w:pPr>
        <w:ind w:left="1300" w:hanging="648"/>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21.3. At any time, the Customer and the Supplier shall have the right to rescind the Agreement in full, or any part thereof, by the giving of notice in writing within one year (365 days) in advance by registered mail or by electronic mail, which shall be backed up, within 10 days, by a registered letter. Upon receipt of the notice of rescission, the Supplier shall not accrue any additional expenses with respect to the performance of the Agreement or performance of the rescinded portion of the Agreement, however, it shall be entitled to continue to incur expenses in order to comply with all of its undertakings under the Agreement, including all of the Supplier's undertakings as such existed on the date of receipt of the notice of rescission. Under the above circumstances, the Supplier shall take any reasonable action required to stop production on its part and shall use its best effort to stop production by any sub-contractor, all to the extent that the above shall not serve to cause the Supplier any damage and/or out-of-pocket expense. The Customer shall have no obligation to make any payment any quantities of the Products and/or Items manufactured over and above open Orders that may come to an end after 365 days after the date of receipt of the notice of rescission written by the Customer. On the date of termination of the Agreement, and against conclusion of the settlement of accounts between the Parties and payment of all of the sums owing to the Supplier under the provisions of this Agreement, the Supplier shall be required to provide the Customer with the inventory of all of the Products for which the Customer has paid in accordance with the provisions of this section, unless the Parties have agreed otherwise in writing.</w:t>
      </w:r>
    </w:p>
    <w:p>
      <w:pPr>
        <w:spacing w:after="0" w:line="174" w:lineRule="exact"/>
        <w:rPr>
          <w:rFonts w:ascii="Arial" w:cs="Arial" w:eastAsia="Arial" w:hAnsi="Arial"/>
          <w:sz w:val="18"/>
          <w:szCs w:val="18"/>
          <w:b w:val="1"/>
          <w:bCs w:val="1"/>
          <w:color w:val="auto"/>
        </w:rPr>
      </w:pPr>
    </w:p>
    <w:p>
      <w:pPr>
        <w:ind w:left="1300" w:hanging="648"/>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21.4. The Parties may terminate the Agreement immediately in any event in which attachment, receivership, liquidation or bankruptcy proceedings are instituted and are not cancelled within 60 days of the date of being instituted, or in the event that the business of one of the Parties ceases to operate for a period of more than 60 days, or in the event that arrangement proceedings with creditors are initiated.</w:t>
      </w:r>
    </w:p>
    <w:p>
      <w:pPr>
        <w:spacing w:after="0" w:line="146"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21.5. Each of the Parties shall be entitled to bring this Agreement to an immediate end in the event that the other Party to this Agreement breaches one of the conditions of this Agreement, provided that the infringing party does not remedy the breach within 60 days of the date of receipt of the written notice of the other Party.</w:t>
      </w:r>
    </w:p>
    <w:p>
      <w:pPr>
        <w:spacing w:after="0" w:line="181" w:lineRule="exact"/>
        <w:rPr>
          <w:sz w:val="20"/>
          <w:szCs w:val="20"/>
          <w:color w:val="auto"/>
        </w:rPr>
      </w:pPr>
    </w:p>
    <w:p>
      <w:pPr>
        <w:spacing w:after="0" w:line="342" w:lineRule="auto"/>
        <w:tabs>
          <w:tab w:leader="none" w:pos="324" w:val="left"/>
        </w:tabs>
        <w:numPr>
          <w:ilvl w:val="0"/>
          <w:numId w:val="50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20" w:name="page321"/>
    <w:bookmarkEnd w:id="320"/>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In the event of lawful termination of the Agreement / cancellation of Orders in accordance with the provisions of this Agreement, the Customer shall purchase all of the Inventory from the Supplier that was purchased and/or manufactured by the Supplier in accordance with the provisions of this Agreement and/or the Purchase Orders and/or an email request from the Customer and/or the necessary MOQ within 90 days of the date of delivery of the notice of rescission of the Agreement to the Supplier. For each such Item and/or Component, the Customer shall pay the price for such Item and/or Component as appearing in the BOM plus [***]% plus VAT at law, and shall pay the entire cost of the work invested for the assembly of parts, if any, with respect to the Item the subject of the Order and/or cancellation of the Order, the entire sum payable being paid on the date of demand by the Supplier. The Supplier shall, for its part, act reasonably in order to minimize the damage vis-à-vis the Supplier's suppliers.</w:t>
      </w:r>
    </w:p>
    <w:p>
      <w:pPr>
        <w:spacing w:after="0" w:line="179"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7"/>
          <w:szCs w:val="17"/>
          <w:color w:val="auto"/>
        </w:rPr>
        <w:t>The following sections shall continue to apply notwithstanding termination of this Agreement for any reason whatsoever: 19 (Prices) up to the full payment of the sums owing to the Supplier from the Customer in accordance with the provisions of this Agreement; 20 (Warranty), 21, 23 (Service and Support Obligation); 24 (Intellectual Property and Non-Disclosure); 29 (General Matters).</w:t>
      </w:r>
    </w:p>
    <w:p>
      <w:pPr>
        <w:spacing w:after="0" w:line="162" w:lineRule="exact"/>
        <w:rPr>
          <w:sz w:val="20"/>
          <w:szCs w:val="20"/>
          <w:color w:val="auto"/>
        </w:rPr>
      </w:pPr>
    </w:p>
    <w:p>
      <w:pPr>
        <w:ind w:left="640" w:hanging="640"/>
        <w:spacing w:after="0"/>
        <w:tabs>
          <w:tab w:leader="none" w:pos="64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and Support Obligation</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22.1. The Supplier's service period for the Machines shall commence at the end of the Warranty Period and shall end one year after termination of the Agreement (the “</w:t>
      </w:r>
      <w:r>
        <w:rPr>
          <w:rFonts w:ascii="Arial" w:cs="Arial" w:eastAsia="Arial" w:hAnsi="Arial"/>
          <w:sz w:val="18"/>
          <w:szCs w:val="18"/>
          <w:b w:val="1"/>
          <w:bCs w:val="1"/>
          <w:color w:val="auto"/>
        </w:rPr>
        <w:t>Service Period</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1300" w:hanging="648"/>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22.2. The Supplier undertakes to provide the Customer with the technical support required with respect to the Machines and their accessories during the Service Period, in return for payment by the Customer of the sums and the prices agreed upon for such technical support. The aforesaid technical support shall be provided at the prices and on the conditions agreed upon in writing by the Parties in the context of the quote signed by both of the Parties for every Item or Product in respect of which such technical support is required.</w:t>
      </w:r>
    </w:p>
    <w:p>
      <w:pPr>
        <w:spacing w:after="0" w:line="15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22.3. The repairs and/or supply of the spare parts during the Service Period shall be implemented in accordance with the relevant Lead Time, and in return for the making of the required payment by the Customer. In order to enable performance of the aforesaid undertaking, the Supplier shall retain its ability to supply and/or repair and/or renovate and/or restore the Products manufactured by it during the entire Service Period.</w:t>
      </w:r>
    </w:p>
    <w:p>
      <w:pPr>
        <w:spacing w:after="0" w:line="186"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22.4. The Supplier shall allow visits by employees of the Customer, subject to prior coordination, to the production line at its facility, for the purpose of implementing inspections, training sessions and the preservation of knowledge.</w:t>
      </w:r>
    </w:p>
    <w:p>
      <w:pPr>
        <w:spacing w:after="0" w:line="170"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22.5. The provisions set out in this section above shall apply to the Supplier in the event that manufacture of the Products or any portion of them is transferred to a sub-contractor of the Supplier however, in such a case, it is agreed by the Parties that any such visit shall be subject to the consent of and coordination with such sub-contractor. It is clarified that the Supplier shall act vis-à-vis the Supplier's sub-contractors in Israel in order that such sub-contractor shall enable visits by the Customer's employees in order to implement inspections, training sessions and the preservation of knowledge.</w:t>
      </w:r>
    </w:p>
    <w:p>
      <w:pPr>
        <w:spacing w:after="0" w:line="188"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22.6. For the avoidance of doubt, the Warranty the subject of this Agreement and the Service that will be provided during the Service Period shall not apply to faults stemming from the Customer's design problems, faults stemming from natural wear and tear and faults stemming from incorrect maintenance or unreasonable handling of a Machine, unless such is agreed expressly and in writing by the Parties, in return for payment of the full consideration that the Parties shall agree upon for such handling, during the course of the Service Period for such faults.</w:t>
      </w:r>
    </w:p>
    <w:p>
      <w:pPr>
        <w:spacing w:after="0" w:line="215" w:lineRule="exact"/>
        <w:rPr>
          <w:sz w:val="20"/>
          <w:szCs w:val="20"/>
          <w:color w:val="auto"/>
        </w:rPr>
      </w:pPr>
    </w:p>
    <w:p>
      <w:pPr>
        <w:spacing w:after="0" w:line="342" w:lineRule="auto"/>
        <w:tabs>
          <w:tab w:leader="none" w:pos="324" w:val="left"/>
        </w:tabs>
        <w:numPr>
          <w:ilvl w:val="0"/>
          <w:numId w:val="50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321" w:name="page322"/>
    <w:bookmarkEnd w:id="321"/>
    <w:p>
      <w:pPr>
        <w:ind w:left="640" w:hanging="640"/>
        <w:spacing w:after="0"/>
        <w:tabs>
          <w:tab w:leader="none" w:pos="64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Confidentiality and Non-Competition</w:t>
      </w:r>
    </w:p>
    <w:p>
      <w:pPr>
        <w:spacing w:after="0" w:line="229" w:lineRule="exact"/>
        <w:rPr>
          <w:rFonts w:ascii="Arial" w:cs="Arial" w:eastAsia="Arial" w:hAnsi="Arial"/>
          <w:sz w:val="18"/>
          <w:szCs w:val="18"/>
          <w:b w:val="1"/>
          <w:bCs w:val="1"/>
          <w:color w:val="auto"/>
        </w:rPr>
      </w:pPr>
    </w:p>
    <w:p>
      <w:pPr>
        <w:ind w:left="1300" w:hanging="648"/>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23.1. The Supplier hereby declares that all of the rights to the Production Files, to the Customer's technology delivered to the Supplier in the Production Files, to the Products, to all programs, details of the technical specifications, and to any other information relating thereto belonging to the Customer and provided to the Supplier in the context of the Production Files and/or the Customer's know-how relating to the manufacture of the Products under this Agreement provided by the Customer to the Supplier and any improvement of any such shall be the exclusive property of the Customer. Without derogating from the aforesaid and without derogating from the provisions of section 23.3, the Parties agree that all of the Products, ideas, methods, solutions, know-how, information and applications (hereinafter: the “</w:t>
      </w:r>
      <w:r>
        <w:rPr>
          <w:rFonts w:ascii="Arial" w:cs="Arial" w:eastAsia="Arial" w:hAnsi="Arial"/>
          <w:sz w:val="16"/>
          <w:szCs w:val="16"/>
          <w:b w:val="1"/>
          <w:bCs w:val="1"/>
          <w:color w:val="auto"/>
        </w:rPr>
        <w:t>Products of the Development</w:t>
      </w:r>
      <w:r>
        <w:rPr>
          <w:rFonts w:ascii="Arial" w:cs="Arial" w:eastAsia="Arial" w:hAnsi="Arial"/>
          <w:sz w:val="16"/>
          <w:szCs w:val="16"/>
          <w:color w:val="auto"/>
        </w:rPr>
        <w:t>”) that may be developed with respect to this Agreement, including the Product, new ideas relating to the Product, and any know-how relating to the Product, shall be the exclusive property of the Customer and the Customer shall be entitled to treat such at will, in accordance with its exclusive discretion, including the sale, marketing, transfer and/or grant of a license to use such (or any other right) to any other person. The Supplier does not and will not have any right whatsoever to make any use whatsoever of the Products of the Development or any other equipment belonging to the Customer and/or any intellectual property right belonging to the Customer, except for the purpose of manufacture of the Products in accordance with this Agreement. The Supplier undertakes that, on the date of supply, the Products shall be free and released of any debt, undertaking, claim, pledge, charge, lien or any other third party right whatsoever, stemming from the obligations of the Supplier or any person acting on its behalf. All of the provisions of this section shall be subject to the provisions of section 23.3.</w:t>
      </w:r>
    </w:p>
    <w:p>
      <w:pPr>
        <w:spacing w:after="0" w:line="16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23.2. Upon execution of this Agreement, the Supplier shall sign a non-disclosure and non-competition undertaking in the form attached to this Agreement as Appendix 3.</w:t>
      </w:r>
    </w:p>
    <w:p>
      <w:pPr>
        <w:spacing w:after="0" w:line="170" w:lineRule="exact"/>
        <w:rPr>
          <w:rFonts w:ascii="Arial" w:cs="Arial" w:eastAsia="Arial" w:hAnsi="Arial"/>
          <w:sz w:val="18"/>
          <w:szCs w:val="18"/>
          <w:b w:val="1"/>
          <w:bCs w:val="1"/>
          <w:color w:val="auto"/>
        </w:rPr>
      </w:pPr>
    </w:p>
    <w:p>
      <w:pPr>
        <w:ind w:left="1300" w:hanging="648"/>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23.3. For the avoidance of doubt, the field of the Supplier's business shall be the planning, manufacture, assembly and sale of products of a kind similar to the Products the subject of this Agreement, including digital printers and spare parts, including machining, automation, transition from design to manufacture and the entire field of design and construction of electro-mechanical machines (the “</w:t>
      </w:r>
      <w:r>
        <w:rPr>
          <w:rFonts w:ascii="Arial" w:cs="Arial" w:eastAsia="Arial" w:hAnsi="Arial"/>
          <w:sz w:val="16"/>
          <w:szCs w:val="16"/>
          <w:b w:val="1"/>
          <w:bCs w:val="1"/>
          <w:color w:val="auto"/>
        </w:rPr>
        <w:t>Field of the</w:t>
      </w:r>
      <w:r>
        <w:rPr>
          <w:rFonts w:ascii="Arial" w:cs="Arial" w:eastAsia="Arial" w:hAnsi="Arial"/>
          <w:sz w:val="16"/>
          <w:szCs w:val="16"/>
          <w:color w:val="auto"/>
        </w:rPr>
        <w:t xml:space="preserve"> </w:t>
      </w:r>
      <w:r>
        <w:rPr>
          <w:rFonts w:ascii="Arial" w:cs="Arial" w:eastAsia="Arial" w:hAnsi="Arial"/>
          <w:sz w:val="16"/>
          <w:szCs w:val="16"/>
          <w:b w:val="1"/>
          <w:bCs w:val="1"/>
          <w:color w:val="auto"/>
        </w:rPr>
        <w:t>Supplier's Business</w:t>
      </w:r>
      <w:r>
        <w:rPr>
          <w:rFonts w:ascii="Arial" w:cs="Arial" w:eastAsia="Arial" w:hAnsi="Arial"/>
          <w:sz w:val="16"/>
          <w:szCs w:val="16"/>
          <w:color w:val="auto"/>
        </w:rPr>
        <w:t>”). All of the Supplier's know-how and intellectual property in the Field of the Supplier's Business, as in existence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execution of this Agreement, and as may be developed from time to time by the Supplier and/or a person acting on its behalf in the Field of the Supplier's Business in the context of performance of the Supplier's undertakings under the provisions of this Agreement, shall be the exclusive property of the Supplier and shall continue to remain in the exclusive title of the Supplier throughout the term of the existence of this Agreement and thereafter, and the provisions of this Agreement shall not serve to harm the Supplier's title, as aforesaid, to any know-how and/or intellectual property that is within the Field of the Supplier's Business.</w:t>
      </w:r>
    </w:p>
    <w:p>
      <w:pPr>
        <w:spacing w:after="0" w:line="167"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The Supplier shall not be entitled, for its services, to any monetary or other compensation over and above that set out expressly in this Agreement.</w:t>
      </w:r>
    </w:p>
    <w:p>
      <w:pPr>
        <w:spacing w:after="0" w:line="170" w:lineRule="exact"/>
        <w:rPr>
          <w:sz w:val="20"/>
          <w:szCs w:val="20"/>
          <w:color w:val="auto"/>
        </w:rPr>
      </w:pPr>
    </w:p>
    <w:p>
      <w:pPr>
        <w:spacing w:after="0" w:line="342" w:lineRule="auto"/>
        <w:tabs>
          <w:tab w:leader="none" w:pos="324" w:val="left"/>
        </w:tabs>
        <w:numPr>
          <w:ilvl w:val="0"/>
          <w:numId w:val="50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22" w:name="page323"/>
    <w:bookmarkEnd w:id="322"/>
    <w:p>
      <w:pPr>
        <w:ind w:left="640" w:hanging="640"/>
        <w:spacing w:after="0"/>
        <w:tabs>
          <w:tab w:leader="none" w:pos="64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Relationship between the Parties</w:t>
      </w:r>
    </w:p>
    <w:p>
      <w:pPr>
        <w:spacing w:after="0" w:line="229"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24.1. It is hereby declared by the Parties that the Supplier is neither an employee nor a representative of the Customer, and with respect to any matter contained in this Agreement, the Supplier is an independent entity. The Supplier is not authorized to make any undertaking of any kind whatsoever on behalf of the Customer, and is not authorized to bind the Customer in any way whatsoever. The Supplier shall bear, at its expense, all of the costs and expenses involved in the performance of this Agreement by it, and all subject to the provisions of this Agreement.</w:t>
      </w:r>
    </w:p>
    <w:p>
      <w:pPr>
        <w:spacing w:after="0" w:line="188"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24.2. Any person who is sent to do any work whatsoever at the Customer's factories for any period of time whatsoever by the Supplier shall be an “employee” of the Supplier only, as interpreted in accordance with any law, and neither this Agreement nor any other agreement shall create employer-employee relations between such person sent to work by the Supplier to the Customer's factories and the Customer, for any intents or purposes whatsoever.</w:t>
      </w:r>
    </w:p>
    <w:p>
      <w:pPr>
        <w:spacing w:after="0" w:line="186" w:lineRule="exact"/>
        <w:rPr>
          <w:rFonts w:ascii="Arial" w:cs="Arial" w:eastAsia="Arial" w:hAnsi="Arial"/>
          <w:sz w:val="18"/>
          <w:szCs w:val="18"/>
          <w:b w:val="1"/>
          <w:bCs w:val="1"/>
          <w:color w:val="auto"/>
        </w:rPr>
      </w:pPr>
    </w:p>
    <w:p>
      <w:pPr>
        <w:ind w:left="1300" w:hanging="648"/>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24.3. The Supplier shall make all of the mandatory payments required under any law for its employees by virtue of the relationship between the Supplier and its employees, including income tax, health insurance and any tax or other payment that it may be charged with due to the performance of its undertakings under the Agreement and/or receipt of the consideration for provision of the Services under this Agreement. Furthermore, the Supplier shall make all of the mandatory payments required under the law by virtue of the relationship between it and the Customer for itself, including income tax payments, and any other tax and/or payment that it may be charged with due to its undertakings as an independent supplier under this Agreement.</w:t>
      </w:r>
    </w:p>
    <w:p>
      <w:pPr>
        <w:spacing w:after="0" w:line="178"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24.4. The Parties agree that if, notwithstanding the aforesaid, the Customer is charged by a competent court, as employer, to make any payment to the Supplier's employees or for any of the Supplier's employees as a result of the existence of employer-employee relations between the Customer and such employee of the Supplier, the Supplier shall reimburse the Customer, immediately upon receipt of notice of such payments, the sum paid by the Customer together with interest and linkage differentials at law from the date of payment until the date of actual restitution by the Supplier.</w:t>
      </w:r>
    </w:p>
    <w:p>
      <w:pPr>
        <w:spacing w:after="0" w:line="188" w:lineRule="exact"/>
        <w:rPr>
          <w:rFonts w:ascii="Arial" w:cs="Arial" w:eastAsia="Arial" w:hAnsi="Arial"/>
          <w:sz w:val="18"/>
          <w:szCs w:val="18"/>
          <w:b w:val="1"/>
          <w:bCs w:val="1"/>
          <w:color w:val="auto"/>
        </w:rPr>
      </w:pPr>
    </w:p>
    <w:p>
      <w:pPr>
        <w:ind w:left="130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24.5. During the Term of the Agreement and for a period of 12 months following termination hereof, the Parties shall not directly or indirectly solicit, persuade, attempt to solicit or attempt to persuade an employee and/or sub-contractor, including ITS' sub-contractor TD in China, to terminate his employment with the other Party or his contract with the other Party or to reduce the scope of his work with the other Party, and shall not directly or indirectly employee such an employee and shall not enter into a contract with any such sub-contractor directly and/or indirectly, all to the extent that such relates to a contract that did not exist between the party and such sub-contractor prior to the date of execution of this Agreement.</w:t>
      </w:r>
    </w:p>
    <w:p>
      <w:pPr>
        <w:spacing w:after="0" w:line="189" w:lineRule="exact"/>
        <w:rPr>
          <w:rFonts w:ascii="Arial" w:cs="Arial" w:eastAsia="Arial" w:hAnsi="Arial"/>
          <w:sz w:val="18"/>
          <w:szCs w:val="18"/>
          <w:b w:val="1"/>
          <w:bCs w:val="1"/>
          <w:color w:val="auto"/>
        </w:rPr>
      </w:pPr>
    </w:p>
    <w:p>
      <w:pPr>
        <w:ind w:left="640" w:hanging="640"/>
        <w:spacing w:after="0"/>
        <w:tabs>
          <w:tab w:leader="none" w:pos="64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Supplier hereby declares and undertakes as follows:</w:t>
      </w:r>
    </w:p>
    <w:p>
      <w:pPr>
        <w:spacing w:after="0" w:line="225"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The Supplier shall have the knowledge, expertise, ability, experience, skills, facilities and professional and skilled human resources necessary for manufacture of the Orders at the level, quality, and nature in accordance with the Product File and on the dates set out in the Orders approved in writing by the Supplier;</w:t>
      </w:r>
    </w:p>
    <w:p>
      <w:pPr>
        <w:spacing w:after="0" w:line="181" w:lineRule="exact"/>
        <w:rPr>
          <w:sz w:val="20"/>
          <w:szCs w:val="20"/>
          <w:color w:val="auto"/>
        </w:rPr>
      </w:pPr>
    </w:p>
    <w:p>
      <w:pPr>
        <w:spacing w:after="0" w:line="342" w:lineRule="auto"/>
        <w:tabs>
          <w:tab w:leader="none" w:pos="324" w:val="left"/>
        </w:tabs>
        <w:numPr>
          <w:ilvl w:val="0"/>
          <w:numId w:val="51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23" w:name="page324"/>
    <w:bookmarkEnd w:id="323"/>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The Supplier undertakes to perform its function loyally, with skill and devotion, using all of its skills and know-how, exercising discretion and maintaining the interests of the Customer, acting in accordance with reasonable professional practice and employing, for such purpose, skilled manpower. The Supplier further undertakes to act with reasonable haste as is required for the efficient and timely performance of the Orders, and to provide its services, where necessary, all subject to the performance of the Customer's undertakings under the provisions of this Agreement;</w:t>
      </w:r>
    </w:p>
    <w:p>
      <w:pPr>
        <w:spacing w:after="0" w:line="188"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The Supplier has examined the Customer's demands under this Agreement and the Appendixes hereto, and has found them to be clear, precise and appropriate for the requirements of performance of its undertakings under this Agreement;</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8"/>
          <w:szCs w:val="18"/>
          <w:color w:val="auto"/>
        </w:rPr>
        <w:t>The Supplier undertakes not to transfer and/or assign and/or convert to any other entity its rights or obligations under this Agreement, in whole or in part.</w:t>
      </w:r>
    </w:p>
    <w:p>
      <w:pPr>
        <w:spacing w:after="0" w:line="166" w:lineRule="exact"/>
        <w:rPr>
          <w:sz w:val="20"/>
          <w:szCs w:val="20"/>
          <w:color w:val="auto"/>
        </w:rPr>
      </w:pPr>
    </w:p>
    <w:p>
      <w:pPr>
        <w:ind w:left="640" w:hanging="640"/>
        <w:spacing w:after="0"/>
        <w:tabs>
          <w:tab w:leader="none" w:pos="64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229" w:lineRule="exact"/>
        <w:rPr>
          <w:rFonts w:ascii="Arial" w:cs="Arial" w:eastAsia="Arial" w:hAnsi="Arial"/>
          <w:sz w:val="18"/>
          <w:szCs w:val="18"/>
          <w:b w:val="1"/>
          <w:bCs w:val="1"/>
          <w:color w:val="auto"/>
        </w:rPr>
      </w:pPr>
    </w:p>
    <w:p>
      <w:pPr>
        <w:ind w:left="130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26.1. Without derogating from the Supplier's undertakings under this Agreement and from its liability for the damages for which it is liable under any law, the Supplier undertakes to take out and keep, at its expense, throughout the entire period of application of this Agreement, and for a period of one year after the termination of this Agreement, insurance policies in its favor, in the sums and at the liability limits prescribed by it at its discretion, provided that such shall not be less than the policies and conditions set out in the form of certificate of insurance attached as Appendix 4 constituting an integral part of this Agreement (hereinafter: the “</w:t>
      </w:r>
      <w:r>
        <w:rPr>
          <w:rFonts w:ascii="Arial" w:cs="Arial" w:eastAsia="Arial" w:hAnsi="Arial"/>
          <w:sz w:val="18"/>
          <w:szCs w:val="18"/>
          <w:b w:val="1"/>
          <w:bCs w:val="1"/>
          <w:color w:val="auto"/>
        </w:rPr>
        <w:t>Certificate of Insurance</w:t>
      </w:r>
      <w:r>
        <w:rPr>
          <w:rFonts w:ascii="Arial" w:cs="Arial" w:eastAsia="Arial" w:hAnsi="Arial"/>
          <w:sz w:val="18"/>
          <w:szCs w:val="18"/>
          <w:color w:val="auto"/>
        </w:rPr>
        <w:t>”), and as set out below:</w:t>
      </w:r>
    </w:p>
    <w:p>
      <w:pPr>
        <w:spacing w:after="0" w:line="193" w:lineRule="exact"/>
        <w:rPr>
          <w:rFonts w:ascii="Arial" w:cs="Arial" w:eastAsia="Arial" w:hAnsi="Arial"/>
          <w:sz w:val="18"/>
          <w:szCs w:val="18"/>
          <w:b w:val="1"/>
          <w:bCs w:val="1"/>
          <w:color w:val="auto"/>
        </w:rPr>
      </w:pPr>
    </w:p>
    <w:p>
      <w:pPr>
        <w:ind w:left="1940" w:hanging="643"/>
        <w:spacing w:after="0" w:line="277" w:lineRule="auto"/>
        <w:tabs>
          <w:tab w:leader="none" w:pos="19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Insurance of property, equipment, inventory and any other assets relating only to the equipment and/or inventory and/or property of the Customer that is within the possession and/or control of the Supplier.</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Insurance for Consequential Loss</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Employer’s Liability Insurance</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Third Party Liability Insurance</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Product Liability Insurance</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Professional Liability Insurance</w:t>
      </w:r>
    </w:p>
    <w:p>
      <w:pPr>
        <w:spacing w:after="0" w:line="225" w:lineRule="exact"/>
        <w:rPr>
          <w:sz w:val="20"/>
          <w:szCs w:val="20"/>
          <w:color w:val="auto"/>
        </w:rPr>
      </w:pPr>
    </w:p>
    <w:p>
      <w:pPr>
        <w:jc w:val="both"/>
        <w:ind w:left="1300" w:hanging="647"/>
        <w:spacing w:after="0" w:line="293" w:lineRule="auto"/>
        <w:tabs>
          <w:tab w:leader="none" w:pos="12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Supplier undertakes to provide the Customer with the form of Certificate of Insurance (Form 4), verbatim, without any amendments or adjustments apart from the filling in of details and particulars in the designated places for such, and subject to agreements with the insurer, signed by a reputable insurance company operating in Israel, not later than 4 days after the date of execution of this Agreement. In the event of any incompatibility between the provisions of the Certificate of Insurance issued by the Supplier and the provisions of this Agreement, the Supplier undertakes to cause amendment of the insurance policies immediately and within not more than one month of the Customer's demand, in order to adjust them to the provisions of this Agreement, and subject to the insurer's consent.</w:t>
      </w:r>
    </w:p>
    <w:p>
      <w:pPr>
        <w:spacing w:after="0" w:line="165"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7"/>
          <w:szCs w:val="17"/>
          <w:color w:val="auto"/>
        </w:rPr>
        <w:t>At the Customer's request, the Supplier undertakes to present the aforesaid certificates at the end of each Insurance Term and so long as this Agreement remains in force, and not more than 7 days after the date of termination of the Insurance Term, as set out in the certificate, and all during the term of the existence of this Agreement. The Customer shall be entitled to prevent the Customer from continuing to provide the Services and/or perform the Orders in the event that the aforesaid certificate is not issued on time. It is agreed that the Supplier shall be estopped from making any claim against the Customer due to not being able to commence and/or continue provision of the Services and/or performance of the Orders prior to issue of the certificate, as aforesaid.</w:t>
      </w:r>
    </w:p>
    <w:p>
      <w:pPr>
        <w:spacing w:after="0" w:line="205" w:lineRule="exact"/>
        <w:rPr>
          <w:sz w:val="20"/>
          <w:szCs w:val="20"/>
          <w:color w:val="auto"/>
        </w:rPr>
      </w:pPr>
    </w:p>
    <w:p>
      <w:pPr>
        <w:spacing w:after="0" w:line="342" w:lineRule="auto"/>
        <w:tabs>
          <w:tab w:leader="none" w:pos="324" w:val="left"/>
        </w:tabs>
        <w:numPr>
          <w:ilvl w:val="0"/>
          <w:numId w:val="51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24" w:name="page325"/>
    <w:bookmarkEnd w:id="324"/>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7"/>
          <w:szCs w:val="17"/>
          <w:color w:val="auto"/>
        </w:rPr>
        <w:t>If in the Supplier's opinion, there is a need for the Supplier to take out additional and/or supplementary insurance policies in addition to the above insurance policies, then following the Supplier's consent, the Supplier undertakes to take out such insurance policies as required. Any such additional and/or supplementary property insurance shall include a section regarding waiver of the right of subrogation in favor of the Customer and its employees and directors, but not in favor of any person who causes malicious damage. For the purposes of liability insurance the name of the insuree shall be extended to include the Customer, its employees and directors for their liability for the acts and/or omissions of the Supplier, subject to the existence of a cross-liability section.</w:t>
      </w:r>
    </w:p>
    <w:p>
      <w:pPr>
        <w:spacing w:after="0" w:line="178"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color w:val="auto"/>
        </w:rPr>
        <w:t>The Supplier undertakes to strictly keep and uphold all of the provisions of the insurance policies and the instructions of the insurer verbatim, and without derogating from the generality of the aforesaid, to maintain all of the provisions regarding safety and precautions.</w:t>
      </w:r>
    </w:p>
    <w:p>
      <w:pPr>
        <w:spacing w:after="0" w:line="124"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Should the Supplier, in good faith, breach the provisions of the insurance policies in such a way as to invalidate the rights of the Customer under the policies, the Supplier shall be liable for the damages in full and exclusively, and it shall not have any monetary and/or other claims and/or demands against the Customer for any monetary and/or other damage that may be caused to it as a result of such.</w:t>
      </w:r>
    </w:p>
    <w:p>
      <w:pPr>
        <w:spacing w:after="0" w:line="14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6"/>
          <w:szCs w:val="16"/>
          <w:color w:val="auto"/>
        </w:rPr>
        <w:t>The Supplier undertakes to give notice, immediately, in writing, of the occurrence of any event and/or damage and/or loss.</w:t>
      </w:r>
    </w:p>
    <w:p>
      <w:pPr>
        <w:spacing w:after="0" w:line="225"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8"/>
          <w:szCs w:val="18"/>
          <w:color w:val="auto"/>
        </w:rPr>
        <w:t>The Supplier undertakes to take any reasonable action which may be required to be done in order to exercise the (Supplier's) insurance policies where necessary, including joinder to an insurance claim, in accordance with the (Supplier's) insurance policies, if so required by it. The Supplier shall be liable for payment of the insurance premiums, and for payment of the Supplier's policyholder's contribution in the event of damage to the extent that such relates to policies issued by the Supplier and at its expense. These sums may be set off by the Customer (in the event that it pays such sums in lieu of the Supplier) against any sum that may be owing to the Supplier under the Agreement.</w:t>
      </w:r>
    </w:p>
    <w:p>
      <w:pPr>
        <w:spacing w:after="0" w:line="193"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8"/>
          <w:szCs w:val="18"/>
          <w:color w:val="auto"/>
        </w:rPr>
        <w:t>The Supplier shall be liable, in full, for uninsured damages which the liability for is imposed upon it by virtue of the sections of this Agreement, including damages that fall below the policyholder's contribution limit set out in the policies.</w:t>
      </w:r>
    </w:p>
    <w:p>
      <w:pPr>
        <w:spacing w:after="0" w:line="170"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7"/>
          <w:szCs w:val="17"/>
          <w:color w:val="auto"/>
        </w:rPr>
        <w:t>It is hereby clarified that the existence of the policies shall not serve to release the Supplier from any liability that it owes to the Customer or to any third party by virtue of any law or this Agreement, and the existence of such insurance policies shall not serve to make the Supplier's liability conditional. Should any payment be made by the insurance company in a sum that is lower than the actual sum of the damage or the flaw in respect of which and against which the payment was made, the Supplier shall be required to pay the balance of the sum owing as compensation or as coverage for the damage or the flaw up to the full value thereof, and all subject to legal proceedings or proceedings by consent in the context of and upon coordination with the insurers, between the Parties. Should the insurance company breach its duty to pay under the policies, such shall not serve as a defense for the Supplier and it shall be required to pay any sum that it owes by virtue of its liability under any law or agreement, notwithstanding the fact that this sum was supposed to have been paid by the insurance company.</w:t>
      </w:r>
    </w:p>
    <w:p>
      <w:pPr>
        <w:spacing w:after="0" w:line="209" w:lineRule="exact"/>
        <w:rPr>
          <w:sz w:val="20"/>
          <w:szCs w:val="20"/>
          <w:color w:val="auto"/>
        </w:rPr>
      </w:pPr>
    </w:p>
    <w:p>
      <w:pPr>
        <w:spacing w:after="0" w:line="342" w:lineRule="auto"/>
        <w:tabs>
          <w:tab w:leader="none" w:pos="324" w:val="left"/>
        </w:tabs>
        <w:numPr>
          <w:ilvl w:val="0"/>
          <w:numId w:val="51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25" w:name="page326"/>
    <w:bookmarkEnd w:id="325"/>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26.11.</w:t>
        <w:tab/>
        <w:t>For the avoidance of doubt, it is agreed that the liability limitations set out in the Certificate of Insurance, shall amount to minimum requirements imposed upon the Supplier, which must examine its own exposure to duty and determine its own liability limitations accordingly.</w:t>
      </w:r>
    </w:p>
    <w:p>
      <w:pPr>
        <w:spacing w:after="0" w:line="181"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7"/>
          <w:szCs w:val="17"/>
          <w:color w:val="auto"/>
        </w:rPr>
        <w:t>The taking out of the insurance policies as aforesaid and/or issue of the certificate and/or any demand by the Customer and/or persons acting on its behalf shall not derogate from the Supplier's liability under this Agreement and/or under any law and/or shall not serve to impose any liability on the Customer and/or the persons acting on its behalf, unless the damage and/or defect are caused due to an act or omission by the Customer and/or a person acting on its behalf, whether caused in good faith or maliciously. It is declared and agreed that the Supplier shall be estopped from making any claim or demand to the Customer and/or the persons acting on its behalf and/or persons under its service with respect to the substance and scope of the insurance policies required.</w:t>
      </w:r>
    </w:p>
    <w:p>
      <w:pPr>
        <w:spacing w:after="0" w:line="17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26.13.</w:t>
        <w:tab/>
        <w:t>Without derogating from the liability of the Supplier under this Agreement, the Supplier undertakes to accept any obligation and/or liability of any kind whatsoever which may be imposed upon it due to contractors and/or sub-contractors operating on its behalf and/or for it with respect to the Agreement.</w:t>
      </w:r>
    </w:p>
    <w:p>
      <w:pPr>
        <w:spacing w:after="0" w:line="181"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7"/>
          <w:szCs w:val="17"/>
          <w:color w:val="auto"/>
        </w:rPr>
        <w:t>For the avoidance of doubt, the Customer shall act vis-à-vis its customers with respect to any matter of any claim or complaint and shall not redirect any claim to the Supplier, indirectly, other than with respect to the Customer's direct conduct with the Supplier.</w:t>
      </w:r>
    </w:p>
    <w:p>
      <w:pPr>
        <w:spacing w:after="0" w:line="143" w:lineRule="exact"/>
        <w:rPr>
          <w:sz w:val="20"/>
          <w:szCs w:val="20"/>
          <w:color w:val="auto"/>
        </w:rPr>
      </w:pPr>
    </w:p>
    <w:p>
      <w:pPr>
        <w:ind w:left="640" w:hanging="640"/>
        <w:spacing w:after="0"/>
        <w:tabs>
          <w:tab w:leader="none" w:pos="64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Matters</w:t>
      </w:r>
    </w:p>
    <w:p>
      <w:pPr>
        <w:spacing w:after="0" w:line="229" w:lineRule="exact"/>
        <w:rPr>
          <w:rFonts w:ascii="Arial" w:cs="Arial" w:eastAsia="Arial" w:hAnsi="Arial"/>
          <w:sz w:val="18"/>
          <w:szCs w:val="18"/>
          <w:b w:val="1"/>
          <w:bCs w:val="1"/>
          <w:color w:val="auto"/>
        </w:rPr>
      </w:pPr>
    </w:p>
    <w:p>
      <w:pPr>
        <w:ind w:left="1300" w:hanging="648"/>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27.1. Each Party to this Agreement hereby undertakes not to assign its rights or obligations or any part thereof under this Agreement to any third party whatsoever unless: (a) Approval of such assignment is given by the other Party in writing and in advance and (b) the third party agrees, in writing, to be bound by all of the requirements set out in this Agreement. For the avoidance of doubt, any form of merger of one of the Parties and/or any act of acquisition of assets and/or change of the shareholders (whether such constitutes a change in control or not), shall be permissible under this Agreement and in any event, shall not constitute a breach of this Agreement by either of the Parties in general, and shall not constitute a prohibited assignment under this section 27.1 in particular.</w:t>
      </w:r>
    </w:p>
    <w:p>
      <w:pPr>
        <w:spacing w:after="0" w:line="1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27.2.   The laws of the State of Israel shall apply to this Agreement. The exclusive local jurisdiction shall obtain to the courts at Tel Aviv.</w:t>
      </w:r>
    </w:p>
    <w:p>
      <w:pPr>
        <w:spacing w:after="0" w:line="236"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27.3. This Agreement embodies and exhausts all of the agreements between the Parties, in full, with respect to the matters contained herein, and prevails over any agreements that existed between the Parties prior to the execution of it. No amendment, alteration or addition to this Agreement shall be of any force nor shall be deemed to have been implemented unless effected in writing and signed by both of the Parties to this Agreement.</w:t>
      </w:r>
    </w:p>
    <w:p>
      <w:pPr>
        <w:spacing w:after="0" w:line="186"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27.4. In the event of any contradiction between the provisions of any Order or any other document between the Parties, the provisions of this Agreement shall prevail, unless otherwise expressly agreed in writing.</w:t>
      </w:r>
    </w:p>
    <w:p>
      <w:pPr>
        <w:spacing w:after="0" w:line="197" w:lineRule="exact"/>
        <w:rPr>
          <w:sz w:val="20"/>
          <w:szCs w:val="20"/>
          <w:color w:val="auto"/>
        </w:rPr>
      </w:pPr>
    </w:p>
    <w:p>
      <w:pPr>
        <w:spacing w:after="0" w:line="342" w:lineRule="auto"/>
        <w:tabs>
          <w:tab w:leader="none" w:pos="324" w:val="left"/>
        </w:tabs>
        <w:numPr>
          <w:ilvl w:val="0"/>
          <w:numId w:val="51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26" w:name="page327"/>
    <w:bookmarkEnd w:id="326"/>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8"/>
          <w:szCs w:val="18"/>
          <w:color w:val="auto"/>
        </w:rPr>
        <w:t>The headings of this Agreement are for the sake of convenience only and shall not have any significance in the interpretation of this Agreement.</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8"/>
          <w:szCs w:val="18"/>
          <w:color w:val="auto"/>
        </w:rPr>
        <w:t>The Customer and the Supplier are bound by this Agreement verbatim, but do not waive any of their rights which may not be set out in this Agreement, as companies operating commercially in the State of Israel.</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8"/>
          <w:szCs w:val="18"/>
          <w:color w:val="auto"/>
        </w:rPr>
        <w:t>In the event that any of the provisions of this Agreement is deemed to be unenforceable or invalid in accordance with any law or in accordance with the ruling of a court, such ruling shall not make the rest of the Agreement unenforceable or invalid. Under such circumstances, the provision shall be amended and shall be interpreted in such a way that its purposes shall be realized to the extent possible, within the limitations of the applicable law and the relevant judicial rulings.</w:t>
      </w:r>
    </w:p>
    <w:p>
      <w:pPr>
        <w:spacing w:after="0" w:line="187"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7"/>
          <w:szCs w:val="17"/>
          <w:color w:val="auto"/>
        </w:rPr>
        <w:t>The addresses of the Parties for the purpose of delivery of notices under this Agreement shall be as set out in the preamble. Any such notice that shall be sent by registered mail shall be deemed to have been delivered three (3) business days after the date of dispatch; in the event of dispatch by facsimile or by some other electronic means, the notice shall be deemed to have been delivered one business day after delivery, subject to written approval of receipt thereof, or on the date of delivery if delivered by hand.</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6"/>
          <w:szCs w:val="16"/>
          <w:color w:val="auto"/>
        </w:rPr>
        <w:t>The Parties shall be entitled to set off debts owed to one another, only following advance written notice of 30 days.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their authorized signatories, on the date first set out above:</w:t>
      </w:r>
    </w:p>
    <w:p>
      <w:pPr>
        <w:sectPr>
          <w:pgSz w:w="11900" w:h="16838" w:orient="portrait"/>
          <w:cols w:equalWidth="0" w:num="1">
            <w:col w:w="11260"/>
          </w:cols>
          <w:pgMar w:left="320" w:top="882" w:right="3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Kornit Digital Technologies Ltd.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ITS Industrial Techno-logic Solutions Ltd.</w:t>
      </w:r>
    </w:p>
    <w:p>
      <w:pPr>
        <w:spacing w:after="0" w:line="211" w:lineRule="exact"/>
        <w:rPr>
          <w:sz w:val="20"/>
          <w:szCs w:val="20"/>
          <w:color w:val="auto"/>
        </w:rPr>
      </w:pPr>
    </w:p>
    <w:p>
      <w:pPr>
        <w:sectPr>
          <w:pgSz w:w="11900" w:h="16838" w:orient="portrait"/>
          <w:cols w:equalWidth="0" w:num="2">
            <w:col w:w="4800" w:space="720"/>
            <w:col w:w="5740"/>
          </w:cols>
          <w:pgMar w:left="320" w:top="882" w:right="3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By: /s/ Ofer Sandelson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By: /s/ Gera Eiron</w:t>
      </w:r>
    </w:p>
    <w:p>
      <w:pPr>
        <w:spacing w:after="0" w:line="200" w:lineRule="exact"/>
        <w:rPr>
          <w:sz w:val="20"/>
          <w:szCs w:val="20"/>
          <w:color w:val="auto"/>
        </w:rPr>
      </w:pPr>
    </w:p>
    <w:p>
      <w:pPr>
        <w:sectPr>
          <w:pgSz w:w="11900" w:h="16838" w:orient="portrait"/>
          <w:cols w:equalWidth="0" w:num="2">
            <w:col w:w="4800" w:space="720"/>
            <w:col w:w="5740"/>
          </w:cols>
          <w:pgMar w:left="320" w:top="882"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 </w:t>
      </w:r>
      <w:r>
        <w:rPr>
          <w:rFonts w:ascii="Arial" w:cs="Arial" w:eastAsia="Arial" w:hAnsi="Arial"/>
          <w:sz w:val="16"/>
          <w:szCs w:val="16"/>
          <w:i w:val="1"/>
          <w:iCs w:val="1"/>
          <w:color w:val="auto"/>
        </w:rPr>
        <w:t>Ofer Sandelson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 </w:t>
      </w:r>
      <w:r>
        <w:rPr>
          <w:rFonts w:ascii="Arial" w:cs="Arial" w:eastAsia="Arial" w:hAnsi="Arial"/>
          <w:sz w:val="16"/>
          <w:szCs w:val="16"/>
          <w:i w:val="1"/>
          <w:iCs w:val="1"/>
          <w:color w:val="auto"/>
        </w:rPr>
        <w:t>Gera Eiron</w:t>
      </w:r>
    </w:p>
    <w:p>
      <w:pPr>
        <w:spacing w:after="0" w:line="200" w:lineRule="exact"/>
        <w:rPr>
          <w:sz w:val="20"/>
          <w:szCs w:val="20"/>
          <w:color w:val="auto"/>
        </w:rPr>
      </w:pPr>
    </w:p>
    <w:p>
      <w:pPr>
        <w:sectPr>
          <w:pgSz w:w="11900" w:h="16838" w:orient="portrait"/>
          <w:cols w:equalWidth="0" w:num="2">
            <w:col w:w="4800" w:space="720"/>
            <w:col w:w="5740"/>
          </w:cols>
          <w:pgMar w:left="320" w:top="882"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Position: </w:t>
      </w:r>
      <w:r>
        <w:rPr>
          <w:rFonts w:ascii="Arial" w:cs="Arial" w:eastAsia="Arial" w:hAnsi="Arial"/>
          <w:sz w:val="16"/>
          <w:szCs w:val="16"/>
          <w:i w:val="1"/>
          <w:iCs w:val="1"/>
          <w:color w:val="auto"/>
        </w:rPr>
        <w:t>COO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 xml:space="preserve">Position: </w:t>
      </w:r>
      <w:r>
        <w:rPr>
          <w:rFonts w:ascii="Arial" w:cs="Arial" w:eastAsia="Arial" w:hAnsi="Arial"/>
          <w:sz w:val="16"/>
          <w:szCs w:val="16"/>
          <w:i w:val="1"/>
          <w:iCs w:val="1"/>
          <w:color w:val="auto"/>
        </w:rPr>
        <w:t>CEO</w:t>
      </w:r>
    </w:p>
    <w:p>
      <w:pPr>
        <w:spacing w:after="0" w:line="200" w:lineRule="exact"/>
        <w:rPr>
          <w:sz w:val="20"/>
          <w:szCs w:val="20"/>
          <w:color w:val="auto"/>
        </w:rPr>
      </w:pPr>
    </w:p>
    <w:p>
      <w:pPr>
        <w:sectPr>
          <w:pgSz w:w="11900" w:h="16838" w:orient="portrait"/>
          <w:cols w:equalWidth="0" w:num="2">
            <w:col w:w="4800" w:space="720"/>
            <w:col w:w="5740"/>
          </w:cols>
          <w:pgMar w:left="320" w:top="882" w:right="319" w:bottom="1440" w:gutter="0" w:footer="0" w:header="0"/>
          <w:type w:val="continuous"/>
        </w:sectPr>
      </w:pPr>
    </w:p>
    <w:p>
      <w:pPr>
        <w:spacing w:after="0" w:line="48" w:lineRule="exact"/>
        <w:rPr>
          <w:sz w:val="20"/>
          <w:szCs w:val="20"/>
          <w:color w:val="auto"/>
        </w:rPr>
      </w:pPr>
    </w:p>
    <w:p>
      <w:pPr>
        <w:spacing w:after="0" w:line="342" w:lineRule="auto"/>
        <w:tabs>
          <w:tab w:leader="none" w:pos="325"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type w:val="continuous"/>
        </w:sectPr>
      </w:pPr>
    </w:p>
    <w:bookmarkStart w:id="327" w:name="page328"/>
    <w:bookmarkEnd w:id="327"/>
    <w:p>
      <w:pPr>
        <w:jc w:val="right"/>
        <w:ind w:right="119"/>
        <w:spacing w:after="0"/>
        <w:rPr>
          <w:sz w:val="20"/>
          <w:szCs w:val="20"/>
          <w:color w:val="auto"/>
        </w:rPr>
      </w:pPr>
      <w:r>
        <w:rPr>
          <w:rFonts w:ascii="Arial" w:cs="Arial" w:eastAsia="Arial" w:hAnsi="Arial"/>
          <w:sz w:val="22"/>
          <w:szCs w:val="22"/>
          <w:b w:val="1"/>
          <w:bCs w:val="1"/>
          <w:color w:val="auto"/>
        </w:rPr>
        <w:t>Exhibit 10.17</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w:t>
      </w:r>
      <w:r>
        <w:rPr>
          <w:rFonts w:ascii="Arial" w:cs="Arial" w:eastAsia="Arial" w:hAnsi="Arial"/>
          <w:sz w:val="14"/>
          <w:szCs w:val="14"/>
          <w:b w:val="1"/>
          <w:bCs w:val="1"/>
          <w:u w:val="single" w:color="auto"/>
          <w:color w:val="auto"/>
        </w:rPr>
        <w:t>ANAGEMENT</w:t>
      </w:r>
      <w:r>
        <w:rPr>
          <w:rFonts w:ascii="Arial" w:cs="Arial" w:eastAsia="Arial" w:hAnsi="Arial"/>
          <w:sz w:val="22"/>
          <w:szCs w:val="22"/>
          <w:b w:val="1"/>
          <w:bCs w:val="1"/>
          <w:u w:val="single" w:color="auto"/>
          <w:color w:val="auto"/>
        </w:rPr>
        <w:t xml:space="preserve"> S</w:t>
      </w:r>
      <w:r>
        <w:rPr>
          <w:rFonts w:ascii="Arial" w:cs="Arial" w:eastAsia="Arial" w:hAnsi="Arial"/>
          <w:sz w:val="14"/>
          <w:szCs w:val="14"/>
          <w:b w:val="1"/>
          <w:bCs w:val="1"/>
          <w:u w:val="single" w:color="auto"/>
          <w:color w:val="auto"/>
        </w:rPr>
        <w:t>ERVICES</w:t>
      </w:r>
      <w:r>
        <w:rPr>
          <w:rFonts w:ascii="Arial" w:cs="Arial" w:eastAsia="Arial" w:hAnsi="Arial"/>
          <w:sz w:val="22"/>
          <w:szCs w:val="22"/>
          <w:b w:val="1"/>
          <w:bCs w:val="1"/>
          <w:u w:val="single" w:color="auto"/>
          <w:color w:val="auto"/>
        </w:rPr>
        <w:t xml:space="preserve"> A</w:t>
      </w:r>
      <w:r>
        <w:rPr>
          <w:rFonts w:ascii="Arial" w:cs="Arial" w:eastAsia="Arial" w:hAnsi="Arial"/>
          <w:sz w:val="14"/>
          <w:szCs w:val="14"/>
          <w:b w:val="1"/>
          <w:bCs w:val="1"/>
          <w:u w:val="single" w:color="auto"/>
          <w:color w:val="auto"/>
        </w:rPr>
        <w:t>GREEMENT</w:t>
      </w:r>
    </w:p>
    <w:p>
      <w:pPr>
        <w:spacing w:after="0" w:line="229"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7"/>
          <w:szCs w:val="17"/>
          <w:color w:val="auto"/>
        </w:rPr>
        <w:t>This Management Services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August 11, 2011 by and among Kornit Digital Ltd., an Israeli company, company registration number 51-319542-0 with its principal offices located at Haamal 12 St., Park Afek, Rosh Haayin, Israel (the “</w:t>
      </w:r>
      <w:r>
        <w:rPr>
          <w:rFonts w:ascii="Arial" w:cs="Arial" w:eastAsia="Arial" w:hAnsi="Arial"/>
          <w:sz w:val="17"/>
          <w:szCs w:val="17"/>
          <w:b w:val="1"/>
          <w:bCs w:val="1"/>
          <w:color w:val="auto"/>
        </w:rPr>
        <w:t>Company</w:t>
      </w:r>
      <w:r>
        <w:rPr>
          <w:rFonts w:ascii="Arial" w:cs="Arial" w:eastAsia="Arial" w:hAnsi="Arial"/>
          <w:sz w:val="17"/>
          <w:szCs w:val="17"/>
          <w:color w:val="auto"/>
        </w:rPr>
        <w:t>”) and Fortissimo Capital Fund II (Israel) L.P., a partnership organized under the laws of the Cayman Islands, on behalf of the several parallel partnerships and any affiliated entities thereof with offices at 14 Hamelacha Street, Park Afek, Rosh Haayin (“</w:t>
      </w:r>
      <w:r>
        <w:rPr>
          <w:rFonts w:ascii="Arial" w:cs="Arial" w:eastAsia="Arial" w:hAnsi="Arial"/>
          <w:sz w:val="17"/>
          <w:szCs w:val="17"/>
          <w:b w:val="1"/>
          <w:bCs w:val="1"/>
          <w:color w:val="auto"/>
        </w:rPr>
        <w:t>Fortissimo</w:t>
      </w:r>
      <w:r>
        <w:rPr>
          <w:rFonts w:ascii="Arial" w:cs="Arial" w:eastAsia="Arial" w:hAnsi="Arial"/>
          <w:sz w:val="17"/>
          <w:szCs w:val="17"/>
          <w:color w:val="auto"/>
        </w:rPr>
        <w:t>”).</w:t>
      </w:r>
    </w:p>
    <w:p>
      <w:pPr>
        <w:sectPr>
          <w:pgSz w:w="11900" w:h="16838" w:orient="portrait"/>
          <w:cols w:equalWidth="0" w:num="1">
            <w:col w:w="9019"/>
          </w:cols>
          <w:pgMar w:left="1440" w:top="139" w:right="1440" w:bottom="1440" w:gutter="0" w:footer="0" w:header="0"/>
        </w:sectPr>
      </w:pP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ind w:right="119"/>
        <w:spacing w:after="0" w:line="264" w:lineRule="auto"/>
        <w:rPr>
          <w:sz w:val="20"/>
          <w:szCs w:val="20"/>
          <w:color w:val="auto"/>
        </w:rPr>
      </w:pPr>
      <w:r>
        <w:rPr>
          <w:rFonts w:ascii="Arial" w:cs="Arial" w:eastAsia="Arial" w:hAnsi="Arial"/>
          <w:sz w:val="18"/>
          <w:szCs w:val="18"/>
          <w:color w:val="auto"/>
        </w:rPr>
        <w:t>the Company and Fortissimo have entered into a Share Purchase Agreement dated July 18, 2011 (the “</w:t>
      </w:r>
      <w:r>
        <w:rPr>
          <w:rFonts w:ascii="Arial" w:cs="Arial" w:eastAsia="Arial" w:hAnsi="Arial"/>
          <w:sz w:val="18"/>
          <w:szCs w:val="18"/>
          <w:b w:val="1"/>
          <w:bCs w:val="1"/>
          <w:color w:val="auto"/>
        </w:rPr>
        <w:t>SPA</w:t>
      </w:r>
      <w:r>
        <w:rPr>
          <w:rFonts w:ascii="Arial" w:cs="Arial" w:eastAsia="Arial" w:hAnsi="Arial"/>
          <w:sz w:val="18"/>
          <w:szCs w:val="18"/>
          <w:color w:val="auto"/>
        </w:rPr>
        <w:t>”); all capitalized terms used and not otherwise defined herein shall have the meanings ascribed to them in the SPA);</w:t>
      </w:r>
    </w:p>
    <w:p>
      <w:pPr>
        <w:spacing w:after="0" w:line="177" w:lineRule="exact"/>
        <w:rPr>
          <w:sz w:val="20"/>
          <w:szCs w:val="20"/>
          <w:color w:val="auto"/>
        </w:rPr>
      </w:pPr>
    </w:p>
    <w:p>
      <w:pPr>
        <w:sectPr>
          <w:pgSz w:w="11900" w:h="16838" w:orient="portrait"/>
          <w:cols w:equalWidth="0" w:num="2">
            <w:col w:w="1160" w:space="720"/>
            <w:col w:w="7139"/>
          </w:cols>
          <w:pgMar w:left="1440" w:top="139" w:right="1440"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jc w:val="both"/>
        <w:ind w:right="119"/>
        <w:spacing w:after="0" w:line="259" w:lineRule="auto"/>
        <w:rPr>
          <w:sz w:val="20"/>
          <w:szCs w:val="20"/>
          <w:color w:val="auto"/>
        </w:rPr>
      </w:pPr>
      <w:r>
        <w:rPr>
          <w:rFonts w:ascii="Arial" w:cs="Arial" w:eastAsia="Arial" w:hAnsi="Arial"/>
          <w:sz w:val="18"/>
          <w:szCs w:val="18"/>
          <w:color w:val="auto"/>
        </w:rPr>
        <w:t>Fortissimo will purchase, subject to the closing of the transactions contemplated under the SPA (the “</w:t>
      </w:r>
      <w:r>
        <w:rPr>
          <w:rFonts w:ascii="Arial" w:cs="Arial" w:eastAsia="Arial" w:hAnsi="Arial"/>
          <w:sz w:val="18"/>
          <w:szCs w:val="18"/>
          <w:b w:val="1"/>
          <w:bCs w:val="1"/>
          <w:color w:val="auto"/>
        </w:rPr>
        <w:t>Closing</w:t>
      </w:r>
      <w:r>
        <w:rPr>
          <w:rFonts w:ascii="Arial" w:cs="Arial" w:eastAsia="Arial" w:hAnsi="Arial"/>
          <w:sz w:val="18"/>
          <w:szCs w:val="18"/>
          <w:color w:val="auto"/>
        </w:rPr>
        <w:t>”), a substantial shareholding position in the Company and intends to actively participate in the management of the Company, including by way of election of members of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w:t>
      </w:r>
    </w:p>
    <w:p>
      <w:pPr>
        <w:spacing w:after="0" w:line="183" w:lineRule="exact"/>
        <w:rPr>
          <w:sz w:val="20"/>
          <w:szCs w:val="20"/>
          <w:color w:val="auto"/>
        </w:rPr>
      </w:pPr>
    </w:p>
    <w:p>
      <w:pPr>
        <w:sectPr>
          <w:pgSz w:w="11900" w:h="16838" w:orient="portrait"/>
          <w:cols w:equalWidth="0" w:num="2">
            <w:col w:w="1160" w:space="720"/>
            <w:col w:w="7139"/>
          </w:cols>
          <w:pgMar w:left="1440" w:top="139" w:right="1440"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jc w:val="both"/>
        <w:ind w:right="119"/>
        <w:spacing w:after="0" w:line="264" w:lineRule="auto"/>
        <w:rPr>
          <w:sz w:val="20"/>
          <w:szCs w:val="20"/>
          <w:color w:val="auto"/>
        </w:rPr>
      </w:pPr>
      <w:r>
        <w:rPr>
          <w:rFonts w:ascii="Arial" w:cs="Arial" w:eastAsia="Arial" w:hAnsi="Arial"/>
          <w:sz w:val="18"/>
          <w:szCs w:val="18"/>
          <w:color w:val="auto"/>
        </w:rPr>
        <w:t>the Company desires to retain management services from Fortissimo pursuant to the terms and conditions set forth in this Agreement, and Fortissimo agrees to provide such services to the Company on such terms and conditions.</w:t>
      </w:r>
    </w:p>
    <w:p>
      <w:pPr>
        <w:spacing w:after="0" w:line="137" w:lineRule="exact"/>
        <w:rPr>
          <w:sz w:val="20"/>
          <w:szCs w:val="20"/>
          <w:color w:val="auto"/>
        </w:rPr>
      </w:pPr>
    </w:p>
    <w:p>
      <w:pPr>
        <w:sectPr>
          <w:pgSz w:w="11900" w:h="16838" w:orient="portrait"/>
          <w:cols w:equalWidth="0" w:num="2">
            <w:col w:w="1160" w:space="720"/>
            <w:col w:w="7139"/>
          </w:cols>
          <w:pgMar w:left="1440" w:top="139" w:right="1440" w:bottom="1440" w:gutter="0" w:footer="0" w:header="0"/>
          <w:type w:val="continuous"/>
        </w:sectPr>
      </w:pPr>
    </w:p>
    <w:p>
      <w:pPr>
        <w:ind w:left="120" w:right="119"/>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conditions hereinafter set forth, the parties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0" w:lineRule="exact"/>
        <w:rPr>
          <w:sz w:val="20"/>
          <w:szCs w:val="20"/>
          <w:color w:val="auto"/>
        </w:rPr>
      </w:pPr>
    </w:p>
    <w:p>
      <w:pPr>
        <w:ind w:left="560" w:hanging="435"/>
        <w:spacing w:after="0"/>
        <w:tabs>
          <w:tab w:leader="none" w:pos="560" w:val="left"/>
        </w:tabs>
        <w:numPr>
          <w:ilvl w:val="0"/>
          <w:numId w:val="517"/>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COPE OF</w:t>
      </w:r>
      <w:r>
        <w:rPr>
          <w:rFonts w:ascii="Arial" w:cs="Arial" w:eastAsia="Arial" w:hAnsi="Arial"/>
          <w:sz w:val="22"/>
          <w:szCs w:val="22"/>
          <w:b w:val="1"/>
          <w:bCs w:val="1"/>
          <w:u w:val="single" w:color="auto"/>
          <w:color w:val="auto"/>
        </w:rPr>
        <w:t xml:space="preserve"> S</w:t>
      </w:r>
      <w:r>
        <w:rPr>
          <w:rFonts w:ascii="Arial" w:cs="Arial" w:eastAsia="Arial" w:hAnsi="Arial"/>
          <w:sz w:val="14"/>
          <w:szCs w:val="14"/>
          <w:b w:val="1"/>
          <w:bCs w:val="1"/>
          <w:u w:val="single" w:color="auto"/>
          <w:color w:val="auto"/>
        </w:rPr>
        <w:t>ERVICES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20"/>
          <w:szCs w:val="20"/>
          <w:u w:val="single" w:color="auto"/>
          <w:color w:val="auto"/>
        </w:rPr>
        <w:t>Management Services</w:t>
      </w:r>
    </w:p>
    <w:p>
      <w:pPr>
        <w:spacing w:after="0" w:line="218" w:lineRule="exact"/>
        <w:rPr>
          <w:sz w:val="20"/>
          <w:szCs w:val="20"/>
          <w:color w:val="auto"/>
        </w:rPr>
      </w:pPr>
    </w:p>
    <w:p>
      <w:pPr>
        <w:jc w:val="both"/>
        <w:ind w:left="940" w:right="119" w:hanging="377"/>
        <w:spacing w:after="0" w:line="279" w:lineRule="auto"/>
        <w:rPr>
          <w:sz w:val="20"/>
          <w:szCs w:val="20"/>
          <w:color w:val="auto"/>
        </w:rPr>
      </w:pPr>
      <w:r>
        <w:rPr>
          <w:rFonts w:ascii="Arial" w:cs="Arial" w:eastAsia="Arial" w:hAnsi="Arial"/>
          <w:sz w:val="17"/>
          <w:szCs w:val="17"/>
          <w:color w:val="auto"/>
        </w:rPr>
        <w:t>1.1. Fortissimo, through its employees, officers and directors, will conduct regular meetings and discussions with members of the Company’s management, to assist and advise them on matters concerning the affairs and business of the Company and render such other management services and advice as may be agreed to from time to time by the Company and Fortissimo (the “</w:t>
      </w:r>
      <w:r>
        <w:rPr>
          <w:rFonts w:ascii="Arial" w:cs="Arial" w:eastAsia="Arial" w:hAnsi="Arial"/>
          <w:sz w:val="17"/>
          <w:szCs w:val="17"/>
          <w:b w:val="1"/>
          <w:bCs w:val="1"/>
          <w:color w:val="auto"/>
        </w:rPr>
        <w:t>Management Services</w:t>
      </w:r>
      <w:r>
        <w:rPr>
          <w:rFonts w:ascii="Arial" w:cs="Arial" w:eastAsia="Arial" w:hAnsi="Arial"/>
          <w:sz w:val="17"/>
          <w:szCs w:val="17"/>
          <w:color w:val="auto"/>
        </w:rPr>
        <w:t>”).</w:t>
      </w:r>
    </w:p>
    <w:p>
      <w:pPr>
        <w:spacing w:after="0" w:line="171"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1.2. In rendering the Management Services hereunder, Fortissimo shall cooperate with the Company and utilize professional skill and diligence to provide the expertise required in connection with such services. Fortissimo shall dedicate as much time as will be reasonably necessary for the proper performance of the Management Services.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20"/>
          <w:szCs w:val="20"/>
          <w:u w:val="single" w:color="auto"/>
          <w:color w:val="auto"/>
        </w:rPr>
        <w:t>Board Services</w:t>
      </w:r>
    </w:p>
    <w:p>
      <w:pPr>
        <w:spacing w:after="0" w:line="218" w:lineRule="exact"/>
        <w:rPr>
          <w:sz w:val="20"/>
          <w:szCs w:val="20"/>
          <w:color w:val="auto"/>
        </w:rPr>
      </w:pPr>
    </w:p>
    <w:p>
      <w:pPr>
        <w:jc w:val="both"/>
        <w:ind w:left="940" w:right="119" w:hanging="377"/>
        <w:spacing w:after="0" w:line="286" w:lineRule="auto"/>
        <w:tabs>
          <w:tab w:leader="none" w:pos="9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Fortissimo is entitled, under the terms of the SPA and subject to the Closing, to elect Four out of seven members of the Board, including the chairman of the Board (the “</w:t>
      </w:r>
      <w:r>
        <w:rPr>
          <w:rFonts w:ascii="Arial" w:cs="Arial" w:eastAsia="Arial" w:hAnsi="Arial"/>
          <w:sz w:val="17"/>
          <w:szCs w:val="17"/>
          <w:b w:val="1"/>
          <w:bCs w:val="1"/>
          <w:color w:val="auto"/>
        </w:rPr>
        <w:t>Fortissimo Directors</w:t>
      </w:r>
      <w:r>
        <w:rPr>
          <w:rFonts w:ascii="Arial" w:cs="Arial" w:eastAsia="Arial" w:hAnsi="Arial"/>
          <w:sz w:val="17"/>
          <w:szCs w:val="17"/>
          <w:color w:val="auto"/>
        </w:rPr>
        <w:t>”). The services rendered by the Fortissimo Directors will be referred hereinafter as the “</w:t>
      </w:r>
      <w:r>
        <w:rPr>
          <w:rFonts w:ascii="Arial" w:cs="Arial" w:eastAsia="Arial" w:hAnsi="Arial"/>
          <w:sz w:val="17"/>
          <w:szCs w:val="17"/>
          <w:b w:val="1"/>
          <w:bCs w:val="1"/>
          <w:color w:val="auto"/>
        </w:rPr>
        <w:t>Board Services</w:t>
      </w:r>
      <w:r>
        <w:rPr>
          <w:rFonts w:ascii="Arial" w:cs="Arial" w:eastAsia="Arial" w:hAnsi="Arial"/>
          <w:sz w:val="17"/>
          <w:szCs w:val="17"/>
          <w:color w:val="auto"/>
        </w:rPr>
        <w:t>”.</w:t>
      </w:r>
    </w:p>
    <w:p>
      <w:pPr>
        <w:spacing w:after="0" w:line="166"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1.4. For the avoidance of doubt, it is clarified that in serving as members of the Board, the Fortissimo Directors, shall not be employees of the Company, nor shall the payment of the Management Fees (defined below) by the Company create employee-employer relations between the parties hereto or entitle the Fortissimo Directors to any social benefits.</w:t>
      </w:r>
    </w:p>
    <w:p>
      <w:pPr>
        <w:spacing w:after="0" w:line="187"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1.5. In providing the Board Services, the Fortissimo Directors shall be subject to any and all fiduciary and other duties applicable under law upon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211455</wp:posOffset>
            </wp:positionV>
            <wp:extent cx="557403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type w:val="continuous"/>
        </w:sectPr>
      </w:pPr>
    </w:p>
    <w:bookmarkStart w:id="328" w:name="page329"/>
    <w:bookmarkEnd w:id="328"/>
    <w:p>
      <w:pPr>
        <w:ind w:left="560" w:hanging="435"/>
        <w:spacing w:after="0"/>
        <w:tabs>
          <w:tab w:leader="none" w:pos="560" w:val="left"/>
        </w:tabs>
        <w:numPr>
          <w:ilvl w:val="0"/>
          <w:numId w:val="518"/>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OMPENSATION</w:t>
      </w:r>
    </w:p>
    <w:p>
      <w:pPr>
        <w:spacing w:after="0" w:line="233" w:lineRule="exact"/>
        <w:rPr>
          <w:sz w:val="20"/>
          <w:szCs w:val="20"/>
          <w:color w:val="auto"/>
        </w:rPr>
      </w:pPr>
    </w:p>
    <w:p>
      <w:pPr>
        <w:jc w:val="both"/>
        <w:ind w:left="940" w:right="119" w:hanging="377"/>
        <w:spacing w:after="0" w:line="287" w:lineRule="auto"/>
        <w:tabs>
          <w:tab w:leader="none" w:pos="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consideration of the performance of the Management Services and the Board Services hereunder, the Company shall pay to Fortissimo management services fees as follows: (i) monthly management fees in the amount of ten thousand United States Dollar (US$10,000) plus VAT (the “</w:t>
      </w:r>
      <w:r>
        <w:rPr>
          <w:rFonts w:ascii="Arial" w:cs="Arial" w:eastAsia="Arial" w:hAnsi="Arial"/>
          <w:sz w:val="16"/>
          <w:szCs w:val="16"/>
          <w:b w:val="1"/>
          <w:bCs w:val="1"/>
          <w:color w:val="auto"/>
        </w:rPr>
        <w:t>Management Fees</w:t>
      </w:r>
      <w:r>
        <w:rPr>
          <w:rFonts w:ascii="Arial" w:cs="Arial" w:eastAsia="Arial" w:hAnsi="Arial"/>
          <w:sz w:val="16"/>
          <w:szCs w:val="16"/>
          <w:color w:val="auto"/>
        </w:rPr>
        <w:t>”); and (ii) an annual amount calculated as the positive difference between 5% of the Company’s Net Income (as defined below) in each fiscal year and the aggregate amount of the Management Fees paid in such fiscal year (the “</w:t>
      </w:r>
      <w:r>
        <w:rPr>
          <w:rFonts w:ascii="Arial" w:cs="Arial" w:eastAsia="Arial" w:hAnsi="Arial"/>
          <w:sz w:val="16"/>
          <w:szCs w:val="16"/>
          <w:b w:val="1"/>
          <w:bCs w:val="1"/>
          <w:color w:val="auto"/>
        </w:rPr>
        <w:t>Additional Fees</w:t>
      </w:r>
      <w:r>
        <w:rPr>
          <w:rFonts w:ascii="Arial" w:cs="Arial" w:eastAsia="Arial" w:hAnsi="Arial"/>
          <w:sz w:val="16"/>
          <w:szCs w:val="16"/>
          <w:color w:val="auto"/>
        </w:rPr>
        <w:t>”); provided however, that the Management Fees together with the Additional Fees paid in each fiscal year shall not exceed two hundred and fifty thousand United States Dollar (US$ 250,000). Each</w:t>
      </w:r>
    </w:p>
    <w:p>
      <w:pPr>
        <w:spacing w:after="0" w:line="3" w:lineRule="exact"/>
        <w:rPr>
          <w:sz w:val="20"/>
          <w:szCs w:val="20"/>
          <w:color w:val="auto"/>
        </w:rPr>
      </w:pPr>
    </w:p>
    <w:p>
      <w:pPr>
        <w:jc w:val="both"/>
        <w:ind w:left="940" w:right="119"/>
        <w:spacing w:after="0" w:line="231" w:lineRule="auto"/>
        <w:rPr>
          <w:sz w:val="20"/>
          <w:szCs w:val="20"/>
          <w:color w:val="auto"/>
        </w:rPr>
      </w:pPr>
      <w:r>
        <w:rPr>
          <w:rFonts w:ascii="Arial" w:cs="Arial" w:eastAsia="Arial" w:hAnsi="Arial"/>
          <w:sz w:val="18"/>
          <w:szCs w:val="18"/>
          <w:color w:val="auto"/>
        </w:rPr>
        <w:t>monthly Management Fee shall be paid not later than the tenth (10</w:t>
      </w:r>
      <w:r>
        <w:rPr>
          <w:rFonts w:ascii="Arial" w:cs="Arial" w:eastAsia="Arial" w:hAnsi="Arial"/>
          <w:sz w:val="30"/>
          <w:szCs w:val="30"/>
          <w:color w:val="auto"/>
          <w:vertAlign w:val="superscript"/>
        </w:rPr>
        <w:t>th</w:t>
      </w:r>
      <w:r>
        <w:rPr>
          <w:rFonts w:ascii="Arial" w:cs="Arial" w:eastAsia="Arial" w:hAnsi="Arial"/>
          <w:sz w:val="18"/>
          <w:szCs w:val="18"/>
          <w:color w:val="auto"/>
        </w:rPr>
        <w:t>) day of each calendar month for services rendered during the preceding calendar month. The Additional Fees shall be paid no later than thirty (30) days from the date on which the Company’s annual financial statements have been approved by the Board. For the avoidance of doubt, the payments for 2011 only shall be pro-rated for the relative part of this year commencing from the date of this Agreement.</w:t>
      </w:r>
    </w:p>
    <w:p>
      <w:pPr>
        <w:spacing w:after="0" w:line="191" w:lineRule="exact"/>
        <w:rPr>
          <w:sz w:val="20"/>
          <w:szCs w:val="20"/>
          <w:color w:val="auto"/>
        </w:rPr>
      </w:pPr>
    </w:p>
    <w:p>
      <w:pPr>
        <w:jc w:val="both"/>
        <w:ind w:left="940" w:right="119" w:firstLine="28"/>
        <w:spacing w:after="0" w:line="255" w:lineRule="auto"/>
        <w:rPr>
          <w:sz w:val="20"/>
          <w:szCs w:val="20"/>
          <w:color w:val="auto"/>
        </w:rPr>
      </w:pPr>
      <w:r>
        <w:rPr>
          <w:rFonts w:ascii="Arial" w:cs="Arial" w:eastAsia="Arial" w:hAnsi="Arial"/>
          <w:sz w:val="18"/>
          <w:szCs w:val="18"/>
          <w:color w:val="auto"/>
        </w:rPr>
        <w:t>For purpose of this Agreement the term “Net Income” shall mean the amount of net income set forth in the Company’s respective year-end financial statements, provided however, that it shall be calculated based on actual research and development expenses (rather than on R&amp;D capitalization in accordance with International Financing Reporting Standards (“IFRS”)) but after: (a) effecting a corresponding adjustment reflecting the reduced tax resulting from this calculation; and (b) adding back the applicable depreciation related to the capitalization part.</w:t>
      </w:r>
    </w:p>
    <w:p>
      <w:pPr>
        <w:spacing w:after="0" w:line="166" w:lineRule="exact"/>
        <w:rPr>
          <w:sz w:val="20"/>
          <w:szCs w:val="20"/>
          <w:color w:val="auto"/>
        </w:rPr>
      </w:pPr>
    </w:p>
    <w:p>
      <w:pPr>
        <w:jc w:val="both"/>
        <w:ind w:left="940" w:right="119" w:hanging="377"/>
        <w:spacing w:after="0" w:line="279" w:lineRule="auto"/>
        <w:rPr>
          <w:sz w:val="20"/>
          <w:szCs w:val="20"/>
          <w:color w:val="auto"/>
        </w:rPr>
      </w:pPr>
      <w:r>
        <w:rPr>
          <w:rFonts w:ascii="Arial" w:cs="Arial" w:eastAsia="Arial" w:hAnsi="Arial"/>
          <w:sz w:val="17"/>
          <w:szCs w:val="17"/>
          <w:color w:val="auto"/>
        </w:rPr>
        <w:t>2.2. The Company will reimburse Fortissimo for reasonable documented out-of-pocket business expenses borne by Fortissimo or any of its employees, directors or officers in connection with the provision of the Management Services, in accordance with policies approved by the Board, provided that Fortissimo shall notify the Company of such out-of-pocket expenses prior to the actual spending thereof.</w:t>
      </w:r>
    </w:p>
    <w:p>
      <w:pPr>
        <w:spacing w:after="0" w:line="158" w:lineRule="exact"/>
        <w:rPr>
          <w:sz w:val="20"/>
          <w:szCs w:val="20"/>
          <w:color w:val="auto"/>
        </w:rPr>
      </w:pPr>
    </w:p>
    <w:p>
      <w:pPr>
        <w:jc w:val="both"/>
        <w:ind w:left="940" w:right="119" w:hanging="377"/>
        <w:spacing w:after="0" w:line="342" w:lineRule="auto"/>
        <w:rPr>
          <w:sz w:val="20"/>
          <w:szCs w:val="20"/>
          <w:color w:val="auto"/>
        </w:rPr>
      </w:pPr>
      <w:r>
        <w:rPr>
          <w:rFonts w:ascii="Arial" w:cs="Arial" w:eastAsia="Arial" w:hAnsi="Arial"/>
          <w:sz w:val="16"/>
          <w:szCs w:val="16"/>
          <w:color w:val="auto"/>
        </w:rPr>
        <w:t>2.3. All payments under this Agreement shall be made against the issuance of valid invoices by Fortissimo to the Company. Value Added Tax (“</w:t>
      </w:r>
      <w:r>
        <w:rPr>
          <w:rFonts w:ascii="Arial" w:cs="Arial" w:eastAsia="Arial" w:hAnsi="Arial"/>
          <w:sz w:val="16"/>
          <w:szCs w:val="16"/>
          <w:b w:val="1"/>
          <w:bCs w:val="1"/>
          <w:color w:val="auto"/>
        </w:rPr>
        <w:t>VAT</w:t>
      </w:r>
      <w:r>
        <w:rPr>
          <w:rFonts w:ascii="Arial" w:cs="Arial" w:eastAsia="Arial" w:hAnsi="Arial"/>
          <w:sz w:val="16"/>
          <w:szCs w:val="16"/>
          <w:color w:val="auto"/>
        </w:rPr>
        <w:t>”) pursuant to applicable law shall be added to all payments hereunder.</w:t>
      </w:r>
    </w:p>
    <w:p>
      <w:pPr>
        <w:spacing w:after="0" w:line="110" w:lineRule="exact"/>
        <w:rPr>
          <w:sz w:val="20"/>
          <w:szCs w:val="20"/>
          <w:color w:val="auto"/>
        </w:rPr>
      </w:pPr>
    </w:p>
    <w:p>
      <w:pPr>
        <w:jc w:val="both"/>
        <w:ind w:left="940" w:right="119" w:hanging="377"/>
        <w:spacing w:after="0" w:line="289" w:lineRule="auto"/>
        <w:rPr>
          <w:sz w:val="20"/>
          <w:szCs w:val="20"/>
          <w:color w:val="auto"/>
        </w:rPr>
      </w:pPr>
      <w:r>
        <w:rPr>
          <w:rFonts w:ascii="Arial" w:cs="Arial" w:eastAsia="Arial" w:hAnsi="Arial"/>
          <w:sz w:val="16"/>
          <w:szCs w:val="16"/>
          <w:color w:val="auto"/>
        </w:rPr>
        <w:t>2.4. Except for VAT, the Management Fees and the Additional Fees shall be inclusive of all taxes that may be incurred by the Company and/or Fortissimo in connection with the payment thereof, and any such taxes shall be borne by Fortissimo. Furthermore, the Management Fees and Additional Fees are the full and final compensation for the provision of the Management Services and the Board Services and shall be in lieu of any and all payments that are due to the Fortissimo Directors in their capacity as members of the Board or any of its committees to which they are appointed, except for the right to receive options to purchase ordinary shares of the Company granted to the Company’s directors from time to time. Notwithstanding the above, Fortissimo Directors who are not employees, directors or officers of Fortissimo shall be entitled to such compensation, payments and options as are provided to the other Company Board members.</w:t>
      </w:r>
    </w:p>
    <w:p>
      <w:pPr>
        <w:spacing w:after="0" w:line="154" w:lineRule="exact"/>
        <w:rPr>
          <w:sz w:val="20"/>
          <w:szCs w:val="20"/>
          <w:color w:val="auto"/>
        </w:rPr>
      </w:pPr>
    </w:p>
    <w:p>
      <w:pPr>
        <w:ind w:left="560" w:hanging="435"/>
        <w:spacing w:after="0"/>
        <w:tabs>
          <w:tab w:leader="none" w:pos="560" w:val="left"/>
        </w:tabs>
        <w:numPr>
          <w:ilvl w:val="0"/>
          <w:numId w:val="519"/>
        </w:numPr>
        <w:rPr>
          <w:rFonts w:ascii="Arial" w:cs="Arial" w:eastAsia="Arial" w:hAnsi="Arial"/>
          <w:sz w:val="22"/>
          <w:szCs w:val="22"/>
          <w:color w:val="auto"/>
        </w:rPr>
      </w:pPr>
      <w:r>
        <w:rPr>
          <w:rFonts w:ascii="Arial" w:cs="Arial" w:eastAsia="Arial" w:hAnsi="Arial"/>
          <w:sz w:val="22"/>
          <w:szCs w:val="22"/>
          <w:b w:val="1"/>
          <w:bCs w:val="1"/>
          <w:u w:val="single" w:color="auto"/>
          <w:color w:val="auto"/>
        </w:rPr>
        <w:t>T</w:t>
      </w:r>
      <w:r>
        <w:rPr>
          <w:rFonts w:ascii="Arial" w:cs="Arial" w:eastAsia="Arial" w:hAnsi="Arial"/>
          <w:sz w:val="14"/>
          <w:szCs w:val="14"/>
          <w:b w:val="1"/>
          <w:bCs w:val="1"/>
          <w:u w:val="single" w:color="auto"/>
          <w:color w:val="auto"/>
        </w:rPr>
        <w:t>ERM AND</w:t>
      </w:r>
      <w:r>
        <w:rPr>
          <w:rFonts w:ascii="Arial" w:cs="Arial" w:eastAsia="Arial" w:hAnsi="Arial"/>
          <w:sz w:val="22"/>
          <w:szCs w:val="22"/>
          <w:b w:val="1"/>
          <w:bCs w:val="1"/>
          <w:u w:val="single" w:color="auto"/>
          <w:color w:val="auto"/>
        </w:rPr>
        <w:t xml:space="preserve"> T</w:t>
      </w:r>
      <w:r>
        <w:rPr>
          <w:rFonts w:ascii="Arial" w:cs="Arial" w:eastAsia="Arial" w:hAnsi="Arial"/>
          <w:sz w:val="14"/>
          <w:szCs w:val="14"/>
          <w:b w:val="1"/>
          <w:bCs w:val="1"/>
          <w:u w:val="single" w:color="auto"/>
          <w:color w:val="auto"/>
        </w:rPr>
        <w:t>ERMINATION</w:t>
      </w:r>
    </w:p>
    <w:p>
      <w:pPr>
        <w:spacing w:after="0" w:line="219"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3.1. This Agreement shall only come into effect at the Closing of the SPA, following receipt of the approval of the Company’s shareholders at the shareholders meeting.</w:t>
      </w:r>
    </w:p>
    <w:p>
      <w:pPr>
        <w:spacing w:after="0" w:line="157" w:lineRule="exact"/>
        <w:rPr>
          <w:sz w:val="20"/>
          <w:szCs w:val="20"/>
          <w:color w:val="auto"/>
        </w:rPr>
      </w:pPr>
    </w:p>
    <w:p>
      <w:pPr>
        <w:jc w:val="both"/>
        <w:ind w:left="940" w:right="119" w:hanging="377"/>
        <w:spacing w:after="0" w:line="264" w:lineRule="auto"/>
        <w:rPr>
          <w:sz w:val="20"/>
          <w:szCs w:val="20"/>
          <w:color w:val="auto"/>
        </w:rPr>
      </w:pPr>
      <w:r>
        <w:rPr>
          <w:rFonts w:ascii="Arial" w:cs="Arial" w:eastAsia="Arial" w:hAnsi="Arial"/>
          <w:sz w:val="18"/>
          <w:szCs w:val="18"/>
          <w:color w:val="auto"/>
        </w:rPr>
        <w:t>3.2. In the event such approval is not obtained, this Agreement shall expire and become null and void, without giving any right or claim to either party in this respect. Nothing herein shall be deemed to derogate from Fortissimo’s rights under the SPA.</w:t>
      </w:r>
    </w:p>
    <w:p>
      <w:pPr>
        <w:spacing w:after="0" w:line="154" w:lineRule="exact"/>
        <w:rPr>
          <w:sz w:val="20"/>
          <w:szCs w:val="20"/>
          <w:color w:val="auto"/>
        </w:rPr>
      </w:pPr>
    </w:p>
    <w:p>
      <w:pPr>
        <w:jc w:val="both"/>
        <w:ind w:left="940" w:right="119" w:hanging="377"/>
        <w:spacing w:after="0" w:line="257" w:lineRule="auto"/>
        <w:tabs>
          <w:tab w:leader="none" w:pos="920" w:val="left"/>
        </w:tabs>
        <w:rPr>
          <w:sz w:val="20"/>
          <w:szCs w:val="20"/>
          <w:color w:val="auto"/>
        </w:rPr>
      </w:pPr>
      <w:r>
        <w:rPr>
          <w:rFonts w:ascii="Arial" w:cs="Arial" w:eastAsia="Arial" w:hAnsi="Arial"/>
          <w:sz w:val="18"/>
          <w:szCs w:val="18"/>
          <w:color w:val="auto"/>
        </w:rPr>
        <w:t>3.3.</w:t>
        <w:tab/>
        <w:t>This Agreement may be terminated by Board resolution that may be adopted at such time as the Board includes less than two (2) Fortissimo Directors and shall terminate automatically in the event that Fortissimo holds less than fifteen percent (15%) of the Company’s issued share capital. In the event of termination hereunder, Fortissimo shall be entitled to receive a pro-rated part of the Management Fees and Additional Fees until termination becomes effective.</w:t>
      </w:r>
    </w:p>
    <w:p>
      <w:pPr>
        <w:spacing w:after="0" w:line="148" w:lineRule="exact"/>
        <w:rPr>
          <w:sz w:val="20"/>
          <w:szCs w:val="20"/>
          <w:color w:val="auto"/>
        </w:rPr>
      </w:pPr>
    </w:p>
    <w:p>
      <w:pPr>
        <w:jc w:val="both"/>
        <w:ind w:left="580" w:right="119" w:hanging="455"/>
        <w:spacing w:after="0" w:line="236" w:lineRule="auto"/>
        <w:tabs>
          <w:tab w:leader="none" w:pos="602" w:val="left"/>
        </w:tabs>
        <w:numPr>
          <w:ilvl w:val="0"/>
          <w:numId w:val="520"/>
        </w:numPr>
        <w:rPr>
          <w:rFonts w:ascii="Arial" w:cs="Arial" w:eastAsia="Arial" w:hAnsi="Arial"/>
          <w:sz w:val="22"/>
          <w:szCs w:val="22"/>
          <w:color w:val="auto"/>
        </w:rPr>
      </w:pPr>
      <w:r>
        <w:rPr>
          <w:rFonts w:ascii="Arial" w:cs="Arial" w:eastAsia="Arial" w:hAnsi="Arial"/>
          <w:sz w:val="22"/>
          <w:szCs w:val="22"/>
          <w:b w:val="1"/>
          <w:bCs w:val="1"/>
          <w:u w:val="single" w:color="auto"/>
          <w:color w:val="auto"/>
        </w:rPr>
        <w:t>I</w:t>
      </w:r>
      <w:r>
        <w:rPr>
          <w:rFonts w:ascii="Arial" w:cs="Arial" w:eastAsia="Arial" w:hAnsi="Arial"/>
          <w:sz w:val="14"/>
          <w:szCs w:val="14"/>
          <w:b w:val="1"/>
          <w:bCs w:val="1"/>
          <w:u w:val="single" w:color="auto"/>
          <w:color w:val="auto"/>
        </w:rPr>
        <w:t>NDEPENDENT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ONTRACTOR</w:t>
      </w:r>
      <w:r>
        <w:rPr>
          <w:rFonts w:ascii="Arial" w:cs="Arial" w:eastAsia="Arial" w:hAnsi="Arial"/>
          <w:sz w:val="18"/>
          <w:szCs w:val="18"/>
          <w:color w:val="auto"/>
        </w:rPr>
        <w:t>. Fortissimo is an independent contractor and is not an agent or employee of the</w:t>
      </w:r>
      <w:r>
        <w:rPr>
          <w:rFonts w:ascii="Arial" w:cs="Arial" w:eastAsia="Arial" w:hAnsi="Arial"/>
          <w:sz w:val="22"/>
          <w:szCs w:val="22"/>
          <w:b w:val="1"/>
          <w:bCs w:val="1"/>
          <w:color w:val="auto"/>
        </w:rPr>
        <w:t xml:space="preserve"> </w:t>
      </w:r>
      <w:r>
        <w:rPr>
          <w:rFonts w:ascii="Arial" w:cs="Arial" w:eastAsia="Arial" w:hAnsi="Arial"/>
          <w:sz w:val="18"/>
          <w:szCs w:val="18"/>
          <w:color w:val="auto"/>
        </w:rPr>
        <w:t>Company, and has no authority to bind the Company by contract or otherwise. Fortissimo will perform the Management Services under the general direction of the Company.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329" w:name="page330"/>
    <w:bookmarkEnd w:id="329"/>
    <w:p>
      <w:pPr>
        <w:ind w:left="560" w:hanging="435"/>
        <w:spacing w:after="0"/>
        <w:tabs>
          <w:tab w:leader="none" w:pos="560" w:val="left"/>
        </w:tabs>
        <w:numPr>
          <w:ilvl w:val="0"/>
          <w:numId w:val="521"/>
        </w:numPr>
        <w:rPr>
          <w:rFonts w:ascii="Arial" w:cs="Arial" w:eastAsia="Arial" w:hAnsi="Arial"/>
          <w:sz w:val="22"/>
          <w:szCs w:val="22"/>
          <w:color w:val="auto"/>
        </w:rPr>
      </w:pPr>
      <w:r>
        <w:rPr>
          <w:rFonts w:ascii="Arial" w:cs="Arial" w:eastAsia="Arial" w:hAnsi="Arial"/>
          <w:sz w:val="22"/>
          <w:szCs w:val="22"/>
          <w:b w:val="1"/>
          <w:bCs w:val="1"/>
          <w:u w:val="single" w:color="auto"/>
          <w:color w:val="auto"/>
        </w:rPr>
        <w:t>M</w:t>
      </w:r>
      <w:r>
        <w:rPr>
          <w:rFonts w:ascii="Arial" w:cs="Arial" w:eastAsia="Arial" w:hAnsi="Arial"/>
          <w:sz w:val="14"/>
          <w:szCs w:val="14"/>
          <w:b w:val="1"/>
          <w:bCs w:val="1"/>
          <w:u w:val="single" w:color="auto"/>
          <w:color w:val="auto"/>
        </w:rPr>
        <w:t>ISCELLANEOUS</w:t>
      </w:r>
    </w:p>
    <w:p>
      <w:pPr>
        <w:spacing w:after="0" w:line="233" w:lineRule="exact"/>
        <w:rPr>
          <w:sz w:val="20"/>
          <w:szCs w:val="20"/>
          <w:color w:val="auto"/>
        </w:rPr>
      </w:pPr>
    </w:p>
    <w:p>
      <w:pPr>
        <w:jc w:val="both"/>
        <w:ind w:left="940" w:right="119" w:hanging="377"/>
        <w:spacing w:after="0" w:line="28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r>
        <w:rPr>
          <w:sz w:val="20"/>
          <w:szCs w:val="20"/>
          <w:color w:val="auto"/>
        </w:rPr>
        <w:t xml:space="preserve"> </w:t>
      </w:r>
      <w:r>
        <w:rPr>
          <w:rFonts w:ascii="Arial" w:cs="Arial" w:eastAsia="Arial" w:hAnsi="Arial"/>
          <w:sz w:val="17"/>
          <w:szCs w:val="17"/>
          <w:color w:val="auto"/>
        </w:rPr>
        <w:t>This Agreement and the SPA contain the entire agreement of the parties with relation to the subject matter hereof, and cancel and supersede all prior and contemporaneous negotiations, correspondence, understandings and agreements (oral or written) of the parties relating to such subject matter.</w:t>
      </w:r>
    </w:p>
    <w:p>
      <w:pPr>
        <w:spacing w:after="0" w:line="166"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Amendment</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Except for termination under Section 3.3, this Agreement may not be modified or amended except by mutual written agreement of the parties.</w:t>
      </w:r>
    </w:p>
    <w:p>
      <w:pPr>
        <w:spacing w:after="0" w:line="170" w:lineRule="exact"/>
        <w:rPr>
          <w:sz w:val="20"/>
          <w:szCs w:val="20"/>
          <w:color w:val="auto"/>
        </w:rPr>
      </w:pPr>
    </w:p>
    <w:p>
      <w:pPr>
        <w:jc w:val="both"/>
        <w:ind w:left="940" w:right="119" w:hanging="377"/>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 Waiver</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w:t>
      </w:r>
    </w:p>
    <w:p>
      <w:pPr>
        <w:spacing w:after="0" w:line="181" w:lineRule="exact"/>
        <w:rPr>
          <w:sz w:val="20"/>
          <w:szCs w:val="20"/>
          <w:color w:val="auto"/>
        </w:rPr>
      </w:pPr>
    </w:p>
    <w:p>
      <w:pPr>
        <w:jc w:val="both"/>
        <w:ind w:left="940" w:right="119" w:hanging="377"/>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Assignment</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Except as provided herein, this Agreement shall not be assigned by a party hereof to a third party without the other party’s prior written consent and any attempt to effect an assignment of this Agreement or any portion thereof without obtaining such consent shall be null and void.</w:t>
      </w:r>
    </w:p>
    <w:p>
      <w:pPr>
        <w:spacing w:after="0" w:line="181"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Severability</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In case any one or more of the provisions contained in this Agreement shall for any reason be held to be invalid, illegal or unenforceable in any respect, such invalidity, illegality or unenforceability shall not affect any other provision hereof and this Agreement shall be construed as if such invalid, illegal or unenforceable provision had never been contained herein</w:t>
      </w:r>
    </w:p>
    <w:p>
      <w:pPr>
        <w:spacing w:after="0" w:line="187" w:lineRule="exact"/>
        <w:rPr>
          <w:sz w:val="20"/>
          <w:szCs w:val="20"/>
          <w:color w:val="auto"/>
        </w:rPr>
      </w:pPr>
    </w:p>
    <w:p>
      <w:pPr>
        <w:jc w:val="both"/>
        <w:ind w:left="940" w:right="119" w:hanging="377"/>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Notices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Any notice under this Agreement shall be in writing and shall be deemed to have been duly given for all purposes (a) seven (7) days after it is mailed by registered mail; (b) upon the transmittal thereof by facsimile or email; or (c) upon the manual delivery thereof, to the respective party’s address set forth in the preamble or to such other address with respect to a party as such party shall notify the other party in accordance with the above.</w:t>
      </w:r>
    </w:p>
    <w:p>
      <w:pPr>
        <w:spacing w:after="0" w:line="188"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Counterparts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This Agreement may be executed in multiple counterparts, including, without limitation, by facsimile signature, which taken together shall constitute a single document.</w:t>
      </w:r>
    </w:p>
    <w:p>
      <w:pPr>
        <w:spacing w:after="0" w:line="170" w:lineRule="exact"/>
        <w:rPr>
          <w:sz w:val="20"/>
          <w:szCs w:val="20"/>
          <w:color w:val="auto"/>
        </w:rPr>
      </w:pPr>
    </w:p>
    <w:p>
      <w:pPr>
        <w:jc w:val="both"/>
        <w:ind w:left="940" w:right="119" w:hanging="377"/>
        <w:spacing w:after="0" w:line="257" w:lineRule="auto"/>
        <w:tabs>
          <w:tab w:leader="none" w:pos="9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This Agreement and the transactions contemplated hereunder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governed by and construed in accordance with the laws of the State of Israel, without giving effect to rules respecting conflict of law that would cause the laws of any jurisdiction other than the State of Israel to be applied. The competent courts of Tel Aviv-Jaffa shall have sole and exclusive jurisdiction to hear and resolve any disputes among the parties related to this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OLLOW</w:t>
      </w:r>
      <w:r>
        <w:rPr>
          <w:rFonts w:ascii="Arial" w:cs="Arial" w:eastAsia="Arial" w:hAnsi="Arial"/>
          <w:sz w:val="22"/>
          <w:szCs w:val="22"/>
          <w:b w:val="1"/>
          <w:bCs w:val="1"/>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330" w:name="page331"/>
    <w:bookmarkEnd w:id="330"/>
    <w:p>
      <w:pPr>
        <w:ind w:left="12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have signed this Management Services Agreement as of the date first set forth above.</w:t>
      </w:r>
    </w:p>
    <w:p>
      <w:pPr>
        <w:spacing w:after="0" w:line="248" w:lineRule="exact"/>
        <w:rPr>
          <w:sz w:val="20"/>
          <w:szCs w:val="20"/>
          <w:color w:val="auto"/>
        </w:rPr>
      </w:pPr>
    </w:p>
    <w:p>
      <w:pPr>
        <w:ind w:left="700"/>
        <w:spacing w:after="0"/>
        <w:tabs>
          <w:tab w:leader="none" w:pos="4800" w:val="left"/>
        </w:tabs>
        <w:rPr>
          <w:sz w:val="20"/>
          <w:szCs w:val="20"/>
          <w:color w:val="auto"/>
        </w:rPr>
      </w:pPr>
      <w:r>
        <w:rPr>
          <w:rFonts w:ascii="Arial" w:cs="Arial" w:eastAsia="Arial" w:hAnsi="Arial"/>
          <w:sz w:val="18"/>
          <w:szCs w:val="18"/>
          <w:b w:val="1"/>
          <w:bCs w:val="1"/>
          <w:color w:val="auto"/>
        </w:rPr>
        <w:t>Kornit Digital Ltd.</w:t>
      </w:r>
      <w:r>
        <w:rPr>
          <w:sz w:val="20"/>
          <w:szCs w:val="20"/>
          <w:color w:val="auto"/>
        </w:rPr>
        <w:tab/>
      </w:r>
      <w:r>
        <w:rPr>
          <w:rFonts w:ascii="Arial" w:cs="Arial" w:eastAsia="Arial" w:hAnsi="Arial"/>
          <w:sz w:val="16"/>
          <w:szCs w:val="16"/>
          <w:b w:val="1"/>
          <w:bCs w:val="1"/>
          <w:color w:val="auto"/>
        </w:rPr>
        <w:t>Fortissimo Capital Fund II (Israel) L.P.</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Fortissimo Capital Fund II (GP), L.P., its general</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partner, by Fortissimo Capital 2 Management (GP) Ltd.,</w:t>
      </w:r>
    </w:p>
    <w:p>
      <w:pPr>
        <w:spacing w:after="0" w:line="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c>
          <w:tcPr>
            <w:tcW w:w="2120" w:type="dxa"/>
            <w:vAlign w:val="bottom"/>
          </w:tcPr>
          <w:p>
            <w:pPr>
              <w:ind w:left="140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Yuval Cohen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c>
          <w:tcPr>
            <w:tcW w:w="2120" w:type="dxa"/>
            <w:vAlign w:val="bottom"/>
          </w:tcPr>
          <w:p>
            <w:pPr>
              <w:ind w:left="1400"/>
              <w:spacing w:after="0"/>
              <w:rPr>
                <w:sz w:val="20"/>
                <w:szCs w:val="20"/>
                <w:color w:val="auto"/>
              </w:rPr>
            </w:pPr>
            <w:r>
              <w:rPr>
                <w:rFonts w:ascii="Arial" w:cs="Arial" w:eastAsia="Arial" w:hAnsi="Arial"/>
                <w:sz w:val="18"/>
                <w:szCs w:val="18"/>
                <w:color w:val="auto"/>
              </w:rPr>
              <w:t>Name: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Yuval Cohen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2120" w:type="dxa"/>
            <w:vAlign w:val="bottom"/>
          </w:tcPr>
          <w:p>
            <w:pPr>
              <w:ind w:left="1400"/>
              <w:spacing w:after="0"/>
              <w:rPr>
                <w:sz w:val="20"/>
                <w:szCs w:val="20"/>
                <w:color w:val="auto"/>
              </w:rPr>
            </w:pPr>
            <w:r>
              <w:rPr>
                <w:rFonts w:ascii="Arial" w:cs="Arial" w:eastAsia="Arial" w:hAnsi="Arial"/>
                <w:sz w:val="18"/>
                <w:szCs w:val="18"/>
                <w:color w:val="auto"/>
              </w:rPr>
              <w:t>Title: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and Director</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Moshe Nur</w:t>
            </w:r>
          </w:p>
        </w:tc>
        <w:tc>
          <w:tcPr>
            <w:tcW w:w="21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Moshe Nur</w:t>
            </w:r>
          </w:p>
        </w:tc>
        <w:tc>
          <w:tcPr>
            <w:tcW w:w="2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w:t>
            </w:r>
          </w:p>
        </w:tc>
        <w:tc>
          <w:tcPr>
            <w:tcW w:w="2120" w:type="dxa"/>
            <w:vAlign w:val="bottom"/>
          </w:tcPr>
          <w:p>
            <w:pPr>
              <w:spacing w:after="0"/>
              <w:rPr>
                <w:sz w:val="18"/>
                <w:szCs w:val="18"/>
                <w:color w:val="auto"/>
              </w:rPr>
            </w:pPr>
          </w:p>
        </w:tc>
        <w:tc>
          <w:tcPr>
            <w:tcW w:w="3360" w:type="dxa"/>
            <w:vAlign w:val="bottom"/>
          </w:tcPr>
          <w:p>
            <w:pPr>
              <w:spacing w:after="0"/>
              <w:rPr>
                <w:sz w:val="18"/>
                <w:szCs w:val="18"/>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1" w:name="page332"/>
    <w:bookmarkEnd w:id="331"/>
    <w:p>
      <w:pPr>
        <w:ind w:left="12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have signed this Management Services Agreement as of the date first set forth above.</w:t>
      </w:r>
    </w:p>
    <w:p>
      <w:pPr>
        <w:spacing w:after="0" w:line="248" w:lineRule="exact"/>
        <w:rPr>
          <w:sz w:val="20"/>
          <w:szCs w:val="20"/>
          <w:color w:val="auto"/>
        </w:rPr>
      </w:pPr>
    </w:p>
    <w:p>
      <w:pPr>
        <w:ind w:left="700"/>
        <w:spacing w:after="0"/>
        <w:tabs>
          <w:tab w:leader="none" w:pos="4800" w:val="left"/>
        </w:tabs>
        <w:rPr>
          <w:sz w:val="20"/>
          <w:szCs w:val="20"/>
          <w:color w:val="auto"/>
        </w:rPr>
      </w:pPr>
      <w:r>
        <w:rPr>
          <w:rFonts w:ascii="Arial" w:cs="Arial" w:eastAsia="Arial" w:hAnsi="Arial"/>
          <w:sz w:val="18"/>
          <w:szCs w:val="18"/>
          <w:b w:val="1"/>
          <w:bCs w:val="1"/>
          <w:color w:val="auto"/>
        </w:rPr>
        <w:t>Kornit Digital Ltd.</w:t>
      </w:r>
      <w:r>
        <w:rPr>
          <w:sz w:val="20"/>
          <w:szCs w:val="20"/>
          <w:color w:val="auto"/>
        </w:rPr>
        <w:tab/>
      </w:r>
      <w:r>
        <w:rPr>
          <w:rFonts w:ascii="Arial" w:cs="Arial" w:eastAsia="Arial" w:hAnsi="Arial"/>
          <w:sz w:val="16"/>
          <w:szCs w:val="16"/>
          <w:b w:val="1"/>
          <w:bCs w:val="1"/>
          <w:color w:val="auto"/>
        </w:rPr>
        <w:t>Fortissimo Capital Fund II (Israel) L.P.</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Fortissimo Capital Fund II (GP), L.P., its general</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partner, by Fortissimo Capital 2 Management (GP) Ltd.,</w:t>
      </w:r>
    </w:p>
    <w:p>
      <w:pPr>
        <w:spacing w:after="0" w:line="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120" w:type="dxa"/>
            <w:vAlign w:val="bottom"/>
            <w:tcBorders>
              <w:bottom w:val="single" w:sz="8" w:color="auto"/>
            </w:tcBorders>
          </w:tcPr>
          <w:p>
            <w:pPr>
              <w:spacing w:after="0"/>
              <w:rPr>
                <w:sz w:val="20"/>
                <w:szCs w:val="20"/>
                <w:color w:val="auto"/>
              </w:rPr>
            </w:pPr>
          </w:p>
        </w:tc>
        <w:tc>
          <w:tcPr>
            <w:tcW w:w="2120" w:type="dxa"/>
            <w:vAlign w:val="bottom"/>
          </w:tcPr>
          <w:p>
            <w:pPr>
              <w:ind w:left="140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120" w:type="dxa"/>
            <w:vAlign w:val="bottom"/>
            <w:tcBorders>
              <w:bottom w:val="single" w:sz="8" w:color="auto"/>
            </w:tcBorders>
          </w:tcPr>
          <w:p>
            <w:pPr>
              <w:spacing w:after="0"/>
              <w:rPr>
                <w:sz w:val="18"/>
                <w:szCs w:val="18"/>
                <w:color w:val="auto"/>
              </w:rPr>
            </w:pPr>
          </w:p>
        </w:tc>
        <w:tc>
          <w:tcPr>
            <w:tcW w:w="2120" w:type="dxa"/>
            <w:vAlign w:val="bottom"/>
          </w:tcPr>
          <w:p>
            <w:pPr>
              <w:ind w:left="1400"/>
              <w:spacing w:after="0"/>
              <w:rPr>
                <w:sz w:val="20"/>
                <w:szCs w:val="20"/>
                <w:color w:val="auto"/>
              </w:rPr>
            </w:pPr>
            <w:r>
              <w:rPr>
                <w:rFonts w:ascii="Arial" w:cs="Arial" w:eastAsia="Arial" w:hAnsi="Arial"/>
                <w:sz w:val="18"/>
                <w:szCs w:val="18"/>
                <w:color w:val="auto"/>
              </w:rPr>
              <w:t>Name: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Yuval Cohen</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120" w:type="dxa"/>
            <w:vAlign w:val="bottom"/>
            <w:tcBorders>
              <w:bottom w:val="single" w:sz="8" w:color="auto"/>
            </w:tcBorders>
          </w:tcPr>
          <w:p>
            <w:pPr>
              <w:spacing w:after="0"/>
              <w:rPr>
                <w:sz w:val="18"/>
                <w:szCs w:val="18"/>
                <w:color w:val="auto"/>
              </w:rPr>
            </w:pPr>
          </w:p>
        </w:tc>
        <w:tc>
          <w:tcPr>
            <w:tcW w:w="2120" w:type="dxa"/>
            <w:vAlign w:val="bottom"/>
          </w:tcPr>
          <w:p>
            <w:pPr>
              <w:ind w:left="1400"/>
              <w:spacing w:after="0"/>
              <w:rPr>
                <w:sz w:val="20"/>
                <w:szCs w:val="20"/>
                <w:color w:val="auto"/>
              </w:rPr>
            </w:pPr>
            <w:r>
              <w:rPr>
                <w:rFonts w:ascii="Arial" w:cs="Arial" w:eastAsia="Arial" w:hAnsi="Arial"/>
                <w:sz w:val="18"/>
                <w:szCs w:val="18"/>
                <w:color w:val="auto"/>
              </w:rPr>
              <w:t>Title: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&amp; Dir</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-130810</wp:posOffset>
            </wp:positionV>
            <wp:extent cx="13550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-130810</wp:posOffset>
            </wp:positionV>
            <wp:extent cx="13550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55090" cy="8890"/>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14605</wp:posOffset>
            </wp:positionV>
            <wp:extent cx="13550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2" w:name="page333"/>
    <w:bookmarkEnd w:id="332"/>
    <w:p>
      <w:pPr>
        <w:ind w:left="10240"/>
        <w:spacing w:after="0"/>
        <w:rPr>
          <w:sz w:val="20"/>
          <w:szCs w:val="20"/>
          <w:color w:val="auto"/>
        </w:rPr>
      </w:pPr>
      <w:r>
        <w:rPr>
          <w:rFonts w:ascii="Arial" w:cs="Arial" w:eastAsia="Arial" w:hAnsi="Arial"/>
          <w:sz w:val="16"/>
          <w:szCs w:val="16"/>
          <w:b w:val="1"/>
          <w:bCs w:val="1"/>
          <w:color w:val="auto"/>
        </w:rPr>
        <w:t>Exhibit 10.19</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English Summary of the Lease Agreement dated as of March 25, 2010 by and between Benbenishti Engineering Ltd. (the "</w:t>
      </w:r>
      <w:r>
        <w:rPr>
          <w:rFonts w:ascii="Arial" w:cs="Arial" w:eastAsia="Arial" w:hAnsi="Arial"/>
          <w:sz w:val="18"/>
          <w:szCs w:val="18"/>
          <w:b w:val="1"/>
          <w:bCs w:val="1"/>
          <w:color w:val="auto"/>
        </w:rPr>
        <w:t>Landlord</w:t>
      </w:r>
      <w:r>
        <w:rPr>
          <w:rFonts w:ascii="Arial" w:cs="Arial" w:eastAsia="Arial" w:hAnsi="Arial"/>
          <w:sz w:val="18"/>
          <w:szCs w:val="18"/>
          <w:color w:val="auto"/>
        </w:rPr>
        <w:t>") and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(the "</w:t>
      </w:r>
      <w:r>
        <w:rPr>
          <w:rFonts w:ascii="Arial" w:cs="Arial" w:eastAsia="Arial" w:hAnsi="Arial"/>
          <w:sz w:val="18"/>
          <w:szCs w:val="18"/>
          <w:b w:val="1"/>
          <w:bCs w:val="1"/>
          <w:color w:val="auto"/>
        </w:rPr>
        <w:t>Original Lease Agreement</w:t>
      </w:r>
      <w:r>
        <w:rPr>
          <w:rFonts w:ascii="Arial" w:cs="Arial" w:eastAsia="Arial" w:hAnsi="Arial"/>
          <w:sz w:val="18"/>
          <w:szCs w:val="18"/>
          <w:color w:val="auto"/>
        </w:rPr>
        <w:t>"), as amended by an Addendum dated November 21, 2011 and by an Addendum dated September 16, 2014 (collectively, the "</w:t>
      </w:r>
      <w:r>
        <w:rPr>
          <w:rFonts w:ascii="Arial" w:cs="Arial" w:eastAsia="Arial" w:hAnsi="Arial"/>
          <w:sz w:val="18"/>
          <w:szCs w:val="18"/>
          <w:b w:val="1"/>
          <w:bCs w:val="1"/>
          <w:color w:val="auto"/>
        </w:rPr>
        <w:t>Lease Agreement</w:t>
      </w:r>
      <w:r>
        <w:rPr>
          <w:rFonts w:ascii="Arial" w:cs="Arial" w:eastAsia="Arial" w:hAnsi="Arial"/>
          <w:sz w:val="18"/>
          <w:szCs w:val="18"/>
          <w:color w:val="auto"/>
        </w:rPr>
        <w:t>").</w:t>
      </w:r>
    </w:p>
    <w:p>
      <w:pPr>
        <w:spacing w:after="0" w:line="180" w:lineRule="exact"/>
        <w:rPr>
          <w:sz w:val="20"/>
          <w:szCs w:val="20"/>
          <w:color w:val="auto"/>
        </w:rPr>
      </w:pPr>
    </w:p>
    <w:p>
      <w:pPr>
        <w:jc w:val="both"/>
        <w:ind w:left="640" w:hanging="316"/>
        <w:spacing w:after="0" w:line="246" w:lineRule="auto"/>
        <w:tabs>
          <w:tab w:leader="none" w:pos="640" w:val="left"/>
        </w:tabs>
        <w:numPr>
          <w:ilvl w:val="0"/>
          <w:numId w:val="522"/>
        </w:numPr>
        <w:rPr>
          <w:rFonts w:ascii="Arial" w:cs="Arial" w:eastAsia="Arial" w:hAnsi="Arial"/>
          <w:sz w:val="20"/>
          <w:szCs w:val="20"/>
          <w:color w:val="auto"/>
        </w:rPr>
      </w:pPr>
      <w:r>
        <w:rPr>
          <w:rFonts w:ascii="Arial" w:cs="Arial" w:eastAsia="Arial" w:hAnsi="Arial"/>
          <w:sz w:val="18"/>
          <w:szCs w:val="18"/>
          <w:u w:val="single" w:color="auto"/>
          <w:color w:val="auto"/>
        </w:rPr>
        <w:t>Subject Matter of the Original Lease Agreement</w:t>
      </w:r>
      <w:r>
        <w:rPr>
          <w:rFonts w:ascii="Arial" w:cs="Arial" w:eastAsia="Arial" w:hAnsi="Arial"/>
          <w:sz w:val="18"/>
          <w:szCs w:val="18"/>
          <w:color w:val="auto"/>
        </w:rPr>
        <w:t>: Unprotected lease of the ground floor in the Building (as defined in the Original Lease Agreement) and 10 Parking Spaces (the "</w:t>
      </w:r>
      <w:r>
        <w:rPr>
          <w:rFonts w:ascii="Arial" w:cs="Arial" w:eastAsia="Arial" w:hAnsi="Arial"/>
          <w:sz w:val="18"/>
          <w:szCs w:val="18"/>
          <w:b w:val="1"/>
          <w:bCs w:val="1"/>
          <w:color w:val="auto"/>
        </w:rPr>
        <w:t>Original Premises</w:t>
      </w:r>
      <w:r>
        <w:rPr>
          <w:rFonts w:ascii="Arial" w:cs="Arial" w:eastAsia="Arial" w:hAnsi="Arial"/>
          <w:sz w:val="18"/>
          <w:szCs w:val="18"/>
          <w:color w:val="auto"/>
        </w:rPr>
        <w:t>") that will be used by the company for the purpose of manufacture and storage of ink products. Premises are located in Kiryat Gat, Israel.</w:t>
      </w:r>
    </w:p>
    <w:p>
      <w:pPr>
        <w:spacing w:after="0" w:line="2" w:lineRule="exact"/>
        <w:rPr>
          <w:rFonts w:ascii="Arial" w:cs="Arial" w:eastAsia="Arial" w:hAnsi="Arial"/>
          <w:sz w:val="20"/>
          <w:szCs w:val="20"/>
          <w:color w:val="auto"/>
        </w:rPr>
      </w:pPr>
    </w:p>
    <w:p>
      <w:pPr>
        <w:ind w:left="640" w:hanging="316"/>
        <w:spacing w:after="0"/>
        <w:tabs>
          <w:tab w:leader="none" w:pos="640"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Term of Original Lease Agreement</w:t>
      </w:r>
      <w:r>
        <w:rPr>
          <w:rFonts w:ascii="Arial" w:cs="Arial" w:eastAsia="Arial" w:hAnsi="Arial"/>
          <w:sz w:val="18"/>
          <w:szCs w:val="18"/>
          <w:color w:val="auto"/>
        </w:rPr>
        <w:t>:</w:t>
      </w:r>
    </w:p>
    <w:p>
      <w:pPr>
        <w:spacing w:after="0" w:line="9" w:lineRule="exact"/>
        <w:rPr>
          <w:sz w:val="20"/>
          <w:szCs w:val="20"/>
          <w:color w:val="auto"/>
        </w:rPr>
      </w:pPr>
    </w:p>
    <w:p>
      <w:pPr>
        <w:ind w:left="1260" w:hanging="315"/>
        <w:spacing w:after="0" w:line="250" w:lineRule="auto"/>
        <w:tabs>
          <w:tab w:leader="none" w:pos="12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term of the Original Lease Agreement is five (5) years commencing on June 1, 2010 and ending on May 30, 2015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Lease Period</w:t>
      </w:r>
      <w:r>
        <w:rPr>
          <w:rFonts w:ascii="Arial" w:cs="Arial" w:eastAsia="Arial" w:hAnsi="Arial"/>
          <w:sz w:val="18"/>
          <w:szCs w:val="18"/>
          <w:color w:val="auto"/>
        </w:rPr>
        <w:t>").</w:t>
      </w:r>
    </w:p>
    <w:p>
      <w:pPr>
        <w:jc w:val="both"/>
        <w:ind w:left="1260" w:hanging="315"/>
        <w:spacing w:after="0" w:line="250" w:lineRule="auto"/>
        <w:tabs>
          <w:tab w:leader="none" w:pos="12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Company was given the option to extend the term of the Original Lease Period by a three (3) years period, ending on May 30, 2018 (the "</w:t>
      </w:r>
      <w:r>
        <w:rPr>
          <w:rFonts w:ascii="Arial" w:cs="Arial" w:eastAsia="Arial" w:hAnsi="Arial"/>
          <w:sz w:val="18"/>
          <w:szCs w:val="18"/>
          <w:b w:val="1"/>
          <w:bCs w:val="1"/>
          <w:color w:val="auto"/>
        </w:rPr>
        <w:t>Extension Period</w:t>
      </w:r>
      <w:r>
        <w:rPr>
          <w:rFonts w:ascii="Arial" w:cs="Arial" w:eastAsia="Arial" w:hAnsi="Arial"/>
          <w:sz w:val="18"/>
          <w:szCs w:val="18"/>
          <w:color w:val="auto"/>
        </w:rPr>
        <w:t>"). This extension option is subject to the condition that the Company will provide a written notice, at least 120 days before the end of the Original Lease Period.</w:t>
      </w:r>
    </w:p>
    <w:p>
      <w:pPr>
        <w:spacing w:after="0" w:line="1" w:lineRule="exact"/>
        <w:rPr>
          <w:rFonts w:ascii="Arial" w:cs="Arial" w:eastAsia="Arial" w:hAnsi="Arial"/>
          <w:sz w:val="18"/>
          <w:szCs w:val="18"/>
          <w:color w:val="auto"/>
        </w:rPr>
      </w:pPr>
    </w:p>
    <w:p>
      <w:pPr>
        <w:ind w:left="1260" w:hanging="315"/>
        <w:spacing w:after="0" w:line="250" w:lineRule="auto"/>
        <w:tabs>
          <w:tab w:leader="none" w:pos="12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term of the of the Original Lease Period is still in effect and, as mentioned above, expected to expire on May 30, 2015 unless the Company exercises its right to extend the Original Lease Period.</w:t>
      </w:r>
    </w:p>
    <w:p>
      <w:pPr>
        <w:ind w:left="640" w:hanging="316"/>
        <w:spacing w:after="0"/>
        <w:tabs>
          <w:tab w:leader="none" w:pos="64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Addendum to the Original Lease Agreement</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1260" w:hanging="315"/>
        <w:spacing w:after="0" w:line="250" w:lineRule="auto"/>
        <w:tabs>
          <w:tab w:leader="none" w:pos="12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On November 21, 2011, the Company and the Landlord signed an Addendum to the Original Lease Agreement, in which the company leased additional premises on the first floor of the Building (also in an unprotected lease) (the "</w:t>
      </w:r>
      <w:r>
        <w:rPr>
          <w:rFonts w:ascii="Arial" w:cs="Arial" w:eastAsia="Arial" w:hAnsi="Arial"/>
          <w:sz w:val="18"/>
          <w:szCs w:val="18"/>
          <w:b w:val="1"/>
          <w:bCs w:val="1"/>
          <w:color w:val="auto"/>
        </w:rPr>
        <w:t>Additional Premises Lease</w:t>
      </w:r>
      <w:r>
        <w:rPr>
          <w:rFonts w:ascii="Arial" w:cs="Arial" w:eastAsia="Arial" w:hAnsi="Arial"/>
          <w:sz w:val="18"/>
          <w:szCs w:val="18"/>
          <w:color w:val="auto"/>
        </w:rPr>
        <w:t>" and together with the Original Premises, the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260" w:hanging="315"/>
        <w:spacing w:after="0" w:line="250" w:lineRule="auto"/>
        <w:tabs>
          <w:tab w:leader="none" w:pos="12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term of the Additional Premises Lease was three (3) years, commencing on March 1, 2011 (the "</w:t>
      </w:r>
      <w:r>
        <w:rPr>
          <w:rFonts w:ascii="Arial" w:cs="Arial" w:eastAsia="Arial" w:hAnsi="Arial"/>
          <w:sz w:val="18"/>
          <w:szCs w:val="18"/>
          <w:b w:val="1"/>
          <w:bCs w:val="1"/>
          <w:color w:val="auto"/>
        </w:rPr>
        <w:t>Additional Premises Lease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p>
    <w:p>
      <w:pPr>
        <w:ind w:left="1260" w:hanging="315"/>
        <w:spacing w:after="0" w:line="250" w:lineRule="auto"/>
        <w:tabs>
          <w:tab w:leader="none" w:pos="12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Company was given the option to extend the term of the Additional Premises Lease Period by a two (2) year period, ending on May 30, 2015. The Company subsequently exercised this option.</w:t>
      </w:r>
    </w:p>
    <w:p>
      <w:pPr>
        <w:ind w:left="640" w:hanging="316"/>
        <w:spacing w:after="0"/>
        <w:tabs>
          <w:tab w:leader="none" w:pos="64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Premises Covered by the Lease Agreement</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1260" w:hanging="315"/>
        <w:spacing w:after="0" w:line="250" w:lineRule="auto"/>
        <w:tabs>
          <w:tab w:leader="none" w:pos="12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Under the Original Lease, the Company leased 1,082.5 square meters (gross) (approximately 11,500 square feet) and 10 Parking Spaces. Pursuant to the Original Lease, the property was leased to the Company in an "AS-IS" condition, except for a 100 square meters space inside the property that was needed for renovation in order to accommodate it to office space.</w:t>
      </w:r>
    </w:p>
    <w:p>
      <w:pPr>
        <w:spacing w:after="0" w:line="1" w:lineRule="exact"/>
        <w:rPr>
          <w:sz w:val="20"/>
          <w:szCs w:val="20"/>
          <w:color w:val="auto"/>
        </w:rPr>
      </w:pPr>
    </w:p>
    <w:p>
      <w:pPr>
        <w:ind w:left="1300" w:hanging="328"/>
        <w:spacing w:after="0" w:line="261" w:lineRule="auto"/>
        <w:tabs>
          <w:tab w:leader="none" w:pos="13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In addition, beginning in March 2011, the Company leased the Additional Premises, which is comprised of 291 square meters (gross) (approximately 3,100 square feet).</w:t>
      </w:r>
    </w:p>
    <w:p>
      <w:pPr>
        <w:spacing w:after="0" w:line="183" w:lineRule="exact"/>
        <w:rPr>
          <w:rFonts w:ascii="Arial" w:cs="Arial" w:eastAsia="Arial" w:hAnsi="Arial"/>
          <w:sz w:val="18"/>
          <w:szCs w:val="18"/>
          <w:color w:val="auto"/>
        </w:rPr>
      </w:pPr>
    </w:p>
    <w:p>
      <w:pPr>
        <w:ind w:left="640" w:hanging="316"/>
        <w:spacing w:after="0"/>
        <w:tabs>
          <w:tab w:leader="none" w:pos="64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Rental Fees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left="1300" w:hanging="328"/>
        <w:spacing w:after="0" w:line="250" w:lineRule="auto"/>
        <w:tabs>
          <w:tab w:leader="none" w:pos="13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Under the terms of the Lease Agreement, during the first two (2) years of the Original Lease Period, the monthly rental fees for the Original Premises were NIS 30 per square meter plus VAT for the Original Premises and, through November 1, 2013, 26 NIS plus VAT per square meter for the Additional Premises (the “</w:t>
      </w:r>
      <w:r>
        <w:rPr>
          <w:rFonts w:ascii="Arial" w:cs="Arial" w:eastAsia="Arial" w:hAnsi="Arial"/>
          <w:sz w:val="18"/>
          <w:szCs w:val="18"/>
          <w:b w:val="1"/>
          <w:bCs w:val="1"/>
          <w:color w:val="auto"/>
        </w:rPr>
        <w:t>Basic Rental Fee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300" w:hanging="328"/>
        <w:spacing w:after="0" w:line="261" w:lineRule="auto"/>
        <w:tabs>
          <w:tab w:leader="none" w:pos="13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From the period beginning on June 1, 2012 with respect to the Original Premises and the period beginning November 2, 2013 with respect to the Additional Premises, the</w:t>
      </w:r>
    </w:p>
    <w:p>
      <w:pPr>
        <w:sectPr>
          <w:pgSz w:w="11900" w:h="16838" w:orient="portrait"/>
          <w:cols w:equalWidth="0" w:num="1">
            <w:col w:w="11260"/>
          </w:cols>
          <w:pgMar w:left="320" w:top="121" w:right="319" w:bottom="1440" w:gutter="0" w:footer="0" w:header="0"/>
        </w:sectPr>
      </w:pPr>
    </w:p>
    <w:bookmarkStart w:id="333" w:name="page334"/>
    <w:bookmarkEnd w:id="333"/>
    <w:p>
      <w:pPr>
        <w:ind w:left="976"/>
        <w:spacing w:after="0"/>
        <w:rPr>
          <w:sz w:val="20"/>
          <w:szCs w:val="20"/>
          <w:color w:val="auto"/>
        </w:rPr>
      </w:pPr>
      <w:r>
        <w:rPr>
          <w:rFonts w:ascii="Arial" w:cs="Arial" w:eastAsia="Arial" w:hAnsi="Arial"/>
          <w:sz w:val="18"/>
          <w:szCs w:val="18"/>
          <w:color w:val="auto"/>
        </w:rPr>
        <w:t>Basic Rental Fee increases each year by 2.5% compared to the Basic Rental Fee in the previous year.</w:t>
      </w:r>
    </w:p>
    <w:p>
      <w:pPr>
        <w:spacing w:after="0" w:line="23" w:lineRule="exact"/>
        <w:rPr>
          <w:sz w:val="20"/>
          <w:szCs w:val="20"/>
          <w:color w:val="auto"/>
        </w:rPr>
      </w:pPr>
    </w:p>
    <w:p>
      <w:pPr>
        <w:ind w:left="976" w:hanging="328"/>
        <w:spacing w:after="0"/>
        <w:tabs>
          <w:tab w:leader="none" w:pos="976"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all cases, rental fees shall be increased (but not decreased) based on changes to the Israeli Consumer Price Index.</w:t>
      </w:r>
    </w:p>
    <w:p>
      <w:pPr>
        <w:spacing w:after="0" w:line="9" w:lineRule="exact"/>
        <w:rPr>
          <w:rFonts w:ascii="Arial" w:cs="Arial" w:eastAsia="Arial" w:hAnsi="Arial"/>
          <w:sz w:val="18"/>
          <w:szCs w:val="18"/>
          <w:color w:val="auto"/>
        </w:rPr>
      </w:pPr>
    </w:p>
    <w:p>
      <w:pPr>
        <w:ind w:left="316" w:hanging="316"/>
        <w:spacing w:after="0"/>
        <w:tabs>
          <w:tab w:leader="none" w:pos="316"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976" w:hanging="328"/>
        <w:spacing w:after="0" w:line="250" w:lineRule="auto"/>
        <w:tabs>
          <w:tab w:leader="none" w:pos="976" w:val="left"/>
        </w:tabs>
        <w:numPr>
          <w:ilvl w:val="1"/>
          <w:numId w:val="525"/>
        </w:numPr>
        <w:rPr>
          <w:rFonts w:ascii="Arial" w:cs="Arial" w:eastAsia="Arial" w:hAnsi="Arial"/>
          <w:sz w:val="18"/>
          <w:szCs w:val="18"/>
          <w:color w:val="auto"/>
        </w:rPr>
      </w:pPr>
      <w:r>
        <w:rPr>
          <w:rFonts w:ascii="Arial" w:cs="Arial" w:eastAsia="Arial" w:hAnsi="Arial"/>
          <w:sz w:val="18"/>
          <w:szCs w:val="18"/>
          <w:color w:val="auto"/>
        </w:rPr>
        <w:t>Under the Lease Agreement, the Company provided to the Landlord (i) three (3) promissory notes for NIS 75,000 each;(ii) an unconditional bank guarantee in the amount of NIS 120,000, index-linked to the Israeli Consumer Price Index, which is to be valid for fourteen (14) months, and to be extended by the Company to remain in effect for the duration of the term of lease and for sixty (60) days thereafter;and (iii) a cash deposit equal to two (2) months’ rental fee.</w:t>
      </w:r>
    </w:p>
    <w:p>
      <w:pPr>
        <w:spacing w:after="0" w:line="1" w:lineRule="exact"/>
        <w:rPr>
          <w:rFonts w:ascii="Arial" w:cs="Arial" w:eastAsia="Arial" w:hAnsi="Arial"/>
          <w:sz w:val="18"/>
          <w:szCs w:val="18"/>
          <w:color w:val="auto"/>
        </w:rPr>
      </w:pPr>
    </w:p>
    <w:p>
      <w:pPr>
        <w:ind w:left="316" w:hanging="316"/>
        <w:spacing w:after="0"/>
        <w:tabs>
          <w:tab w:leader="none" w:pos="316"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Other Terms under the Lease Agreement</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976" w:hanging="328"/>
        <w:spacing w:after="0" w:line="265" w:lineRule="auto"/>
        <w:tabs>
          <w:tab w:leader="none" w:pos="976" w:val="left"/>
        </w:tabs>
        <w:numPr>
          <w:ilvl w:val="1"/>
          <w:numId w:val="525"/>
        </w:numPr>
        <w:rPr>
          <w:rFonts w:ascii="Arial" w:cs="Arial" w:eastAsia="Arial" w:hAnsi="Arial"/>
          <w:sz w:val="17"/>
          <w:szCs w:val="17"/>
          <w:color w:val="auto"/>
        </w:rPr>
      </w:pPr>
      <w:r>
        <w:rPr>
          <w:rFonts w:ascii="Arial" w:cs="Arial" w:eastAsia="Arial" w:hAnsi="Arial"/>
          <w:sz w:val="17"/>
          <w:szCs w:val="17"/>
          <w:color w:val="auto"/>
        </w:rPr>
        <w:t xml:space="preserve">The Company has a right to sub-lease parts of the premises, subject to the Landlord’s prior written consent (not to be unreasonably withheld),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Company will remain responsible for fulfilling all of its obligations under the Lease Agreement. The Company may also transfer its rights to the premises to a substitute tenant on terms that are no less favorable than the terms of the Lease Agreement and subject to the Landlord’s prior written consent (not to be unreasonably withheld),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lease period of the substitute tenant will be shorter or coincide with the lease period under the Lease Agreement and that the Company will remain responsible for all of its obligations for the Landlord under this agreement.</w:t>
      </w:r>
    </w:p>
    <w:p>
      <w:pPr>
        <w:spacing w:after="0" w:line="1" w:lineRule="exact"/>
        <w:rPr>
          <w:rFonts w:ascii="Arial" w:cs="Arial" w:eastAsia="Arial" w:hAnsi="Arial"/>
          <w:sz w:val="17"/>
          <w:szCs w:val="17"/>
          <w:color w:val="auto"/>
        </w:rPr>
      </w:pPr>
    </w:p>
    <w:p>
      <w:pPr>
        <w:ind w:left="976" w:hanging="328"/>
        <w:spacing w:after="0" w:line="265" w:lineRule="auto"/>
        <w:tabs>
          <w:tab w:leader="none" w:pos="976" w:val="left"/>
        </w:tabs>
        <w:numPr>
          <w:ilvl w:val="1"/>
          <w:numId w:val="525"/>
        </w:numPr>
        <w:rPr>
          <w:rFonts w:ascii="Arial" w:cs="Arial" w:eastAsia="Arial" w:hAnsi="Arial"/>
          <w:sz w:val="17"/>
          <w:szCs w:val="17"/>
          <w:color w:val="auto"/>
        </w:rPr>
      </w:pPr>
      <w:r>
        <w:rPr>
          <w:rFonts w:ascii="Arial" w:cs="Arial" w:eastAsia="Arial" w:hAnsi="Arial"/>
          <w:sz w:val="17"/>
          <w:szCs w:val="17"/>
          <w:color w:val="auto"/>
        </w:rPr>
        <w:t xml:space="preserve">The landlord has a right to sell or otherwise transfer the property to a third party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transferee will accept all of the Landlord’s obligations under the Lease Agreement and that the Company’s rights under the Lease Agreement will not be affected.</w:t>
      </w:r>
    </w:p>
    <w:p>
      <w:pPr>
        <w:ind w:left="976" w:hanging="328"/>
        <w:spacing w:after="0" w:line="250" w:lineRule="auto"/>
        <w:tabs>
          <w:tab w:leader="none" w:pos="976" w:val="left"/>
        </w:tabs>
        <w:numPr>
          <w:ilvl w:val="1"/>
          <w:numId w:val="525"/>
        </w:numPr>
        <w:rPr>
          <w:rFonts w:ascii="Arial" w:cs="Arial" w:eastAsia="Arial" w:hAnsi="Arial"/>
          <w:sz w:val="18"/>
          <w:szCs w:val="18"/>
          <w:color w:val="auto"/>
        </w:rPr>
      </w:pPr>
      <w:r>
        <w:rPr>
          <w:rFonts w:ascii="Arial" w:cs="Arial" w:eastAsia="Arial" w:hAnsi="Arial"/>
          <w:sz w:val="18"/>
          <w:szCs w:val="18"/>
          <w:color w:val="auto"/>
        </w:rPr>
        <w:t xml:space="preserve">The Company agreed to assume responsibility for all fees, municipal or local taxes, utility payments and other similar fees or expenses;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Landlord shall bear any and all taxes and fees.</w:t>
      </w:r>
    </w:p>
    <w:p>
      <w:pPr>
        <w:ind w:left="976" w:hanging="328"/>
        <w:spacing w:after="0" w:line="261" w:lineRule="auto"/>
        <w:tabs>
          <w:tab w:leader="none" w:pos="976" w:val="left"/>
        </w:tabs>
        <w:numPr>
          <w:ilvl w:val="1"/>
          <w:numId w:val="525"/>
        </w:numPr>
        <w:rPr>
          <w:rFonts w:ascii="Arial" w:cs="Arial" w:eastAsia="Arial" w:hAnsi="Arial"/>
          <w:sz w:val="18"/>
          <w:szCs w:val="18"/>
          <w:color w:val="auto"/>
        </w:rPr>
      </w:pPr>
      <w:r>
        <w:rPr>
          <w:rFonts w:ascii="Arial" w:cs="Arial" w:eastAsia="Arial" w:hAnsi="Arial"/>
          <w:sz w:val="18"/>
          <w:szCs w:val="18"/>
          <w:color w:val="auto"/>
        </w:rPr>
        <w:t>Each party has agreed to assume responsibility for any damage, injury or loss (bodily or otherwise) resulting from any act, omission or negligence on its part and the Company has assumed all such responsibility relating to its use of the Premises.</w:t>
      </w:r>
    </w:p>
    <w:p>
      <w:pPr>
        <w:sectPr>
          <w:pgSz w:w="11900" w:h="16838" w:orient="portrait"/>
          <w:cols w:equalWidth="0" w:num="1">
            <w:col w:w="10936"/>
          </w:cols>
          <w:pgMar w:left="644" w:top="476" w:right="319" w:bottom="1440" w:gutter="0" w:footer="0" w:header="0"/>
        </w:sectPr>
      </w:pPr>
    </w:p>
    <w:bookmarkStart w:id="334" w:name="page335"/>
    <w:bookmarkEnd w:id="334"/>
    <w:p>
      <w:pPr>
        <w:ind w:left="8900"/>
        <w:spacing w:after="0"/>
        <w:rPr>
          <w:sz w:val="20"/>
          <w:szCs w:val="20"/>
          <w:color w:val="auto"/>
        </w:rPr>
      </w:pPr>
      <w:r>
        <w:rPr>
          <w:rFonts w:ascii="Arial" w:cs="Arial" w:eastAsia="Arial" w:hAnsi="Arial"/>
          <w:sz w:val="22"/>
          <w:szCs w:val="22"/>
          <w:b w:val="1"/>
          <w:bCs w:val="1"/>
          <w:color w:val="auto"/>
        </w:rPr>
        <w:t>Exhibit 21.1</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IST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UBSIDIARIES OF</w:t>
      </w:r>
      <w:r>
        <w:rPr>
          <w:rFonts w:ascii="Arial" w:cs="Arial" w:eastAsia="Arial" w:hAnsi="Arial"/>
          <w:sz w:val="22"/>
          <w:szCs w:val="22"/>
          <w:b w:val="1"/>
          <w:bCs w:val="1"/>
          <w:color w:val="auto"/>
        </w:rPr>
        <w:t xml:space="preserve"> K</w:t>
      </w:r>
      <w:r>
        <w:rPr>
          <w:rFonts w:ascii="Arial" w:cs="Arial" w:eastAsia="Arial" w:hAnsi="Arial"/>
          <w:sz w:val="14"/>
          <w:szCs w:val="14"/>
          <w:b w:val="1"/>
          <w:bCs w:val="1"/>
          <w:color w:val="auto"/>
        </w:rPr>
        <w:t>ORNIT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IGITAL</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460" w:type="dxa"/>
            <w:vAlign w:val="bottom"/>
          </w:tcPr>
          <w:p>
            <w:pPr>
              <w:spacing w:after="0"/>
              <w:rPr>
                <w:sz w:val="20"/>
                <w:szCs w:val="20"/>
                <w:color w:val="auto"/>
              </w:rPr>
            </w:pPr>
            <w:r>
              <w:rPr>
                <w:rFonts w:ascii="Arial" w:cs="Arial" w:eastAsia="Arial" w:hAnsi="Arial"/>
                <w:sz w:val="18"/>
                <w:szCs w:val="18"/>
                <w:b w:val="1"/>
                <w:bCs w:val="1"/>
                <w:color w:val="auto"/>
              </w:rPr>
              <w:t>Place of Incorporation</w:t>
            </w:r>
          </w:p>
        </w:tc>
        <w:tc>
          <w:tcPr>
            <w:tcW w:w="2580" w:type="dxa"/>
            <w:vAlign w:val="bottom"/>
          </w:tcPr>
          <w:p>
            <w:pPr>
              <w:spacing w:after="0"/>
              <w:rPr>
                <w:sz w:val="20"/>
                <w:szCs w:val="20"/>
                <w:color w:val="auto"/>
              </w:rPr>
            </w:pPr>
          </w:p>
        </w:tc>
      </w:tr>
      <w:tr>
        <w:trPr>
          <w:trHeight w:val="195"/>
        </w:trPr>
        <w:tc>
          <w:tcPr>
            <w:tcW w:w="256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Kornit Digital Technologies Ltd.</w:t>
            </w:r>
          </w:p>
        </w:tc>
        <w:tc>
          <w:tcPr>
            <w:tcW w:w="120" w:type="dxa"/>
            <w:vAlign w:val="bottom"/>
          </w:tcPr>
          <w:p>
            <w:pPr>
              <w:spacing w:after="0"/>
              <w:rPr>
                <w:sz w:val="16"/>
                <w:szCs w:val="16"/>
                <w:color w:val="auto"/>
              </w:rPr>
            </w:pPr>
          </w:p>
        </w:tc>
        <w:tc>
          <w:tcPr>
            <w:tcW w:w="2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Israel</w:t>
            </w:r>
          </w:p>
        </w:tc>
        <w:tc>
          <w:tcPr>
            <w:tcW w:w="258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Kornit Digital North America Inc.</w:t>
            </w:r>
          </w:p>
        </w:tc>
        <w:tc>
          <w:tcPr>
            <w:tcW w:w="2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5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Kornit Digital Europe GmbH</w:t>
            </w:r>
          </w:p>
        </w:tc>
        <w:tc>
          <w:tcPr>
            <w:tcW w:w="2460" w:type="dxa"/>
            <w:vAlign w:val="bottom"/>
          </w:tcPr>
          <w:p>
            <w:pPr>
              <w:spacing w:after="0"/>
              <w:rPr>
                <w:sz w:val="20"/>
                <w:szCs w:val="20"/>
                <w:color w:val="auto"/>
              </w:rPr>
            </w:pPr>
            <w:r>
              <w:rPr>
                <w:rFonts w:ascii="Arial" w:cs="Arial" w:eastAsia="Arial" w:hAnsi="Arial"/>
                <w:sz w:val="18"/>
                <w:szCs w:val="18"/>
                <w:color w:val="auto"/>
              </w:rPr>
              <w:t>Germany</w:t>
            </w:r>
          </w:p>
        </w:tc>
        <w:tc>
          <w:tcPr>
            <w:tcW w:w="25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Kornit Digital Asia Pacific Limited</w:t>
            </w:r>
          </w:p>
        </w:tc>
        <w:tc>
          <w:tcPr>
            <w:tcW w:w="2460" w:type="dxa"/>
            <w:vAlign w:val="bottom"/>
          </w:tcPr>
          <w:p>
            <w:pPr>
              <w:spacing w:after="0"/>
              <w:rPr>
                <w:sz w:val="20"/>
                <w:szCs w:val="20"/>
                <w:color w:val="auto"/>
              </w:rPr>
            </w:pPr>
            <w:r>
              <w:rPr>
                <w:rFonts w:ascii="Arial" w:cs="Arial" w:eastAsia="Arial" w:hAnsi="Arial"/>
                <w:sz w:val="18"/>
                <w:szCs w:val="18"/>
                <w:color w:val="auto"/>
              </w:rPr>
              <w:t>Hong Kong</w:t>
            </w:r>
          </w:p>
        </w:tc>
        <w:tc>
          <w:tcPr>
            <w:tcW w:w="2580" w:type="dxa"/>
            <w:vAlign w:val="bottom"/>
          </w:tcPr>
          <w:p>
            <w:pPr>
              <w:spacing w:after="0"/>
              <w:rPr>
                <w:sz w:val="20"/>
                <w:szCs w:val="20"/>
                <w:color w:val="auto"/>
              </w:rPr>
            </w:pPr>
          </w:p>
        </w:tc>
      </w:tr>
      <w:tr>
        <w:trPr>
          <w:trHeight w:val="716"/>
        </w:trPr>
        <w:tc>
          <w:tcPr>
            <w:tcW w:w="2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139" w:right="29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February 25, 2015, in the Registration Statement (Form F-1) and related Prospectus of Kornit Digital Ltd. dated February 25, 2015.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Kost Forer Gabbay &amp; Kasierer</w:t>
            </w:r>
          </w:p>
        </w:tc>
        <w:tc>
          <w:tcPr>
            <w:tcW w:w="740" w:type="dxa"/>
            <w:vAlign w:val="bottom"/>
          </w:tcPr>
          <w:p>
            <w:pPr>
              <w:spacing w:after="0"/>
              <w:rPr>
                <w:sz w:val="17"/>
                <w:szCs w:val="17"/>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Tel-Aviv, Israel</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w w:val="96"/>
              </w:rPr>
              <w:t>KOST FORER GABBAY &amp; KASIERER</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February 25, 2015</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A Member of Ernst &amp; Young Global</w:t>
            </w:r>
          </w:p>
        </w:tc>
      </w:tr>
    </w:tbl>
    <w:p>
      <w:pPr>
        <w:sectPr>
          <w:pgSz w:w="11900" w:h="16838" w:orient="portrait"/>
          <w:cols w:equalWidth="0" w:num="1">
            <w:col w:w="11260"/>
          </w:cols>
          <w:pgMar w:left="320" w:top="121" w:right="31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Digital Ltd. (the “Company”) has filed a Registration Statement on Form F-1 with the Securities and Exchange Commission under the Securities Act of 1933, as amended (the “Securities Act”), in connection with the proposed initial public offering of its ordinary shares. In connection therewith, I hereby consent, pursuant to Rule 438 of the Securities Act, to being named and described as a nominee to the board of directors of the Company in such Registration Statement, as may be amended from time to time and to the filing or attachment of this consent with such Registration Statement and any amendment or supplement thereto.</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Lauri Hanover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-130810</wp:posOffset>
            </wp:positionV>
            <wp:extent cx="35763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716089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Digital Ltd. (the “Company”) has filed a Registration Statement on Form F-1 with the Securities and Exchange Commission under the Securities Act of 1933, as amended (the “Securities Act”), in connection with the proposed initial public offering of its ordinary shares. In connection therewith, I hereby consent, pursuant to Rule 438 of the Securities Act, to being named and described as a nominee to the board of directors of the Company in such Registration Statement, as may be amended from time to time and to the filing or attachment of this consent with such Registration Statement and any amendment or supplement thereto.</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Alon Lumbroso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-130810</wp:posOffset>
            </wp:positionV>
            <wp:extent cx="3576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716089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Digital Ltd. (the “Company”) has filed a Registration Statement on Form F-1 with the Securities and Exchange Commission under the Securities Act of 1933, as amended (the “Securities Act”), in connection with the proposed initial public offering of its ordinary shares. In connection therewith, I hereby consent, pursuant to Rule 438 of the Securities Act, to being named and described as a nominee to the board of directors of the Company in such Registration Statement, as may be amended from time to time and to the filing or attachment of this consent with such Registration Statement and any amendment or supplement thereto.</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Jerry Mandel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Jerry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-130810</wp:posOffset>
            </wp:positionV>
            <wp:extent cx="35763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716089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Digital Ltd. (the “Company”) has filed a Registration Statement on Form F-1 with the Securities and Exchange Commission under the Securities Act of 1933, as amended (the “Securities Act”), in connection with the proposed initial public offering of its ordinary shares. In connection therewith, I hereby consent, pursuant to Rule 438 of the Securities Act, to being named and described as a nominee to the board of directors of the Company in such Registration Statement, as may be amended from time to time and to the filing or attachment of this consent with such Registration Statement and any amendment or supplement thereto.</w:t>
      </w:r>
    </w:p>
    <w:p>
      <w:pPr>
        <w:spacing w:after="0" w:line="200" w:lineRule="exact"/>
        <w:rPr>
          <w:sz w:val="20"/>
          <w:szCs w:val="20"/>
          <w:color w:val="auto"/>
        </w:r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Dov Ofer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-130810</wp:posOffset>
            </wp:positionV>
            <wp:extent cx="35763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2015</w:t>
      </w:r>
    </w:p>
    <w:p>
      <w:pPr>
        <w:sectPr>
          <w:pgSz w:w="11900" w:h="16838" w:orient="portrait"/>
          <w:cols w:equalWidth="0" w:num="1">
            <w:col w:w="11260"/>
          </w:cols>
          <w:pgMar w:left="320" w:top="608" w:right="31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Digital Ltd. (the “Company”) has filed a Registration Statement on Form F-1 with the Securities and Exchange Commission under the Securities Act of 1933, as amended (the “Securities Act”), in connection with the proposed initial public offering of its ordinary shares. In connection therewith, I hereby consent, pursuant to Rule 438 of the Securities Act, to being named and described as a nominee to the board of directors of the Company in such Registration Statement, as may be amended from time to time and to the filing or attachment of this consent with such Registration Statement and any amendment or supplement thereto.</w:t>
      </w:r>
    </w:p>
    <w:p>
      <w:pPr>
        <w:spacing w:after="0" w:line="200" w:lineRule="exact"/>
        <w:rPr>
          <w:sz w:val="20"/>
          <w:szCs w:val="20"/>
          <w:color w:val="auto"/>
        </w:r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Gabi Seligsohn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-130175</wp:posOffset>
            </wp:positionV>
            <wp:extent cx="35763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697C7A"/>
    <w:multiLevelType w:val="hybridMultilevel"/>
    <w:lvl w:ilvl="0">
      <w:lvlJc w:val="left"/>
      <w:lvlText w:val="(%1)"/>
      <w:numFmt w:val="decimal"/>
      <w:start w:val="1"/>
    </w:lvl>
  </w:abstractNum>
  <w:abstractNum w:abstractNumId="1">
    <w:nsid w:val="51A27AA6"/>
    <w:multiLevelType w:val="hybridMultilevel"/>
    <w:lvl w:ilvl="0">
      <w:lvlJc w:val="left"/>
      <w:lvlText w:val="•"/>
      <w:numFmt w:val="bullet"/>
      <w:start w:val="1"/>
    </w:lvl>
  </w:abstractNum>
  <w:abstractNum w:abstractNumId="2">
    <w:nsid w:val="613183F2"/>
    <w:multiLevelType w:val="hybridMultilevel"/>
    <w:lvl w:ilvl="0">
      <w:lvlJc w:val="left"/>
      <w:lvlText w:val="•"/>
      <w:numFmt w:val="bullet"/>
      <w:start w:val="1"/>
    </w:lvl>
  </w:abstractNum>
  <w:abstractNum w:abstractNumId="3">
    <w:nsid w:val="634102B4"/>
    <w:multiLevelType w:val="hybridMultilevel"/>
    <w:lvl w:ilvl="0">
      <w:lvlJc w:val="left"/>
      <w:lvlText w:val="•"/>
      <w:numFmt w:val="bullet"/>
      <w:start w:val="1"/>
    </w:lvl>
  </w:abstractNum>
  <w:abstractNum w:abstractNumId="4">
    <w:nsid w:val="65BF9DA8"/>
    <w:multiLevelType w:val="hybridMultilevel"/>
    <w:lvl w:ilvl="0">
      <w:lvlJc w:val="left"/>
      <w:lvlText w:val="•"/>
      <w:numFmt w:val="bullet"/>
      <w:start w:val="1"/>
    </w:lvl>
  </w:abstractNum>
  <w:abstractNum w:abstractNumId="5">
    <w:nsid w:val="21A2ECCA"/>
    <w:multiLevelType w:val="hybridMultilevel"/>
    <w:lvl w:ilvl="0">
      <w:lvlJc w:val="left"/>
      <w:lvlText w:val="•"/>
      <w:numFmt w:val="bullet"/>
      <w:start w:val="1"/>
    </w:lvl>
  </w:abstractNum>
  <w:abstractNum w:abstractNumId="6">
    <w:nsid w:val="4D5C4899"/>
    <w:multiLevelType w:val="hybridMultilevel"/>
    <w:lvl w:ilvl="0">
      <w:lvlJc w:val="left"/>
      <w:lvlText w:val="•"/>
      <w:numFmt w:val="bullet"/>
      <w:start w:val="1"/>
    </w:lvl>
  </w:abstractNum>
  <w:abstractNum w:abstractNumId="7">
    <w:nsid w:val="3C3B72B2"/>
    <w:multiLevelType w:val="hybridMultilevel"/>
    <w:lvl w:ilvl="0">
      <w:lvlJc w:val="left"/>
      <w:lvlText w:val="•"/>
      <w:numFmt w:val="bullet"/>
      <w:start w:val="1"/>
    </w:lvl>
  </w:abstractNum>
  <w:abstractNum w:abstractNumId="8">
    <w:nsid w:val="155EC4C2"/>
    <w:multiLevelType w:val="hybridMultilevel"/>
    <w:lvl w:ilvl="0">
      <w:lvlJc w:val="left"/>
      <w:lvlText w:val="•"/>
      <w:numFmt w:val="bullet"/>
      <w:start w:val="1"/>
    </w:lvl>
  </w:abstractNum>
  <w:abstractNum w:abstractNumId="9">
    <w:nsid w:val="65D2A137"/>
    <w:multiLevelType w:val="hybridMultilevel"/>
    <w:lvl w:ilvl="0">
      <w:lvlJc w:val="left"/>
      <w:lvlText w:val="•"/>
      <w:numFmt w:val="bullet"/>
      <w:start w:val="1"/>
    </w:lvl>
  </w:abstractNum>
  <w:abstractNum w:abstractNumId="10">
    <w:nsid w:val="6EBB1F2A"/>
    <w:multiLevelType w:val="hybridMultilevel"/>
    <w:lvl w:ilvl="0">
      <w:lvlJc w:val="left"/>
      <w:lvlText w:val="(%1)"/>
      <w:numFmt w:val="decimal"/>
      <w:start w:val="2"/>
    </w:lvl>
  </w:abstractNum>
  <w:abstractNum w:abstractNumId="11">
    <w:nsid w:val="6FBF29CB"/>
    <w:multiLevelType w:val="hybridMultilevel"/>
    <w:lvl w:ilvl="0">
      <w:lvlJc w:val="left"/>
      <w:lvlText w:val="•"/>
      <w:numFmt w:val="bullet"/>
      <w:start w:val="1"/>
    </w:lvl>
  </w:abstractNum>
  <w:abstractNum w:abstractNumId="12">
    <w:nsid w:val="550B8808"/>
    <w:multiLevelType w:val="hybridMultilevel"/>
    <w:lvl w:ilvl="0">
      <w:lvlJc w:val="left"/>
      <w:lvlText w:val="•"/>
      <w:numFmt w:val="bullet"/>
      <w:start w:val="1"/>
    </w:lvl>
  </w:abstractNum>
  <w:abstractNum w:abstractNumId="13">
    <w:nsid w:val="34CC3ACF"/>
    <w:multiLevelType w:val="hybridMultilevel"/>
    <w:lvl w:ilvl="0">
      <w:lvlJc w:val="left"/>
      <w:lvlText w:val="•"/>
      <w:numFmt w:val="bullet"/>
      <w:start w:val="1"/>
    </w:lvl>
  </w:abstractNum>
  <w:abstractNum w:abstractNumId="14">
    <w:nsid w:val="4E556261"/>
    <w:multiLevelType w:val="hybridMultilevel"/>
    <w:lvl w:ilvl="0">
      <w:lvlJc w:val="left"/>
      <w:lvlText w:val="•"/>
      <w:numFmt w:val="bullet"/>
      <w:start w:val="1"/>
    </w:lvl>
  </w:abstractNum>
  <w:abstractNum w:abstractNumId="15">
    <w:nsid w:val="4C672FC9"/>
    <w:multiLevelType w:val="hybridMultilevel"/>
    <w:lvl w:ilvl="0">
      <w:lvlJc w:val="left"/>
      <w:lvlText w:val="•"/>
      <w:numFmt w:val="bullet"/>
      <w:start w:val="1"/>
    </w:lvl>
  </w:abstractNum>
  <w:abstractNum w:abstractNumId="16">
    <w:nsid w:val="52A311C3"/>
    <w:multiLevelType w:val="hybridMultilevel"/>
    <w:lvl w:ilvl="0">
      <w:lvlJc w:val="left"/>
      <w:lvlText w:val="•"/>
      <w:numFmt w:val="bullet"/>
      <w:start w:val="1"/>
    </w:lvl>
  </w:abstractNum>
  <w:abstractNum w:abstractNumId="17">
    <w:nsid w:val="44EF6B80"/>
    <w:multiLevelType w:val="hybridMultilevel"/>
    <w:lvl w:ilvl="0">
      <w:lvlJc w:val="left"/>
      <w:lvlText w:val="•"/>
      <w:numFmt w:val="bullet"/>
      <w:start w:val="1"/>
    </w:lvl>
  </w:abstractNum>
  <w:abstractNum w:abstractNumId="18">
    <w:nsid w:val="12FCDE5E"/>
    <w:multiLevelType w:val="hybridMultilevel"/>
    <w:lvl w:ilvl="0">
      <w:lvlJc w:val="left"/>
      <w:lvlText w:val="•"/>
      <w:numFmt w:val="bullet"/>
      <w:start w:val="1"/>
    </w:lvl>
  </w:abstractNum>
  <w:abstractNum w:abstractNumId="19">
    <w:nsid w:val="4A1D606E"/>
    <w:multiLevelType w:val="hybridMultilevel"/>
    <w:lvl w:ilvl="0">
      <w:lvlJc w:val="left"/>
      <w:lvlText w:val="•"/>
      <w:numFmt w:val="bullet"/>
      <w:start w:val="1"/>
    </w:lvl>
  </w:abstractNum>
  <w:abstractNum w:abstractNumId="20">
    <w:nsid w:val="4382503"/>
    <w:multiLevelType w:val="hybridMultilevel"/>
    <w:lvl w:ilvl="0">
      <w:lvlJc w:val="left"/>
      <w:lvlText w:val="•"/>
      <w:numFmt w:val="bullet"/>
      <w:start w:val="1"/>
    </w:lvl>
  </w:abstractNum>
  <w:abstractNum w:abstractNumId="21">
    <w:nsid w:val="59B76E28"/>
    <w:multiLevelType w:val="hybridMultilevel"/>
    <w:lvl w:ilvl="0">
      <w:lvlJc w:val="left"/>
      <w:lvlText w:val="$"/>
      <w:numFmt w:val="bullet"/>
      <w:start w:val="1"/>
    </w:lvl>
  </w:abstractNum>
  <w:abstractNum w:abstractNumId="22">
    <w:nsid w:val="4252C2DA"/>
    <w:multiLevelType w:val="hybridMultilevel"/>
    <w:lvl w:ilvl="0">
      <w:lvlJc w:val="left"/>
      <w:lvlText w:val="•"/>
      <w:numFmt w:val="bullet"/>
      <w:start w:val="1"/>
    </w:lvl>
  </w:abstractNum>
  <w:abstractNum w:abstractNumId="23">
    <w:nsid w:val="6A92EF4C"/>
    <w:multiLevelType w:val="hybridMultilevel"/>
    <w:lvl w:ilvl="0">
      <w:lvlJc w:val="left"/>
      <w:lvlText w:val="$"/>
      <w:numFmt w:val="bullet"/>
      <w:start w:val="1"/>
    </w:lvl>
    <w:lvl w:ilvl="1">
      <w:lvlJc w:val="left"/>
      <w:lvlText w:val="•"/>
      <w:numFmt w:val="bullet"/>
      <w:start w:val="1"/>
    </w:lvl>
  </w:abstractNum>
  <w:abstractNum w:abstractNumId="24">
    <w:nsid w:val="41ED20D7"/>
    <w:multiLevelType w:val="hybridMultilevel"/>
    <w:lvl w:ilvl="0">
      <w:lvlJc w:val="left"/>
      <w:lvlText w:val="$"/>
      <w:numFmt w:val="bullet"/>
      <w:start w:val="1"/>
    </w:lvl>
  </w:abstractNum>
  <w:abstractNum w:abstractNumId="25">
    <w:nsid w:val="E6B3F6A"/>
    <w:multiLevelType w:val="hybridMultilevel"/>
    <w:lvl w:ilvl="0">
      <w:lvlJc w:val="left"/>
      <w:lvlText w:val="(%1)"/>
      <w:numFmt w:val="decimal"/>
      <w:start w:val="2"/>
    </w:lvl>
  </w:abstractNum>
  <w:abstractNum w:abstractNumId="26">
    <w:nsid w:val="3EB21819"/>
    <w:multiLevelType w:val="hybridMultilevel"/>
    <w:lvl w:ilvl="0">
      <w:lvlJc w:val="left"/>
      <w:lvlText w:val="•"/>
      <w:numFmt w:val="bullet"/>
      <w:start w:val="1"/>
    </w:lvl>
  </w:abstractNum>
  <w:abstractNum w:abstractNumId="27">
    <w:nsid w:val="41531DED"/>
    <w:multiLevelType w:val="hybridMultilevel"/>
    <w:lvl w:ilvl="0">
      <w:lvlJc w:val="left"/>
      <w:lvlText w:val="(%1)"/>
      <w:numFmt w:val="decimal"/>
      <w:start w:val="1"/>
    </w:lvl>
  </w:abstractNum>
  <w:abstractNum w:abstractNumId="28">
    <w:nsid w:val="6353CD2"/>
    <w:multiLevelType w:val="hybridMultilevel"/>
    <w:lvl w:ilvl="0">
      <w:lvlJc w:val="left"/>
      <w:lvlText w:val="(%1)"/>
      <w:numFmt w:val="decimal"/>
      <w:start w:val="4"/>
    </w:lvl>
  </w:abstractNum>
  <w:abstractNum w:abstractNumId="29">
    <w:nsid w:val="683CAAD3"/>
    <w:multiLevelType w:val="hybridMultilevel"/>
    <w:lvl w:ilvl="0">
      <w:lvlJc w:val="left"/>
      <w:lvlText w:val="•"/>
      <w:numFmt w:val="bullet"/>
      <w:start w:val="1"/>
    </w:lvl>
  </w:abstractNum>
  <w:abstractNum w:abstractNumId="30">
    <w:nsid w:val="313C7C99"/>
    <w:multiLevelType w:val="hybridMultilevel"/>
    <w:lvl w:ilvl="0">
      <w:lvlJc w:val="left"/>
      <w:lvlText w:val="•"/>
      <w:numFmt w:val="bullet"/>
      <w:start w:val="1"/>
    </w:lvl>
  </w:abstractNum>
  <w:abstractNum w:abstractNumId="31">
    <w:nsid w:val="519EB94C"/>
    <w:multiLevelType w:val="hybridMultilevel"/>
    <w:lvl w:ilvl="0">
      <w:lvlJc w:val="left"/>
      <w:lvlText w:val="•"/>
      <w:numFmt w:val="bullet"/>
      <w:start w:val="1"/>
    </w:lvl>
  </w:abstractNum>
  <w:abstractNum w:abstractNumId="32">
    <w:nsid w:val="39DF2579"/>
    <w:multiLevelType w:val="hybridMultilevel"/>
    <w:lvl w:ilvl="0">
      <w:lvlJc w:val="left"/>
      <w:lvlText w:val="•"/>
      <w:numFmt w:val="bullet"/>
      <w:start w:val="1"/>
    </w:lvl>
  </w:abstractNum>
  <w:abstractNum w:abstractNumId="33">
    <w:nsid w:val="126E008B"/>
    <w:multiLevelType w:val="hybridMultilevel"/>
    <w:lvl w:ilvl="0">
      <w:lvlJc w:val="left"/>
      <w:lvlText w:val="•"/>
      <w:numFmt w:val="bullet"/>
      <w:start w:val="1"/>
    </w:lvl>
  </w:abstractNum>
  <w:abstractNum w:abstractNumId="34">
    <w:nsid w:val="34DFBC00"/>
    <w:multiLevelType w:val="hybridMultilevel"/>
    <w:lvl w:ilvl="0">
      <w:lvlJc w:val="left"/>
      <w:lvlText w:val="•"/>
      <w:numFmt w:val="bullet"/>
      <w:start w:val="1"/>
    </w:lvl>
  </w:abstractNum>
  <w:abstractNum w:abstractNumId="35">
    <w:nsid w:val="1F9EC322"/>
    <w:multiLevelType w:val="hybridMultilevel"/>
    <w:lvl w:ilvl="0">
      <w:lvlJc w:val="left"/>
      <w:lvlText w:val="•"/>
      <w:numFmt w:val="bullet"/>
      <w:start w:val="1"/>
    </w:lvl>
  </w:abstractNum>
  <w:abstractNum w:abstractNumId="36">
    <w:nsid w:val="3410ED56"/>
    <w:multiLevelType w:val="hybridMultilevel"/>
    <w:lvl w:ilvl="0">
      <w:lvlJc w:val="left"/>
      <w:lvlText w:val="•"/>
      <w:numFmt w:val="bullet"/>
      <w:start w:val="1"/>
    </w:lvl>
  </w:abstractNum>
  <w:abstractNum w:abstractNumId="37">
    <w:nsid w:val="23C049A"/>
    <w:multiLevelType w:val="hybridMultilevel"/>
    <w:lvl w:ilvl="0">
      <w:lvlJc w:val="left"/>
      <w:lvlText w:val="•"/>
      <w:numFmt w:val="bullet"/>
      <w:start w:val="1"/>
    </w:lvl>
  </w:abstractNum>
  <w:abstractNum w:abstractNumId="38">
    <w:nsid w:val="5BDA35D4"/>
    <w:multiLevelType w:val="hybridMultilevel"/>
    <w:lvl w:ilvl="0">
      <w:lvlJc w:val="left"/>
      <w:lvlText w:val="•"/>
      <w:numFmt w:val="bullet"/>
      <w:start w:val="1"/>
    </w:lvl>
  </w:abstractNum>
  <w:abstractNum w:abstractNumId="39">
    <w:nsid w:val="496FB218"/>
    <w:multiLevelType w:val="hybridMultilevel"/>
    <w:lvl w:ilvl="0">
      <w:lvlJc w:val="left"/>
      <w:lvlText w:val="•"/>
      <w:numFmt w:val="bullet"/>
      <w:start w:val="1"/>
    </w:lvl>
  </w:abstractNum>
  <w:abstractNum w:abstractNumId="40">
    <w:nsid w:val="680EA5D1"/>
    <w:multiLevelType w:val="hybridMultilevel"/>
    <w:lvl w:ilvl="0">
      <w:lvlJc w:val="left"/>
      <w:lvlText w:val="•"/>
      <w:numFmt w:val="bullet"/>
      <w:start w:val="1"/>
    </w:lvl>
  </w:abstractNum>
  <w:abstractNum w:abstractNumId="41">
    <w:nsid w:val="4A9554FE"/>
    <w:multiLevelType w:val="hybridMultilevel"/>
    <w:lvl w:ilvl="0">
      <w:lvlJc w:val="left"/>
      <w:lvlText w:val="(%1)"/>
      <w:numFmt w:val="decimal"/>
      <w:start w:val="1"/>
    </w:lvl>
  </w:abstractNum>
  <w:abstractNum w:abstractNumId="42">
    <w:nsid w:val="392EDBE4"/>
    <w:multiLevelType w:val="hybridMultilevel"/>
    <w:lvl w:ilvl="0">
      <w:lvlJc w:val="left"/>
      <w:lvlText w:val="(%1)"/>
      <w:numFmt w:val="lowerRoman"/>
      <w:start w:val="1"/>
    </w:lvl>
  </w:abstractNum>
  <w:abstractNum w:abstractNumId="43">
    <w:nsid w:val="3D1A2DD9"/>
    <w:multiLevelType w:val="hybridMultilevel"/>
    <w:lvl w:ilvl="0">
      <w:lvlJc w:val="left"/>
      <w:lvlText w:val="•"/>
      <w:numFmt w:val="bullet"/>
      <w:start w:val="1"/>
    </w:lvl>
  </w:abstractNum>
  <w:abstractNum w:abstractNumId="44">
    <w:nsid w:val="7F618FCD"/>
    <w:multiLevelType w:val="hybridMultilevel"/>
    <w:lvl w:ilvl="0">
      <w:lvlJc w:val="left"/>
      <w:lvlText w:val="•"/>
      <w:numFmt w:val="bullet"/>
      <w:start w:val="1"/>
    </w:lvl>
  </w:abstractNum>
  <w:abstractNum w:abstractNumId="45">
    <w:nsid w:val="7843E45"/>
    <w:multiLevelType w:val="hybridMultilevel"/>
    <w:lvl w:ilvl="0">
      <w:lvlJc w:val="left"/>
      <w:lvlText w:val="•"/>
      <w:numFmt w:val="bullet"/>
      <w:start w:val="1"/>
    </w:lvl>
  </w:abstractNum>
  <w:abstractNum w:abstractNumId="46">
    <w:nsid w:val="9815DA3"/>
    <w:multiLevelType w:val="hybridMultilevel"/>
    <w:lvl w:ilvl="0">
      <w:lvlJc w:val="left"/>
      <w:lvlText w:val="•"/>
      <w:numFmt w:val="bullet"/>
      <w:start w:val="1"/>
    </w:lvl>
  </w:abstractNum>
  <w:abstractNum w:abstractNumId="47">
    <w:nsid w:val="5204A191"/>
    <w:multiLevelType w:val="hybridMultilevel"/>
    <w:lvl w:ilvl="0">
      <w:lvlJc w:val="left"/>
      <w:lvlText w:val="•"/>
      <w:numFmt w:val="bullet"/>
      <w:start w:val="1"/>
    </w:lvl>
  </w:abstractNum>
  <w:abstractNum w:abstractNumId="48">
    <w:nsid w:val="4C73A9C6"/>
    <w:multiLevelType w:val="hybridMultilevel"/>
    <w:lvl w:ilvl="0">
      <w:lvlJc w:val="left"/>
      <w:lvlText w:val="(%1)"/>
      <w:numFmt w:val="lowerRoman"/>
      <w:start w:val="2"/>
    </w:lvl>
  </w:abstractNum>
  <w:abstractNum w:abstractNumId="49">
    <w:nsid w:val="1C7E3C01"/>
    <w:multiLevelType w:val="hybridMultilevel"/>
    <w:lvl w:ilvl="0">
      <w:lvlJc w:val="left"/>
      <w:lvlText w:val="•"/>
      <w:numFmt w:val="bullet"/>
      <w:start w:val="1"/>
    </w:lvl>
  </w:abstractNum>
  <w:abstractNum w:abstractNumId="50">
    <w:nsid w:val="1C2201FF"/>
    <w:multiLevelType w:val="hybridMultilevel"/>
    <w:lvl w:ilvl="0">
      <w:lvlJc w:val="left"/>
      <w:lvlText w:val="•"/>
      <w:numFmt w:val="bullet"/>
      <w:start w:val="1"/>
    </w:lvl>
  </w:abstractNum>
  <w:abstractNum w:abstractNumId="51">
    <w:nsid w:val="50ABCEC9"/>
    <w:multiLevelType w:val="hybridMultilevel"/>
    <w:lvl w:ilvl="0">
      <w:lvlJc w:val="left"/>
      <w:lvlText w:val="•"/>
      <w:numFmt w:val="bullet"/>
      <w:start w:val="1"/>
    </w:lvl>
  </w:abstractNum>
  <w:abstractNum w:abstractNumId="52">
    <w:nsid w:val="7635AA2A"/>
    <w:multiLevelType w:val="hybridMultilevel"/>
    <w:lvl w:ilvl="0">
      <w:lvlJc w:val="left"/>
      <w:lvlText w:val="•"/>
      <w:numFmt w:val="bullet"/>
      <w:start w:val="1"/>
    </w:lvl>
  </w:abstractNum>
  <w:abstractNum w:abstractNumId="53">
    <w:nsid w:val="5E74C4D9"/>
    <w:multiLevelType w:val="hybridMultilevel"/>
    <w:lvl w:ilvl="0">
      <w:lvlJc w:val="left"/>
      <w:lvlText w:val="•"/>
      <w:numFmt w:val="bullet"/>
      <w:start w:val="1"/>
    </w:lvl>
  </w:abstractNum>
  <w:abstractNum w:abstractNumId="54">
    <w:nsid w:val="3B3EBE15"/>
    <w:multiLevelType w:val="hybridMultilevel"/>
    <w:lvl w:ilvl="0">
      <w:lvlJc w:val="left"/>
      <w:lvlText w:val="•"/>
      <w:numFmt w:val="bullet"/>
      <w:start w:val="1"/>
    </w:lvl>
  </w:abstractNum>
  <w:abstractNum w:abstractNumId="55">
    <w:nsid w:val="3822CB01"/>
    <w:multiLevelType w:val="hybridMultilevel"/>
    <w:lvl w:ilvl="0">
      <w:lvlJc w:val="left"/>
      <w:lvlText w:val="•"/>
      <w:numFmt w:val="bullet"/>
      <w:start w:val="1"/>
    </w:lvl>
  </w:abstractNum>
  <w:abstractNum w:abstractNumId="56">
    <w:nsid w:val="6CE00443"/>
    <w:multiLevelType w:val="hybridMultilevel"/>
    <w:lvl w:ilvl="0">
      <w:lvlJc w:val="left"/>
      <w:lvlText w:val="•"/>
      <w:numFmt w:val="bullet"/>
      <w:start w:val="1"/>
    </w:lvl>
  </w:abstractNum>
  <w:abstractNum w:abstractNumId="57">
    <w:nsid w:val="79F0D62F"/>
    <w:multiLevelType w:val="hybridMultilevel"/>
    <w:lvl w:ilvl="0">
      <w:lvlJc w:val="left"/>
      <w:lvlText w:val="•"/>
      <w:numFmt w:val="bullet"/>
      <w:start w:val="1"/>
    </w:lvl>
  </w:abstractNum>
  <w:abstractNum w:abstractNumId="58">
    <w:nsid w:val="7975E8EE"/>
    <w:multiLevelType w:val="hybridMultilevel"/>
    <w:lvl w:ilvl="0">
      <w:lvlJc w:val="left"/>
      <w:lvlText w:val="•"/>
      <w:numFmt w:val="bullet"/>
      <w:start w:val="1"/>
    </w:lvl>
  </w:abstractNum>
  <w:abstractNum w:abstractNumId="59">
    <w:nsid w:val="73154115"/>
    <w:multiLevelType w:val="hybridMultilevel"/>
    <w:lvl w:ilvl="0">
      <w:lvlJc w:val="left"/>
      <w:lvlText w:val="•"/>
      <w:numFmt w:val="bullet"/>
      <w:start w:val="1"/>
    </w:lvl>
  </w:abstractNum>
  <w:abstractNum w:abstractNumId="60">
    <w:nsid w:val="622D8102"/>
    <w:multiLevelType w:val="hybridMultilevel"/>
    <w:lvl w:ilvl="0">
      <w:lvlJc w:val="left"/>
      <w:lvlText w:val="•"/>
      <w:numFmt w:val="bullet"/>
      <w:start w:val="1"/>
    </w:lvl>
  </w:abstractNum>
  <w:abstractNum w:abstractNumId="61">
    <w:nsid w:val="2AB26587"/>
    <w:multiLevelType w:val="hybridMultilevel"/>
    <w:lvl w:ilvl="0">
      <w:lvlJc w:val="left"/>
      <w:lvlText w:val="•"/>
      <w:numFmt w:val="bullet"/>
      <w:start w:val="1"/>
    </w:lvl>
  </w:abstractNum>
  <w:abstractNum w:abstractNumId="62">
    <w:nsid w:val="44B3FA61"/>
    <w:multiLevelType w:val="hybridMultilevel"/>
    <w:lvl w:ilvl="0">
      <w:lvlJc w:val="left"/>
      <w:lvlText w:val="•"/>
      <w:numFmt w:val="bullet"/>
      <w:start w:val="1"/>
    </w:lvl>
  </w:abstractNum>
  <w:abstractNum w:abstractNumId="63">
    <w:nsid w:val="1C0CA67C"/>
    <w:multiLevelType w:val="hybridMultilevel"/>
    <w:lvl w:ilvl="0">
      <w:lvlJc w:val="left"/>
      <w:lvlText w:val="•"/>
      <w:numFmt w:val="bullet"/>
      <w:start w:val="1"/>
    </w:lvl>
  </w:abstractNum>
  <w:abstractNum w:abstractNumId="64">
    <w:nsid w:val="3D206613"/>
    <w:multiLevelType w:val="hybridMultilevel"/>
    <w:lvl w:ilvl="0">
      <w:lvlJc w:val="left"/>
      <w:lvlText w:val="•"/>
      <w:numFmt w:val="bullet"/>
      <w:start w:val="1"/>
    </w:lvl>
  </w:abstractNum>
  <w:abstractNum w:abstractNumId="65">
    <w:nsid w:val="7993B662"/>
    <w:multiLevelType w:val="hybridMultilevel"/>
    <w:lvl w:ilvl="0">
      <w:lvlJc w:val="left"/>
      <w:lvlText w:val="(%1)"/>
      <w:numFmt w:val="decimal"/>
      <w:start w:val="2"/>
    </w:lvl>
  </w:abstractNum>
  <w:abstractNum w:abstractNumId="66">
    <w:nsid w:val="3BAB699E"/>
    <w:multiLevelType w:val="hybridMultilevel"/>
    <w:lvl w:ilvl="0">
      <w:lvlJc w:val="left"/>
      <w:lvlText w:val="•"/>
      <w:numFmt w:val="bullet"/>
      <w:start w:val="1"/>
    </w:lvl>
  </w:abstractNum>
  <w:abstractNum w:abstractNumId="67">
    <w:nsid w:val="71315369"/>
    <w:multiLevelType w:val="hybridMultilevel"/>
    <w:lvl w:ilvl="0">
      <w:lvlJc w:val="left"/>
      <w:lvlText w:val="(%1)"/>
      <w:numFmt w:val="decimal"/>
      <w:start w:val="1"/>
    </w:lvl>
  </w:abstractNum>
  <w:abstractNum w:abstractNumId="68">
    <w:nsid w:val="7BCFBAFC"/>
    <w:multiLevelType w:val="hybridMultilevel"/>
    <w:lvl w:ilvl="0">
      <w:lvlJc w:val="left"/>
      <w:lvlText w:val="•"/>
      <w:numFmt w:val="bullet"/>
      <w:start w:val="1"/>
    </w:lvl>
  </w:abstractNum>
  <w:abstractNum w:abstractNumId="69">
    <w:nsid w:val="17859F72"/>
    <w:multiLevelType w:val="hybridMultilevel"/>
    <w:lvl w:ilvl="0">
      <w:lvlJc w:val="left"/>
      <w:lvlText w:val="•"/>
      <w:numFmt w:val="bullet"/>
      <w:start w:val="1"/>
    </w:lvl>
  </w:abstractNum>
  <w:abstractNum w:abstractNumId="70">
    <w:nsid w:val="3AA10581"/>
    <w:multiLevelType w:val="hybridMultilevel"/>
    <w:lvl w:ilvl="0">
      <w:lvlJc w:val="left"/>
      <w:lvlText w:val="•"/>
      <w:numFmt w:val="bullet"/>
      <w:start w:val="1"/>
    </w:lvl>
  </w:abstractNum>
  <w:abstractNum w:abstractNumId="71">
    <w:nsid w:val="63DE60CD"/>
    <w:multiLevelType w:val="hybridMultilevel"/>
    <w:lvl w:ilvl="0">
      <w:lvlJc w:val="left"/>
      <w:lvlText w:val="•"/>
      <w:numFmt w:val="bullet"/>
      <w:start w:val="1"/>
    </w:lvl>
  </w:abstractNum>
  <w:abstractNum w:abstractNumId="72">
    <w:nsid w:val="621AF471"/>
    <w:multiLevelType w:val="hybridMultilevel"/>
    <w:lvl w:ilvl="0">
      <w:lvlJc w:val="left"/>
      <w:lvlText w:val="(%1)"/>
      <w:numFmt w:val="lowerRoman"/>
      <w:start w:val="1"/>
    </w:lvl>
  </w:abstractNum>
  <w:abstractNum w:abstractNumId="73">
    <w:nsid w:val="73CFE165"/>
    <w:multiLevelType w:val="hybridMultilevel"/>
    <w:lvl w:ilvl="0">
      <w:lvlJc w:val="left"/>
      <w:lvlText w:val="•"/>
      <w:numFmt w:val="bullet"/>
      <w:start w:val="1"/>
    </w:lvl>
  </w:abstractNum>
  <w:abstractNum w:abstractNumId="74">
    <w:nsid w:val="20F88EA6"/>
    <w:multiLevelType w:val="hybridMultilevel"/>
    <w:lvl w:ilvl="0">
      <w:lvlJc w:val="left"/>
      <w:lvlText w:val="•"/>
      <w:numFmt w:val="bullet"/>
      <w:start w:val="1"/>
    </w:lvl>
  </w:abstractNum>
  <w:abstractNum w:abstractNumId="75">
    <w:nsid w:val="617C843E"/>
    <w:multiLevelType w:val="hybridMultilevel"/>
    <w:lvl w:ilvl="0">
      <w:lvlJc w:val="left"/>
      <w:lvlText w:val="•"/>
      <w:numFmt w:val="bullet"/>
      <w:start w:val="1"/>
    </w:lvl>
  </w:abstractNum>
  <w:abstractNum w:abstractNumId="76">
    <w:nsid w:val="7B541FAB"/>
    <w:multiLevelType w:val="hybridMultilevel"/>
    <w:lvl w:ilvl="0">
      <w:lvlJc w:val="left"/>
      <w:lvlText w:val="(%1)"/>
      <w:numFmt w:val="lowerRoman"/>
      <w:start w:val="1"/>
    </w:lvl>
  </w:abstractNum>
  <w:abstractNum w:abstractNumId="77">
    <w:nsid w:val="2A79EC49"/>
    <w:multiLevelType w:val="hybridMultilevel"/>
    <w:lvl w:ilvl="0">
      <w:lvlJc w:val="left"/>
      <w:lvlText w:val="•"/>
      <w:numFmt w:val="bullet"/>
      <w:start w:val="1"/>
    </w:lvl>
  </w:abstractNum>
  <w:abstractNum w:abstractNumId="78">
    <w:nsid w:val="338125CF"/>
    <w:multiLevelType w:val="hybridMultilevel"/>
    <w:lvl w:ilvl="0">
      <w:lvlJc w:val="left"/>
      <w:lvlText w:val="•"/>
      <w:numFmt w:val="bullet"/>
      <w:start w:val="1"/>
    </w:lvl>
  </w:abstractNum>
  <w:abstractNum w:abstractNumId="79">
    <w:nsid w:val="47C7C971"/>
    <w:multiLevelType w:val="hybridMultilevel"/>
    <w:lvl w:ilvl="0">
      <w:lvlJc w:val="left"/>
      <w:lvlText w:val="•"/>
      <w:numFmt w:val="bullet"/>
      <w:start w:val="1"/>
    </w:lvl>
  </w:abstractNum>
  <w:abstractNum w:abstractNumId="80">
    <w:nsid w:val="46F8284B"/>
    <w:multiLevelType w:val="hybridMultilevel"/>
    <w:lvl w:ilvl="0">
      <w:lvlJc w:val="left"/>
      <w:lvlText w:val="•"/>
      <w:numFmt w:val="bullet"/>
      <w:start w:val="1"/>
    </w:lvl>
  </w:abstractNum>
  <w:abstractNum w:abstractNumId="81">
    <w:nsid w:val="4FA327CE"/>
    <w:multiLevelType w:val="hybridMultilevel"/>
    <w:lvl w:ilvl="0">
      <w:lvlJc w:val="left"/>
      <w:lvlText w:val="(%1)"/>
      <w:numFmt w:val="lowerRoman"/>
      <w:start w:val="2"/>
    </w:lvl>
  </w:abstractNum>
  <w:abstractNum w:abstractNumId="82">
    <w:nsid w:val="1873983A"/>
    <w:multiLevelType w:val="hybridMultilevel"/>
    <w:lvl w:ilvl="0">
      <w:lvlJc w:val="left"/>
      <w:lvlText w:val="•"/>
      <w:numFmt w:val="bullet"/>
      <w:start w:val="1"/>
    </w:lvl>
  </w:abstractNum>
  <w:abstractNum w:abstractNumId="83">
    <w:nsid w:val="3D2DD275"/>
    <w:multiLevelType w:val="hybridMultilevel"/>
    <w:lvl w:ilvl="0">
      <w:lvlJc w:val="left"/>
      <w:lvlText w:val="•"/>
      <w:numFmt w:val="bullet"/>
      <w:start w:val="1"/>
    </w:lvl>
  </w:abstractNum>
  <w:abstractNum w:abstractNumId="84">
    <w:nsid w:val="2E17ECA7"/>
    <w:multiLevelType w:val="hybridMultilevel"/>
    <w:lvl w:ilvl="0">
      <w:lvlJc w:val="left"/>
      <w:lvlText w:val="•"/>
      <w:numFmt w:val="bullet"/>
      <w:start w:val="1"/>
    </w:lvl>
  </w:abstractNum>
  <w:abstractNum w:abstractNumId="85">
    <w:nsid w:val="53B2564F"/>
    <w:multiLevelType w:val="hybridMultilevel"/>
    <w:lvl w:ilvl="0">
      <w:lvlJc w:val="left"/>
      <w:lvlText w:val="•"/>
      <w:numFmt w:val="bullet"/>
      <w:start w:val="1"/>
    </w:lvl>
  </w:abstractNum>
  <w:abstractNum w:abstractNumId="86">
    <w:nsid w:val="75509D76"/>
    <w:multiLevelType w:val="hybridMultilevel"/>
    <w:lvl w:ilvl="0">
      <w:lvlJc w:val="left"/>
      <w:lvlText w:val="%1."/>
      <w:numFmt w:val="lowerLetter"/>
      <w:start w:val="1"/>
    </w:lvl>
  </w:abstractNum>
  <w:abstractNum w:abstractNumId="87">
    <w:nsid w:val="1AF7F0EA"/>
    <w:multiLevelType w:val="hybridMultilevel"/>
    <w:lvl w:ilvl="0">
      <w:lvlJc w:val="left"/>
      <w:lvlText w:val="%1."/>
      <w:numFmt w:val="lowerLetter"/>
      <w:start w:val="1"/>
    </w:lvl>
  </w:abstractNum>
  <w:abstractNum w:abstractNumId="88">
    <w:nsid w:val="4DA32C7E"/>
    <w:multiLevelType w:val="hybridMultilevel"/>
    <w:lvl w:ilvl="0">
      <w:lvlJc w:val="left"/>
      <w:lvlText w:val="%1."/>
      <w:numFmt w:val="lowerLetter"/>
      <w:start w:val="3"/>
    </w:lvl>
  </w:abstractNum>
  <w:abstractNum w:abstractNumId="89">
    <w:nsid w:val="6EC68664"/>
    <w:multiLevelType w:val="hybridMultilevel"/>
    <w:lvl w:ilvl="0">
      <w:lvlJc w:val="left"/>
      <w:lvlText w:val="%1."/>
      <w:numFmt w:val="lowerLetter"/>
      <w:start w:val="5"/>
    </w:lvl>
  </w:abstractNum>
  <w:abstractNum w:abstractNumId="90">
    <w:nsid w:val="E0D31FF"/>
    <w:multiLevelType w:val="hybridMultilevel"/>
    <w:lvl w:ilvl="0">
      <w:lvlJc w:val="left"/>
      <w:lvlText w:val="%1."/>
      <w:numFmt w:val="lowerLetter"/>
      <w:start w:val="7"/>
    </w:lvl>
  </w:abstractNum>
  <w:abstractNum w:abstractNumId="91">
    <w:nsid w:val="2FD0AD81"/>
    <w:multiLevelType w:val="hybridMultilevel"/>
    <w:lvl w:ilvl="0">
      <w:lvlJc w:val="left"/>
      <w:lvlText w:val="%1."/>
      <w:numFmt w:val="lowerLetter"/>
      <w:start w:val="8"/>
    </w:lvl>
  </w:abstractNum>
  <w:abstractNum w:abstractNumId="92">
    <w:nsid w:val="1978EBEB"/>
    <w:multiLevelType w:val="hybridMultilevel"/>
    <w:lvl w:ilvl="0">
      <w:lvlJc w:val="left"/>
      <w:lvlText w:val="%1."/>
      <w:numFmt w:val="lowerRoman"/>
    </w:lvl>
    <w:lvl w:ilvl="1">
      <w:lvlJc w:val="left"/>
      <w:lvlText w:val="(*)"/>
      <w:numFmt w:val="bullet"/>
      <w:start w:val="1"/>
    </w:lvl>
  </w:abstractNum>
  <w:abstractNum w:abstractNumId="93">
    <w:nsid w:val="52C12C61"/>
    <w:multiLevelType w:val="hybridMultilevel"/>
    <w:lvl w:ilvl="0">
      <w:lvlJc w:val="left"/>
      <w:lvlText w:val="%1."/>
      <w:numFmt w:val="lowerLetter"/>
      <w:start w:val="10"/>
    </w:lvl>
  </w:abstractNum>
  <w:abstractNum w:abstractNumId="94">
    <w:nsid w:val="4BDD53FD"/>
    <w:multiLevelType w:val="hybridMultilevel"/>
    <w:lvl w:ilvl="0">
      <w:lvlJc w:val="left"/>
      <w:lvlText w:val="%1."/>
      <w:numFmt w:val="lowerLetter"/>
      <w:start w:val="11"/>
    </w:lvl>
  </w:abstractNum>
  <w:abstractNum w:abstractNumId="95">
    <w:nsid w:val="569951FE"/>
    <w:multiLevelType w:val="hybridMultilevel"/>
    <w:lvl w:ilvl="0">
      <w:lvlJc w:val="left"/>
      <w:lvlText w:val="%1."/>
      <w:numFmt w:val="lowerLetter"/>
      <w:start w:val="14"/>
    </w:lvl>
  </w:abstractNum>
  <w:abstractNum w:abstractNumId="96">
    <w:nsid w:val="4C54E2C3"/>
    <w:multiLevelType w:val="hybridMultilevel"/>
    <w:lvl w:ilvl="0">
      <w:lvlJc w:val="left"/>
      <w:lvlText w:val="\emdash "/>
      <w:numFmt w:val="bullet"/>
      <w:start w:val="1"/>
    </w:lvl>
  </w:abstractNum>
  <w:abstractNum w:abstractNumId="97">
    <w:nsid w:val="788BD9B"/>
    <w:multiLevelType w:val="hybridMultilevel"/>
    <w:lvl w:ilvl="0">
      <w:lvlJc w:val="left"/>
      <w:lvlText w:val="%1."/>
      <w:numFmt w:val="lowerLetter"/>
      <w:start w:val="16"/>
    </w:lvl>
  </w:abstractNum>
  <w:abstractNum w:abstractNumId="98">
    <w:nsid w:val="47CAA567"/>
    <w:multiLevelType w:val="hybridMultilevel"/>
    <w:lvl w:ilvl="0">
      <w:lvlJc w:val="left"/>
      <w:lvlText w:val="%1."/>
      <w:numFmt w:val="lowerLetter"/>
      <w:start w:val="17"/>
    </w:lvl>
  </w:abstractNum>
  <w:abstractNum w:abstractNumId="99">
    <w:nsid w:val="48249DBF"/>
    <w:multiLevelType w:val="hybridMultilevel"/>
    <w:lvl w:ilvl="0">
      <w:lvlJc w:val="left"/>
      <w:lvlText w:val="%1."/>
      <w:numFmt w:val="lowerLetter"/>
      <w:start w:val="18"/>
    </w:lvl>
  </w:abstractNum>
  <w:abstractNum w:abstractNumId="100">
    <w:nsid w:val="1F0E5D0D"/>
    <w:multiLevelType w:val="hybridMultilevel"/>
    <w:lvl w:ilvl="0">
      <w:lvlJc w:val="left"/>
      <w:lvlText w:val="%1."/>
      <w:numFmt w:val="lowerLetter"/>
      <w:start w:val="20"/>
    </w:lvl>
  </w:abstractNum>
  <w:abstractNum w:abstractNumId="101">
    <w:nsid w:val="26BAAE9"/>
    <w:multiLevelType w:val="hybridMultilevel"/>
    <w:lvl w:ilvl="0">
      <w:lvlJc w:val="left"/>
      <w:lvlText w:val="%1."/>
      <w:numFmt w:val="lowerLetter"/>
      <w:start w:val="23"/>
    </w:lvl>
  </w:abstractNum>
  <w:abstractNum w:abstractNumId="102">
    <w:nsid w:val="2C02FE8C"/>
    <w:multiLevelType w:val="hybridMultilevel"/>
    <w:lvl w:ilvl="0">
      <w:lvlJc w:val="left"/>
      <w:lvlText w:val="(*)"/>
      <w:numFmt w:val="bullet"/>
      <w:start w:val="1"/>
    </w:lvl>
  </w:abstractNum>
  <w:abstractNum w:abstractNumId="103">
    <w:nsid w:val="129517E"/>
    <w:multiLevelType w:val="hybridMultilevel"/>
    <w:lvl w:ilvl="0">
      <w:lvlJc w:val="left"/>
      <w:lvlText w:val="%1."/>
      <w:numFmt w:val="lowerLetter"/>
      <w:start w:val="2"/>
    </w:lvl>
  </w:abstractNum>
  <w:abstractNum w:abstractNumId="104">
    <w:nsid w:val="763B8C4E"/>
    <w:multiLevelType w:val="hybridMultilevel"/>
    <w:lvl w:ilvl="0">
      <w:lvlJc w:val="left"/>
      <w:lvlText w:val="(%1)"/>
      <w:numFmt w:val="lowerLetter"/>
      <w:start w:val="2"/>
    </w:lvl>
  </w:abstractNum>
  <w:abstractNum w:abstractNumId="105">
    <w:nsid w:val="4CFB8D32"/>
    <w:multiLevelType w:val="hybridMultilevel"/>
    <w:lvl w:ilvl="0">
      <w:lvlJc w:val="left"/>
      <w:lvlText w:val="%1."/>
      <w:numFmt w:val="lowerLetter"/>
      <w:start w:val="3"/>
    </w:lvl>
  </w:abstractNum>
  <w:abstractNum w:abstractNumId="106">
    <w:nsid w:val="62A5D5BD"/>
    <w:multiLevelType w:val="hybridMultilevel"/>
    <w:lvl w:ilvl="0">
      <w:lvlJc w:val="left"/>
      <w:lvlText w:val="%1."/>
      <w:numFmt w:val="lowerLetter"/>
      <w:start w:val="5"/>
    </w:lvl>
    <w:lvl w:ilvl="1">
      <w:lvlJc w:val="left"/>
      <w:lvlText w:val="%2."/>
      <w:numFmt w:val="decimal"/>
      <w:start w:val="1"/>
    </w:lvl>
  </w:abstractNum>
  <w:abstractNum w:abstractNumId="107">
    <w:nsid w:val="718FABF9"/>
    <w:multiLevelType w:val="hybridMultilevel"/>
    <w:lvl w:ilvl="0">
      <w:lvlJc w:val="left"/>
      <w:lvlText w:val="%1"/>
      <w:numFmt w:val="lowerLetter"/>
      <w:start w:val="1"/>
    </w:lvl>
    <w:lvl w:ilvl="1">
      <w:lvlJc w:val="left"/>
      <w:lvlText w:val="%2."/>
      <w:numFmt w:val="decimal"/>
      <w:start w:val="2"/>
    </w:lvl>
  </w:abstractNum>
  <w:abstractNum w:abstractNumId="108">
    <w:nsid w:val="7775797C"/>
    <w:multiLevelType w:val="hybridMultilevel"/>
    <w:lvl w:ilvl="0">
      <w:lvlJc w:val="left"/>
      <w:lvlText w:val="%1."/>
      <w:numFmt w:val="lowerLetter"/>
      <w:start w:val="6"/>
    </w:lvl>
    <w:lvl w:ilvl="1">
      <w:lvlJc w:val="left"/>
      <w:lvlText w:val="%2"/>
      <w:numFmt w:val="decimal"/>
      <w:start w:val="1"/>
    </w:lvl>
  </w:abstractNum>
  <w:abstractNum w:abstractNumId="109">
    <w:nsid w:val="1626FB8C"/>
    <w:multiLevelType w:val="hybridMultilevel"/>
    <w:lvl w:ilvl="0">
      <w:lvlJc w:val="left"/>
      <w:lvlText w:val="%1."/>
      <w:numFmt w:val="lowerLetter"/>
      <w:start w:val="1"/>
    </w:lvl>
  </w:abstractNum>
  <w:abstractNum w:abstractNumId="110">
    <w:nsid w:val="3957756A"/>
    <w:multiLevelType w:val="hybridMultilevel"/>
    <w:lvl w:ilvl="0">
      <w:lvlJc w:val="left"/>
      <w:lvlText w:val="%1."/>
      <w:numFmt w:val="lowerLetter"/>
      <w:start w:val="3"/>
    </w:lvl>
  </w:abstractNum>
  <w:abstractNum w:abstractNumId="111">
    <w:nsid w:val="3E6DA1C7"/>
    <w:multiLevelType w:val="hybridMultilevel"/>
    <w:lvl w:ilvl="0">
      <w:lvlJc w:val="left"/>
      <w:lvlText w:val="%1."/>
      <w:numFmt w:val="lowerLetter"/>
      <w:start w:val="5"/>
    </w:lvl>
  </w:abstractNum>
  <w:abstractNum w:abstractNumId="112">
    <w:nsid w:val="65CA235B"/>
    <w:multiLevelType w:val="hybridMultilevel"/>
    <w:lvl w:ilvl="0">
      <w:lvlJc w:val="left"/>
      <w:lvlText w:val="%1."/>
      <w:numFmt w:val="lowerLetter"/>
      <w:start w:val="2"/>
    </w:lvl>
  </w:abstractNum>
  <w:abstractNum w:abstractNumId="113">
    <w:nsid w:val="51CB0DA4"/>
    <w:multiLevelType w:val="hybridMultilevel"/>
    <w:lvl w:ilvl="0">
      <w:lvlJc w:val="left"/>
      <w:lvlText w:val="(%1)"/>
      <w:numFmt w:val="lowerLetter"/>
      <w:start w:val="1"/>
    </w:lvl>
  </w:abstractNum>
  <w:abstractNum w:abstractNumId="114">
    <w:nsid w:val="7B9B743C"/>
    <w:multiLevelType w:val="hybridMultilevel"/>
    <w:lvl w:ilvl="0">
      <w:lvlJc w:val="left"/>
      <w:lvlText w:val="%1."/>
      <w:numFmt w:val="lowerLetter"/>
      <w:start w:val="3"/>
    </w:lvl>
  </w:abstractNum>
  <w:abstractNum w:abstractNumId="115">
    <w:nsid w:val="13E21002"/>
    <w:multiLevelType w:val="hybridMultilevel"/>
    <w:lvl w:ilvl="0">
      <w:lvlJc w:val="left"/>
      <w:lvlText w:val="%1."/>
      <w:numFmt w:val="lowerLetter"/>
      <w:start w:val="4"/>
    </w:lvl>
  </w:abstractNum>
  <w:abstractNum w:abstractNumId="116">
    <w:nsid w:val="257D63F4"/>
    <w:multiLevelType w:val="hybridMultilevel"/>
    <w:lvl w:ilvl="0">
      <w:lvlJc w:val="left"/>
      <w:lvlText w:val="%1."/>
      <w:numFmt w:val="lowerLetter"/>
      <w:start w:val="5"/>
    </w:lvl>
  </w:abstractNum>
  <w:abstractNum w:abstractNumId="117">
    <w:nsid w:val="70EC11B2"/>
    <w:multiLevelType w:val="hybridMultilevel"/>
    <w:lvl w:ilvl="0">
      <w:lvlJc w:val="left"/>
      <w:lvlText w:val="%1."/>
      <w:numFmt w:val="lowerLetter"/>
      <w:start w:val="7"/>
    </w:lvl>
  </w:abstractNum>
  <w:abstractNum w:abstractNumId="118">
    <w:nsid w:val="2EDA00ED"/>
    <w:multiLevelType w:val="hybridMultilevel"/>
    <w:lvl w:ilvl="0">
      <w:lvlJc w:val="left"/>
      <w:lvlText w:val="%1."/>
      <w:numFmt w:val="lowerLetter"/>
      <w:start w:val="8"/>
    </w:lvl>
  </w:abstractNum>
  <w:abstractNum w:abstractNumId="119">
    <w:nsid w:val="73209072"/>
    <w:multiLevelType w:val="hybridMultilevel"/>
    <w:lvl w:ilvl="0">
      <w:lvlJc w:val="left"/>
      <w:lvlText w:val="%1."/>
      <w:numFmt w:val="lowerRoman"/>
      <w:start w:val="1"/>
    </w:lvl>
  </w:abstractNum>
  <w:abstractNum w:abstractNumId="120">
    <w:nsid w:val="5FB29816"/>
    <w:multiLevelType w:val="hybridMultilevel"/>
    <w:lvl w:ilvl="0">
      <w:lvlJc w:val="left"/>
      <w:lvlText w:val="%1."/>
      <w:numFmt w:val="lowerLetter"/>
      <w:start w:val="9"/>
    </w:lvl>
    <w:lvl w:ilvl="1">
      <w:lvlJc w:val="left"/>
      <w:lvlText w:val="(**)"/>
      <w:numFmt w:val="bullet"/>
      <w:start w:val="1"/>
    </w:lvl>
  </w:abstractNum>
  <w:abstractNum w:abstractNumId="121">
    <w:nsid w:val="3CE732EC"/>
    <w:multiLevelType w:val="hybridMultilevel"/>
    <w:lvl w:ilvl="0">
      <w:lvlJc w:val="left"/>
      <w:lvlText w:val="%1."/>
      <w:numFmt w:val="lowerLetter"/>
      <w:start w:val="1"/>
    </w:lvl>
  </w:abstractNum>
  <w:abstractNum w:abstractNumId="122">
    <w:nsid w:val="22F13DF3"/>
    <w:multiLevelType w:val="hybridMultilevel"/>
    <w:lvl w:ilvl="0">
      <w:lvlJc w:val="left"/>
      <w:lvlText w:val="%1."/>
      <w:numFmt w:val="lowerLetter"/>
      <w:start w:val="2"/>
    </w:lvl>
  </w:abstractNum>
  <w:abstractNum w:abstractNumId="123">
    <w:nsid w:val="792B8401"/>
    <w:multiLevelType w:val="hybridMultilevel"/>
    <w:lvl w:ilvl="0">
      <w:lvlJc w:val="left"/>
      <w:lvlText w:val="%1."/>
      <w:numFmt w:val="lowerLetter"/>
      <w:start w:val="1"/>
    </w:lvl>
  </w:abstractNum>
  <w:abstractNum w:abstractNumId="124">
    <w:nsid w:val="FA85F4D"/>
    <w:multiLevelType w:val="hybridMultilevel"/>
    <w:lvl w:ilvl="0">
      <w:lvlJc w:val="left"/>
      <w:lvlText w:val="%1."/>
      <w:numFmt w:val="lowerLetter"/>
      <w:start w:val="2"/>
    </w:lvl>
  </w:abstractNum>
  <w:abstractNum w:abstractNumId="125">
    <w:nsid w:val="6ECE91F0"/>
    <w:multiLevelType w:val="hybridMultilevel"/>
    <w:lvl w:ilvl="0">
      <w:lvlJc w:val="left"/>
      <w:lvlText w:val="•"/>
      <w:numFmt w:val="bullet"/>
      <w:start w:val="1"/>
    </w:lvl>
  </w:abstractNum>
  <w:abstractNum w:abstractNumId="126">
    <w:nsid w:val="4FC4D600"/>
    <w:multiLevelType w:val="hybridMultilevel"/>
    <w:lvl w:ilvl="0">
      <w:lvlJc w:val="left"/>
      <w:lvlText w:val="•"/>
      <w:numFmt w:val="bullet"/>
      <w:start w:val="1"/>
    </w:lvl>
  </w:abstractNum>
  <w:abstractNum w:abstractNumId="127">
    <w:nsid w:val="5BFD4210"/>
    <w:multiLevelType w:val="hybridMultilevel"/>
    <w:lvl w:ilvl="0">
      <w:lvlJc w:val="left"/>
      <w:lvlText w:val="•"/>
      <w:numFmt w:val="bullet"/>
      <w:start w:val="1"/>
    </w:lvl>
  </w:abstractNum>
  <w:abstractNum w:abstractNumId="128">
    <w:nsid w:val="76574F8B"/>
    <w:multiLevelType w:val="hybridMultilevel"/>
    <w:lvl w:ilvl="0">
      <w:lvlJc w:val="left"/>
      <w:lvlText w:val="•"/>
      <w:numFmt w:val="bullet"/>
      <w:start w:val="1"/>
    </w:lvl>
  </w:abstractNum>
  <w:abstractNum w:abstractNumId="129">
    <w:nsid w:val="178F7B67"/>
    <w:multiLevelType w:val="hybridMultilevel"/>
    <w:lvl w:ilvl="0">
      <w:lvlJc w:val="left"/>
      <w:lvlText w:val="•"/>
      <w:numFmt w:val="bullet"/>
      <w:start w:val="1"/>
    </w:lvl>
  </w:abstractNum>
  <w:abstractNum w:abstractNumId="130">
    <w:nsid w:val="2421DFCF"/>
    <w:multiLevelType w:val="hybridMultilevel"/>
    <w:lvl w:ilvl="0">
      <w:lvlJc w:val="left"/>
      <w:lvlText w:val="(%1)"/>
      <w:numFmt w:val="lowerLetter"/>
      <w:start w:val="1"/>
    </w:lvl>
  </w:abstractNum>
  <w:abstractNum w:abstractNumId="131">
    <w:nsid w:val="1565AC99"/>
    <w:multiLevelType w:val="hybridMultilevel"/>
    <w:lvl w:ilvl="0">
      <w:lvlJc w:val="left"/>
      <w:lvlText w:val="%1."/>
      <w:numFmt w:val="decimal"/>
      <w:start w:val="1"/>
    </w:lvl>
  </w:abstractNum>
  <w:abstractNum w:abstractNumId="132">
    <w:nsid w:val="19FB2650"/>
    <w:multiLevelType w:val="hybridMultilevel"/>
    <w:lvl w:ilvl="0">
      <w:lvlJc w:val="left"/>
      <w:lvlText w:val="*"/>
      <w:numFmt w:val="bullet"/>
      <w:start w:val="1"/>
    </w:lvl>
  </w:abstractNum>
  <w:abstractNum w:abstractNumId="133">
    <w:nsid w:val="5024DE5B"/>
    <w:multiLevelType w:val="hybridMultilevel"/>
    <w:lvl w:ilvl="0">
      <w:lvlJc w:val="left"/>
      <w:lvlText w:val="†"/>
      <w:numFmt w:val="bullet"/>
      <w:start w:val="1"/>
    </w:lvl>
  </w:abstractNum>
  <w:abstractNum w:abstractNumId="134">
    <w:nsid w:val="168EFE17"/>
    <w:multiLevelType w:val="hybridMultilevel"/>
    <w:lvl w:ilvl="0">
      <w:lvlJc w:val="left"/>
      <w:lvlText w:val="∞"/>
      <w:numFmt w:val="bullet"/>
      <w:start w:val="1"/>
    </w:lvl>
  </w:abstractNum>
  <w:abstractNum w:abstractNumId="135">
    <w:nsid w:val="1036B29F"/>
    <w:multiLevelType w:val="hybridMultilevel"/>
    <w:lvl w:ilvl="0">
      <w:lvlJc w:val="left"/>
      <w:lvlText w:val="(%1)"/>
      <w:numFmt w:val="lowerRoman"/>
      <w:start w:val="7"/>
    </w:lvl>
  </w:abstractNum>
  <w:abstractNum w:abstractNumId="136">
    <w:nsid w:val="1D206B8E"/>
    <w:multiLevelType w:val="hybridMultilevel"/>
    <w:lvl w:ilvl="0">
      <w:lvlJc w:val="left"/>
      <w:lvlText w:val="%1."/>
      <w:numFmt w:val="decimal"/>
      <w:start w:val="2"/>
    </w:lvl>
    <w:lvl w:ilvl="1">
      <w:lvlJc w:val="left"/>
      <w:lvlText w:val="(%2)"/>
      <w:numFmt w:val="lowerLetter"/>
      <w:start w:val="1"/>
    </w:lvl>
  </w:abstractNum>
  <w:abstractNum w:abstractNumId="137">
    <w:nsid w:val="7934D3D4"/>
    <w:multiLevelType w:val="hybridMultilevel"/>
    <w:lvl w:ilvl="0">
      <w:lvlJc w:val="left"/>
      <w:lvlText w:val="(%1)"/>
      <w:numFmt w:val="lowerLetter"/>
      <w:start w:val="3"/>
    </w:lvl>
  </w:abstractNum>
  <w:abstractNum w:abstractNumId="138">
    <w:nsid w:val="1C65E98"/>
    <w:multiLevelType w:val="hybridMultilevel"/>
    <w:lvl w:ilvl="0">
      <w:lvlJc w:val="left"/>
      <w:lvlText w:val="%1."/>
      <w:numFmt w:val="decimal"/>
      <w:start w:val="3"/>
    </w:lvl>
  </w:abstractNum>
  <w:abstractNum w:abstractNumId="139">
    <w:nsid w:val="1495E50A"/>
    <w:multiLevelType w:val="hybridMultilevel"/>
    <w:lvl w:ilvl="0">
      <w:lvlJc w:val="left"/>
      <w:lvlText w:val="%1."/>
      <w:numFmt w:val="decimal"/>
      <w:start w:val="6"/>
    </w:lvl>
  </w:abstractNum>
  <w:abstractNum w:abstractNumId="140">
    <w:nsid w:val="F5BCF61"/>
    <w:multiLevelType w:val="hybridMultilevel"/>
    <w:lvl w:ilvl="0">
      <w:lvlJc w:val="left"/>
      <w:lvlText w:val="%1."/>
      <w:numFmt w:val="decimal"/>
      <w:start w:val="7"/>
    </w:lvl>
    <w:lvl w:ilvl="1">
      <w:lvlJc w:val="left"/>
      <w:lvlText w:val="(%2)"/>
      <w:numFmt w:val="lowerLetter"/>
      <w:start w:val="1"/>
    </w:lvl>
  </w:abstractNum>
  <w:abstractNum w:abstractNumId="141">
    <w:nsid w:val="3B1DD403"/>
    <w:multiLevelType w:val="hybridMultilevel"/>
    <w:lvl w:ilvl="0">
      <w:lvlJc w:val="left"/>
      <w:lvlText w:val="(%1)"/>
      <w:numFmt w:val="lowerLetter"/>
      <w:start w:val="2"/>
    </w:lvl>
    <w:lvl w:ilvl="1">
      <w:lvlJc w:val="left"/>
      <w:lvlText w:val="(%2)"/>
      <w:numFmt w:val="lowerRoman"/>
      <w:start w:val="1"/>
    </w:lvl>
  </w:abstractNum>
  <w:abstractNum w:abstractNumId="142">
    <w:nsid w:val="530386D1"/>
    <w:multiLevelType w:val="hybridMultilevel"/>
    <w:lvl w:ilvl="0">
      <w:lvlJc w:val="left"/>
      <w:lvlText w:val="%1"/>
      <w:numFmt w:val="lowerLetter"/>
      <w:start w:val="1"/>
    </w:lvl>
    <w:lvl w:ilvl="1">
      <w:lvlJc w:val="left"/>
      <w:lvlText w:val="(%2)"/>
      <w:numFmt w:val="lowerLetter"/>
      <w:start w:val="61"/>
    </w:lvl>
  </w:abstractNum>
  <w:abstractNum w:abstractNumId="143">
    <w:nsid w:val="7525F2BC"/>
    <w:multiLevelType w:val="hybridMultilevel"/>
    <w:lvl w:ilvl="0">
      <w:lvlJc w:val="left"/>
      <w:lvlText w:val="(%1)"/>
      <w:numFmt w:val="lowerLetter"/>
      <w:start w:val="3"/>
    </w:lvl>
    <w:lvl w:ilvl="1">
      <w:lvlJc w:val="left"/>
      <w:lvlText w:val="(%2)"/>
      <w:numFmt w:val="lowerLetter"/>
      <w:start w:val="9"/>
    </w:lvl>
  </w:abstractNum>
  <w:abstractNum w:abstractNumId="144">
    <w:nsid w:val="CE8E1A7"/>
    <w:multiLevelType w:val="hybridMultilevel"/>
    <w:lvl w:ilvl="0">
      <w:lvlJc w:val="left"/>
      <w:lvlText w:val="(%1)"/>
      <w:numFmt w:val="lowerRoman"/>
      <w:start w:val="2"/>
    </w:lvl>
  </w:abstractNum>
  <w:abstractNum w:abstractNumId="145">
    <w:nsid w:val="4E9EFB0D"/>
    <w:multiLevelType w:val="hybridMultilevel"/>
    <w:lvl w:ilvl="0">
      <w:lvlJc w:val="left"/>
      <w:lvlText w:val="(%1)"/>
      <w:numFmt w:val="lowerRoman"/>
      <w:start w:val="4"/>
    </w:lvl>
    <w:lvl w:ilvl="1">
      <w:lvlJc w:val="left"/>
      <w:lvlText w:val="(%2)"/>
      <w:numFmt w:val="decimal"/>
      <w:start w:val="1"/>
    </w:lvl>
  </w:abstractNum>
  <w:abstractNum w:abstractNumId="146">
    <w:nsid w:val="90802B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47">
    <w:nsid w:val="3266459B"/>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148">
    <w:nsid w:val="3F8B0CBF"/>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49">
    <w:nsid w:val="37E203AB"/>
    <w:multiLevelType w:val="hybridMultilevel"/>
    <w:lvl w:ilvl="0">
      <w:lvlJc w:val="left"/>
      <w:lvlText w:val="%1."/>
      <w:numFmt w:val="decimal"/>
      <w:start w:val="8"/>
    </w:lvl>
  </w:abstractNum>
  <w:abstractNum w:abstractNumId="150">
    <w:nsid w:val="2586D60E"/>
    <w:multiLevelType w:val="hybridMultilevel"/>
    <w:lvl w:ilvl="0">
      <w:lvlJc w:val="left"/>
      <w:lvlText w:val="%1."/>
      <w:numFmt w:val="decimal"/>
      <w:start w:val="10"/>
    </w:lvl>
    <w:lvl w:ilvl="1">
      <w:lvlJc w:val="left"/>
      <w:lvlText w:val="(%2)"/>
      <w:numFmt w:val="lowerLetter"/>
      <w:start w:val="2"/>
    </w:lvl>
    <w:lvl w:ilvl="2">
      <w:lvlJc w:val="left"/>
      <w:lvlText w:val="(%3)"/>
      <w:numFmt w:val="decimal"/>
      <w:start w:val="7"/>
    </w:lvl>
  </w:abstractNum>
  <w:abstractNum w:abstractNumId="151">
    <w:nsid w:val="1F3DA4D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4"/>
    </w:lvl>
  </w:abstractNum>
  <w:abstractNum w:abstractNumId="152">
    <w:nsid w:val="74C93698"/>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53">
    <w:nsid w:val="48781401"/>
    <w:multiLevelType w:val="hybridMultilevel"/>
    <w:lvl w:ilvl="0">
      <w:lvlJc w:val="left"/>
      <w:lvlText w:val="%1."/>
      <w:numFmt w:val="decimal"/>
      <w:start w:val="11"/>
    </w:lvl>
    <w:lvl w:ilvl="1">
      <w:lvlJc w:val="left"/>
      <w:lvlText w:val="(%2)"/>
      <w:numFmt w:val="lowerLetter"/>
      <w:start w:val="2"/>
    </w:lvl>
  </w:abstractNum>
  <w:abstractNum w:abstractNumId="154">
    <w:nsid w:val="186928D6"/>
    <w:multiLevelType w:val="hybridMultilevel"/>
    <w:lvl w:ilvl="0">
      <w:lvlJc w:val="left"/>
      <w:lvlText w:val="%1."/>
      <w:numFmt w:val="decimal"/>
      <w:start w:val="13"/>
    </w:lvl>
    <w:lvl w:ilvl="1">
      <w:lvlJc w:val="left"/>
      <w:lvlText w:val="(%2)"/>
      <w:numFmt w:val="lowerLetter"/>
      <w:start w:val="2"/>
    </w:lvl>
  </w:abstractNum>
  <w:abstractNum w:abstractNumId="155">
    <w:nsid w:val="47195E5"/>
    <w:multiLevelType w:val="hybridMultilevel"/>
    <w:lvl w:ilvl="0">
      <w:lvlJc w:val="left"/>
      <w:lvlText w:val="%1."/>
      <w:numFmt w:val="decimal"/>
      <w:start w:val="15"/>
    </w:lvl>
  </w:abstractNum>
  <w:abstractNum w:abstractNumId="156">
    <w:nsid w:val="3746A5F2"/>
    <w:multiLevelType w:val="hybridMultilevel"/>
    <w:lvl w:ilvl="0">
      <w:lvlJc w:val="left"/>
      <w:lvlText w:val="%1."/>
      <w:numFmt w:val="decimal"/>
      <w:start w:val="17"/>
    </w:lvl>
  </w:abstractNum>
  <w:abstractNum w:abstractNumId="157">
    <w:nsid w:val="682DFED6"/>
    <w:multiLevelType w:val="hybridMultilevel"/>
    <w:lvl w:ilvl="0">
      <w:lvlJc w:val="left"/>
      <w:lvlText w:val="%1."/>
      <w:numFmt w:val="decimal"/>
      <w:start w:val="18"/>
    </w:lvl>
  </w:abstractNum>
  <w:abstractNum w:abstractNumId="158">
    <w:nsid w:val="606ED7F6"/>
    <w:multiLevelType w:val="hybridMultilevel"/>
    <w:lvl w:ilvl="0">
      <w:lvlJc w:val="left"/>
      <w:lvlText w:val="%1."/>
      <w:numFmt w:val="decimal"/>
      <w:start w:val="21"/>
    </w:lvl>
  </w:abstractNum>
  <w:abstractNum w:abstractNumId="159">
    <w:nsid w:val="2D9DF57D"/>
    <w:multiLevelType w:val="hybridMultilevel"/>
    <w:lvl w:ilvl="0">
      <w:lvlJc w:val="left"/>
      <w:lvlText w:val="%1."/>
      <w:numFmt w:val="decimal"/>
      <w:start w:val="23"/>
    </w:lvl>
  </w:abstractNum>
  <w:abstractNum w:abstractNumId="160">
    <w:nsid w:val="7FBD7A3E"/>
    <w:multiLevelType w:val="hybridMultilevel"/>
    <w:lvl w:ilvl="0">
      <w:lvlJc w:val="left"/>
      <w:lvlText w:val="%1."/>
      <w:numFmt w:val="decimal"/>
      <w:start w:val="29"/>
    </w:lvl>
    <w:lvl w:ilvl="1">
      <w:lvlJc w:val="left"/>
      <w:lvlText w:val="(%2)"/>
      <w:numFmt w:val="lowerLetter"/>
      <w:start w:val="2"/>
    </w:lvl>
  </w:abstractNum>
  <w:abstractNum w:abstractNumId="161">
    <w:nsid w:val="490B7C5"/>
    <w:multiLevelType w:val="hybridMultilevel"/>
    <w:lvl w:ilvl="0">
      <w:lvlJc w:val="left"/>
      <w:lvlText w:val="%1"/>
      <w:numFmt w:val="lowerLetter"/>
      <w:start w:val="1"/>
    </w:lvl>
    <w:lvl w:ilvl="1">
      <w:lvlJc w:val="left"/>
      <w:lvlText w:val="(%2)"/>
      <w:numFmt w:val="decimal"/>
      <w:start w:val="30"/>
    </w:lvl>
  </w:abstractNum>
  <w:abstractNum w:abstractNumId="162">
    <w:nsid w:val="4303A216"/>
    <w:multiLevelType w:val="hybridMultilevel"/>
    <w:lvl w:ilvl="0">
      <w:lvlJc w:val="left"/>
      <w:lvlText w:val="(%1)"/>
      <w:numFmt w:val="lowerLetter"/>
      <w:start w:val="5"/>
    </w:lvl>
    <w:lvl w:ilvl="1">
      <w:lvlJc w:val="left"/>
      <w:lvlText w:val="%2"/>
      <w:numFmt w:val="decimal"/>
      <w:start w:val="1"/>
    </w:lvl>
  </w:abstractNum>
  <w:abstractNum w:abstractNumId="163">
    <w:nsid w:val="19B8A08E"/>
    <w:multiLevelType w:val="hybridMultilevel"/>
    <w:lvl w:ilvl="0">
      <w:lvlJc w:val="left"/>
      <w:lvlText w:val="%1."/>
      <w:numFmt w:val="decimal"/>
      <w:start w:val="30"/>
    </w:lvl>
    <w:lvl w:ilvl="1">
      <w:lvlJc w:val="left"/>
      <w:lvlText w:val="(%2)"/>
      <w:numFmt w:val="lowerLetter"/>
      <w:start w:val="2"/>
    </w:lvl>
    <w:lvl w:ilvl="2">
      <w:lvlJc w:val="left"/>
      <w:lvlText w:val="(%3)"/>
      <w:numFmt w:val="decimal"/>
      <w:start w:val="14"/>
    </w:lvl>
  </w:abstractNum>
  <w:abstractNum w:abstractNumId="164">
    <w:nsid w:val="54B59621"/>
    <w:multiLevelType w:val="hybridMultilevel"/>
    <w:lvl w:ilvl="0">
      <w:lvlJc w:val="left"/>
      <w:lvlText w:val="(%1)"/>
      <w:numFmt w:val="lowerLetter"/>
      <w:start w:val="5"/>
    </w:lvl>
  </w:abstractNum>
  <w:abstractNum w:abstractNumId="165">
    <w:nsid w:val="5992A02E"/>
    <w:multiLevelType w:val="hybridMultilevel"/>
    <w:lvl w:ilvl="0">
      <w:lvlJc w:val="left"/>
      <w:lvlText w:val="%1."/>
      <w:numFmt w:val="decimal"/>
      <w:start w:val="31"/>
    </w:lvl>
    <w:lvl w:ilvl="1">
      <w:lvlJc w:val="left"/>
      <w:lvlText w:val="(%2)"/>
      <w:numFmt w:val="lowerLetter"/>
      <w:start w:val="2"/>
    </w:lvl>
  </w:abstractNum>
  <w:abstractNum w:abstractNumId="166">
    <w:nsid w:val="29EF532D"/>
    <w:multiLevelType w:val="hybridMultilevel"/>
    <w:lvl w:ilvl="0">
      <w:lvlJc w:val="left"/>
      <w:lvlText w:val="(%1)"/>
      <w:numFmt w:val="lowerLetter"/>
      <w:start w:val="7"/>
    </w:lvl>
  </w:abstractNum>
  <w:abstractNum w:abstractNumId="167">
    <w:nsid w:val="71D601AF"/>
    <w:multiLevelType w:val="hybridMultilevel"/>
    <w:lvl w:ilvl="0">
      <w:lvlJc w:val="left"/>
      <w:lvlText w:val="%1."/>
      <w:numFmt w:val="decimal"/>
      <w:start w:val="32"/>
    </w:lvl>
  </w:abstractNum>
  <w:abstractNum w:abstractNumId="168">
    <w:nsid w:val="52C77402"/>
    <w:multiLevelType w:val="hybridMultilevel"/>
    <w:lvl w:ilvl="0">
      <w:lvlJc w:val="left"/>
      <w:lvlText w:val="%1."/>
      <w:numFmt w:val="decimal"/>
      <w:start w:val="40"/>
    </w:lvl>
  </w:abstractNum>
  <w:abstractNum w:abstractNumId="169">
    <w:nsid w:val="2BB5B1C6"/>
    <w:multiLevelType w:val="hybridMultilevel"/>
    <w:lvl w:ilvl="0">
      <w:lvlJc w:val="left"/>
      <w:lvlText w:val="%1."/>
      <w:numFmt w:val="decimal"/>
      <w:start w:val="43"/>
    </w:lvl>
  </w:abstractNum>
  <w:abstractNum w:abstractNumId="170">
    <w:nsid w:val="66BE6B9"/>
    <w:multiLevelType w:val="hybridMultilevel"/>
    <w:lvl w:ilvl="0">
      <w:lvlJc w:val="left"/>
      <w:lvlText w:val="%1."/>
      <w:numFmt w:val="decimal"/>
      <w:start w:val="47"/>
    </w:lvl>
    <w:lvl w:ilvl="1">
      <w:lvlJc w:val="left"/>
      <w:lvlText w:val="(%2)"/>
      <w:numFmt w:val="lowerLetter"/>
      <w:start w:val="1"/>
    </w:lvl>
  </w:abstractNum>
  <w:abstractNum w:abstractNumId="171">
    <w:nsid w:val="62234363"/>
    <w:multiLevelType w:val="hybridMultilevel"/>
    <w:lvl w:ilvl="0">
      <w:lvlJc w:val="left"/>
      <w:lvlText w:val="%1."/>
      <w:numFmt w:val="decimal"/>
      <w:start w:val="48"/>
    </w:lvl>
  </w:abstractNum>
  <w:abstractNum w:abstractNumId="172">
    <w:nsid w:val="66D385C9"/>
    <w:multiLevelType w:val="hybridMultilevel"/>
    <w:lvl w:ilvl="0">
      <w:lvlJc w:val="left"/>
      <w:lvlText w:val="%1."/>
      <w:numFmt w:val="decimal"/>
      <w:start w:val="50"/>
    </w:lvl>
  </w:abstractNum>
  <w:abstractNum w:abstractNumId="173">
    <w:nsid w:val="596F6D8A"/>
    <w:multiLevelType w:val="hybridMultilevel"/>
    <w:lvl w:ilvl="0">
      <w:lvlJc w:val="left"/>
      <w:lvlText w:val="%1"/>
      <w:numFmt w:val="decimal"/>
      <w:start w:val="1"/>
    </w:lvl>
    <w:lvl w:ilvl="1">
      <w:lvlJc w:val="left"/>
      <w:lvlText w:val="(%2)"/>
      <w:numFmt w:val="lowerLetter"/>
      <w:start w:val="1"/>
    </w:lvl>
  </w:abstractNum>
  <w:abstractNum w:abstractNumId="174">
    <w:nsid w:val="5749361F"/>
    <w:multiLevelType w:val="hybridMultilevel"/>
    <w:lvl w:ilvl="0">
      <w:lvlJc w:val="left"/>
      <w:lvlText w:val="%1."/>
      <w:numFmt w:val="decimal"/>
      <w:start w:val="51"/>
    </w:lvl>
    <w:lvl w:ilvl="1">
      <w:lvlJc w:val="left"/>
      <w:lvlText w:val="%2"/>
      <w:numFmt w:val="lowerLetter"/>
      <w:start w:val="1"/>
    </w:lvl>
  </w:abstractNum>
  <w:abstractNum w:abstractNumId="175">
    <w:nsid w:val="73BC6770"/>
    <w:multiLevelType w:val="hybridMultilevel"/>
    <w:lvl w:ilvl="0">
      <w:lvlJc w:val="left"/>
      <w:lvlText w:val="%1."/>
      <w:numFmt w:val="decimal"/>
      <w:start w:val="53"/>
    </w:lvl>
  </w:abstractNum>
  <w:abstractNum w:abstractNumId="176">
    <w:nsid w:val="280E6897"/>
    <w:multiLevelType w:val="hybridMultilevel"/>
    <w:lvl w:ilvl="0">
      <w:lvlJc w:val="left"/>
      <w:lvlText w:val="(%1)"/>
      <w:numFmt w:val="lowerLetter"/>
      <w:start w:val="2"/>
    </w:lvl>
  </w:abstractNum>
  <w:abstractNum w:abstractNumId="177">
    <w:nsid w:val="605138DE"/>
    <w:multiLevelType w:val="hybridMultilevel"/>
    <w:lvl w:ilvl="0">
      <w:lvlJc w:val="left"/>
      <w:lvlText w:val="%1."/>
      <w:numFmt w:val="decimal"/>
      <w:start w:val="54"/>
    </w:lvl>
  </w:abstractNum>
  <w:abstractNum w:abstractNumId="178">
    <w:nsid w:val="2622AD0C"/>
    <w:multiLevelType w:val="hybridMultilevel"/>
    <w:lvl w:ilvl="0">
      <w:lvlJc w:val="left"/>
      <w:lvlText w:val="(%1)"/>
      <w:numFmt w:val="lowerLetter"/>
      <w:start w:val="2"/>
    </w:lvl>
    <w:lvl w:ilvl="1">
      <w:lvlJc w:val="left"/>
      <w:lvlText w:val="(%2)"/>
      <w:numFmt w:val="lowerRoman"/>
      <w:start w:val="1"/>
    </w:lvl>
  </w:abstractNum>
  <w:abstractNum w:abstractNumId="179">
    <w:nsid w:val="67997556"/>
    <w:multiLevelType w:val="hybridMultilevel"/>
    <w:lvl w:ilvl="0">
      <w:lvlJc w:val="left"/>
      <w:lvlText w:val="%1."/>
      <w:numFmt w:val="decimal"/>
      <w:start w:val="55"/>
    </w:lvl>
  </w:abstractNum>
  <w:abstractNum w:abstractNumId="180">
    <w:nsid w:val="18333C89"/>
    <w:multiLevelType w:val="hybridMultilevel"/>
    <w:lvl w:ilvl="0">
      <w:lvlJc w:val="left"/>
      <w:lvlText w:val="%1."/>
      <w:numFmt w:val="decimal"/>
      <w:start w:val="56"/>
    </w:lvl>
  </w:abstractNum>
  <w:abstractNum w:abstractNumId="181">
    <w:nsid w:val="4BA9831A"/>
    <w:multiLevelType w:val="hybridMultilevel"/>
    <w:lvl w:ilvl="0">
      <w:lvlJc w:val="left"/>
      <w:lvlText w:val="%1."/>
      <w:numFmt w:val="decimal"/>
      <w:start w:val="57"/>
    </w:lvl>
  </w:abstractNum>
  <w:abstractNum w:abstractNumId="182">
    <w:nsid w:val="6D71A2B"/>
    <w:multiLevelType w:val="hybridMultilevel"/>
    <w:lvl w:ilvl="0">
      <w:lvlJc w:val="left"/>
      <w:lvlText w:val="%1."/>
      <w:numFmt w:val="decimal"/>
      <w:start w:val="61"/>
    </w:lvl>
    <w:lvl w:ilvl="1">
      <w:lvlJc w:val="left"/>
      <w:lvlText w:val="(%2)"/>
      <w:numFmt w:val="lowerLetter"/>
      <w:start w:val="2"/>
    </w:lvl>
  </w:abstractNum>
  <w:abstractNum w:abstractNumId="183">
    <w:nsid w:val="CFC7321"/>
    <w:multiLevelType w:val="hybridMultilevel"/>
    <w:lvl w:ilvl="0">
      <w:lvlJc w:val="left"/>
      <w:lvlText w:val="%1."/>
      <w:numFmt w:val="decimal"/>
      <w:start w:val="63"/>
    </w:lvl>
  </w:abstractNum>
  <w:abstractNum w:abstractNumId="184">
    <w:nsid w:val="1421971B"/>
    <w:multiLevelType w:val="hybridMultilevel"/>
    <w:lvl w:ilvl="0">
      <w:lvlJc w:val="left"/>
      <w:lvlText w:val="%1."/>
      <w:numFmt w:val="decimal"/>
      <w:start w:val="65"/>
    </w:lvl>
  </w:abstractNum>
  <w:abstractNum w:abstractNumId="185">
    <w:nsid w:val="1F404301"/>
    <w:multiLevelType w:val="hybridMultilevel"/>
    <w:lvl w:ilvl="0">
      <w:lvlJc w:val="left"/>
      <w:lvlText w:val="%1."/>
      <w:numFmt w:val="decimal"/>
      <w:start w:val="66"/>
    </w:lvl>
    <w:lvl w:ilvl="1">
      <w:lvlJc w:val="left"/>
      <w:lvlText w:val="(%2)"/>
      <w:numFmt w:val="lowerLetter"/>
      <w:start w:val="2"/>
    </w:lvl>
  </w:abstractNum>
  <w:abstractNum w:abstractNumId="186">
    <w:nsid w:val="116E0907"/>
    <w:multiLevelType w:val="hybridMultilevel"/>
    <w:lvl w:ilvl="0">
      <w:lvlJc w:val="left"/>
      <w:lvlText w:val="%1."/>
      <w:numFmt w:val="decimal"/>
      <w:start w:val="68"/>
    </w:lvl>
    <w:lvl w:ilvl="1">
      <w:lvlJc w:val="left"/>
      <w:lvlText w:val="(%2)"/>
      <w:numFmt w:val="lowerLetter"/>
      <w:start w:val="2"/>
    </w:lvl>
    <w:lvl w:ilvl="2">
      <w:lvlJc w:val="left"/>
      <w:lvlText w:val="\emdash "/>
      <w:numFmt w:val="bullet"/>
      <w:start w:val="1"/>
    </w:lvl>
    <w:lvl w:ilvl="3">
      <w:lvlJc w:val="left"/>
      <w:lvlText w:val="(%4)"/>
      <w:numFmt w:val="lowerRoman"/>
      <w:start w:val="1"/>
    </w:lvl>
  </w:abstractNum>
  <w:abstractNum w:abstractNumId="187">
    <w:nsid w:val="4B683D0D"/>
    <w:multiLevelType w:val="hybridMultilevel"/>
    <w:lvl w:ilvl="0">
      <w:lvlJc w:val="left"/>
      <w:lvlText w:val="%1."/>
      <w:numFmt w:val="decimal"/>
      <w:start w:val="70"/>
    </w:lvl>
  </w:abstractNum>
  <w:abstractNum w:abstractNumId="188">
    <w:nsid w:val="76E41D8"/>
    <w:multiLevelType w:val="hybridMultilevel"/>
    <w:lvl w:ilvl="0">
      <w:lvlJc w:val="left"/>
      <w:lvlText w:val="%1."/>
      <w:numFmt w:val="decimal"/>
      <w:start w:val="71"/>
    </w:lvl>
  </w:abstractNum>
  <w:abstractNum w:abstractNumId="189">
    <w:nsid w:val="71DCE0FD"/>
    <w:multiLevelType w:val="hybridMultilevel"/>
    <w:lvl w:ilvl="0">
      <w:lvlJc w:val="left"/>
      <w:lvlText w:val="%1."/>
      <w:numFmt w:val="decimal"/>
      <w:start w:val="72"/>
    </w:lvl>
  </w:abstractNum>
  <w:abstractNum w:abstractNumId="190">
    <w:nsid w:val="7906328B"/>
    <w:multiLevelType w:val="hybridMultilevel"/>
    <w:lvl w:ilvl="0">
      <w:lvlJc w:val="left"/>
      <w:lvlText w:val="%1."/>
      <w:numFmt w:val="decimal"/>
      <w:start w:val="75"/>
    </w:lvl>
    <w:lvl w:ilvl="1">
      <w:lvlJc w:val="left"/>
      <w:lvlText w:val="(%2)"/>
      <w:numFmt w:val="lowerLetter"/>
      <w:start w:val="2"/>
    </w:lvl>
  </w:abstractNum>
  <w:abstractNum w:abstractNumId="191">
    <w:nsid w:val="72BBC16"/>
    <w:multiLevelType w:val="hybridMultilevel"/>
    <w:lvl w:ilvl="0">
      <w:lvlJc w:val="left"/>
      <w:lvlText w:val="%1."/>
      <w:numFmt w:val="decimal"/>
      <w:start w:val="76"/>
    </w:lvl>
  </w:abstractNum>
  <w:abstractNum w:abstractNumId="192">
    <w:nsid w:val="766D98C2"/>
    <w:multiLevelType w:val="hybridMultilevel"/>
    <w:lvl w:ilvl="0">
      <w:lvlJc w:val="left"/>
      <w:lvlText w:val="%1."/>
      <w:numFmt w:val="decimal"/>
      <w:start w:val="77"/>
    </w:lvl>
  </w:abstractNum>
  <w:abstractNum w:abstractNumId="193">
    <w:nsid w:val="3C09D4A1"/>
    <w:multiLevelType w:val="hybridMultilevel"/>
    <w:lvl w:ilvl="0">
      <w:lvlJc w:val="left"/>
      <w:lvlText w:val="(%1)"/>
      <w:numFmt w:val="lowerLetter"/>
      <w:start w:val="2"/>
    </w:lvl>
  </w:abstractNum>
  <w:abstractNum w:abstractNumId="194">
    <w:nsid w:val="20E45CA4"/>
    <w:multiLevelType w:val="hybridMultilevel"/>
    <w:lvl w:ilvl="0">
      <w:lvlJc w:val="left"/>
      <w:lvlText w:val="%1."/>
      <w:numFmt w:val="decimal"/>
      <w:start w:val="79"/>
    </w:lvl>
    <w:lvl w:ilvl="1">
      <w:lvlJc w:val="left"/>
      <w:lvlText w:val="(%2)"/>
      <w:numFmt w:val="lowerLetter"/>
      <w:start w:val="2"/>
    </w:lvl>
  </w:abstractNum>
  <w:abstractNum w:abstractNumId="195">
    <w:nsid w:val="4B232EE3"/>
    <w:multiLevelType w:val="hybridMultilevel"/>
    <w:lvl w:ilvl="0">
      <w:lvlJc w:val="left"/>
      <w:lvlText w:val="%1."/>
      <w:numFmt w:val="decimal"/>
      <w:start w:val="80"/>
    </w:lvl>
  </w:abstractNum>
  <w:abstractNum w:abstractNumId="196">
    <w:nsid w:val="159C74CF"/>
    <w:multiLevelType w:val="hybridMultilevel"/>
    <w:lvl w:ilvl="0">
      <w:lvlJc w:val="left"/>
      <w:lvlText w:val="%1."/>
      <w:numFmt w:val="decimal"/>
      <w:start w:val="81"/>
    </w:lvl>
    <w:lvl w:ilvl="1">
      <w:lvlJc w:val="left"/>
      <w:lvlText w:val="(%2)"/>
      <w:numFmt w:val="lowerLetter"/>
      <w:start w:val="2"/>
    </w:lvl>
  </w:abstractNum>
  <w:abstractNum w:abstractNumId="197">
    <w:nsid w:val="4AD3AFD2"/>
    <w:multiLevelType w:val="hybridMultilevel"/>
    <w:lvl w:ilvl="0">
      <w:lvlJc w:val="left"/>
      <w:lvlText w:val="(%1)"/>
      <w:numFmt w:val="lowerLetter"/>
      <w:start w:val="8"/>
    </w:lvl>
  </w:abstractNum>
  <w:abstractNum w:abstractNumId="198">
    <w:nsid w:val="3CF93092"/>
    <w:multiLevelType w:val="hybridMultilevel"/>
    <w:lvl w:ilvl="0">
      <w:lvlJc w:val="left"/>
      <w:lvlText w:val="%1."/>
      <w:numFmt w:val="decimal"/>
      <w:start w:val="82"/>
    </w:lvl>
    <w:lvl w:ilvl="1">
      <w:lvlJc w:val="left"/>
      <w:lvlText w:val="(%2)"/>
      <w:numFmt w:val="lowerRoman"/>
      <w:start w:val="1"/>
    </w:lvl>
  </w:abstractNum>
  <w:abstractNum w:abstractNumId="199">
    <w:nsid w:val="6863E8D2"/>
    <w:multiLevelType w:val="hybridMultilevel"/>
    <w:lvl w:ilvl="0">
      <w:lvlJc w:val="left"/>
      <w:lvlText w:val="(%1)"/>
      <w:numFmt w:val="lowerLetter"/>
      <w:start w:val="2"/>
    </w:lvl>
  </w:abstractNum>
  <w:abstractNum w:abstractNumId="200">
    <w:nsid w:val="76896198"/>
    <w:multiLevelType w:val="hybridMultilevel"/>
    <w:lvl w:ilvl="0">
      <w:lvlJc w:val="left"/>
      <w:lvlText w:val="%1."/>
      <w:numFmt w:val="decimal"/>
      <w:start w:val="83"/>
    </w:lvl>
  </w:abstractNum>
  <w:abstractNum w:abstractNumId="201">
    <w:nsid w:val="4365174B"/>
    <w:multiLevelType w:val="hybridMultilevel"/>
    <w:lvl w:ilvl="0">
      <w:lvlJc w:val="left"/>
      <w:lvlText w:val="%1."/>
      <w:numFmt w:val="decimal"/>
      <w:start w:val="84"/>
    </w:lvl>
    <w:lvl w:ilvl="1">
      <w:lvlJc w:val="left"/>
      <w:lvlText w:val="(%2)"/>
      <w:numFmt w:val="lowerLetter"/>
      <w:start w:val="2"/>
    </w:lvl>
  </w:abstractNum>
  <w:abstractNum w:abstractNumId="202">
    <w:nsid w:val="4A872C35"/>
    <w:multiLevelType w:val="hybridMultilevel"/>
    <w:lvl w:ilvl="0">
      <w:lvlJc w:val="left"/>
      <w:lvlText w:val="%1."/>
      <w:numFmt w:val="decimal"/>
      <w:start w:val="85"/>
    </w:lvl>
  </w:abstractNum>
  <w:abstractNum w:abstractNumId="203">
    <w:nsid w:val="5D5CE761"/>
    <w:multiLevelType w:val="hybridMultilevel"/>
    <w:lvl w:ilvl="0">
      <w:lvlJc w:val="left"/>
      <w:lvlText w:val="%1."/>
      <w:numFmt w:val="decimal"/>
      <w:start w:val="86"/>
    </w:lvl>
  </w:abstractNum>
  <w:abstractNum w:abstractNumId="204">
    <w:nsid w:val="1CD484D5"/>
    <w:multiLevelType w:val="hybridMultilevel"/>
    <w:lvl w:ilvl="0">
      <w:lvlJc w:val="left"/>
      <w:lvlText w:val="(%1)"/>
      <w:numFmt w:val="lowerLetter"/>
      <w:start w:val="2"/>
    </w:lvl>
  </w:abstractNum>
  <w:abstractNum w:abstractNumId="205">
    <w:nsid w:val="21D06255"/>
    <w:multiLevelType w:val="hybridMultilevel"/>
    <w:lvl w:ilvl="0">
      <w:lvlJc w:val="left"/>
      <w:lvlText w:val="(%1)"/>
      <w:numFmt w:val="lowerLetter"/>
      <w:start w:val="3"/>
    </w:lvl>
  </w:abstractNum>
  <w:abstractNum w:abstractNumId="206">
    <w:nsid w:val="51194ED1"/>
    <w:multiLevelType w:val="hybridMultilevel"/>
    <w:lvl w:ilvl="0">
      <w:lvlJc w:val="left"/>
      <w:lvlText w:val="%1."/>
      <w:numFmt w:val="decimal"/>
      <w:start w:val="87"/>
    </w:lvl>
    <w:lvl w:ilvl="1">
      <w:lvlJc w:val="left"/>
      <w:lvlText w:val="(%2)"/>
      <w:numFmt w:val="lowerLetter"/>
      <w:start w:val="2"/>
    </w:lvl>
    <w:lvl w:ilvl="2">
      <w:lvlJc w:val="left"/>
      <w:lvlText w:val="(%3)"/>
      <w:numFmt w:val="lowerRoman"/>
      <w:start w:val="1"/>
    </w:lvl>
  </w:abstractNum>
  <w:abstractNum w:abstractNumId="207">
    <w:nsid w:val="44E2ED6C"/>
    <w:multiLevelType w:val="hybridMultilevel"/>
    <w:lvl w:ilvl="0">
      <w:lvlJc w:val="left"/>
      <w:lvlText w:val="(%1)"/>
      <w:numFmt w:val="lowerLetter"/>
      <w:start w:val="2"/>
    </w:lvl>
  </w:abstractNum>
  <w:abstractNum w:abstractNumId="208">
    <w:nsid w:val="2219B33"/>
    <w:multiLevelType w:val="hybridMultilevel"/>
    <w:lvl w:ilvl="0">
      <w:lvlJc w:val="left"/>
      <w:lvlText w:val="%1."/>
      <w:numFmt w:val="decimal"/>
      <w:start w:val="96"/>
    </w:lvl>
    <w:lvl w:ilvl="1">
      <w:lvlJc w:val="left"/>
      <w:lvlText w:val="(%2)"/>
      <w:numFmt w:val="lowerLetter"/>
      <w:start w:val="1"/>
    </w:lvl>
    <w:lvl w:ilvl="2">
      <w:lvlJc w:val="left"/>
      <w:lvlText w:val="(%3)"/>
      <w:numFmt w:val="lowerRoman"/>
      <w:start w:val="1"/>
    </w:lvl>
  </w:abstractNum>
  <w:abstractNum w:abstractNumId="209">
    <w:nsid w:val="773BFBD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0">
    <w:nsid w:val="2C7C62C2"/>
    <w:multiLevelType w:val="hybridMultilevel"/>
    <w:lvl w:ilvl="0">
      <w:lvlJc w:val="left"/>
      <w:lvlText w:val="%1."/>
      <w:numFmt w:val="decimal"/>
      <w:start w:val="99"/>
    </w:lvl>
  </w:abstractNum>
  <w:abstractNum w:abstractNumId="211">
    <w:nsid w:val="1A54D7BC"/>
    <w:multiLevelType w:val="hybridMultilevel"/>
    <w:lvl w:ilvl="0">
      <w:lvlJc w:val="left"/>
      <w:lvlText w:val="%1."/>
      <w:numFmt w:val="decimal"/>
      <w:start w:val="101"/>
    </w:lvl>
    <w:lvl w:ilvl="1">
      <w:lvlJc w:val="left"/>
      <w:lvlText w:val="(%2)"/>
      <w:numFmt w:val="lowerLetter"/>
      <w:start w:val="2"/>
    </w:lvl>
  </w:abstractNum>
  <w:abstractNum w:abstractNumId="212">
    <w:nsid w:val="42E57EF7"/>
    <w:multiLevelType w:val="hybridMultilevel"/>
    <w:lvl w:ilvl="0">
      <w:lvlJc w:val="left"/>
      <w:lvlText w:val="%1."/>
      <w:numFmt w:val="decimal"/>
      <w:start w:val="105"/>
    </w:lvl>
  </w:abstractNum>
  <w:abstractNum w:abstractNumId="213">
    <w:nsid w:val="33537CED"/>
    <w:multiLevelType w:val="hybridMultilevel"/>
    <w:lvl w:ilvl="0">
      <w:lvlJc w:val="left"/>
      <w:lvlText w:val="%1."/>
      <w:numFmt w:val="decimal"/>
      <w:start w:val="106"/>
    </w:lvl>
    <w:lvl w:ilvl="1">
      <w:lvlJc w:val="left"/>
      <w:lvlText w:val="(%2)"/>
      <w:numFmt w:val="lowerLetter"/>
      <w:start w:val="1"/>
    </w:lvl>
  </w:abstractNum>
  <w:abstractNum w:abstractNumId="214">
    <w:nsid w:val="27514ADE"/>
    <w:multiLevelType w:val="hybridMultilevel"/>
    <w:lvl w:ilvl="0">
      <w:lvlJc w:val="left"/>
      <w:lvlText w:val="%1."/>
      <w:numFmt w:val="decimal"/>
      <w:start w:val="107"/>
    </w:lvl>
    <w:lvl w:ilvl="1">
      <w:lvlJc w:val="left"/>
      <w:lvlText w:val="(%2)"/>
      <w:numFmt w:val="lowerLetter"/>
      <w:start w:val="1"/>
    </w:lvl>
  </w:abstractNum>
  <w:abstractNum w:abstractNumId="215">
    <w:nsid w:val="57071613"/>
    <w:multiLevelType w:val="hybridMultilevel"/>
    <w:lvl w:ilvl="0">
      <w:lvlJc w:val="left"/>
      <w:lvlText w:val="%1."/>
      <w:numFmt w:val="decimal"/>
      <w:start w:val="109"/>
    </w:lvl>
  </w:abstractNum>
  <w:abstractNum w:abstractNumId="216">
    <w:nsid w:val="5293BFEF"/>
    <w:multiLevelType w:val="hybridMultilevel"/>
    <w:lvl w:ilvl="0">
      <w:lvlJc w:val="left"/>
      <w:lvlText w:val="%1."/>
      <w:numFmt w:val="decimal"/>
      <w:start w:val="110"/>
    </w:lvl>
    <w:lvl w:ilvl="1">
      <w:lvlJc w:val="left"/>
      <w:lvlText w:val="(%2)"/>
      <w:numFmt w:val="lowerLetter"/>
      <w:start w:val="1"/>
    </w:lvl>
  </w:abstractNum>
  <w:abstractNum w:abstractNumId="217">
    <w:nsid w:val="38BF53E5"/>
    <w:multiLevelType w:val="hybridMultilevel"/>
    <w:lvl w:ilvl="0">
      <w:lvlJc w:val="left"/>
      <w:lvlText w:val="%1."/>
      <w:numFmt w:val="decimal"/>
      <w:start w:val="111"/>
    </w:lvl>
  </w:abstractNum>
  <w:abstractNum w:abstractNumId="218">
    <w:nsid w:val="226F5320"/>
    <w:multiLevelType w:val="hybridMultilevel"/>
    <w:lvl w:ilvl="0">
      <w:lvlJc w:val="left"/>
      <w:lvlText w:val="%1."/>
      <w:numFmt w:val="decimal"/>
      <w:start w:val="113"/>
    </w:lvl>
    <w:lvl w:ilvl="1">
      <w:lvlJc w:val="left"/>
      <w:lvlText w:val="(%2)"/>
      <w:numFmt w:val="lowerLetter"/>
      <w:start w:val="2"/>
    </w:lvl>
  </w:abstractNum>
  <w:abstractNum w:abstractNumId="219">
    <w:nsid w:val="5A0201C7"/>
    <w:multiLevelType w:val="hybridMultilevel"/>
    <w:lvl w:ilvl="0">
      <w:lvlJc w:val="left"/>
      <w:lvlText w:val="%1."/>
      <w:numFmt w:val="decimal"/>
      <w:start w:val="114"/>
    </w:lvl>
  </w:abstractNum>
  <w:abstractNum w:abstractNumId="220">
    <w:nsid w:val="2A9C34E2"/>
    <w:multiLevelType w:val="hybridMultilevel"/>
    <w:lvl w:ilvl="0">
      <w:lvlJc w:val="left"/>
      <w:lvlText w:val="%1."/>
      <w:numFmt w:val="decimal"/>
      <w:start w:val="1"/>
    </w:lvl>
  </w:abstractNum>
  <w:abstractNum w:abstractNumId="221">
    <w:nsid w:val="1B7585AB"/>
    <w:multiLevelType w:val="hybridMultilevel"/>
    <w:lvl w:ilvl="0">
      <w:lvlJc w:val="left"/>
      <w:lvlText w:val="%1."/>
      <w:numFmt w:val="decimal"/>
      <w:start w:val="2"/>
    </w:lvl>
  </w:abstractNum>
  <w:abstractNum w:abstractNumId="222">
    <w:nsid w:val="612DBDDD"/>
    <w:multiLevelType w:val="hybridMultilevel"/>
    <w:lvl w:ilvl="0">
      <w:lvlJc w:val="left"/>
      <w:lvlText w:val="%1."/>
      <w:numFmt w:val="decimal"/>
      <w:start w:val="3"/>
    </w:lvl>
  </w:abstractNum>
  <w:abstractNum w:abstractNumId="223">
    <w:nsid w:val="2109CDA4"/>
    <w:multiLevelType w:val="hybridMultilevel"/>
    <w:lvl w:ilvl="0">
      <w:lvlJc w:val="left"/>
      <w:lvlText w:val="%1."/>
      <w:numFmt w:val="decimal"/>
      <w:start w:val="4"/>
    </w:lvl>
  </w:abstractNum>
  <w:abstractNum w:abstractNumId="224">
    <w:nsid w:val="577F5A4D"/>
    <w:multiLevelType w:val="hybridMultilevel"/>
    <w:lvl w:ilvl="0">
      <w:lvlJc w:val="left"/>
      <w:lvlText w:val="%1."/>
      <w:numFmt w:val="decimal"/>
      <w:start w:val="5"/>
    </w:lvl>
  </w:abstractNum>
  <w:abstractNum w:abstractNumId="225">
    <w:nsid w:val="2121A81"/>
    <w:multiLevelType w:val="hybridMultilevel"/>
    <w:lvl w:ilvl="0">
      <w:lvlJc w:val="left"/>
      <w:lvlText w:val="(%1)"/>
      <w:numFmt w:val="upperLetter"/>
      <w:start w:val="1"/>
    </w:lvl>
    <w:lvl w:ilvl="1">
      <w:lvlJc w:val="left"/>
      <w:lvlText w:val="(%2)"/>
      <w:numFmt w:val="lowerRoman"/>
      <w:start w:val="1"/>
    </w:lvl>
  </w:abstractNum>
  <w:abstractNum w:abstractNumId="226">
    <w:nsid w:val="6C2CFC88"/>
    <w:multiLevelType w:val="hybridMultilevel"/>
    <w:lvl w:ilvl="0">
      <w:lvlJc w:val="left"/>
      <w:lvlText w:val="(%1)"/>
      <w:numFmt w:val="upperLetter"/>
      <w:start w:val="2"/>
    </w:lvl>
    <w:lvl w:ilvl="1">
      <w:lvlJc w:val="left"/>
      <w:lvlText w:val="(%2)"/>
      <w:numFmt w:val="lowerRoman"/>
      <w:start w:val="1"/>
    </w:lvl>
  </w:abstractNum>
  <w:abstractNum w:abstractNumId="227">
    <w:nsid w:val="6D1BCF1C"/>
    <w:multiLevelType w:val="hybridMultilevel"/>
    <w:lvl w:ilvl="0">
      <w:lvlJc w:val="left"/>
      <w:lvlText w:val="%1."/>
      <w:numFmt w:val="decimal"/>
      <w:start w:val="6"/>
    </w:lvl>
  </w:abstractNum>
  <w:abstractNum w:abstractNumId="228">
    <w:nsid w:val="4CE5CA53"/>
    <w:multiLevelType w:val="hybridMultilevel"/>
    <w:lvl w:ilvl="0">
      <w:lvlJc w:val="left"/>
      <w:lvlText w:val="(%1)"/>
      <w:numFmt w:val="upperLetter"/>
      <w:start w:val="1"/>
    </w:lvl>
  </w:abstractNum>
  <w:abstractNum w:abstractNumId="229">
    <w:nsid w:val="29262D1A"/>
    <w:multiLevelType w:val="hybridMultilevel"/>
    <w:lvl w:ilvl="0">
      <w:lvlJc w:val="left"/>
      <w:lvlText w:val="%1."/>
      <w:numFmt w:val="decimal"/>
      <w:start w:val="7"/>
    </w:lvl>
  </w:abstractNum>
  <w:abstractNum w:abstractNumId="230">
    <w:nsid w:val="557FB7EE"/>
    <w:multiLevelType w:val="hybridMultilevel"/>
    <w:lvl w:ilvl="0">
      <w:lvlJc w:val="left"/>
      <w:lvlText w:val="%1"/>
      <w:numFmt w:val="decimal"/>
      <w:start w:val="1"/>
    </w:lvl>
    <w:lvl w:ilvl="1">
      <w:lvlJc w:val="left"/>
      <w:lvlText w:val="(%2)"/>
      <w:numFmt w:val="upperLetter"/>
      <w:start w:val="2"/>
    </w:lvl>
  </w:abstractNum>
  <w:abstractNum w:abstractNumId="231">
    <w:nsid w:val="436F2BEB"/>
    <w:multiLevelType w:val="hybridMultilevel"/>
    <w:lvl w:ilvl="0">
      <w:lvlJc w:val="left"/>
      <w:lvlText w:val="%1."/>
      <w:numFmt w:val="decimal"/>
      <w:start w:val="8"/>
    </w:lvl>
    <w:lvl w:ilvl="1">
      <w:lvlJc w:val="left"/>
      <w:lvlText w:val="%2"/>
      <w:numFmt w:val="upperLetter"/>
      <w:start w:val="1"/>
    </w:lvl>
  </w:abstractNum>
  <w:abstractNum w:abstractNumId="232">
    <w:nsid w:val="6C8B4466"/>
    <w:multiLevelType w:val="hybridMultilevel"/>
    <w:lvl w:ilvl="0">
      <w:lvlJc w:val="left"/>
      <w:lvlText w:val="%1."/>
      <w:numFmt w:val="decimal"/>
      <w:start w:val="9"/>
    </w:lvl>
  </w:abstractNum>
  <w:abstractNum w:abstractNumId="233">
    <w:nsid w:val="2006E424"/>
    <w:multiLevelType w:val="hybridMultilevel"/>
    <w:lvl w:ilvl="0">
      <w:lvlJc w:val="left"/>
      <w:lvlText w:val="%1."/>
      <w:numFmt w:val="decimal"/>
      <w:start w:val="10"/>
    </w:lvl>
  </w:abstractNum>
  <w:abstractNum w:abstractNumId="234">
    <w:nsid w:val="20CC134C"/>
    <w:multiLevelType w:val="hybridMultilevel"/>
    <w:lvl w:ilvl="0">
      <w:lvlJc w:val="left"/>
      <w:lvlText w:val="%1."/>
      <w:numFmt w:val="decimal"/>
      <w:start w:val="11"/>
    </w:lvl>
  </w:abstractNum>
  <w:abstractNum w:abstractNumId="235">
    <w:nsid w:val="95FC93B"/>
    <w:multiLevelType w:val="hybridMultilevel"/>
    <w:lvl w:ilvl="0">
      <w:lvlJc w:val="left"/>
      <w:lvlText w:val="(%1)"/>
      <w:numFmt w:val="upperLetter"/>
      <w:start w:val="1"/>
    </w:lvl>
  </w:abstractNum>
  <w:abstractNum w:abstractNumId="236">
    <w:nsid w:val="41D74679"/>
    <w:multiLevelType w:val="hybridMultilevel"/>
    <w:lvl w:ilvl="0">
      <w:lvlJc w:val="left"/>
      <w:lvlText w:val="%1."/>
      <w:numFmt w:val="decimal"/>
      <w:start w:val="12"/>
    </w:lvl>
  </w:abstractNum>
  <w:abstractNum w:abstractNumId="237">
    <w:nsid w:val="71E5621E"/>
    <w:multiLevelType w:val="hybridMultilevel"/>
    <w:lvl w:ilvl="0">
      <w:lvlJc w:val="left"/>
      <w:lvlText w:val="%1."/>
      <w:numFmt w:val="decimal"/>
      <w:start w:val="13"/>
    </w:lvl>
  </w:abstractNum>
  <w:abstractNum w:abstractNumId="238">
    <w:nsid w:val="4E42B6A8"/>
    <w:multiLevelType w:val="hybridMultilevel"/>
    <w:lvl w:ilvl="0">
      <w:lvlJc w:val="left"/>
      <w:lvlText w:val="%1."/>
      <w:numFmt w:val="decimal"/>
      <w:start w:val="14"/>
    </w:lvl>
  </w:abstractNum>
  <w:abstractNum w:abstractNumId="239">
    <w:nsid w:val="43F8E1AC"/>
    <w:multiLevelType w:val="hybridMultilevel"/>
    <w:lvl w:ilvl="0">
      <w:lvlJc w:val="left"/>
      <w:lvlText w:val="%1."/>
      <w:numFmt w:val="decimal"/>
      <w:start w:val="15"/>
    </w:lvl>
  </w:abstractNum>
  <w:abstractNum w:abstractNumId="240">
    <w:nsid w:val="69215DFB"/>
    <w:multiLevelType w:val="hybridMultilevel"/>
    <w:lvl w:ilvl="0">
      <w:lvlJc w:val="left"/>
      <w:lvlText w:val="(%1)"/>
      <w:numFmt w:val="upperLetter"/>
      <w:start w:val="1"/>
    </w:lvl>
  </w:abstractNum>
  <w:abstractNum w:abstractNumId="241">
    <w:nsid w:val="7ABF196A"/>
    <w:multiLevelType w:val="hybridMultilevel"/>
    <w:lvl w:ilvl="0">
      <w:lvlJc w:val="left"/>
      <w:lvlText w:val="%1."/>
      <w:numFmt w:val="decimal"/>
      <w:start w:val="16"/>
    </w:lvl>
  </w:abstractNum>
  <w:abstractNum w:abstractNumId="242">
    <w:nsid w:val="5E4DB968"/>
    <w:multiLevelType w:val="hybridMultilevel"/>
    <w:lvl w:ilvl="0">
      <w:lvlJc w:val="left"/>
      <w:lvlText w:val="(%1)"/>
      <w:numFmt w:val="upperLetter"/>
      <w:start w:val="1"/>
    </w:lvl>
  </w:abstractNum>
  <w:abstractNum w:abstractNumId="243">
    <w:nsid w:val="2C06DCF3"/>
    <w:multiLevelType w:val="hybridMultilevel"/>
    <w:lvl w:ilvl="0">
      <w:lvlJc w:val="left"/>
      <w:lvlText w:val="%1"/>
      <w:numFmt w:val="decimal"/>
      <w:start w:val="1"/>
    </w:lvl>
    <w:lvl w:ilvl="1">
      <w:lvlJc w:val="left"/>
      <w:lvlText w:val="(%2)"/>
      <w:numFmt w:val="upperLetter"/>
      <w:start w:val="4"/>
    </w:lvl>
  </w:abstractNum>
  <w:abstractNum w:abstractNumId="244">
    <w:nsid w:val="2E129658"/>
    <w:multiLevelType w:val="hybridMultilevel"/>
    <w:lvl w:ilvl="0">
      <w:lvlJc w:val="left"/>
      <w:lvlText w:val="%1."/>
      <w:numFmt w:val="decimal"/>
      <w:start w:val="17"/>
    </w:lvl>
    <w:lvl w:ilvl="1">
      <w:lvlJc w:val="left"/>
      <w:lvlText w:val="%2"/>
      <w:numFmt w:val="upperLetter"/>
      <w:start w:val="1"/>
    </w:lvl>
  </w:abstractNum>
  <w:abstractNum w:abstractNumId="245">
    <w:nsid w:val="59F0446"/>
    <w:multiLevelType w:val="hybridMultilevel"/>
    <w:lvl w:ilvl="0">
      <w:lvlJc w:val="left"/>
      <w:lvlText w:val="%1."/>
      <w:numFmt w:val="decimal"/>
      <w:start w:val="18"/>
    </w:lvl>
  </w:abstractNum>
  <w:abstractNum w:abstractNumId="246">
    <w:nsid w:val="30DF306"/>
    <w:multiLevelType w:val="hybridMultilevel"/>
    <w:lvl w:ilvl="0">
      <w:lvlJc w:val="left"/>
      <w:lvlText w:val="%1."/>
      <w:numFmt w:val="decimal"/>
      <w:start w:val="19"/>
    </w:lvl>
  </w:abstractNum>
  <w:abstractNum w:abstractNumId="247">
    <w:nsid w:val="A65647"/>
    <w:multiLevelType w:val="hybridMultilevel"/>
    <w:lvl w:ilvl="0">
      <w:lvlJc w:val="left"/>
      <w:lvlText w:val="%1."/>
      <w:numFmt w:val="decimal"/>
      <w:start w:val="20"/>
    </w:lvl>
  </w:abstractNum>
  <w:abstractNum w:abstractNumId="248">
    <w:nsid w:val="3E5E582B"/>
    <w:multiLevelType w:val="hybridMultilevel"/>
    <w:lvl w:ilvl="0">
      <w:lvlJc w:val="left"/>
      <w:lvlText w:val="(%1)"/>
      <w:numFmt w:val="upperLetter"/>
      <w:start w:val="1"/>
    </w:lvl>
  </w:abstractNum>
  <w:abstractNum w:abstractNumId="249">
    <w:nsid w:val="257D4626"/>
    <w:multiLevelType w:val="hybridMultilevel"/>
    <w:lvl w:ilvl="0">
      <w:lvlJc w:val="left"/>
      <w:lvlText w:val="%1"/>
      <w:numFmt w:val="decimal"/>
      <w:start w:val="1"/>
    </w:lvl>
    <w:lvl w:ilvl="1">
      <w:lvlJc w:val="left"/>
      <w:lvlText w:val="(%2)"/>
      <w:numFmt w:val="upperLetter"/>
      <w:start w:val="2"/>
    </w:lvl>
  </w:abstractNum>
  <w:abstractNum w:abstractNumId="250">
    <w:nsid w:val="5AA8580E"/>
    <w:multiLevelType w:val="hybridMultilevel"/>
    <w:lvl w:ilvl="0">
      <w:lvlJc w:val="left"/>
      <w:lvlText w:val="%1."/>
      <w:numFmt w:val="decimal"/>
      <w:start w:val="21"/>
    </w:lvl>
    <w:lvl w:ilvl="1">
      <w:lvlJc w:val="left"/>
      <w:lvlText w:val="%2"/>
      <w:numFmt w:val="upperLetter"/>
      <w:start w:val="1"/>
    </w:lvl>
  </w:abstractNum>
  <w:abstractNum w:abstractNumId="251">
    <w:nsid w:val="68FA8D0D"/>
    <w:multiLevelType w:val="hybridMultilevel"/>
    <w:lvl w:ilvl="0">
      <w:lvlJc w:val="left"/>
      <w:lvlText w:val="%1."/>
      <w:numFmt w:val="decimal"/>
      <w:start w:val="22"/>
    </w:lvl>
  </w:abstractNum>
  <w:abstractNum w:abstractNumId="252">
    <w:nsid w:val="40F2CBD2"/>
    <w:multiLevelType w:val="hybridMultilevel"/>
    <w:lvl w:ilvl="0">
      <w:lvlJc w:val="left"/>
      <w:lvlText w:val="%1."/>
      <w:numFmt w:val="decimal"/>
      <w:start w:val="23"/>
    </w:lvl>
  </w:abstractNum>
  <w:abstractNum w:abstractNumId="253">
    <w:nsid w:val="3BD615EB"/>
    <w:multiLevelType w:val="hybridMultilevel"/>
    <w:lvl w:ilvl="0">
      <w:lvlJc w:val="left"/>
      <w:lvlText w:val="%1."/>
      <w:numFmt w:val="decimal"/>
      <w:start w:val="24"/>
    </w:lvl>
  </w:abstractNum>
  <w:abstractNum w:abstractNumId="254">
    <w:nsid w:val="A045AB2"/>
    <w:multiLevelType w:val="hybridMultilevel"/>
    <w:lvl w:ilvl="0">
      <w:lvlJc w:val="left"/>
      <w:lvlText w:val="%1."/>
      <w:numFmt w:val="decimal"/>
      <w:start w:val="25"/>
    </w:lvl>
  </w:abstractNum>
  <w:abstractNum w:abstractNumId="255">
    <w:nsid w:val="1872261F"/>
    <w:multiLevelType w:val="hybridMultilevel"/>
    <w:lvl w:ilvl="0">
      <w:lvlJc w:val="left"/>
      <w:lvlText w:val="%1."/>
      <w:numFmt w:val="decimal"/>
      <w:start w:val="26"/>
    </w:lvl>
  </w:abstractNum>
  <w:abstractNum w:abstractNumId="256">
    <w:nsid w:val="3DE8306C"/>
    <w:multiLevelType w:val="hybridMultilevel"/>
    <w:lvl w:ilvl="0">
      <w:lvlJc w:val="left"/>
      <w:lvlText w:val="%1."/>
      <w:numFmt w:val="decimal"/>
      <w:start w:val="27"/>
    </w:lvl>
  </w:abstractNum>
  <w:abstractNum w:abstractNumId="257">
    <w:nsid w:val="7631573A"/>
    <w:multiLevelType w:val="hybridMultilevel"/>
    <w:lvl w:ilvl="0">
      <w:lvlJc w:val="left"/>
      <w:lvlText w:val="%1."/>
      <w:numFmt w:val="decimal"/>
      <w:start w:val="1"/>
    </w:lvl>
  </w:abstractNum>
  <w:abstractNum w:abstractNumId="258">
    <w:nsid w:val="58DF53B"/>
    <w:multiLevelType w:val="hybridMultilevel"/>
    <w:lvl w:ilvl="0">
      <w:lvlJc w:val="left"/>
      <w:lvlText w:val="(%1)"/>
      <w:numFmt w:val="lowerRoman"/>
      <w:start w:val="1"/>
    </w:lvl>
  </w:abstractNum>
  <w:abstractNum w:abstractNumId="259">
    <w:nsid w:val="ACDFAC0"/>
    <w:multiLevelType w:val="hybridMultilevel"/>
    <w:lvl w:ilvl="0">
      <w:lvlJc w:val="left"/>
      <w:lvlText w:val="%1."/>
      <w:numFmt w:val="decimal"/>
      <w:start w:val="2"/>
    </w:lvl>
  </w:abstractNum>
  <w:abstractNum w:abstractNumId="260">
    <w:nsid w:val="1F578454"/>
    <w:multiLevelType w:val="hybridMultilevel"/>
    <w:lvl w:ilvl="0">
      <w:lvlJc w:val="left"/>
      <w:lvlText w:val="(%1)"/>
      <w:numFmt w:val="lowerRoman"/>
      <w:start w:val="2"/>
    </w:lvl>
  </w:abstractNum>
  <w:abstractNum w:abstractNumId="261">
    <w:nsid w:val="5B0DAD2A"/>
    <w:multiLevelType w:val="hybridMultilevel"/>
    <w:lvl w:ilvl="0">
      <w:lvlJc w:val="left"/>
      <w:lvlText w:val="%1."/>
      <w:numFmt w:val="decimal"/>
      <w:start w:val="3"/>
    </w:lvl>
  </w:abstractNum>
  <w:abstractNum w:abstractNumId="262">
    <w:nsid w:val="4E3D26AB"/>
    <w:multiLevelType w:val="hybridMultilevel"/>
    <w:lvl w:ilvl="0">
      <w:lvlJc w:val="left"/>
      <w:lvlText w:val="(%1)"/>
      <w:numFmt w:val="lowerRoman"/>
      <w:start w:val="1"/>
    </w:lvl>
  </w:abstractNum>
  <w:abstractNum w:abstractNumId="263">
    <w:nsid w:val="BE2C8BA"/>
    <w:multiLevelType w:val="hybridMultilevel"/>
    <w:lvl w:ilvl="0">
      <w:lvlJc w:val="left"/>
      <w:lvlText w:val="(%1)"/>
      <w:numFmt w:val="lowerRoman"/>
      <w:start w:val="2"/>
    </w:lvl>
  </w:abstractNum>
  <w:abstractNum w:abstractNumId="264">
    <w:nsid w:val="7B14914E"/>
    <w:multiLevelType w:val="hybridMultilevel"/>
    <w:lvl w:ilvl="0">
      <w:lvlJc w:val="left"/>
      <w:lvlText w:val="%1."/>
      <w:numFmt w:val="decimal"/>
      <w:start w:val="4"/>
    </w:lvl>
  </w:abstractNum>
  <w:abstractNum w:abstractNumId="265">
    <w:nsid w:val="6F0939F8"/>
    <w:multiLevelType w:val="hybridMultilevel"/>
    <w:lvl w:ilvl="0">
      <w:lvlJc w:val="left"/>
      <w:lvlText w:val="%1."/>
      <w:numFmt w:val="decimal"/>
      <w:start w:val="5"/>
    </w:lvl>
  </w:abstractNum>
  <w:abstractNum w:abstractNumId="266">
    <w:nsid w:val="154291F6"/>
    <w:multiLevelType w:val="hybridMultilevel"/>
    <w:lvl w:ilvl="0">
      <w:lvlJc w:val="left"/>
      <w:lvlText w:val="%1."/>
      <w:numFmt w:val="decimal"/>
      <w:start w:val="6"/>
    </w:lvl>
  </w:abstractNum>
  <w:abstractNum w:abstractNumId="267">
    <w:nsid w:val="3CEBD7C7"/>
    <w:multiLevelType w:val="hybridMultilevel"/>
    <w:lvl w:ilvl="0">
      <w:lvlJc w:val="left"/>
      <w:lvlText w:val="(%1)"/>
      <w:numFmt w:val="lowerLetter"/>
      <w:start w:val="4"/>
    </w:lvl>
  </w:abstractNum>
  <w:abstractNum w:abstractNumId="268">
    <w:nsid w:val="60EE9C16"/>
    <w:multiLevelType w:val="hybridMultilevel"/>
    <w:lvl w:ilvl="0">
      <w:lvlJc w:val="left"/>
      <w:lvlText w:val="%1."/>
      <w:numFmt w:val="decimal"/>
      <w:start w:val="7"/>
    </w:lvl>
  </w:abstractNum>
  <w:abstractNum w:abstractNumId="269">
    <w:nsid w:val="6385489E"/>
    <w:multiLevelType w:val="hybridMultilevel"/>
    <w:lvl w:ilvl="0">
      <w:lvlJc w:val="left"/>
      <w:lvlText w:val="%1."/>
      <w:numFmt w:val="decimal"/>
      <w:start w:val="8"/>
    </w:lvl>
  </w:abstractNum>
  <w:abstractNum w:abstractNumId="270">
    <w:nsid w:val="E4B973"/>
    <w:multiLevelType w:val="hybridMultilevel"/>
    <w:lvl w:ilvl="0">
      <w:lvlJc w:val="left"/>
      <w:lvlText w:val="%1."/>
      <w:numFmt w:val="decimal"/>
      <w:start w:val="9"/>
    </w:lvl>
  </w:abstractNum>
  <w:abstractNum w:abstractNumId="271">
    <w:nsid w:val="4A0FFA11"/>
    <w:multiLevelType w:val="hybridMultilevel"/>
    <w:lvl w:ilvl="0">
      <w:lvlJc w:val="left"/>
      <w:lvlText w:val="%1."/>
      <w:numFmt w:val="decimal"/>
      <w:start w:val="10"/>
    </w:lvl>
  </w:abstractNum>
  <w:abstractNum w:abstractNumId="272">
    <w:nsid w:val="5E446208"/>
    <w:multiLevelType w:val="hybridMultilevel"/>
    <w:lvl w:ilvl="0">
      <w:lvlJc w:val="left"/>
      <w:lvlText w:val="%1."/>
      <w:numFmt w:val="decimal"/>
      <w:start w:val="11"/>
    </w:lvl>
  </w:abstractNum>
  <w:abstractNum w:abstractNumId="273">
    <w:nsid w:val="5F3272DB"/>
    <w:multiLevelType w:val="hybridMultilevel"/>
    <w:lvl w:ilvl="0">
      <w:lvlJc w:val="left"/>
      <w:lvlText w:val="%1."/>
      <w:numFmt w:val="decimal"/>
      <w:start w:val="12"/>
    </w:lvl>
  </w:abstractNum>
  <w:abstractNum w:abstractNumId="274">
    <w:nsid w:val="7616D704"/>
    <w:multiLevelType w:val="hybridMultilevel"/>
    <w:lvl w:ilvl="0">
      <w:lvlJc w:val="left"/>
      <w:lvlText w:val="%1."/>
      <w:numFmt w:val="decimal"/>
      <w:start w:val="13"/>
    </w:lvl>
  </w:abstractNum>
  <w:abstractNum w:abstractNumId="275">
    <w:nsid w:val="C56F860"/>
    <w:multiLevelType w:val="hybridMultilevel"/>
    <w:lvl w:ilvl="0">
      <w:lvlJc w:val="left"/>
      <w:lvlText w:val="%1."/>
      <w:numFmt w:val="decimal"/>
      <w:start w:val="14"/>
    </w:lvl>
  </w:abstractNum>
  <w:abstractNum w:abstractNumId="276">
    <w:nsid w:val="64D17722"/>
    <w:multiLevelType w:val="hybridMultilevel"/>
    <w:lvl w:ilvl="0">
      <w:lvlJc w:val="left"/>
      <w:lvlText w:val="(%1)"/>
      <w:numFmt w:val="lowerRoman"/>
      <w:start w:val="4"/>
    </w:lvl>
  </w:abstractNum>
  <w:abstractNum w:abstractNumId="277">
    <w:nsid w:val="7924CA0A"/>
    <w:multiLevelType w:val="hybridMultilevel"/>
    <w:lvl w:ilvl="0">
      <w:lvlJc w:val="left"/>
      <w:lvlText w:val="%1."/>
      <w:numFmt w:val="decimal"/>
      <w:start w:val="15"/>
    </w:lvl>
  </w:abstractNum>
  <w:abstractNum w:abstractNumId="278">
    <w:nsid w:val="CFD4EA7"/>
    <w:multiLevelType w:val="hybridMultilevel"/>
    <w:lvl w:ilvl="0">
      <w:lvlJc w:val="left"/>
      <w:lvlText w:val="%1."/>
      <w:numFmt w:val="decimal"/>
      <w:start w:val="16"/>
    </w:lvl>
  </w:abstractNum>
  <w:abstractNum w:abstractNumId="279">
    <w:nsid w:val="232FCF4D"/>
    <w:multiLevelType w:val="hybridMultilevel"/>
    <w:lvl w:ilvl="0">
      <w:lvlJc w:val="left"/>
      <w:lvlText w:val="%1."/>
      <w:numFmt w:val="decimal"/>
      <w:start w:val="17"/>
    </w:lvl>
  </w:abstractNum>
  <w:abstractNum w:abstractNumId="280">
    <w:nsid w:val="1EA21031"/>
    <w:multiLevelType w:val="hybridMultilevel"/>
    <w:lvl w:ilvl="0">
      <w:lvlJc w:val="left"/>
      <w:lvlText w:val="%1."/>
      <w:numFmt w:val="decimal"/>
      <w:start w:val="18"/>
    </w:lvl>
  </w:abstractNum>
  <w:abstractNum w:abstractNumId="281">
    <w:nsid w:val="67A5A6B5"/>
    <w:multiLevelType w:val="hybridMultilevel"/>
    <w:lvl w:ilvl="0">
      <w:lvlJc w:val="left"/>
      <w:lvlText w:val="%1."/>
      <w:numFmt w:val="decimal"/>
      <w:start w:val="19"/>
    </w:lvl>
  </w:abstractNum>
  <w:abstractNum w:abstractNumId="282">
    <w:nsid w:val="C2A5C5B"/>
    <w:multiLevelType w:val="hybridMultilevel"/>
    <w:lvl w:ilvl="0">
      <w:lvlJc w:val="left"/>
      <w:lvlText w:val="%1."/>
      <w:numFmt w:val="decimal"/>
      <w:start w:val="20"/>
    </w:lvl>
  </w:abstractNum>
  <w:abstractNum w:abstractNumId="283">
    <w:nsid w:val="5F94DC03"/>
    <w:multiLevelType w:val="hybridMultilevel"/>
    <w:lvl w:ilvl="0">
      <w:lvlJc w:val="left"/>
      <w:lvlText w:val="%1."/>
      <w:numFmt w:val="decimal"/>
      <w:start w:val="21"/>
    </w:lvl>
  </w:abstractNum>
  <w:abstractNum w:abstractNumId="284">
    <w:nsid w:val="237BBCA0"/>
    <w:multiLevelType w:val="hybridMultilevel"/>
    <w:lvl w:ilvl="0">
      <w:lvlJc w:val="left"/>
      <w:lvlText w:val="%1."/>
      <w:numFmt w:val="decimal"/>
      <w:start w:val="22"/>
    </w:lvl>
  </w:abstractNum>
  <w:abstractNum w:abstractNumId="285">
    <w:nsid w:val="162EB70D"/>
    <w:multiLevelType w:val="hybridMultilevel"/>
    <w:lvl w:ilvl="0">
      <w:lvlJc w:val="left"/>
      <w:lvlText w:val="%1."/>
      <w:numFmt w:val="decimal"/>
      <w:start w:val="23"/>
    </w:lvl>
  </w:abstractNum>
  <w:abstractNum w:abstractNumId="286">
    <w:nsid w:val="78070222"/>
    <w:multiLevelType w:val="hybridMultilevel"/>
    <w:lvl w:ilvl="0">
      <w:lvlJc w:val="left"/>
      <w:lvlText w:val="%1."/>
      <w:numFmt w:val="decimal"/>
      <w:start w:val="24"/>
    </w:lvl>
  </w:abstractNum>
  <w:abstractNum w:abstractNumId="287">
    <w:nsid w:val="6163ED0D"/>
    <w:multiLevelType w:val="hybridMultilevel"/>
    <w:lvl w:ilvl="0">
      <w:lvlJc w:val="left"/>
      <w:lvlText w:val="%1."/>
      <w:numFmt w:val="decimal"/>
      <w:start w:val="25"/>
    </w:lvl>
  </w:abstractNum>
  <w:abstractNum w:abstractNumId="288">
    <w:nsid w:val="C600E47"/>
    <w:multiLevelType w:val="hybridMultilevel"/>
    <w:lvl w:ilvl="0">
      <w:lvlJc w:val="left"/>
      <w:lvlText w:val="%1."/>
      <w:numFmt w:val="decimal"/>
      <w:start w:val="26"/>
    </w:lvl>
  </w:abstractNum>
  <w:abstractNum w:abstractNumId="289">
    <w:nsid w:val="7D94F75D"/>
    <w:multiLevelType w:val="hybridMultilevel"/>
    <w:lvl w:ilvl="0">
      <w:lvlJc w:val="left"/>
      <w:lvlText w:val="%1."/>
      <w:numFmt w:val="decimal"/>
      <w:start w:val="27"/>
    </w:lvl>
  </w:abstractNum>
  <w:abstractNum w:abstractNumId="290">
    <w:nsid w:val="6C31E7CD"/>
    <w:multiLevelType w:val="hybridMultilevel"/>
    <w:lvl w:ilvl="0">
      <w:lvlJc w:val="left"/>
      <w:lvlText w:val="%1."/>
      <w:numFmt w:val="decimal"/>
      <w:start w:val="28"/>
    </w:lvl>
  </w:abstractNum>
  <w:abstractNum w:abstractNumId="291">
    <w:nsid w:val="2BB7929B"/>
    <w:multiLevelType w:val="hybridMultilevel"/>
    <w:lvl w:ilvl="0">
      <w:lvlJc w:val="left"/>
      <w:lvlText w:val="%1."/>
      <w:numFmt w:val="decimal"/>
      <w:start w:val="29"/>
    </w:lvl>
  </w:abstractNum>
  <w:abstractNum w:abstractNumId="292">
    <w:nsid w:val="58A2A487"/>
    <w:multiLevelType w:val="hybridMultilevel"/>
    <w:lvl w:ilvl="0">
      <w:lvlJc w:val="left"/>
      <w:lvlText w:val="%1."/>
      <w:numFmt w:val="decimal"/>
      <w:start w:val="1"/>
    </w:lvl>
  </w:abstractNum>
  <w:abstractNum w:abstractNumId="293">
    <w:nsid w:val="3A6F0E78"/>
    <w:multiLevelType w:val="hybridMultilevel"/>
    <w:lvl w:ilvl="0">
      <w:lvlJc w:val="left"/>
      <w:lvlText w:val="***"/>
      <w:numFmt w:val="bullet"/>
      <w:start w:val="1"/>
    </w:lvl>
  </w:abstractNum>
  <w:abstractNum w:abstractNumId="294">
    <w:nsid w:val="379A5B56"/>
    <w:multiLevelType w:val="hybridMultilevel"/>
    <w:lvl w:ilvl="0">
      <w:lvlJc w:val="left"/>
      <w:lvlText w:val="%1."/>
      <w:numFmt w:val="decimal"/>
      <w:start w:val="2"/>
    </w:lvl>
  </w:abstractNum>
  <w:abstractNum w:abstractNumId="295">
    <w:nsid w:val="53B735D5"/>
    <w:multiLevelType w:val="hybridMultilevel"/>
    <w:lvl w:ilvl="0">
      <w:lvlJc w:val="left"/>
      <w:lvlText w:val="%1."/>
      <w:numFmt w:val="decimal"/>
      <w:start w:val="3"/>
    </w:lvl>
  </w:abstractNum>
  <w:abstractNum w:abstractNumId="296">
    <w:nsid w:val="29784870"/>
    <w:multiLevelType w:val="hybridMultilevel"/>
    <w:lvl w:ilvl="0">
      <w:lvlJc w:val="left"/>
      <w:lvlText w:val="%1."/>
      <w:numFmt w:val="decimal"/>
      <w:start w:val="4"/>
    </w:lvl>
  </w:abstractNum>
  <w:abstractNum w:abstractNumId="297">
    <w:nsid w:val="4CDCED4C"/>
    <w:multiLevelType w:val="hybridMultilevel"/>
    <w:lvl w:ilvl="0">
      <w:lvlJc w:val="left"/>
      <w:lvlText w:val="(%1)"/>
      <w:numFmt w:val="lowerRoman"/>
      <w:start w:val="1"/>
    </w:lvl>
  </w:abstractNum>
  <w:abstractNum w:abstractNumId="298">
    <w:nsid w:val="10A30D9C"/>
    <w:multiLevelType w:val="hybridMultilevel"/>
    <w:lvl w:ilvl="0">
      <w:lvlJc w:val="left"/>
      <w:lvlText w:val="***"/>
      <w:numFmt w:val="bullet"/>
      <w:start w:val="1"/>
    </w:lvl>
  </w:abstractNum>
  <w:abstractNum w:abstractNumId="299">
    <w:nsid w:val="A66E486"/>
    <w:multiLevelType w:val="hybridMultilevel"/>
    <w:lvl w:ilvl="0">
      <w:lvlJc w:val="left"/>
      <w:lvlText w:val="(%1)"/>
      <w:numFmt w:val="lowerRoman"/>
      <w:start w:val="8"/>
    </w:lvl>
  </w:abstractNum>
  <w:abstractNum w:abstractNumId="300">
    <w:nsid w:val="306235EA"/>
    <w:multiLevelType w:val="hybridMultilevel"/>
    <w:lvl w:ilvl="0">
      <w:lvlJc w:val="left"/>
      <w:lvlText w:val="%1."/>
      <w:numFmt w:val="decimal"/>
      <w:start w:val="5"/>
    </w:lvl>
  </w:abstractNum>
  <w:abstractNum w:abstractNumId="301">
    <w:nsid w:val="1187C70F"/>
    <w:multiLevelType w:val="hybridMultilevel"/>
    <w:lvl w:ilvl="0">
      <w:lvlJc w:val="left"/>
      <w:lvlText w:val="%1."/>
      <w:numFmt w:val="decimal"/>
      <w:start w:val="6"/>
    </w:lvl>
  </w:abstractNum>
  <w:abstractNum w:abstractNumId="302">
    <w:nsid w:val="5476DE98"/>
    <w:multiLevelType w:val="hybridMultilevel"/>
    <w:lvl w:ilvl="0">
      <w:lvlJc w:val="left"/>
      <w:lvlText w:val="%1."/>
      <w:numFmt w:val="decimal"/>
      <w:start w:val="7"/>
    </w:lvl>
  </w:abstractNum>
  <w:abstractNum w:abstractNumId="303">
    <w:nsid w:val="EA697F2"/>
    <w:multiLevelType w:val="hybridMultilevel"/>
    <w:lvl w:ilvl="0">
      <w:lvlJc w:val="left"/>
      <w:lvlText w:val="***"/>
      <w:numFmt w:val="bullet"/>
      <w:start w:val="1"/>
    </w:lvl>
  </w:abstractNum>
  <w:abstractNum w:abstractNumId="304">
    <w:nsid w:val="70BA39EB"/>
    <w:multiLevelType w:val="hybridMultilevel"/>
    <w:lvl w:ilvl="0">
      <w:lvlJc w:val="left"/>
      <w:lvlText w:val="%1."/>
      <w:numFmt w:val="decimal"/>
      <w:start w:val="8"/>
    </w:lvl>
  </w:abstractNum>
  <w:abstractNum w:abstractNumId="305">
    <w:nsid w:val="4A8DB59C"/>
    <w:multiLevelType w:val="hybridMultilevel"/>
    <w:lvl w:ilvl="0">
      <w:lvlJc w:val="left"/>
      <w:lvlText w:val="***"/>
      <w:numFmt w:val="bullet"/>
      <w:start w:val="1"/>
    </w:lvl>
  </w:abstractNum>
  <w:abstractNum w:abstractNumId="306">
    <w:nsid w:val="1AFD9053"/>
    <w:multiLevelType w:val="hybridMultilevel"/>
    <w:lvl w:ilvl="0">
      <w:lvlJc w:val="left"/>
      <w:lvlText w:val="%1."/>
      <w:numFmt w:val="decimal"/>
      <w:start w:val="9"/>
    </w:lvl>
  </w:abstractNum>
  <w:abstractNum w:abstractNumId="307">
    <w:nsid w:val="558BB10D"/>
    <w:multiLevelType w:val="hybridMultilevel"/>
    <w:lvl w:ilvl="0">
      <w:lvlJc w:val="left"/>
      <w:lvlText w:val="(%1)"/>
      <w:numFmt w:val="lowerRoman"/>
      <w:start w:val="1"/>
    </w:lvl>
  </w:abstractNum>
  <w:abstractNum w:abstractNumId="308">
    <w:nsid w:val="43B27FA7"/>
    <w:multiLevelType w:val="hybridMultilevel"/>
    <w:lvl w:ilvl="0">
      <w:lvlJc w:val="left"/>
      <w:lvlText w:val="***"/>
      <w:numFmt w:val="bullet"/>
      <w:start w:val="1"/>
    </w:lvl>
  </w:abstractNum>
  <w:abstractNum w:abstractNumId="309">
    <w:nsid w:val="27FADEFA"/>
    <w:multiLevelType w:val="hybridMultilevel"/>
    <w:lvl w:ilvl="0">
      <w:lvlJc w:val="left"/>
      <w:lvlText w:val="***"/>
      <w:numFmt w:val="bullet"/>
      <w:start w:val="1"/>
    </w:lvl>
  </w:abstractNum>
  <w:abstractNum w:abstractNumId="310">
    <w:nsid w:val="78BB805A"/>
    <w:multiLevelType w:val="hybridMultilevel"/>
    <w:lvl w:ilvl="0">
      <w:lvlJc w:val="left"/>
      <w:lvlText w:val="***"/>
      <w:numFmt w:val="bullet"/>
      <w:start w:val="1"/>
    </w:lvl>
  </w:abstractNum>
  <w:abstractNum w:abstractNumId="311">
    <w:nsid w:val="62548FD8"/>
    <w:multiLevelType w:val="hybridMultilevel"/>
    <w:lvl w:ilvl="0">
      <w:lvlJc w:val="left"/>
      <w:lvlText w:val="%1."/>
      <w:numFmt w:val="decimal"/>
      <w:start w:val="2"/>
    </w:lvl>
  </w:abstractNum>
  <w:abstractNum w:abstractNumId="312">
    <w:nsid w:val="FA085B0"/>
    <w:multiLevelType w:val="hybridMultilevel"/>
    <w:lvl w:ilvl="0">
      <w:lvlJc w:val="left"/>
      <w:lvlText w:val="***"/>
      <w:numFmt w:val="bullet"/>
      <w:start w:val="1"/>
    </w:lvl>
  </w:abstractNum>
  <w:abstractNum w:abstractNumId="313">
    <w:nsid w:val="4E5DCB5"/>
    <w:multiLevelType w:val="hybridMultilevel"/>
    <w:lvl w:ilvl="0">
      <w:lvlJc w:val="left"/>
      <w:lvlText w:val="***"/>
      <w:numFmt w:val="bullet"/>
      <w:start w:val="1"/>
    </w:lvl>
  </w:abstractNum>
  <w:abstractNum w:abstractNumId="314">
    <w:nsid w:val="41E96BDB"/>
    <w:multiLevelType w:val="hybridMultilevel"/>
    <w:lvl w:ilvl="0">
      <w:lvlJc w:val="left"/>
      <w:lvlText w:val="***"/>
      <w:numFmt w:val="bullet"/>
      <w:start w:val="1"/>
    </w:lvl>
  </w:abstractNum>
  <w:abstractNum w:abstractNumId="315">
    <w:nsid w:val="331C4250"/>
    <w:multiLevelType w:val="hybridMultilevel"/>
    <w:lvl w:ilvl="0">
      <w:lvlJc w:val="left"/>
      <w:lvlText w:val="***"/>
      <w:numFmt w:val="bullet"/>
      <w:start w:val="1"/>
    </w:lvl>
  </w:abstractNum>
  <w:abstractNum w:abstractNumId="316">
    <w:nsid w:val="1B1493C2"/>
    <w:multiLevelType w:val="hybridMultilevel"/>
    <w:lvl w:ilvl="0">
      <w:lvlJc w:val="left"/>
      <w:lvlText w:val="***"/>
      <w:numFmt w:val="bullet"/>
      <w:start w:val="1"/>
    </w:lvl>
  </w:abstractNum>
  <w:abstractNum w:abstractNumId="317">
    <w:nsid w:val="39F06DFD"/>
    <w:multiLevelType w:val="hybridMultilevel"/>
    <w:lvl w:ilvl="0">
      <w:lvlJc w:val="left"/>
      <w:lvlText w:val="***"/>
      <w:numFmt w:val="bullet"/>
      <w:start w:val="1"/>
    </w:lvl>
  </w:abstractNum>
  <w:abstractNum w:abstractNumId="318">
    <w:nsid w:val="14802F5D"/>
    <w:multiLevelType w:val="hybridMultilevel"/>
    <w:lvl w:ilvl="0">
      <w:lvlJc w:val="left"/>
      <w:lvlText w:val="***"/>
      <w:numFmt w:val="bullet"/>
      <w:start w:val="1"/>
    </w:lvl>
  </w:abstractNum>
  <w:abstractNum w:abstractNumId="319">
    <w:nsid w:val="2774A209"/>
    <w:multiLevelType w:val="hybridMultilevel"/>
    <w:lvl w:ilvl="0">
      <w:lvlJc w:val="left"/>
      <w:lvlText w:val="%1."/>
      <w:numFmt w:val="decimal"/>
      <w:start w:val="1"/>
    </w:lvl>
  </w:abstractNum>
  <w:abstractNum w:abstractNumId="320">
    <w:nsid w:val="3785655A"/>
    <w:multiLevelType w:val="hybridMultilevel"/>
    <w:lvl w:ilvl="0">
      <w:lvlJc w:val="left"/>
      <w:lvlText w:val="***"/>
      <w:numFmt w:val="bullet"/>
      <w:start w:val="1"/>
    </w:lvl>
  </w:abstractNum>
  <w:abstractNum w:abstractNumId="321">
    <w:nsid w:val="B2172A"/>
    <w:multiLevelType w:val="hybridMultilevel"/>
    <w:lvl w:ilvl="0">
      <w:lvlJc w:val="left"/>
      <w:lvlText w:val="***"/>
      <w:numFmt w:val="bullet"/>
      <w:start w:val="1"/>
    </w:lvl>
  </w:abstractNum>
  <w:abstractNum w:abstractNumId="322">
    <w:nsid w:val="532C34A5"/>
    <w:multiLevelType w:val="hybridMultilevel"/>
    <w:lvl w:ilvl="0">
      <w:lvlJc w:val="left"/>
      <w:lvlText w:val="*"/>
      <w:numFmt w:val="bullet"/>
      <w:start w:val="1"/>
    </w:lvl>
  </w:abstractNum>
  <w:abstractNum w:abstractNumId="323">
    <w:nsid w:val="102809E2"/>
    <w:multiLevelType w:val="hybridMultilevel"/>
    <w:lvl w:ilvl="0">
      <w:lvlJc w:val="left"/>
      <w:lvlText w:val="***"/>
      <w:numFmt w:val="bullet"/>
      <w:start w:val="1"/>
    </w:lvl>
  </w:abstractNum>
  <w:abstractNum w:abstractNumId="324">
    <w:nsid w:val="3B2125A3"/>
    <w:multiLevelType w:val="hybridMultilevel"/>
    <w:lvl w:ilvl="0">
      <w:lvlJc w:val="left"/>
      <w:lvlText w:val="***"/>
      <w:numFmt w:val="bullet"/>
      <w:start w:val="1"/>
    </w:lvl>
  </w:abstractNum>
  <w:abstractNum w:abstractNumId="325">
    <w:nsid w:val="AC68FFB"/>
    <w:multiLevelType w:val="hybridMultilevel"/>
    <w:lvl w:ilvl="0">
      <w:lvlJc w:val="left"/>
      <w:lvlText w:val="%1."/>
      <w:numFmt w:val="decimal"/>
      <w:start w:val="1"/>
    </w:lvl>
  </w:abstractNum>
  <w:abstractNum w:abstractNumId="326">
    <w:nsid w:val="63DF3FB7"/>
    <w:multiLevelType w:val="hybridMultilevel"/>
    <w:lvl w:ilvl="0">
      <w:lvlJc w:val="left"/>
      <w:lvlText w:val="***"/>
      <w:numFmt w:val="bullet"/>
      <w:start w:val="1"/>
    </w:lvl>
  </w:abstractNum>
  <w:abstractNum w:abstractNumId="327">
    <w:nsid w:val="64996E13"/>
    <w:multiLevelType w:val="hybridMultilevel"/>
    <w:lvl w:ilvl="0">
      <w:lvlJc w:val="left"/>
      <w:lvlText w:val="***"/>
      <w:numFmt w:val="bullet"/>
      <w:start w:val="1"/>
    </w:lvl>
  </w:abstractNum>
  <w:abstractNum w:abstractNumId="328">
    <w:nsid w:val="57A37D47"/>
    <w:multiLevelType w:val="hybridMultilevel"/>
    <w:lvl w:ilvl="0">
      <w:lvlJc w:val="left"/>
      <w:lvlText w:val="%1."/>
      <w:numFmt w:val="decimal"/>
      <w:start w:val="1"/>
    </w:lvl>
  </w:abstractNum>
  <w:abstractNum w:abstractNumId="329">
    <w:nsid w:val="74824D54"/>
    <w:multiLevelType w:val="hybridMultilevel"/>
    <w:lvl w:ilvl="0">
      <w:lvlJc w:val="left"/>
      <w:lvlText w:val="***"/>
      <w:numFmt w:val="bullet"/>
      <w:start w:val="1"/>
    </w:lvl>
  </w:abstractNum>
  <w:abstractNum w:abstractNumId="330">
    <w:nsid w:val="6F00529A"/>
    <w:multiLevelType w:val="hybridMultilevel"/>
    <w:lvl w:ilvl="0">
      <w:lvlJc w:val="left"/>
      <w:lvlText w:val="%1."/>
      <w:numFmt w:val="decimal"/>
      <w:start w:val="2"/>
    </w:lvl>
  </w:abstractNum>
  <w:abstractNum w:abstractNumId="331">
    <w:nsid w:val="805B331"/>
    <w:multiLevelType w:val="hybridMultilevel"/>
    <w:lvl w:ilvl="0">
      <w:lvlJc w:val="left"/>
      <w:lvlText w:val="***"/>
      <w:numFmt w:val="bullet"/>
      <w:start w:val="1"/>
    </w:lvl>
  </w:abstractNum>
  <w:abstractNum w:abstractNumId="332">
    <w:nsid w:val="60A1463"/>
    <w:multiLevelType w:val="hybridMultilevel"/>
    <w:lvl w:ilvl="0">
      <w:lvlJc w:val="left"/>
      <w:lvlText w:val="%1."/>
      <w:numFmt w:val="decimal"/>
      <w:start w:val="3"/>
    </w:lvl>
    <w:lvl w:ilvl="1">
      <w:lvlJc w:val="left"/>
      <w:lvlText w:val="(%2)"/>
      <w:numFmt w:val="lowerRoman"/>
      <w:start w:val="1"/>
    </w:lvl>
  </w:abstractNum>
  <w:abstractNum w:abstractNumId="333">
    <w:nsid w:val="43773132"/>
    <w:multiLevelType w:val="hybridMultilevel"/>
    <w:lvl w:ilvl="0">
      <w:lvlJc w:val="left"/>
      <w:lvlText w:val="%1."/>
      <w:numFmt w:val="decimal"/>
      <w:start w:val="4"/>
    </w:lvl>
  </w:abstractNum>
  <w:abstractNum w:abstractNumId="334">
    <w:nsid w:val="16AC4B23"/>
    <w:multiLevelType w:val="hybridMultilevel"/>
    <w:lvl w:ilvl="0">
      <w:lvlJc w:val="left"/>
      <w:lvlText w:val="***"/>
      <w:numFmt w:val="bullet"/>
      <w:start w:val="1"/>
    </w:lvl>
  </w:abstractNum>
  <w:abstractNum w:abstractNumId="335">
    <w:nsid w:val="76C44E4E"/>
    <w:multiLevelType w:val="hybridMultilevel"/>
    <w:lvl w:ilvl="0">
      <w:lvlJc w:val="left"/>
      <w:lvlText w:val="%1."/>
      <w:numFmt w:val="decimal"/>
      <w:start w:val="6"/>
    </w:lvl>
  </w:abstractNum>
  <w:abstractNum w:abstractNumId="336">
    <w:nsid w:val="E04E6CE"/>
    <w:multiLevelType w:val="hybridMultilevel"/>
    <w:lvl w:ilvl="0">
      <w:lvlJc w:val="left"/>
      <w:lvlText w:val="%1."/>
      <w:numFmt w:val="decimal"/>
      <w:start w:val="7"/>
    </w:lvl>
  </w:abstractNum>
  <w:abstractNum w:abstractNumId="337">
    <w:nsid w:val="31A9DB76"/>
    <w:multiLevelType w:val="hybridMultilevel"/>
    <w:lvl w:ilvl="0">
      <w:lvlJc w:val="left"/>
      <w:lvlText w:val="***"/>
      <w:numFmt w:val="bullet"/>
      <w:start w:val="1"/>
    </w:lvl>
  </w:abstractNum>
  <w:abstractNum w:abstractNumId="338">
    <w:nsid w:val="4C4FFF5B"/>
    <w:multiLevelType w:val="hybridMultilevel"/>
    <w:lvl w:ilvl="0">
      <w:lvlJc w:val="left"/>
      <w:lvlText w:val="***"/>
      <w:numFmt w:val="bullet"/>
      <w:start w:val="1"/>
    </w:lvl>
  </w:abstractNum>
  <w:abstractNum w:abstractNumId="339">
    <w:nsid w:val="51B76675"/>
    <w:multiLevelType w:val="hybridMultilevel"/>
    <w:lvl w:ilvl="0">
      <w:lvlJc w:val="left"/>
      <w:lvlText w:val="***"/>
      <w:numFmt w:val="bullet"/>
      <w:start w:val="1"/>
    </w:lvl>
  </w:abstractNum>
  <w:abstractNum w:abstractNumId="340">
    <w:nsid w:val="59A4BA71"/>
    <w:multiLevelType w:val="hybridMultilevel"/>
    <w:lvl w:ilvl="0">
      <w:lvlJc w:val="left"/>
      <w:lvlText w:val="***"/>
      <w:numFmt w:val="bullet"/>
      <w:start w:val="1"/>
    </w:lvl>
  </w:abstractNum>
  <w:abstractNum w:abstractNumId="341">
    <w:nsid w:val="450B7FB6"/>
    <w:multiLevelType w:val="hybridMultilevel"/>
    <w:lvl w:ilvl="0">
      <w:lvlJc w:val="left"/>
      <w:lvlText w:val="***"/>
      <w:numFmt w:val="bullet"/>
      <w:start w:val="1"/>
    </w:lvl>
  </w:abstractNum>
  <w:abstractNum w:abstractNumId="342">
    <w:nsid w:val="340BF64D"/>
    <w:multiLevelType w:val="hybridMultilevel"/>
    <w:lvl w:ilvl="0">
      <w:lvlJc w:val="left"/>
      <w:lvlText w:val="(%1)"/>
      <w:numFmt w:val="decimal"/>
      <w:start w:val="1"/>
    </w:lvl>
  </w:abstractNum>
  <w:abstractNum w:abstractNumId="343">
    <w:nsid w:val="69454021"/>
    <w:multiLevelType w:val="hybridMultilevel"/>
    <w:lvl w:ilvl="0">
      <w:lvlJc w:val="left"/>
      <w:lvlText w:val="***"/>
      <w:numFmt w:val="bullet"/>
      <w:start w:val="1"/>
    </w:lvl>
  </w:abstractNum>
  <w:abstractNum w:abstractNumId="344">
    <w:nsid w:val="49F15C6B"/>
    <w:multiLevelType w:val="hybridMultilevel"/>
    <w:lvl w:ilvl="0">
      <w:lvlJc w:val="left"/>
      <w:lvlText w:val="%1."/>
      <w:numFmt w:val="upperLetter"/>
      <w:start w:val="1"/>
    </w:lvl>
  </w:abstractNum>
  <w:abstractNum w:abstractNumId="345">
    <w:nsid w:val="75F56228"/>
    <w:multiLevelType w:val="hybridMultilevel"/>
    <w:lvl w:ilvl="0">
      <w:lvlJc w:val="left"/>
      <w:lvlText w:val="***"/>
      <w:numFmt w:val="bullet"/>
      <w:start w:val="1"/>
    </w:lvl>
  </w:abstractNum>
  <w:abstractNum w:abstractNumId="346">
    <w:nsid w:val="1C618271"/>
    <w:multiLevelType w:val="hybridMultilevel"/>
    <w:lvl w:ilvl="0">
      <w:lvlJc w:val="left"/>
      <w:lvlText w:val="%1."/>
      <w:numFmt w:val="upperLetter"/>
      <w:start w:val="2"/>
    </w:lvl>
  </w:abstractNum>
  <w:abstractNum w:abstractNumId="347">
    <w:nsid w:val="6505F02E"/>
    <w:multiLevelType w:val="hybridMultilevel"/>
    <w:lvl w:ilvl="0">
      <w:lvlJc w:val="left"/>
      <w:lvlText w:val="***"/>
      <w:numFmt w:val="bullet"/>
      <w:start w:val="1"/>
    </w:lvl>
  </w:abstractNum>
  <w:abstractNum w:abstractNumId="348">
    <w:nsid w:val="2FE5D025"/>
    <w:multiLevelType w:val="hybridMultilevel"/>
    <w:lvl w:ilvl="0">
      <w:lvlJc w:val="left"/>
      <w:lvlText w:val="%1."/>
      <w:numFmt w:val="upperLetter"/>
      <w:start w:val="3"/>
    </w:lvl>
  </w:abstractNum>
  <w:abstractNum w:abstractNumId="349">
    <w:nsid w:val="30E1B1CF"/>
    <w:multiLevelType w:val="hybridMultilevel"/>
    <w:lvl w:ilvl="0">
      <w:lvlJc w:val="left"/>
      <w:lvlText w:val="%1)"/>
      <w:numFmt w:val="decimal"/>
      <w:start w:val="1"/>
    </w:lvl>
  </w:abstractNum>
  <w:abstractNum w:abstractNumId="350">
    <w:nsid w:val="C7A9237"/>
    <w:multiLevelType w:val="hybridMultilevel"/>
    <w:lvl w:ilvl="0">
      <w:lvlJc w:val="left"/>
      <w:lvlText w:val="%1."/>
      <w:numFmt w:val="upperLetter"/>
      <w:start w:val="4"/>
    </w:lvl>
  </w:abstractNum>
  <w:abstractNum w:abstractNumId="351">
    <w:nsid w:val="676B3580"/>
    <w:multiLevelType w:val="hybridMultilevel"/>
    <w:lvl w:ilvl="0">
      <w:lvlJc w:val="left"/>
      <w:lvlText w:val="%1)"/>
      <w:numFmt w:val="decimal"/>
      <w:start w:val="1"/>
    </w:lvl>
  </w:abstractNum>
  <w:abstractNum w:abstractNumId="352">
    <w:nsid w:val="3193C8F9"/>
    <w:multiLevelType w:val="hybridMultilevel"/>
    <w:lvl w:ilvl="0">
      <w:lvlJc w:val="left"/>
      <w:lvlText w:val="***"/>
      <w:numFmt w:val="bullet"/>
      <w:start w:val="1"/>
    </w:lvl>
  </w:abstractNum>
  <w:abstractNum w:abstractNumId="353">
    <w:nsid w:val="5FA6C6DC"/>
    <w:multiLevelType w:val="hybridMultilevel"/>
    <w:lvl w:ilvl="0">
      <w:lvlJc w:val="left"/>
      <w:lvlText w:val="%1)"/>
      <w:numFmt w:val="decimal"/>
      <w:start w:val="3"/>
    </w:lvl>
  </w:abstractNum>
  <w:abstractNum w:abstractNumId="354">
    <w:nsid w:val="77933F62"/>
    <w:multiLevelType w:val="hybridMultilevel"/>
    <w:lvl w:ilvl="0">
      <w:lvlJc w:val="left"/>
      <w:lvlText w:val="***"/>
      <w:numFmt w:val="bullet"/>
      <w:start w:val="1"/>
    </w:lvl>
  </w:abstractNum>
  <w:abstractNum w:abstractNumId="355">
    <w:nsid w:val="6CB4EE9C"/>
    <w:multiLevelType w:val="hybridMultilevel"/>
    <w:lvl w:ilvl="0">
      <w:lvlJc w:val="left"/>
      <w:lvlText w:val="***"/>
      <w:numFmt w:val="bullet"/>
      <w:start w:val="1"/>
    </w:lvl>
  </w:abstractNum>
  <w:abstractNum w:abstractNumId="356">
    <w:nsid w:val="6A6D56D7"/>
    <w:multiLevelType w:val="hybridMultilevel"/>
    <w:lvl w:ilvl="0">
      <w:lvlJc w:val="left"/>
      <w:lvlText w:val="%1)"/>
      <w:numFmt w:val="decimal"/>
      <w:start w:val="1"/>
    </w:lvl>
  </w:abstractNum>
  <w:abstractNum w:abstractNumId="357">
    <w:nsid w:val="5B727F19"/>
    <w:multiLevelType w:val="hybridMultilevel"/>
    <w:lvl w:ilvl="0">
      <w:lvlJc w:val="left"/>
      <w:lvlText w:val="***"/>
      <w:numFmt w:val="bullet"/>
      <w:start w:val="1"/>
    </w:lvl>
  </w:abstractNum>
  <w:abstractNum w:abstractNumId="358">
    <w:nsid w:val="514E5CB0"/>
    <w:multiLevelType w:val="hybridMultilevel"/>
    <w:lvl w:ilvl="0">
      <w:lvlJc w:val="left"/>
      <w:lvlText w:val="%1."/>
      <w:numFmt w:val="upperLetter"/>
      <w:start w:val="9"/>
    </w:lvl>
  </w:abstractNum>
  <w:abstractNum w:abstractNumId="359">
    <w:nsid w:val="4210D41E"/>
    <w:multiLevelType w:val="hybridMultilevel"/>
    <w:lvl w:ilvl="0">
      <w:lvlJc w:val="left"/>
      <w:lvlText w:val="(%1)"/>
      <w:numFmt w:val="lowerRoman"/>
      <w:start w:val="1"/>
    </w:lvl>
  </w:abstractNum>
  <w:abstractNum w:abstractNumId="360">
    <w:nsid w:val="4FF4CC6D"/>
    <w:multiLevelType w:val="hybridMultilevel"/>
    <w:lvl w:ilvl="0">
      <w:lvlJc w:val="left"/>
      <w:lvlText w:val="***"/>
      <w:numFmt w:val="bullet"/>
      <w:start w:val="1"/>
    </w:lvl>
  </w:abstractNum>
  <w:abstractNum w:abstractNumId="361">
    <w:nsid w:val="404EAF4A"/>
    <w:multiLevelType w:val="hybridMultilevel"/>
    <w:lvl w:ilvl="0">
      <w:lvlJc w:val="left"/>
      <w:lvlText w:val="(%1)"/>
      <w:numFmt w:val="lowerLetter"/>
      <w:start w:val="1"/>
    </w:lvl>
  </w:abstractNum>
  <w:abstractNum w:abstractNumId="362">
    <w:nsid w:val="4A16874F"/>
    <w:multiLevelType w:val="hybridMultilevel"/>
    <w:lvl w:ilvl="0">
      <w:lvlJc w:val="left"/>
      <w:lvlText w:val="***"/>
      <w:numFmt w:val="bullet"/>
      <w:start w:val="1"/>
    </w:lvl>
  </w:abstractNum>
  <w:abstractNum w:abstractNumId="363">
    <w:nsid w:val="55FEE0D1"/>
    <w:multiLevelType w:val="hybridMultilevel"/>
    <w:lvl w:ilvl="0">
      <w:lvlJc w:val="left"/>
      <w:lvlText w:val="***"/>
      <w:numFmt w:val="bullet"/>
      <w:start w:val="1"/>
    </w:lvl>
  </w:abstractNum>
  <w:abstractNum w:abstractNumId="364">
    <w:nsid w:val="3C5E07C"/>
    <w:multiLevelType w:val="hybridMultilevel"/>
    <w:lvl w:ilvl="0">
      <w:lvlJc w:val="left"/>
      <w:lvlText w:val="***"/>
      <w:numFmt w:val="bullet"/>
      <w:start w:val="1"/>
    </w:lvl>
  </w:abstractNum>
  <w:abstractNum w:abstractNumId="365">
    <w:nsid w:val="60C2D273"/>
    <w:multiLevelType w:val="hybridMultilevel"/>
    <w:lvl w:ilvl="0">
      <w:lvlJc w:val="left"/>
      <w:lvlText w:val="***"/>
      <w:numFmt w:val="bullet"/>
      <w:start w:val="1"/>
    </w:lvl>
  </w:abstractNum>
  <w:abstractNum w:abstractNumId="366">
    <w:nsid w:val="4CC32F1F"/>
    <w:multiLevelType w:val="hybridMultilevel"/>
    <w:lvl w:ilvl="0">
      <w:lvlJc w:val="left"/>
      <w:lvlText w:val="%1."/>
      <w:numFmt w:val="decimal"/>
      <w:start w:val="1"/>
    </w:lvl>
  </w:abstractNum>
  <w:abstractNum w:abstractNumId="367">
    <w:nsid w:val="11CAC74A"/>
    <w:multiLevelType w:val="hybridMultilevel"/>
    <w:lvl w:ilvl="0">
      <w:lvlJc w:val="left"/>
      <w:lvlText w:val="***"/>
      <w:numFmt w:val="bullet"/>
      <w:start w:val="1"/>
    </w:lvl>
  </w:abstractNum>
  <w:abstractNum w:abstractNumId="368">
    <w:nsid w:val="126CADE9"/>
    <w:multiLevelType w:val="hybridMultilevel"/>
    <w:lvl w:ilvl="0">
      <w:lvlJc w:val="left"/>
      <w:lvlText w:val="%1."/>
      <w:numFmt w:val="upperLetter"/>
      <w:start w:val="1"/>
    </w:lvl>
  </w:abstractNum>
  <w:abstractNum w:abstractNumId="369">
    <w:nsid w:val="19132E7B"/>
    <w:multiLevelType w:val="hybridMultilevel"/>
    <w:lvl w:ilvl="0">
      <w:lvlJc w:val="left"/>
      <w:lvlText w:val="%1)"/>
      <w:numFmt w:val="decimal"/>
      <w:start w:val="1"/>
    </w:lvl>
  </w:abstractNum>
  <w:abstractNum w:abstractNumId="370">
    <w:nsid w:val="63822DC0"/>
    <w:multiLevelType w:val="hybridMultilevel"/>
    <w:lvl w:ilvl="0">
      <w:lvlJc w:val="left"/>
      <w:lvlText w:val="***"/>
      <w:numFmt w:val="bullet"/>
      <w:start w:val="1"/>
    </w:lvl>
  </w:abstractNum>
  <w:abstractNum w:abstractNumId="371">
    <w:nsid w:val="6C11685A"/>
    <w:multiLevelType w:val="hybridMultilevel"/>
    <w:lvl w:ilvl="0">
      <w:lvlJc w:val="left"/>
      <w:lvlText w:val="%1."/>
      <w:numFmt w:val="upperLetter"/>
      <w:start w:val="2"/>
    </w:lvl>
  </w:abstractNum>
  <w:abstractNum w:abstractNumId="372">
    <w:nsid w:val="5E1EAE31"/>
    <w:multiLevelType w:val="hybridMultilevel"/>
    <w:lvl w:ilvl="0">
      <w:lvlJc w:val="left"/>
      <w:lvlText w:val="***"/>
      <w:numFmt w:val="bullet"/>
      <w:start w:val="1"/>
    </w:lvl>
  </w:abstractNum>
  <w:abstractNum w:abstractNumId="373">
    <w:nsid w:val="178E240D"/>
    <w:multiLevelType w:val="hybridMultilevel"/>
    <w:lvl w:ilvl="0">
      <w:lvlJc w:val="left"/>
      <w:lvlText w:val="%1."/>
      <w:numFmt w:val="upperLetter"/>
      <w:start w:val="3"/>
    </w:lvl>
  </w:abstractNum>
  <w:abstractNum w:abstractNumId="374">
    <w:nsid w:val="5556A87B"/>
    <w:multiLevelType w:val="hybridMultilevel"/>
    <w:lvl w:ilvl="0">
      <w:lvlJc w:val="left"/>
      <w:lvlText w:val="%1)"/>
      <w:numFmt w:val="decimal"/>
      <w:start w:val="2"/>
    </w:lvl>
  </w:abstractNum>
  <w:abstractNum w:abstractNumId="375">
    <w:nsid w:val="28100A9C"/>
    <w:multiLevelType w:val="hybridMultilevel"/>
    <w:lvl w:ilvl="0">
      <w:lvlJc w:val="left"/>
      <w:lvlText w:val="%1."/>
      <w:numFmt w:val="upperLetter"/>
      <w:start w:val="4"/>
    </w:lvl>
  </w:abstractNum>
  <w:abstractNum w:abstractNumId="376">
    <w:nsid w:val="D838636"/>
    <w:multiLevelType w:val="hybridMultilevel"/>
    <w:lvl w:ilvl="0">
      <w:lvlJc w:val="left"/>
      <w:lvlText w:val="%1)"/>
      <w:numFmt w:val="decimal"/>
      <w:start w:val="1"/>
    </w:lvl>
  </w:abstractNum>
  <w:abstractNum w:abstractNumId="377">
    <w:nsid w:val="71B82AED"/>
    <w:multiLevelType w:val="hybridMultilevel"/>
    <w:lvl w:ilvl="0">
      <w:lvlJc w:val="left"/>
      <w:lvlText w:val="***"/>
      <w:numFmt w:val="bullet"/>
      <w:start w:val="1"/>
    </w:lvl>
  </w:abstractNum>
  <w:abstractNum w:abstractNumId="378">
    <w:nsid w:val="D15FACA"/>
    <w:multiLevelType w:val="hybridMultilevel"/>
    <w:lvl w:ilvl="0">
      <w:lvlJc w:val="left"/>
      <w:lvlText w:val="%1)"/>
      <w:numFmt w:val="decimal"/>
      <w:start w:val="1"/>
    </w:lvl>
  </w:abstractNum>
  <w:abstractNum w:abstractNumId="379">
    <w:nsid w:val="3D69565B"/>
    <w:multiLevelType w:val="hybridMultilevel"/>
    <w:lvl w:ilvl="0">
      <w:lvlJc w:val="left"/>
      <w:lvlText w:val="***"/>
      <w:numFmt w:val="bullet"/>
      <w:start w:val="1"/>
    </w:lvl>
  </w:abstractNum>
  <w:abstractNum w:abstractNumId="380">
    <w:nsid w:val="2299DCBC"/>
    <w:multiLevelType w:val="hybridMultilevel"/>
    <w:lvl w:ilvl="0">
      <w:lvlJc w:val="left"/>
      <w:lvlText w:val="(%1)"/>
      <w:numFmt w:val="decimal"/>
      <w:start w:val="1"/>
    </w:lvl>
  </w:abstractNum>
  <w:abstractNum w:abstractNumId="381">
    <w:nsid w:val="19908D02"/>
    <w:multiLevelType w:val="hybridMultilevel"/>
    <w:lvl w:ilvl="0">
      <w:lvlJc w:val="left"/>
      <w:lvlText w:val="(%1)"/>
      <w:numFmt w:val="lowerRoman"/>
      <w:start w:val="1"/>
    </w:lvl>
  </w:abstractNum>
  <w:abstractNum w:abstractNumId="382">
    <w:nsid w:val="24D48BDB"/>
    <w:multiLevelType w:val="hybridMultilevel"/>
    <w:lvl w:ilvl="0">
      <w:lvlJc w:val="left"/>
      <w:lvlText w:val="***"/>
      <w:numFmt w:val="bullet"/>
      <w:start w:val="1"/>
    </w:lvl>
  </w:abstractNum>
  <w:abstractNum w:abstractNumId="383">
    <w:nsid w:val="542DA5B5"/>
    <w:multiLevelType w:val="hybridMultilevel"/>
    <w:lvl w:ilvl="0">
      <w:lvlJc w:val="left"/>
      <w:lvlText w:val="*"/>
      <w:numFmt w:val="bullet"/>
      <w:start w:val="1"/>
    </w:lvl>
  </w:abstractNum>
  <w:abstractNum w:abstractNumId="384">
    <w:nsid w:val="793753DE"/>
    <w:multiLevelType w:val="hybridMultilevel"/>
    <w:lvl w:ilvl="0">
      <w:lvlJc w:val="left"/>
      <w:lvlText w:val="***"/>
      <w:numFmt w:val="bullet"/>
      <w:start w:val="1"/>
    </w:lvl>
  </w:abstractNum>
  <w:abstractNum w:abstractNumId="385">
    <w:nsid w:val="1C67CB3D"/>
    <w:multiLevelType w:val="hybridMultilevel"/>
    <w:lvl w:ilvl="0">
      <w:lvlJc w:val="left"/>
      <w:lvlText w:val="(%1)"/>
      <w:numFmt w:val="decimal"/>
      <w:start w:val="3"/>
    </w:lvl>
  </w:abstractNum>
  <w:abstractNum w:abstractNumId="386">
    <w:nsid w:val="40E29452"/>
    <w:multiLevelType w:val="hybridMultilevel"/>
    <w:lvl w:ilvl="0">
      <w:lvlJc w:val="left"/>
      <w:lvlText w:val="***"/>
      <w:numFmt w:val="bullet"/>
      <w:start w:val="1"/>
    </w:lvl>
  </w:abstractNum>
  <w:abstractNum w:abstractNumId="387">
    <w:nsid w:val="63A4AAB6"/>
    <w:multiLevelType w:val="hybridMultilevel"/>
    <w:lvl w:ilvl="0">
      <w:lvlJc w:val="left"/>
      <w:lvlText w:val="(%1)"/>
      <w:numFmt w:val="decimal"/>
      <w:start w:val="1"/>
    </w:lvl>
  </w:abstractNum>
  <w:abstractNum w:abstractNumId="388">
    <w:nsid w:val="77DA4A57"/>
    <w:multiLevelType w:val="hybridMultilevel"/>
    <w:lvl w:ilvl="0">
      <w:lvlJc w:val="left"/>
      <w:lvlText w:val="***"/>
      <w:numFmt w:val="bullet"/>
      <w:start w:val="1"/>
    </w:lvl>
  </w:abstractNum>
  <w:abstractNum w:abstractNumId="389">
    <w:nsid w:val="1230F102"/>
    <w:multiLevelType w:val="hybridMultilevel"/>
    <w:lvl w:ilvl="0">
      <w:lvlJc w:val="left"/>
      <w:lvlText w:val="***"/>
      <w:numFmt w:val="bullet"/>
      <w:start w:val="1"/>
    </w:lvl>
  </w:abstractNum>
  <w:abstractNum w:abstractNumId="390">
    <w:nsid w:val="25B57ED4"/>
    <w:multiLevelType w:val="hybridMultilevel"/>
    <w:lvl w:ilvl="0">
      <w:lvlJc w:val="left"/>
      <w:lvlText w:val="%1."/>
      <w:numFmt w:val="decimal"/>
      <w:start w:val="1"/>
    </w:lvl>
  </w:abstractNum>
  <w:abstractNum w:abstractNumId="391">
    <w:nsid w:val="47CF16C4"/>
    <w:multiLevelType w:val="hybridMultilevel"/>
    <w:lvl w:ilvl="0">
      <w:lvlJc w:val="left"/>
      <w:lvlText w:val="***"/>
      <w:numFmt w:val="bullet"/>
      <w:start w:val="1"/>
    </w:lvl>
    <w:lvl w:ilvl="1">
      <w:lvlJc w:val="left"/>
      <w:lvlText w:val="%2."/>
      <w:numFmt w:val="decimal"/>
      <w:start w:val="2"/>
    </w:lvl>
  </w:abstractNum>
  <w:abstractNum w:abstractNumId="392">
    <w:nsid w:val="527FA04C"/>
    <w:multiLevelType w:val="hybridMultilevel"/>
    <w:lvl w:ilvl="0">
      <w:lvlJc w:val="left"/>
      <w:lvlText w:val="***"/>
      <w:numFmt w:val="bullet"/>
      <w:start w:val="1"/>
    </w:lvl>
  </w:abstractNum>
  <w:abstractNum w:abstractNumId="393">
    <w:nsid w:val="6FCC0624"/>
    <w:multiLevelType w:val="hybridMultilevel"/>
    <w:lvl w:ilvl="0">
      <w:lvlJc w:val="left"/>
      <w:lvlText w:val="(%1)"/>
      <w:numFmt w:val="lowerRoman"/>
      <w:start w:val="1"/>
    </w:lvl>
    <w:lvl w:ilvl="1">
      <w:lvlJc w:val="left"/>
      <w:lvlText w:val="(%2)"/>
      <w:numFmt w:val="lowerLetter"/>
      <w:start w:val="1"/>
    </w:lvl>
  </w:abstractNum>
  <w:abstractNum w:abstractNumId="394">
    <w:nsid w:val="1DCDF795"/>
    <w:multiLevelType w:val="hybridMultilevel"/>
    <w:lvl w:ilvl="0">
      <w:lvlJc w:val="left"/>
      <w:lvlText w:val="***"/>
      <w:numFmt w:val="bullet"/>
      <w:start w:val="1"/>
    </w:lvl>
    <w:lvl w:ilvl="1">
      <w:lvlJc w:val="left"/>
      <w:lvlText w:val="%2."/>
      <w:numFmt w:val="decimal"/>
      <w:start w:val="1"/>
    </w:lvl>
  </w:abstractNum>
  <w:abstractNum w:abstractNumId="395">
    <w:nsid w:val="564580C8"/>
    <w:multiLevelType w:val="hybridMultilevel"/>
    <w:lvl w:ilvl="0">
      <w:lvlJc w:val="left"/>
      <w:lvlText w:val="*"/>
      <w:numFmt w:val="bullet"/>
      <w:start w:val="1"/>
    </w:lvl>
    <w:lvl w:ilvl="1">
      <w:lvlJc w:val="left"/>
      <w:lvlText w:val="%2."/>
      <w:numFmt w:val="decimal"/>
      <w:start w:val="6"/>
    </w:lvl>
  </w:abstractNum>
  <w:abstractNum w:abstractNumId="396">
    <w:nsid w:val="508ED897"/>
    <w:multiLevelType w:val="hybridMultilevel"/>
    <w:lvl w:ilvl="0">
      <w:lvlJc w:val="left"/>
      <w:lvlText w:val="***"/>
      <w:numFmt w:val="bullet"/>
      <w:start w:val="1"/>
    </w:lvl>
    <w:lvl w:ilvl="1">
      <w:lvlJc w:val="left"/>
      <w:lvlText w:val="%2"/>
      <w:numFmt w:val="decimal"/>
      <w:start w:val="1"/>
    </w:lvl>
  </w:abstractNum>
  <w:abstractNum w:abstractNumId="397">
    <w:nsid w:val="6A9126B5"/>
    <w:multiLevelType w:val="hybridMultilevel"/>
    <w:lvl w:ilvl="0">
      <w:lvlJc w:val="left"/>
      <w:lvlText w:val="%1."/>
      <w:numFmt w:val="decimal"/>
      <w:start w:val="1"/>
    </w:lvl>
  </w:abstractNum>
  <w:abstractNum w:abstractNumId="398">
    <w:nsid w:val="68104812"/>
    <w:multiLevelType w:val="hybridMultilevel"/>
    <w:lvl w:ilvl="0">
      <w:lvlJc w:val="left"/>
      <w:lvlText w:val="***"/>
      <w:numFmt w:val="bullet"/>
      <w:start w:val="1"/>
    </w:lvl>
  </w:abstractNum>
  <w:abstractNum w:abstractNumId="399">
    <w:nsid w:val="62FB8680"/>
    <w:multiLevelType w:val="hybridMultilevel"/>
    <w:lvl w:ilvl="0">
      <w:lvlJc w:val="left"/>
      <w:lvlText w:val="%1."/>
      <w:numFmt w:val="upperLetter"/>
      <w:start w:val="1"/>
    </w:lvl>
  </w:abstractNum>
  <w:abstractNum w:abstractNumId="400">
    <w:nsid w:val="3A45530"/>
    <w:multiLevelType w:val="hybridMultilevel"/>
    <w:lvl w:ilvl="0">
      <w:lvlJc w:val="left"/>
      <w:lvlText w:val="***"/>
      <w:numFmt w:val="bullet"/>
      <w:start w:val="1"/>
    </w:lvl>
  </w:abstractNum>
  <w:abstractNum w:abstractNumId="401">
    <w:nsid w:val="4B9275D2"/>
    <w:multiLevelType w:val="hybridMultilevel"/>
    <w:lvl w:ilvl="0">
      <w:lvlJc w:val="left"/>
      <w:lvlText w:val="%1."/>
      <w:numFmt w:val="upperLetter"/>
      <w:start w:val="2"/>
    </w:lvl>
  </w:abstractNum>
  <w:abstractNum w:abstractNumId="402">
    <w:nsid w:val="4F0CEEDB"/>
    <w:multiLevelType w:val="hybridMultilevel"/>
    <w:lvl w:ilvl="0">
      <w:lvlJc w:val="left"/>
      <w:lvlText w:val="***"/>
      <w:numFmt w:val="bullet"/>
      <w:start w:val="1"/>
    </w:lvl>
  </w:abstractNum>
  <w:abstractNum w:abstractNumId="403">
    <w:nsid w:val="61C30361"/>
    <w:multiLevelType w:val="hybridMultilevel"/>
    <w:lvl w:ilvl="0">
      <w:lvlJc w:val="left"/>
      <w:lvlText w:val="%1)"/>
      <w:numFmt w:val="decimal"/>
      <w:start w:val="1"/>
    </w:lvl>
  </w:abstractNum>
  <w:abstractNum w:abstractNumId="404">
    <w:nsid w:val="632099E0"/>
    <w:multiLevelType w:val="hybridMultilevel"/>
    <w:lvl w:ilvl="0">
      <w:lvlJc w:val="left"/>
      <w:lvlText w:val="***"/>
      <w:numFmt w:val="bullet"/>
      <w:start w:val="1"/>
    </w:lvl>
  </w:abstractNum>
  <w:abstractNum w:abstractNumId="405">
    <w:nsid w:val="24639756"/>
    <w:multiLevelType w:val="hybridMultilevel"/>
    <w:lvl w:ilvl="0">
      <w:lvlJc w:val="left"/>
      <w:lvlText w:val="%1."/>
      <w:numFmt w:val="decimal"/>
      <w:start w:val="1"/>
    </w:lvl>
  </w:abstractNum>
  <w:abstractNum w:abstractNumId="406">
    <w:nsid w:val="9D30DFD"/>
    <w:multiLevelType w:val="hybridMultilevel"/>
    <w:lvl w:ilvl="0">
      <w:lvlJc w:val="left"/>
      <w:lvlText w:val="***"/>
      <w:numFmt w:val="bullet"/>
      <w:start w:val="1"/>
    </w:lvl>
    <w:lvl w:ilvl="1">
      <w:lvlJc w:val="left"/>
      <w:lvlText w:val="%2."/>
      <w:numFmt w:val="decimal"/>
      <w:start w:val="2"/>
    </w:lvl>
  </w:abstractNum>
  <w:abstractNum w:abstractNumId="407">
    <w:nsid w:val="70A42016"/>
    <w:multiLevelType w:val="hybridMultilevel"/>
    <w:lvl w:ilvl="0">
      <w:lvlJc w:val="left"/>
      <w:lvlText w:val="%1."/>
      <w:numFmt w:val="decimal"/>
      <w:start w:val="3"/>
    </w:lvl>
  </w:abstractNum>
  <w:abstractNum w:abstractNumId="408">
    <w:nsid w:val="161BC243"/>
    <w:multiLevelType w:val="hybridMultilevel"/>
    <w:lvl w:ilvl="0">
      <w:lvlJc w:val="left"/>
      <w:lvlText w:val="%1."/>
      <w:numFmt w:val="decimal"/>
      <w:start w:val="1"/>
    </w:lvl>
  </w:abstractNum>
  <w:abstractNum w:abstractNumId="409">
    <w:nsid w:val="16E908C8"/>
    <w:multiLevelType w:val="hybridMultilevel"/>
    <w:lvl w:ilvl="0">
      <w:lvlJc w:val="left"/>
      <w:lvlText w:val="%1."/>
      <w:numFmt w:val="decimal"/>
      <w:start w:val="2"/>
    </w:lvl>
  </w:abstractNum>
  <w:abstractNum w:abstractNumId="410">
    <w:nsid w:val="2E0D7671"/>
    <w:multiLevelType w:val="hybridMultilevel"/>
    <w:lvl w:ilvl="0">
      <w:lvlJc w:val="left"/>
      <w:lvlText w:val="***"/>
      <w:numFmt w:val="bullet"/>
      <w:start w:val="1"/>
    </w:lvl>
  </w:abstractNum>
  <w:abstractNum w:abstractNumId="411">
    <w:nsid w:val="38B59EFF"/>
    <w:multiLevelType w:val="hybridMultilevel"/>
    <w:lvl w:ilvl="0">
      <w:lvlJc w:val="left"/>
      <w:lvlText w:val="%1."/>
      <w:numFmt w:val="upperLetter"/>
      <w:start w:val="1"/>
    </w:lvl>
  </w:abstractNum>
  <w:abstractNum w:abstractNumId="412">
    <w:nsid w:val="307995CA"/>
    <w:multiLevelType w:val="hybridMultilevel"/>
    <w:lvl w:ilvl="0">
      <w:lvlJc w:val="left"/>
      <w:lvlText w:val="%1."/>
      <w:numFmt w:val="upperLetter"/>
      <w:start w:val="2"/>
    </w:lvl>
  </w:abstractNum>
  <w:abstractNum w:abstractNumId="413">
    <w:nsid w:val="52E2024D"/>
    <w:multiLevelType w:val="hybridMultilevel"/>
    <w:lvl w:ilvl="0">
      <w:lvlJc w:val="left"/>
      <w:lvlText w:val="%1."/>
      <w:numFmt w:val="upperLetter"/>
      <w:start w:val="3"/>
    </w:lvl>
    <w:lvl w:ilvl="1">
      <w:lvlJc w:val="left"/>
      <w:lvlText w:val="%2)"/>
      <w:numFmt w:val="decimal"/>
      <w:start w:val="1"/>
    </w:lvl>
  </w:abstractNum>
  <w:abstractNum w:abstractNumId="414">
    <w:nsid w:val="CE344B5"/>
    <w:multiLevelType w:val="hybridMultilevel"/>
    <w:lvl w:ilvl="0">
      <w:lvlJc w:val="left"/>
      <w:lvlText w:val="***"/>
      <w:numFmt w:val="bullet"/>
      <w:start w:val="1"/>
    </w:lvl>
  </w:abstractNum>
  <w:abstractNum w:abstractNumId="415">
    <w:nsid w:val="29B0E9A8"/>
    <w:multiLevelType w:val="hybridMultilevel"/>
    <w:lvl w:ilvl="0">
      <w:lvlJc w:val="left"/>
      <w:lvlText w:val="%1."/>
      <w:numFmt w:val="decimal"/>
      <w:start w:val="1"/>
    </w:lvl>
  </w:abstractNum>
  <w:abstractNum w:abstractNumId="416">
    <w:nsid w:val="6F49CD8A"/>
    <w:multiLevelType w:val="hybridMultilevel"/>
    <w:lvl w:ilvl="0">
      <w:lvlJc w:val="left"/>
      <w:lvlText w:val="%1."/>
      <w:numFmt w:val="decimal"/>
      <w:start w:val="1"/>
    </w:lvl>
  </w:abstractNum>
  <w:abstractNum w:abstractNumId="417">
    <w:nsid w:val="4DC5D907"/>
    <w:multiLevelType w:val="hybridMultilevel"/>
    <w:lvl w:ilvl="0">
      <w:lvlJc w:val="left"/>
      <w:lvlText w:val="***"/>
      <w:numFmt w:val="bullet"/>
      <w:start w:val="1"/>
    </w:lvl>
  </w:abstractNum>
  <w:abstractNum w:abstractNumId="418">
    <w:nsid w:val="D55945E"/>
    <w:multiLevelType w:val="hybridMultilevel"/>
    <w:lvl w:ilvl="0">
      <w:lvlJc w:val="left"/>
      <w:lvlText w:val="%1."/>
      <w:numFmt w:val="decimal"/>
      <w:start w:val="2"/>
    </w:lvl>
  </w:abstractNum>
  <w:abstractNum w:abstractNumId="419">
    <w:nsid w:val="672417E1"/>
    <w:multiLevelType w:val="hybridMultilevel"/>
    <w:lvl w:ilvl="0">
      <w:lvlJc w:val="left"/>
      <w:lvlText w:val="***"/>
      <w:numFmt w:val="bullet"/>
      <w:start w:val="1"/>
    </w:lvl>
  </w:abstractNum>
  <w:abstractNum w:abstractNumId="420">
    <w:nsid w:val="5FF6CA09"/>
    <w:multiLevelType w:val="hybridMultilevel"/>
    <w:lvl w:ilvl="0">
      <w:lvlJc w:val="left"/>
      <w:lvlText w:val="%1."/>
      <w:numFmt w:val="upperLetter"/>
      <w:start w:val="1"/>
    </w:lvl>
  </w:abstractNum>
  <w:abstractNum w:abstractNumId="421">
    <w:nsid w:val="330B1333"/>
    <w:multiLevelType w:val="hybridMultilevel"/>
    <w:lvl w:ilvl="0">
      <w:lvlJc w:val="left"/>
      <w:lvlText w:val="%1."/>
      <w:numFmt w:val="upperLetter"/>
      <w:start w:val="2"/>
    </w:lvl>
  </w:abstractNum>
  <w:abstractNum w:abstractNumId="422">
    <w:nsid w:val="2EF32EA6"/>
    <w:multiLevelType w:val="hybridMultilevel"/>
    <w:lvl w:ilvl="0">
      <w:lvlJc w:val="left"/>
      <w:lvlText w:val="%1."/>
      <w:numFmt w:val="upperLetter"/>
      <w:start w:val="3"/>
    </w:lvl>
    <w:lvl w:ilvl="1">
      <w:lvlJc w:val="left"/>
      <w:lvlText w:val="%2)"/>
      <w:numFmt w:val="decimal"/>
      <w:start w:val="1"/>
    </w:lvl>
  </w:abstractNum>
  <w:abstractNum w:abstractNumId="423">
    <w:nsid w:val="32766A55"/>
    <w:multiLevelType w:val="hybridMultilevel"/>
    <w:lvl w:ilvl="0">
      <w:lvlJc w:val="left"/>
      <w:lvlText w:val="***"/>
      <w:numFmt w:val="bullet"/>
      <w:start w:val="1"/>
    </w:lvl>
  </w:abstractNum>
  <w:abstractNum w:abstractNumId="424">
    <w:nsid w:val="22D71957"/>
    <w:multiLevelType w:val="hybridMultilevel"/>
    <w:lvl w:ilvl="0">
      <w:lvlJc w:val="left"/>
      <w:lvlText w:val="%1."/>
      <w:numFmt w:val="decimal"/>
      <w:start w:val="1"/>
    </w:lvl>
  </w:abstractNum>
  <w:abstractNum w:abstractNumId="425">
    <w:nsid w:val="4CC1263B"/>
    <w:multiLevelType w:val="hybridMultilevel"/>
    <w:lvl w:ilvl="0">
      <w:lvlJc w:val="left"/>
      <w:lvlText w:val="%1."/>
      <w:numFmt w:val="decimal"/>
      <w:start w:val="1"/>
    </w:lvl>
  </w:abstractNum>
  <w:abstractNum w:abstractNumId="426">
    <w:nsid w:val="8BBEB1D"/>
    <w:multiLevelType w:val="hybridMultilevel"/>
    <w:lvl w:ilvl="0">
      <w:lvlJc w:val="left"/>
      <w:lvlText w:val="***"/>
      <w:numFmt w:val="bullet"/>
      <w:start w:val="1"/>
    </w:lvl>
  </w:abstractNum>
  <w:abstractNum w:abstractNumId="427">
    <w:nsid w:val="7365F1EE"/>
    <w:multiLevelType w:val="hybridMultilevel"/>
    <w:lvl w:ilvl="0">
      <w:lvlJc w:val="left"/>
      <w:lvlText w:val="%1."/>
      <w:numFmt w:val="decimal"/>
      <w:start w:val="2"/>
    </w:lvl>
  </w:abstractNum>
  <w:abstractNum w:abstractNumId="428">
    <w:nsid w:val="37524CF0"/>
    <w:multiLevelType w:val="hybridMultilevel"/>
    <w:lvl w:ilvl="0">
      <w:lvlJc w:val="left"/>
      <w:lvlText w:val="***"/>
      <w:numFmt w:val="bullet"/>
      <w:start w:val="1"/>
    </w:lvl>
  </w:abstractNum>
  <w:abstractNum w:abstractNumId="429">
    <w:nsid w:val="70CC332F"/>
    <w:multiLevelType w:val="hybridMultilevel"/>
    <w:lvl w:ilvl="0">
      <w:lvlJc w:val="left"/>
      <w:lvlText w:val="%1."/>
      <w:numFmt w:val="upperLetter"/>
      <w:start w:val="1"/>
    </w:lvl>
  </w:abstractNum>
  <w:abstractNum w:abstractNumId="430">
    <w:nsid w:val="5661786E"/>
    <w:multiLevelType w:val="hybridMultilevel"/>
    <w:lvl w:ilvl="0">
      <w:lvlJc w:val="left"/>
      <w:lvlText w:val="%1."/>
      <w:numFmt w:val="upperLetter"/>
      <w:start w:val="2"/>
    </w:lvl>
  </w:abstractNum>
  <w:abstractNum w:abstractNumId="431">
    <w:nsid w:val="3AF6A220"/>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432">
    <w:nsid w:val="3C5EA902"/>
    <w:multiLevelType w:val="hybridMultilevel"/>
    <w:lvl w:ilvl="0">
      <w:lvlJc w:val="left"/>
      <w:lvlText w:val="***"/>
      <w:numFmt w:val="bullet"/>
      <w:start w:val="1"/>
    </w:lvl>
  </w:abstractNum>
  <w:abstractNum w:abstractNumId="433">
    <w:nsid w:val="256E6749"/>
    <w:multiLevelType w:val="hybridMultilevel"/>
    <w:lvl w:ilvl="0">
      <w:lvlJc w:val="left"/>
      <w:lvlText w:val="%1."/>
      <w:numFmt w:val="upperLetter"/>
      <w:start w:val="4"/>
    </w:lvl>
  </w:abstractNum>
  <w:abstractNum w:abstractNumId="434">
    <w:nsid w:val="1CB9A581"/>
    <w:multiLevelType w:val="hybridMultilevel"/>
    <w:lvl w:ilvl="0">
      <w:lvlJc w:val="left"/>
      <w:lvlText w:val="***"/>
      <w:numFmt w:val="bullet"/>
      <w:start w:val="1"/>
    </w:lvl>
  </w:abstractNum>
  <w:abstractNum w:abstractNumId="435">
    <w:nsid w:val="1F7F42E2"/>
    <w:multiLevelType w:val="hybridMultilevel"/>
    <w:lvl w:ilvl="0">
      <w:lvlJc w:val="left"/>
      <w:lvlText w:val="%1."/>
      <w:numFmt w:val="decimal"/>
      <w:start w:val="1"/>
    </w:lvl>
  </w:abstractNum>
  <w:abstractNum w:abstractNumId="436">
    <w:nsid w:val="49D1FEA0"/>
    <w:multiLevelType w:val="hybridMultilevel"/>
    <w:lvl w:ilvl="0">
      <w:lvlJc w:val="left"/>
      <w:lvlText w:val="%1."/>
      <w:numFmt w:val="decimal"/>
      <w:start w:val="1"/>
    </w:lvl>
  </w:abstractNum>
  <w:abstractNum w:abstractNumId="437">
    <w:nsid w:val="268CB37F"/>
    <w:multiLevelType w:val="hybridMultilevel"/>
    <w:lvl w:ilvl="0">
      <w:lvlJc w:val="left"/>
      <w:lvlText w:val="***"/>
      <w:numFmt w:val="bullet"/>
      <w:start w:val="1"/>
    </w:lvl>
  </w:abstractNum>
  <w:abstractNum w:abstractNumId="438">
    <w:nsid w:val="102362F8"/>
    <w:multiLevelType w:val="hybridMultilevel"/>
    <w:lvl w:ilvl="0">
      <w:lvlJc w:val="left"/>
      <w:lvlText w:val="%1."/>
      <w:numFmt w:val="decimal"/>
      <w:start w:val="2"/>
    </w:lvl>
  </w:abstractNum>
  <w:abstractNum w:abstractNumId="439">
    <w:nsid w:val="5FEDC0E3"/>
    <w:multiLevelType w:val="hybridMultilevel"/>
    <w:lvl w:ilvl="0">
      <w:lvlJc w:val="left"/>
      <w:lvlText w:val="***"/>
      <w:numFmt w:val="bullet"/>
      <w:start w:val="1"/>
    </w:lvl>
  </w:abstractNum>
  <w:abstractNum w:abstractNumId="440">
    <w:nsid w:val="3D75BC47"/>
    <w:multiLevelType w:val="hybridMultilevel"/>
    <w:lvl w:ilvl="0">
      <w:lvlJc w:val="left"/>
      <w:lvlText w:val="%1."/>
      <w:numFmt w:val="upperLetter"/>
      <w:start w:val="1"/>
    </w:lvl>
  </w:abstractNum>
  <w:abstractNum w:abstractNumId="441">
    <w:nsid w:val="3E30D969"/>
    <w:multiLevelType w:val="hybridMultilevel"/>
    <w:lvl w:ilvl="0">
      <w:lvlJc w:val="left"/>
      <w:lvlText w:val="%1."/>
      <w:numFmt w:val="upperLetter"/>
      <w:start w:val="2"/>
    </w:lvl>
  </w:abstractNum>
  <w:abstractNum w:abstractNumId="442">
    <w:nsid w:val="18A35FE3"/>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443">
    <w:nsid w:val="6DEF5211"/>
    <w:multiLevelType w:val="hybridMultilevel"/>
    <w:lvl w:ilvl="0">
      <w:lvlJc w:val="left"/>
      <w:lvlText w:val="***"/>
      <w:numFmt w:val="bullet"/>
      <w:start w:val="1"/>
    </w:lvl>
  </w:abstractNum>
  <w:abstractNum w:abstractNumId="444">
    <w:nsid w:val="1112DBB6"/>
    <w:multiLevelType w:val="hybridMultilevel"/>
    <w:lvl w:ilvl="0">
      <w:lvlJc w:val="left"/>
      <w:lvlText w:val="%1."/>
      <w:numFmt w:val="upperLetter"/>
      <w:start w:val="4"/>
    </w:lvl>
  </w:abstractNum>
  <w:abstractNum w:abstractNumId="445">
    <w:nsid w:val="2586A498"/>
    <w:multiLevelType w:val="hybridMultilevel"/>
    <w:lvl w:ilvl="0">
      <w:lvlJc w:val="left"/>
      <w:lvlText w:val="***"/>
      <w:numFmt w:val="bullet"/>
      <w:start w:val="1"/>
    </w:lvl>
  </w:abstractNum>
  <w:abstractNum w:abstractNumId="446">
    <w:nsid w:val="17A03BB9"/>
    <w:multiLevelType w:val="hybridMultilevel"/>
    <w:lvl w:ilvl="0">
      <w:lvlJc w:val="left"/>
      <w:lvlText w:val="%1."/>
      <w:numFmt w:val="decimal"/>
      <w:start w:val="1"/>
    </w:lvl>
  </w:abstractNum>
  <w:abstractNum w:abstractNumId="447">
    <w:nsid w:val="5CA941"/>
    <w:multiLevelType w:val="hybridMultilevel"/>
    <w:lvl w:ilvl="0">
      <w:lvlJc w:val="left"/>
      <w:lvlText w:val="***"/>
      <w:numFmt w:val="bullet"/>
      <w:start w:val="1"/>
    </w:lvl>
    <w:lvl w:ilvl="1">
      <w:lvlJc w:val="left"/>
      <w:lvlText w:val="%2."/>
      <w:numFmt w:val="decimal"/>
      <w:start w:val="2"/>
    </w:lvl>
  </w:abstractNum>
  <w:abstractNum w:abstractNumId="448">
    <w:nsid w:val="734C7D9F"/>
    <w:multiLevelType w:val="hybridMultilevel"/>
    <w:lvl w:ilvl="0">
      <w:lvlJc w:val="left"/>
      <w:lvlText w:val="***"/>
      <w:numFmt w:val="bullet"/>
      <w:start w:val="1"/>
    </w:lvl>
  </w:abstractNum>
  <w:abstractNum w:abstractNumId="449">
    <w:nsid w:val="24F5D018"/>
    <w:multiLevelType w:val="hybridMultilevel"/>
    <w:lvl w:ilvl="0">
      <w:lvlJc w:val="left"/>
      <w:lvlText w:val="%1."/>
      <w:numFmt w:val="upperLetter"/>
      <w:start w:val="1"/>
    </w:lvl>
  </w:abstractNum>
  <w:abstractNum w:abstractNumId="450">
    <w:nsid w:val="6780C122"/>
    <w:multiLevelType w:val="hybridMultilevel"/>
    <w:lvl w:ilvl="0">
      <w:lvlJc w:val="left"/>
      <w:lvlText w:val="%1."/>
      <w:numFmt w:val="upperLetter"/>
      <w:start w:val="2"/>
    </w:lvl>
  </w:abstractNum>
  <w:abstractNum w:abstractNumId="451">
    <w:nsid w:val="534347A8"/>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452">
    <w:nsid w:val="5800E34B"/>
    <w:multiLevelType w:val="hybridMultilevel"/>
    <w:lvl w:ilvl="0">
      <w:lvlJc w:val="left"/>
      <w:lvlText w:val="***"/>
      <w:numFmt w:val="bullet"/>
      <w:start w:val="1"/>
    </w:lvl>
  </w:abstractNum>
  <w:abstractNum w:abstractNumId="453">
    <w:nsid w:val="1673EFC8"/>
    <w:multiLevelType w:val="hybridMultilevel"/>
    <w:lvl w:ilvl="0">
      <w:lvlJc w:val="left"/>
      <w:lvlText w:val="%1."/>
      <w:numFmt w:val="upperLetter"/>
      <w:start w:val="4"/>
    </w:lvl>
  </w:abstractNum>
  <w:abstractNum w:abstractNumId="454">
    <w:nsid w:val="5B9B1FD"/>
    <w:multiLevelType w:val="hybridMultilevel"/>
    <w:lvl w:ilvl="0">
      <w:lvlJc w:val="left"/>
      <w:lvlText w:val="***"/>
      <w:numFmt w:val="bullet"/>
      <w:start w:val="1"/>
    </w:lvl>
  </w:abstractNum>
  <w:abstractNum w:abstractNumId="455">
    <w:nsid w:val="7AD7FCA2"/>
    <w:multiLevelType w:val="hybridMultilevel"/>
    <w:lvl w:ilvl="0">
      <w:lvlJc w:val="left"/>
      <w:lvlText w:val="***"/>
      <w:numFmt w:val="bullet"/>
      <w:start w:val="1"/>
    </w:lvl>
    <w:lvl w:ilvl="1">
      <w:lvlJc w:val="left"/>
      <w:lvlText w:val="%2."/>
      <w:numFmt w:val="decimal"/>
      <w:start w:val="1"/>
    </w:lvl>
  </w:abstractNum>
  <w:abstractNum w:abstractNumId="456">
    <w:nsid w:val="63351604"/>
    <w:multiLevelType w:val="hybridMultilevel"/>
    <w:lvl w:ilvl="0">
      <w:lvlJc w:val="left"/>
      <w:lvlText w:val="%1."/>
      <w:numFmt w:val="decimal"/>
      <w:start w:val="4"/>
    </w:lvl>
  </w:abstractNum>
  <w:abstractNum w:abstractNumId="457">
    <w:nsid w:val="E759D1A"/>
    <w:multiLevelType w:val="hybridMultilevel"/>
    <w:lvl w:ilvl="0">
      <w:lvlJc w:val="left"/>
      <w:lvlText w:val="***"/>
      <w:numFmt w:val="bullet"/>
      <w:start w:val="1"/>
    </w:lvl>
  </w:abstractNum>
  <w:abstractNum w:abstractNumId="458">
    <w:nsid w:val="6E3DEE90"/>
    <w:multiLevelType w:val="hybridMultilevel"/>
    <w:lvl w:ilvl="0">
      <w:lvlJc w:val="left"/>
      <w:lvlText w:val="%1."/>
      <w:numFmt w:val="upperLetter"/>
      <w:start w:val="1"/>
    </w:lvl>
  </w:abstractNum>
  <w:abstractNum w:abstractNumId="459">
    <w:nsid w:val="1A8762F4"/>
    <w:multiLevelType w:val="hybridMultilevel"/>
    <w:lvl w:ilvl="0">
      <w:lvlJc w:val="left"/>
      <w:lvlText w:val="%1."/>
      <w:numFmt w:val="upperLetter"/>
      <w:start w:val="2"/>
    </w:lvl>
  </w:abstractNum>
  <w:abstractNum w:abstractNumId="460">
    <w:nsid w:val="7F41D049"/>
    <w:multiLevelType w:val="hybridMultilevel"/>
    <w:lvl w:ilvl="0">
      <w:lvlJc w:val="left"/>
      <w:lvlText w:val="%1."/>
      <w:numFmt w:val="upperLetter"/>
      <w:start w:val="3"/>
    </w:lvl>
    <w:lvl w:ilvl="1">
      <w:lvlJc w:val="left"/>
      <w:lvlText w:val="%2)"/>
      <w:numFmt w:val="decimal"/>
      <w:start w:val="1"/>
    </w:lvl>
  </w:abstractNum>
  <w:abstractNum w:abstractNumId="461">
    <w:nsid w:val="449F66FE"/>
    <w:multiLevelType w:val="hybridMultilevel"/>
    <w:lvl w:ilvl="0">
      <w:lvlJc w:val="left"/>
      <w:lvlText w:val="***"/>
      <w:numFmt w:val="bullet"/>
      <w:start w:val="1"/>
    </w:lvl>
    <w:lvl w:ilvl="1">
      <w:lvlJc w:val="left"/>
      <w:lvlText w:val="%2."/>
      <w:numFmt w:val="upperLetter"/>
      <w:start w:val="9"/>
    </w:lvl>
  </w:abstractNum>
  <w:abstractNum w:abstractNumId="462">
    <w:nsid w:val="557E0515"/>
    <w:multiLevelType w:val="hybridMultilevel"/>
    <w:lvl w:ilvl="0">
      <w:lvlJc w:val="left"/>
      <w:lvlText w:val="%1"/>
      <w:numFmt w:val="upperLetter"/>
      <w:start w:val="1"/>
    </w:lvl>
    <w:lvl w:ilvl="1">
      <w:lvlJc w:val="left"/>
      <w:lvlText w:val="%2)"/>
      <w:numFmt w:val="decimal"/>
      <w:start w:val="2"/>
    </w:lvl>
  </w:abstractNum>
  <w:abstractNum w:abstractNumId="463">
    <w:nsid w:val="3BA0794B"/>
    <w:multiLevelType w:val="hybridMultilevel"/>
    <w:lvl w:ilvl="0">
      <w:lvlJc w:val="left"/>
      <w:lvlText w:val="%1."/>
      <w:numFmt w:val="upperLetter"/>
      <w:start w:val="4"/>
    </w:lvl>
    <w:lvl w:ilvl="1">
      <w:lvlJc w:val="left"/>
      <w:lvlText w:val="%2"/>
      <w:numFmt w:val="decimal"/>
      <w:start w:val="1"/>
    </w:lvl>
  </w:abstractNum>
  <w:abstractNum w:abstractNumId="464">
    <w:nsid w:val="6A0DCE48"/>
    <w:multiLevelType w:val="hybridMultilevel"/>
    <w:lvl w:ilvl="0">
      <w:lvlJc w:val="left"/>
      <w:lvlText w:val="***"/>
      <w:numFmt w:val="bullet"/>
      <w:start w:val="1"/>
    </w:lvl>
  </w:abstractNum>
  <w:abstractNum w:abstractNumId="465">
    <w:nsid w:val="7237AA96"/>
    <w:multiLevelType w:val="hybridMultilevel"/>
    <w:lvl w:ilvl="0">
      <w:lvlJc w:val="left"/>
      <w:lvlText w:val="%1."/>
      <w:numFmt w:val="decimal"/>
      <w:start w:val="1"/>
    </w:lvl>
  </w:abstractNum>
  <w:abstractNum w:abstractNumId="466">
    <w:nsid w:val="5B1FBC2D"/>
    <w:multiLevelType w:val="hybridMultilevel"/>
    <w:lvl w:ilvl="0">
      <w:lvlJc w:val="left"/>
      <w:lvlText w:val="***"/>
      <w:numFmt w:val="bullet"/>
      <w:start w:val="1"/>
    </w:lvl>
  </w:abstractNum>
  <w:abstractNum w:abstractNumId="467">
    <w:nsid w:val="33DFCCE8"/>
    <w:multiLevelType w:val="hybridMultilevel"/>
    <w:lvl w:ilvl="0">
      <w:lvlJc w:val="left"/>
      <w:lvlText w:val="***"/>
      <w:numFmt w:val="bullet"/>
      <w:start w:val="1"/>
    </w:lvl>
  </w:abstractNum>
  <w:abstractNum w:abstractNumId="468">
    <w:nsid w:val="18C45E15"/>
    <w:multiLevelType w:val="hybridMultilevel"/>
    <w:lvl w:ilvl="0">
      <w:lvlJc w:val="left"/>
      <w:lvlText w:val="***"/>
      <w:numFmt w:val="bullet"/>
      <w:start w:val="1"/>
    </w:lvl>
  </w:abstractNum>
  <w:abstractNum w:abstractNumId="469">
    <w:nsid w:val="6B431F25"/>
    <w:multiLevelType w:val="hybridMultilevel"/>
    <w:lvl w:ilvl="0">
      <w:lvlJc w:val="left"/>
      <w:lvlText w:val="%1."/>
      <w:numFmt w:val="decimal"/>
      <w:start w:val="3"/>
    </w:lvl>
  </w:abstractNum>
  <w:abstractNum w:abstractNumId="470">
    <w:nsid w:val="13CD8DCB"/>
    <w:multiLevelType w:val="hybridMultilevel"/>
    <w:lvl w:ilvl="0">
      <w:lvlJc w:val="left"/>
      <w:lvlText w:val="***"/>
      <w:numFmt w:val="bullet"/>
      <w:start w:val="1"/>
    </w:lvl>
  </w:abstractNum>
  <w:abstractNum w:abstractNumId="471">
    <w:nsid w:val="563A1A5C"/>
    <w:multiLevelType w:val="hybridMultilevel"/>
    <w:lvl w:ilvl="0">
      <w:lvlJc w:val="left"/>
      <w:lvlText w:val="%1."/>
      <w:numFmt w:val="decimal"/>
      <w:start w:val="4"/>
    </w:lvl>
  </w:abstractNum>
  <w:abstractNum w:abstractNumId="472">
    <w:nsid w:val="2973F88F"/>
    <w:multiLevelType w:val="hybridMultilevel"/>
    <w:lvl w:ilvl="0">
      <w:lvlJc w:val="left"/>
      <w:lvlText w:val="*"/>
      <w:numFmt w:val="bullet"/>
      <w:start w:val="1"/>
    </w:lvl>
  </w:abstractNum>
  <w:abstractNum w:abstractNumId="473">
    <w:nsid w:val="2C70EDAE"/>
    <w:multiLevelType w:val="hybridMultilevel"/>
    <w:lvl w:ilvl="0">
      <w:lvlJc w:val="left"/>
      <w:lvlText w:val="***"/>
      <w:numFmt w:val="bullet"/>
      <w:start w:val="1"/>
    </w:lvl>
  </w:abstractNum>
  <w:abstractNum w:abstractNumId="474">
    <w:nsid w:val="44296C6D"/>
    <w:multiLevelType w:val="hybridMultilevel"/>
    <w:lvl w:ilvl="0">
      <w:lvlJc w:val="left"/>
      <w:lvlText w:val="%1."/>
      <w:numFmt w:val="decimal"/>
      <w:start w:val="5"/>
    </w:lvl>
  </w:abstractNum>
  <w:abstractNum w:abstractNumId="475">
    <w:nsid w:val="3A86D445"/>
    <w:multiLevelType w:val="hybridMultilevel"/>
    <w:lvl w:ilvl="0">
      <w:lvlJc w:val="left"/>
      <w:lvlText w:val="***"/>
      <w:numFmt w:val="bullet"/>
      <w:start w:val="1"/>
    </w:lvl>
  </w:abstractNum>
  <w:abstractNum w:abstractNumId="476">
    <w:nsid w:val="51F79246"/>
    <w:multiLevelType w:val="hybridMultilevel"/>
    <w:lvl w:ilvl="0">
      <w:lvlJc w:val="left"/>
      <w:lvlText w:val="%1."/>
      <w:numFmt w:val="decimal"/>
      <w:start w:val="7"/>
    </w:lvl>
  </w:abstractNum>
  <w:abstractNum w:abstractNumId="477">
    <w:nsid w:val="5BC9A827"/>
    <w:multiLevelType w:val="hybridMultilevel"/>
    <w:lvl w:ilvl="0">
      <w:lvlJc w:val="left"/>
      <w:lvlText w:val="***"/>
      <w:numFmt w:val="bullet"/>
      <w:start w:val="1"/>
    </w:lvl>
  </w:abstractNum>
  <w:abstractNum w:abstractNumId="478">
    <w:nsid w:val="3AE37D86"/>
    <w:multiLevelType w:val="hybridMultilevel"/>
    <w:lvl w:ilvl="0">
      <w:lvlJc w:val="left"/>
      <w:lvlText w:val="%1."/>
      <w:numFmt w:val="decimal"/>
      <w:start w:val="9"/>
    </w:lvl>
  </w:abstractNum>
  <w:abstractNum w:abstractNumId="479">
    <w:nsid w:val="45440FE5"/>
    <w:multiLevelType w:val="hybridMultilevel"/>
    <w:lvl w:ilvl="0">
      <w:lvlJc w:val="left"/>
      <w:lvlText w:val="***"/>
      <w:numFmt w:val="bullet"/>
      <w:start w:val="1"/>
    </w:lvl>
  </w:abstractNum>
  <w:abstractNum w:abstractNumId="480">
    <w:nsid w:val="BF783F"/>
    <w:multiLevelType w:val="hybridMultilevel"/>
    <w:lvl w:ilvl="0">
      <w:lvlJc w:val="left"/>
      <w:lvlText w:val="%1."/>
      <w:numFmt w:val="decimal"/>
      <w:start w:val="11"/>
    </w:lvl>
  </w:abstractNum>
  <w:abstractNum w:abstractNumId="481">
    <w:nsid w:val="22643EA9"/>
    <w:multiLevelType w:val="hybridMultilevel"/>
    <w:lvl w:ilvl="0">
      <w:lvlJc w:val="left"/>
      <w:lvlText w:val="*"/>
      <w:numFmt w:val="bullet"/>
      <w:start w:val="1"/>
    </w:lvl>
  </w:abstractNum>
  <w:abstractNum w:abstractNumId="482">
    <w:nsid w:val="1887578D"/>
    <w:multiLevelType w:val="hybridMultilevel"/>
    <w:lvl w:ilvl="0">
      <w:lvlJc w:val="left"/>
      <w:lvlText w:val="***"/>
      <w:numFmt w:val="bullet"/>
      <w:start w:val="1"/>
    </w:lvl>
  </w:abstractNum>
  <w:abstractNum w:abstractNumId="483">
    <w:nsid w:val="58C05B8A"/>
    <w:multiLevelType w:val="hybridMultilevel"/>
    <w:lvl w:ilvl="0">
      <w:lvlJc w:val="left"/>
      <w:lvlText w:val="%1."/>
      <w:numFmt w:val="decimal"/>
      <w:start w:val="12"/>
    </w:lvl>
  </w:abstractNum>
  <w:abstractNum w:abstractNumId="484">
    <w:nsid w:val="38D82E71"/>
    <w:multiLevelType w:val="hybridMultilevel"/>
    <w:lvl w:ilvl="0">
      <w:lvlJc w:val="left"/>
      <w:lvlText w:val="***"/>
      <w:numFmt w:val="bullet"/>
      <w:start w:val="1"/>
    </w:lvl>
  </w:abstractNum>
  <w:abstractNum w:abstractNumId="485">
    <w:nsid w:val="1E41098A"/>
    <w:multiLevelType w:val="hybridMultilevel"/>
    <w:lvl w:ilvl="0">
      <w:lvlJc w:val="left"/>
      <w:lvlText w:val="%1."/>
      <w:numFmt w:val="decimal"/>
      <w:start w:val="13"/>
    </w:lvl>
  </w:abstractNum>
  <w:abstractNum w:abstractNumId="486">
    <w:nsid w:val="5398582C"/>
    <w:multiLevelType w:val="hybridMultilevel"/>
    <w:lvl w:ilvl="0">
      <w:lvlJc w:val="left"/>
      <w:lvlText w:val="***"/>
      <w:numFmt w:val="bullet"/>
      <w:start w:val="1"/>
    </w:lvl>
  </w:abstractNum>
  <w:abstractNum w:abstractNumId="487">
    <w:nsid w:val="1C0D4475"/>
    <w:multiLevelType w:val="hybridMultilevel"/>
    <w:lvl w:ilvl="0">
      <w:lvlJc w:val="left"/>
      <w:lvlText w:val="%1."/>
      <w:numFmt w:val="decimal"/>
      <w:start w:val="14"/>
    </w:lvl>
  </w:abstractNum>
  <w:abstractNum w:abstractNumId="488">
    <w:nsid w:val="2CB6A6A4"/>
    <w:multiLevelType w:val="hybridMultilevel"/>
    <w:lvl w:ilvl="0">
      <w:lvlJc w:val="left"/>
      <w:lvlText w:val="***"/>
      <w:numFmt w:val="bullet"/>
      <w:start w:val="1"/>
    </w:lvl>
  </w:abstractNum>
  <w:abstractNum w:abstractNumId="489">
    <w:nsid w:val="41D646BC"/>
    <w:multiLevelType w:val="hybridMultilevel"/>
    <w:lvl w:ilvl="0">
      <w:lvlJc w:val="left"/>
      <w:lvlText w:val="%1."/>
      <w:numFmt w:val="decimal"/>
      <w:start w:val="15"/>
    </w:lvl>
  </w:abstractNum>
  <w:abstractNum w:abstractNumId="490">
    <w:nsid w:val="3694A76A"/>
    <w:multiLevelType w:val="hybridMultilevel"/>
    <w:lvl w:ilvl="0">
      <w:lvlJc w:val="left"/>
      <w:lvlText w:val="***"/>
      <w:numFmt w:val="bullet"/>
      <w:start w:val="1"/>
    </w:lvl>
  </w:abstractNum>
  <w:abstractNum w:abstractNumId="491">
    <w:nsid w:val="2BF876EE"/>
    <w:multiLevelType w:val="hybridMultilevel"/>
    <w:lvl w:ilvl="0">
      <w:lvlJc w:val="left"/>
      <w:lvlText w:val="***"/>
      <w:numFmt w:val="bullet"/>
      <w:start w:val="1"/>
    </w:lvl>
  </w:abstractNum>
  <w:abstractNum w:abstractNumId="492">
    <w:nsid w:val="675ADBA"/>
    <w:multiLevelType w:val="hybridMultilevel"/>
    <w:lvl w:ilvl="0">
      <w:lvlJc w:val="left"/>
      <w:lvlText w:val="%1."/>
      <w:numFmt w:val="decimal"/>
      <w:start w:val="17"/>
    </w:lvl>
  </w:abstractNum>
  <w:abstractNum w:abstractNumId="493">
    <w:nsid w:val="C12AC7F"/>
    <w:multiLevelType w:val="hybridMultilevel"/>
    <w:lvl w:ilvl="0">
      <w:lvlJc w:val="left"/>
      <w:lvlText w:val="***"/>
      <w:numFmt w:val="bullet"/>
      <w:start w:val="1"/>
    </w:lvl>
  </w:abstractNum>
  <w:abstractNum w:abstractNumId="494">
    <w:nsid w:val="6798F039"/>
    <w:multiLevelType w:val="hybridMultilevel"/>
    <w:lvl w:ilvl="0">
      <w:lvlJc w:val="left"/>
      <w:lvlText w:val="****"/>
      <w:numFmt w:val="bullet"/>
      <w:start w:val="1"/>
    </w:lvl>
  </w:abstractNum>
  <w:abstractNum w:abstractNumId="495">
    <w:nsid w:val="70837C02"/>
    <w:multiLevelType w:val="hybridMultilevel"/>
    <w:lvl w:ilvl="0">
      <w:lvlJc w:val="left"/>
      <w:lvlText w:val="***"/>
      <w:numFmt w:val="bullet"/>
      <w:start w:val="1"/>
    </w:lvl>
  </w:abstractNum>
  <w:abstractNum w:abstractNumId="496">
    <w:nsid w:val="7E4A5715"/>
    <w:multiLevelType w:val="hybridMultilevel"/>
    <w:lvl w:ilvl="0">
      <w:lvlJc w:val="left"/>
      <w:lvlText w:val="**"/>
      <w:numFmt w:val="bullet"/>
      <w:start w:val="1"/>
    </w:lvl>
  </w:abstractNum>
  <w:abstractNum w:abstractNumId="497">
    <w:nsid w:val="42B8AC67"/>
    <w:multiLevelType w:val="hybridMultilevel"/>
    <w:lvl w:ilvl="0">
      <w:lvlJc w:val="left"/>
      <w:lvlText w:val="***"/>
      <w:numFmt w:val="bullet"/>
      <w:start w:val="1"/>
    </w:lvl>
  </w:abstractNum>
  <w:abstractNum w:abstractNumId="498">
    <w:nsid w:val="246348EA"/>
    <w:multiLevelType w:val="hybridMultilevel"/>
    <w:lvl w:ilvl="0">
      <w:lvlJc w:val="left"/>
      <w:lvlText w:val="*"/>
      <w:numFmt w:val="bullet"/>
      <w:start w:val="1"/>
    </w:lvl>
  </w:abstractNum>
  <w:abstractNum w:abstractNumId="499">
    <w:nsid w:val="170EB52B"/>
    <w:multiLevelType w:val="hybridMultilevel"/>
    <w:lvl w:ilvl="0">
      <w:lvlJc w:val="left"/>
      <w:lvlText w:val="***"/>
      <w:numFmt w:val="bullet"/>
      <w:start w:val="1"/>
    </w:lvl>
  </w:abstractNum>
  <w:abstractNum w:abstractNumId="500">
    <w:nsid w:val="2DFBCB8C"/>
    <w:multiLevelType w:val="hybridMultilevel"/>
    <w:lvl w:ilvl="0">
      <w:lvlJc w:val="left"/>
      <w:lvlText w:val="%1."/>
      <w:numFmt w:val="decimal"/>
      <w:start w:val="20"/>
    </w:lvl>
  </w:abstractNum>
  <w:abstractNum w:abstractNumId="501">
    <w:nsid w:val="3830D6B6"/>
    <w:multiLevelType w:val="hybridMultilevel"/>
    <w:lvl w:ilvl="0">
      <w:lvlJc w:val="left"/>
      <w:lvlText w:val="***"/>
      <w:numFmt w:val="bullet"/>
      <w:start w:val="1"/>
    </w:lvl>
  </w:abstractNum>
  <w:abstractNum w:abstractNumId="502">
    <w:nsid w:val="6D48CF87"/>
    <w:multiLevelType w:val="hybridMultilevel"/>
    <w:lvl w:ilvl="0">
      <w:lvlJc w:val="left"/>
      <w:lvlText w:val="%1."/>
      <w:numFmt w:val="decimal"/>
      <w:start w:val="21"/>
    </w:lvl>
  </w:abstractNum>
  <w:abstractNum w:abstractNumId="503">
    <w:nsid w:val="576FC41B"/>
    <w:multiLevelType w:val="hybridMultilevel"/>
    <w:lvl w:ilvl="0">
      <w:lvlJc w:val="left"/>
      <w:lvlText w:val="***"/>
      <w:numFmt w:val="bullet"/>
      <w:start w:val="1"/>
    </w:lvl>
  </w:abstractNum>
  <w:abstractNum w:abstractNumId="504">
    <w:nsid w:val="64A1C464"/>
    <w:multiLevelType w:val="hybridMultilevel"/>
    <w:lvl w:ilvl="0">
      <w:lvlJc w:val="left"/>
      <w:lvlText w:val="%1."/>
      <w:numFmt w:val="decimal"/>
      <w:start w:val="22"/>
    </w:lvl>
  </w:abstractNum>
  <w:abstractNum w:abstractNumId="505">
    <w:nsid w:val="31723BF5"/>
    <w:multiLevelType w:val="hybridMultilevel"/>
    <w:lvl w:ilvl="0">
      <w:lvlJc w:val="left"/>
      <w:lvlText w:val="***"/>
      <w:numFmt w:val="bullet"/>
      <w:start w:val="1"/>
    </w:lvl>
  </w:abstractNum>
  <w:abstractNum w:abstractNumId="506">
    <w:nsid w:val="11F69861"/>
    <w:multiLevelType w:val="hybridMultilevel"/>
    <w:lvl w:ilvl="0">
      <w:lvlJc w:val="left"/>
      <w:lvlText w:val="%1."/>
      <w:numFmt w:val="decimal"/>
      <w:start w:val="23"/>
    </w:lvl>
  </w:abstractNum>
  <w:abstractNum w:abstractNumId="507">
    <w:nsid w:val="369956AB"/>
    <w:multiLevelType w:val="hybridMultilevel"/>
    <w:lvl w:ilvl="0">
      <w:lvlJc w:val="left"/>
      <w:lvlText w:val="***"/>
      <w:numFmt w:val="bullet"/>
      <w:start w:val="1"/>
    </w:lvl>
  </w:abstractNum>
  <w:abstractNum w:abstractNumId="508">
    <w:nsid w:val="D3BE41C"/>
    <w:multiLevelType w:val="hybridMultilevel"/>
    <w:lvl w:ilvl="0">
      <w:lvlJc w:val="left"/>
      <w:lvlText w:val="%1."/>
      <w:numFmt w:val="decimal"/>
      <w:start w:val="24"/>
    </w:lvl>
  </w:abstractNum>
  <w:abstractNum w:abstractNumId="509">
    <w:nsid w:val="4CDA15E7"/>
    <w:multiLevelType w:val="hybridMultilevel"/>
    <w:lvl w:ilvl="0">
      <w:lvlJc w:val="left"/>
      <w:lvlText w:val="***"/>
      <w:numFmt w:val="bullet"/>
      <w:start w:val="1"/>
    </w:lvl>
  </w:abstractNum>
  <w:abstractNum w:abstractNumId="510">
    <w:nsid w:val="7BDD6690"/>
    <w:multiLevelType w:val="hybridMultilevel"/>
    <w:lvl w:ilvl="0">
      <w:lvlJc w:val="left"/>
      <w:lvlText w:val="%1."/>
      <w:numFmt w:val="decimal"/>
      <w:start w:val="26"/>
    </w:lvl>
    <w:lvl w:ilvl="1">
      <w:lvlJc w:val="left"/>
      <w:lvlText w:val="%2."/>
      <w:numFmt w:val="upperLetter"/>
      <w:start w:val="1"/>
    </w:lvl>
  </w:abstractNum>
  <w:abstractNum w:abstractNumId="511">
    <w:nsid w:val="DFB5C5B"/>
    <w:multiLevelType w:val="hybridMultilevel"/>
    <w:lvl w:ilvl="0">
      <w:lvlJc w:val="left"/>
      <w:lvlText w:val="***"/>
      <w:numFmt w:val="bullet"/>
      <w:start w:val="1"/>
    </w:lvl>
  </w:abstractNum>
  <w:abstractNum w:abstractNumId="512">
    <w:nsid w:val="6F3E5490"/>
    <w:multiLevelType w:val="hybridMultilevel"/>
    <w:lvl w:ilvl="0">
      <w:lvlJc w:val="left"/>
      <w:lvlText w:val="***"/>
      <w:numFmt w:val="bullet"/>
      <w:start w:val="1"/>
    </w:lvl>
  </w:abstractNum>
  <w:abstractNum w:abstractNumId="513">
    <w:nsid w:val="1464BE1E"/>
    <w:multiLevelType w:val="hybridMultilevel"/>
    <w:lvl w:ilvl="0">
      <w:lvlJc w:val="left"/>
      <w:lvlText w:val="%1."/>
      <w:numFmt w:val="decimal"/>
      <w:start w:val="27"/>
    </w:lvl>
  </w:abstractNum>
  <w:abstractNum w:abstractNumId="514">
    <w:nsid w:val="66BBB7E5"/>
    <w:multiLevelType w:val="hybridMultilevel"/>
    <w:lvl w:ilvl="0">
      <w:lvlJc w:val="left"/>
      <w:lvlText w:val="***"/>
      <w:numFmt w:val="bullet"/>
      <w:start w:val="1"/>
    </w:lvl>
  </w:abstractNum>
  <w:abstractNum w:abstractNumId="515">
    <w:nsid w:val="28168302"/>
    <w:multiLevelType w:val="hybridMultilevel"/>
    <w:lvl w:ilvl="0">
      <w:lvlJc w:val="left"/>
      <w:lvlText w:val="***"/>
      <w:numFmt w:val="bullet"/>
      <w:start w:val="1"/>
    </w:lvl>
  </w:abstractNum>
  <w:abstractNum w:abstractNumId="516">
    <w:nsid w:val="32A5C7A8"/>
    <w:multiLevelType w:val="hybridMultilevel"/>
    <w:lvl w:ilvl="0">
      <w:lvlJc w:val="left"/>
      <w:lvlText w:val="%1."/>
      <w:numFmt w:val="decimal"/>
      <w:start w:val="1"/>
    </w:lvl>
  </w:abstractNum>
  <w:abstractNum w:abstractNumId="517">
    <w:nsid w:val="3A541011"/>
    <w:multiLevelType w:val="hybridMultilevel"/>
    <w:lvl w:ilvl="0">
      <w:lvlJc w:val="left"/>
      <w:lvlText w:val="%1."/>
      <w:numFmt w:val="decimal"/>
      <w:start w:val="2"/>
    </w:lvl>
  </w:abstractNum>
  <w:abstractNum w:abstractNumId="518">
    <w:nsid w:val="4423C777"/>
    <w:multiLevelType w:val="hybridMultilevel"/>
    <w:lvl w:ilvl="0">
      <w:lvlJc w:val="left"/>
      <w:lvlText w:val="%1."/>
      <w:numFmt w:val="decimal"/>
      <w:start w:val="3"/>
    </w:lvl>
  </w:abstractNum>
  <w:abstractNum w:abstractNumId="519">
    <w:nsid w:val="5F5C6E4D"/>
    <w:multiLevelType w:val="hybridMultilevel"/>
    <w:lvl w:ilvl="0">
      <w:lvlJc w:val="left"/>
      <w:lvlText w:val="%1."/>
      <w:numFmt w:val="decimal"/>
      <w:start w:val="4"/>
    </w:lvl>
  </w:abstractNum>
  <w:abstractNum w:abstractNumId="520">
    <w:nsid w:val="7C2A56CD"/>
    <w:multiLevelType w:val="hybridMultilevel"/>
    <w:lvl w:ilvl="0">
      <w:lvlJc w:val="left"/>
      <w:lvlText w:val="%1."/>
      <w:numFmt w:val="decimal"/>
      <w:start w:val="5"/>
    </w:lvl>
  </w:abstractNum>
  <w:abstractNum w:abstractNumId="521">
    <w:nsid w:val="7AB86EE1"/>
    <w:multiLevelType w:val="hybridMultilevel"/>
    <w:lvl w:ilvl="0">
      <w:lvlJc w:val="left"/>
      <w:lvlText w:val="•"/>
      <w:numFmt w:val="bullet"/>
      <w:start w:val="1"/>
    </w:lvl>
  </w:abstractNum>
  <w:abstractNum w:abstractNumId="522">
    <w:nsid w:val="B54E53B"/>
    <w:multiLevelType w:val="hybridMultilevel"/>
    <w:lvl w:ilvl="0">
      <w:lvlJc w:val="left"/>
      <w:lvlText w:val="·"/>
      <w:numFmt w:val="bullet"/>
      <w:start w:val="1"/>
    </w:lvl>
    <w:lvl w:ilvl="1">
      <w:lvlJc w:val="left"/>
      <w:lvlText w:val="o"/>
      <w:numFmt w:val="bullet"/>
      <w:start w:val="1"/>
    </w:lvl>
  </w:abstractNum>
  <w:abstractNum w:abstractNumId="523">
    <w:nsid w:val="2A00487"/>
    <w:multiLevelType w:val="hybridMultilevel"/>
    <w:lvl w:ilvl="0">
      <w:lvlJc w:val="left"/>
      <w:lvlText w:val="·"/>
      <w:numFmt w:val="bullet"/>
      <w:start w:val="1"/>
    </w:lvl>
    <w:lvl w:ilvl="1">
      <w:lvlJc w:val="left"/>
      <w:lvlText w:val="o"/>
      <w:numFmt w:val="bullet"/>
      <w:start w:val="1"/>
    </w:lvl>
  </w:abstractNum>
  <w:abstractNum w:abstractNumId="524">
    <w:nsid w:val="6CB1B60"/>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2019-12-09T05:36:52Z</dcterms:created>
  <dcterms:modified xsi:type="dcterms:W3CDTF">2019-12-09T05:36:52Z</dcterms:modified>
</cp:coreProperties>
</file>