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For the month of November 2021</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Commission File Number: 001-36903</w:t>
      </w:r>
    </w:p>
    <w:p>
      <w:pPr>
        <w:spacing w:after="0" w:line="20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3820"/>
        <w:spacing w:after="0" w:line="207" w:lineRule="exact"/>
        <w:tabs>
          <w:tab w:leader="none" w:pos="51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18, 2021, Kornit Digital Ltd. (the “Company”) entered into an underwriting agreement (the “Underwriting Agreement”), with Amazon.com NV Investment Holdings LLC (the “Selling Shareholder”), an affiliate of Amazon.com, Inc. (“Amazon”), and Citigroup Global Markets Inc., Barclays Capital Inc., Goldman Sachs &amp; Co. LLC and Morgan Stanley &amp; Co. LLC as representatives of the several underwriters named therein (the “Underwriters”), relating to an underwritten public offering (the “Offering”) of 2,645,953 ordinary shares of the Company, of which 1,940,000 are being sold by the Company and 705,953 are being sold by the Selling Shareholder. The shares being sold by the Selling Shareholder are being issued pursuant to the exercise of a warrant granted to Amazon by the Company. The offering price to the public is $151.00 per share. In addition, the Company granted the Underwriters a 30-day option to purchase up to an additional 396,892 ordinary shares at the public offering price, less underwriting discounts and commissions. The Offering is expected to close on or about November 23, 2021.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Underwriting Agreement is only a summary and is qualified in its entirety by reference to the Underwriting Agreement, a copy of which is attached as Exhibit 1.1 to this Form 6-K.</w:t>
      </w:r>
    </w:p>
    <w:p>
      <w:pPr>
        <w:spacing w:after="0" w:line="170"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Offering is being made pursuant to the Company’s effective registration statement on Form </w:t>
      </w:r>
      <w:hyperlink r:id="rId13">
        <w:r>
          <w:rPr>
            <w:rFonts w:ascii="Arial" w:cs="Arial" w:eastAsia="Arial" w:hAnsi="Arial"/>
            <w:sz w:val="18"/>
            <w:szCs w:val="18"/>
            <w:u w:val="single" w:color="auto"/>
            <w:color w:val="0000EE"/>
          </w:rPr>
          <w:t>F-3ASR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(SEC File No. 333-248784), previously filed with the Securities and Exchange Commission (the “SEC”).</w:t>
      </w:r>
    </w:p>
    <w:p>
      <w:pPr>
        <w:spacing w:after="0" w:line="170"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On November 16, 2021, the Company issued a press release titled, “Kornit Digital Announces Launch of Public Offering of Ordinary Shares.” A copy of this press release is attached as </w:t>
      </w:r>
      <w:hyperlink w:anchor="page55">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6-K.</w:t>
      </w:r>
    </w:p>
    <w:p>
      <w:pPr>
        <w:spacing w:after="0" w:line="170"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On November 18, 2021, the Company issued a press release titled, “Kornit Digital Announces Pricing of Upsized Public Offering of Ordinary Shares.” A copy of this press release is attached as </w:t>
      </w:r>
      <w:hyperlink w:anchor="page56">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6-K.</w:t>
      </w:r>
    </w:p>
    <w:p>
      <w:pPr>
        <w:spacing w:after="0" w:line="170"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Report of Foreign Private Issuer is incorporated by reference in the Company’s registration statements on </w:t>
      </w:r>
      <w:hyperlink r:id="rId13">
        <w:r>
          <w:rPr>
            <w:rFonts w:ascii="Arial" w:cs="Arial" w:eastAsia="Arial" w:hAnsi="Arial"/>
            <w:sz w:val="18"/>
            <w:szCs w:val="18"/>
            <w:u w:val="single" w:color="auto"/>
            <w:color w:val="0000EE"/>
          </w:rPr>
          <w:t>Form F-3ASR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(SEC File No. 333-248784), filed with the SEC on September 14, 2020, and on Form S-8 (SEC File Nos. 333-237346, 333-230567, 333-223794, 333-217039, 333-214015, 333-203970 and 333-254749), filed with the SEC on </w:t>
      </w:r>
      <w:hyperlink r:id="rId14">
        <w:r>
          <w:rPr>
            <w:rFonts w:ascii="Arial" w:cs="Arial" w:eastAsia="Arial" w:hAnsi="Arial"/>
            <w:sz w:val="18"/>
            <w:szCs w:val="18"/>
            <w:u w:val="single" w:color="auto"/>
            <w:color w:val="0000EE"/>
          </w:rPr>
          <w:t>March 25, 2021</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March 23, 2020</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March 20, 2018</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March 30, 2017</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October 6, 2016</w:t>
        </w:r>
      </w:hyperlink>
      <w:r>
        <w:rPr>
          <w:rFonts w:ascii="Arial" w:cs="Arial" w:eastAsia="Arial" w:hAnsi="Arial"/>
          <w:sz w:val="18"/>
          <w:szCs w:val="18"/>
          <w:color w:val="auto"/>
        </w:rPr>
        <w:t xml:space="preserve"> and </w:t>
      </w:r>
      <w:hyperlink r:id="rId20">
        <w:r>
          <w:rPr>
            <w:rFonts w:ascii="Arial" w:cs="Arial" w:eastAsia="Arial" w:hAnsi="Arial"/>
            <w:sz w:val="18"/>
            <w:szCs w:val="18"/>
            <w:u w:val="single" w:color="auto"/>
            <w:color w:val="0000EE"/>
          </w:rPr>
          <w:t>May 7, 2015</w:t>
        </w:r>
      </w:hyperlink>
      <w:r>
        <w:rPr>
          <w:rFonts w:ascii="Arial" w:cs="Arial" w:eastAsia="Arial" w:hAnsi="Arial"/>
          <w:sz w:val="18"/>
          <w:szCs w:val="18"/>
          <w:color w:val="auto"/>
        </w:rPr>
        <w:t>, respectively.</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3020"/>
              <w:spacing w:after="0"/>
              <w:rPr>
                <w:sz w:val="20"/>
                <w:szCs w:val="20"/>
                <w:color w:val="auto"/>
              </w:rPr>
            </w:pPr>
            <w:r>
              <w:rPr>
                <w:rFonts w:ascii="Arial" w:cs="Arial" w:eastAsia="Arial" w:hAnsi="Arial"/>
                <w:sz w:val="18"/>
                <w:szCs w:val="18"/>
                <w:color w:val="auto"/>
              </w:rPr>
              <w:t>KORNIT DIGITAL LTD.</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November 19, 2021</w:t>
            </w:r>
          </w:p>
        </w:tc>
        <w:tc>
          <w:tcPr>
            <w:tcW w:w="3600" w:type="dxa"/>
            <w:vAlign w:val="bottom"/>
          </w:tcPr>
          <w:p>
            <w:pPr>
              <w:ind w:left="3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Alon Rozner</w:t>
            </w:r>
          </w:p>
        </w:tc>
      </w:tr>
      <w:tr>
        <w:trPr>
          <w:trHeight w:val="202"/>
        </w:trPr>
        <w:tc>
          <w:tcPr>
            <w:tcW w:w="3720" w:type="dxa"/>
            <w:vAlign w:val="bottom"/>
          </w:tcPr>
          <w:p>
            <w:pPr>
              <w:spacing w:after="0"/>
              <w:rPr>
                <w:sz w:val="17"/>
                <w:szCs w:val="17"/>
                <w:color w:val="auto"/>
              </w:rPr>
            </w:pPr>
          </w:p>
        </w:tc>
        <w:tc>
          <w:tcPr>
            <w:tcW w:w="3600" w:type="dxa"/>
            <w:vAlign w:val="bottom"/>
          </w:tcPr>
          <w:p>
            <w:pPr>
              <w:ind w:left="30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Alon Rozner</w:t>
            </w:r>
          </w:p>
        </w:tc>
      </w:tr>
      <w:tr>
        <w:trPr>
          <w:trHeight w:val="230"/>
        </w:trPr>
        <w:tc>
          <w:tcPr>
            <w:tcW w:w="3720" w:type="dxa"/>
            <w:vAlign w:val="bottom"/>
          </w:tcPr>
          <w:p>
            <w:pPr>
              <w:spacing w:after="0"/>
              <w:rPr>
                <w:sz w:val="20"/>
                <w:szCs w:val="20"/>
                <w:color w:val="auto"/>
              </w:rPr>
            </w:pPr>
          </w:p>
        </w:tc>
        <w:tc>
          <w:tcPr>
            <w:tcW w:w="3600" w:type="dxa"/>
            <w:vAlign w:val="bottom"/>
          </w:tcPr>
          <w:p>
            <w:pPr>
              <w:ind w:left="30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2,645,953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OLDMAN</w:t>
      </w:r>
      <w:r>
        <w:rPr>
          <w:rFonts w:ascii="Arial" w:cs="Arial" w:eastAsia="Arial" w:hAnsi="Arial"/>
          <w:sz w:val="18"/>
          <w:szCs w:val="18"/>
          <w:color w:val="auto"/>
        </w:rPr>
        <w:t xml:space="preserve">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ORGAN</w:t>
      </w:r>
      <w:r>
        <w:rPr>
          <w:rFonts w:ascii="Arial" w:cs="Arial" w:eastAsia="Arial" w:hAnsi="Arial"/>
          <w:sz w:val="18"/>
          <w:szCs w:val="18"/>
          <w:color w:val="auto"/>
        </w:rPr>
        <w:t xml:space="preserve"> S</w:t>
      </w:r>
      <w:r>
        <w:rPr>
          <w:rFonts w:ascii="Arial" w:cs="Arial" w:eastAsia="Arial" w:hAnsi="Arial"/>
          <w:sz w:val="12"/>
          <w:szCs w:val="12"/>
          <w:color w:val="auto"/>
        </w:rPr>
        <w:t>TANLEY</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Kornit Digital Ltd., a company incorporated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and Amazon.com NV Investment Holdings LLC (the “</w:t>
      </w:r>
      <w:r>
        <w:rPr>
          <w:rFonts w:ascii="Arial" w:cs="Arial" w:eastAsia="Arial" w:hAnsi="Arial"/>
          <w:sz w:val="18"/>
          <w:szCs w:val="18"/>
          <w:b w:val="1"/>
          <w:bCs w:val="1"/>
          <w:color w:val="auto"/>
        </w:rPr>
        <w:t>Selling Shareholder</w:t>
      </w:r>
      <w:r>
        <w:rPr>
          <w:rFonts w:ascii="Arial" w:cs="Arial" w:eastAsia="Arial" w:hAnsi="Arial"/>
          <w:sz w:val="18"/>
          <w:szCs w:val="18"/>
          <w:color w:val="auto"/>
        </w:rPr>
        <w:t>”), acting severally and not jointly, propose to sell an aggregate of 2,645,953 of the Company’s ordinary shares (the “</w:t>
      </w:r>
      <w:r>
        <w:rPr>
          <w:rFonts w:ascii="Arial" w:cs="Arial" w:eastAsia="Arial" w:hAnsi="Arial"/>
          <w:sz w:val="18"/>
          <w:szCs w:val="18"/>
          <w:b w:val="1"/>
          <w:bCs w:val="1"/>
          <w:color w:val="auto"/>
        </w:rPr>
        <w:t>Firm Shares</w:t>
      </w:r>
      <w:r>
        <w:rPr>
          <w:rFonts w:ascii="Arial" w:cs="Arial" w:eastAsia="Arial" w:hAnsi="Arial"/>
          <w:sz w:val="18"/>
          <w:szCs w:val="18"/>
          <w:color w:val="auto"/>
        </w:rPr>
        <w:t>”), par value NIS 0.01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Of the 2,645,953 Firm Shares, 1,940,000 are being sold by the Company and 705,953 are being sold by the Selling Shareholder, acting severally and not jointly. In addition, the Company proposes to grant to the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named in Schedule I attached to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an option to purchase up to 396,892 additional Ordinary Shares on the terms set forth in Section 3 (the “</w:t>
      </w:r>
      <w:r>
        <w:rPr>
          <w:rFonts w:ascii="Arial" w:cs="Arial" w:eastAsia="Arial" w:hAnsi="Arial"/>
          <w:sz w:val="18"/>
          <w:szCs w:val="18"/>
          <w:b w:val="1"/>
          <w:bCs w:val="1"/>
          <w:color w:val="auto"/>
        </w:rPr>
        <w:t>Option Shares</w:t>
      </w:r>
      <w:r>
        <w:rPr>
          <w:rFonts w:ascii="Arial" w:cs="Arial" w:eastAsia="Arial" w:hAnsi="Arial"/>
          <w:sz w:val="18"/>
          <w:szCs w:val="18"/>
          <w:color w:val="auto"/>
        </w:rPr>
        <w:t>”). The Firm Shares and the Option Shares, if purchased, are hereinafter collectively called the “</w:t>
      </w:r>
      <w:r>
        <w:rPr>
          <w:rFonts w:ascii="Arial" w:cs="Arial" w:eastAsia="Arial" w:hAnsi="Arial"/>
          <w:sz w:val="18"/>
          <w:szCs w:val="18"/>
          <w:b w:val="1"/>
          <w:bCs w:val="1"/>
          <w:color w:val="auto"/>
        </w:rPr>
        <w:t>Shares</w:t>
      </w:r>
      <w:r>
        <w:rPr>
          <w:rFonts w:ascii="Arial" w:cs="Arial" w:eastAsia="Arial" w:hAnsi="Arial"/>
          <w:sz w:val="18"/>
          <w:szCs w:val="18"/>
          <w:color w:val="auto"/>
        </w:rPr>
        <w:t>”. This Agreement is to confirm the agreement concerning the purchase of the Shares from the Company and the Selling Shareholder by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184" w:hanging="184"/>
        <w:spacing w:after="0"/>
        <w:tabs>
          <w:tab w:leader="none" w:pos="18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225" w:lineRule="exact"/>
        <w:rPr>
          <w:rFonts w:ascii="Arial" w:cs="Arial" w:eastAsia="Arial" w:hAnsi="Arial"/>
          <w:sz w:val="18"/>
          <w:szCs w:val="18"/>
          <w:color w:val="auto"/>
        </w:rPr>
      </w:pPr>
    </w:p>
    <w:p>
      <w:pPr>
        <w:jc w:val="both"/>
        <w:ind w:left="4" w:firstLine="644"/>
        <w:spacing w:after="0" w:line="275" w:lineRule="auto"/>
        <w:tabs>
          <w:tab w:leader="none" w:pos="935" w:val="left"/>
        </w:tabs>
        <w:numPr>
          <w:ilvl w:val="1"/>
          <w:numId w:val="1"/>
        </w:numPr>
        <w:rPr>
          <w:rFonts w:ascii="Arial" w:cs="Arial" w:eastAsia="Arial" w:hAnsi="Arial"/>
          <w:sz w:val="17"/>
          <w:szCs w:val="17"/>
          <w:color w:val="auto"/>
        </w:rPr>
      </w:pPr>
      <w:r>
        <w:rPr>
          <w:rFonts w:ascii="Arial" w:cs="Arial" w:eastAsia="Arial" w:hAnsi="Arial"/>
          <w:sz w:val="17"/>
          <w:szCs w:val="17"/>
          <w:color w:val="auto"/>
        </w:rPr>
        <w:t>A registration statement on Form F-3 (File No. 333-248784) relating to the Shares has (i) been prepared by the Company in conformity with the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been filed with the Commission under the Securities Act; and (iii) become effective under the Securities Act. Copies of such registration statement and any amendment thereto have been delivered by the Company to you as the representatives of the Underwriters (the “</w:t>
      </w:r>
      <w:r>
        <w:rPr>
          <w:rFonts w:ascii="Arial" w:cs="Arial" w:eastAsia="Arial" w:hAnsi="Arial"/>
          <w:sz w:val="17"/>
          <w:szCs w:val="17"/>
          <w:b w:val="1"/>
          <w:bCs w:val="1"/>
          <w:color w:val="auto"/>
        </w:rPr>
        <w:t>Representatives</w:t>
      </w:r>
      <w:r>
        <w:rPr>
          <w:rFonts w:ascii="Arial" w:cs="Arial" w:eastAsia="Arial" w:hAnsi="Arial"/>
          <w:sz w:val="17"/>
          <w:szCs w:val="17"/>
          <w:color w:val="auto"/>
        </w:rPr>
        <w:t>”). As used in this Agreement:</w:t>
      </w:r>
    </w:p>
    <w:p>
      <w:pPr>
        <w:spacing w:after="0" w:line="172" w:lineRule="exact"/>
        <w:rPr>
          <w:rFonts w:ascii="Arial" w:cs="Arial" w:eastAsia="Arial" w:hAnsi="Arial"/>
          <w:sz w:val="17"/>
          <w:szCs w:val="17"/>
          <w:color w:val="auto"/>
        </w:rPr>
      </w:pPr>
    </w:p>
    <w:p>
      <w:pPr>
        <w:ind w:left="1504" w:hanging="208"/>
        <w:spacing w:after="0"/>
        <w:tabs>
          <w:tab w:leader="none" w:pos="1504"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7:00 P.M. (New York City time) November 18, 2021;</w:t>
      </w:r>
    </w:p>
    <w:p>
      <w:pPr>
        <w:spacing w:after="0" w:line="225" w:lineRule="exact"/>
        <w:rPr>
          <w:rFonts w:ascii="Arial" w:cs="Arial" w:eastAsia="Arial" w:hAnsi="Arial"/>
          <w:sz w:val="18"/>
          <w:szCs w:val="18"/>
          <w:color w:val="auto"/>
        </w:rPr>
      </w:pPr>
    </w:p>
    <w:p>
      <w:pPr>
        <w:ind w:left="644" w:firstLine="652"/>
        <w:spacing w:after="0" w:line="282" w:lineRule="auto"/>
        <w:tabs>
          <w:tab w:leader="none" w:pos="1570"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and time as of which such registration statement became effective, as defined in Section 158(c) under the Securities Act;</w:t>
      </w:r>
    </w:p>
    <w:p>
      <w:pPr>
        <w:spacing w:after="0" w:line="161" w:lineRule="exact"/>
        <w:rPr>
          <w:rFonts w:ascii="Arial" w:cs="Arial" w:eastAsia="Arial" w:hAnsi="Arial"/>
          <w:sz w:val="18"/>
          <w:szCs w:val="18"/>
          <w:color w:val="auto"/>
        </w:rPr>
      </w:pPr>
    </w:p>
    <w:p>
      <w:pPr>
        <w:ind w:left="1604" w:hanging="308"/>
        <w:spacing w:after="0"/>
        <w:tabs>
          <w:tab w:leader="none" w:pos="1604" w:val="left"/>
        </w:tabs>
        <w:numPr>
          <w:ilvl w:val="2"/>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each “issuer free writing prospectus” (as defined in Rule 433 under the Securities</w:t>
      </w:r>
    </w:p>
    <w:p>
      <w:pPr>
        <w:spacing w:after="0" w:line="50"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06" w:lineRule="exact"/>
        <w:rPr>
          <w:rFonts w:ascii="Arial" w:cs="Arial" w:eastAsia="Arial" w:hAnsi="Arial"/>
          <w:sz w:val="16"/>
          <w:szCs w:val="16"/>
          <w:color w:val="auto"/>
        </w:rPr>
      </w:pPr>
    </w:p>
    <w:p>
      <w:pPr>
        <w:ind w:left="644" w:firstLine="652"/>
        <w:spacing w:after="0" w:line="282" w:lineRule="auto"/>
        <w:tabs>
          <w:tab w:leader="none" w:pos="1597"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under the Securities Act;</w:t>
      </w:r>
    </w:p>
    <w:p>
      <w:pPr>
        <w:spacing w:after="0" w:line="161" w:lineRule="exact"/>
        <w:rPr>
          <w:rFonts w:ascii="Arial" w:cs="Arial" w:eastAsia="Arial" w:hAnsi="Arial"/>
          <w:sz w:val="18"/>
          <w:szCs w:val="18"/>
          <w:color w:val="auto"/>
        </w:rPr>
      </w:pPr>
    </w:p>
    <w:p>
      <w:pPr>
        <w:jc w:val="both"/>
        <w:ind w:left="644" w:firstLine="652"/>
        <w:spacing w:after="0" w:line="314" w:lineRule="auto"/>
        <w:tabs>
          <w:tab w:leader="none" w:pos="1547" w:val="left"/>
        </w:tabs>
        <w:numPr>
          <w:ilvl w:val="2"/>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Disclosure Package</w:t>
      </w:r>
      <w:r>
        <w:rPr>
          <w:rFonts w:ascii="Arial" w:cs="Arial" w:eastAsia="Arial" w:hAnsi="Arial"/>
          <w:sz w:val="16"/>
          <w:szCs w:val="16"/>
          <w:color w:val="auto"/>
        </w:rPr>
        <w:t>” means, as of the Applicable Time, the Preliminary Prospectus, together with the information included in Schedule III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41" w:lineRule="exact"/>
        <w:rPr>
          <w:rFonts w:ascii="Arial" w:cs="Arial" w:eastAsia="Arial" w:hAnsi="Arial"/>
          <w:sz w:val="16"/>
          <w:szCs w:val="16"/>
          <w:color w:val="auto"/>
        </w:rPr>
      </w:pPr>
    </w:p>
    <w:p>
      <w:pPr>
        <w:ind w:left="644" w:firstLine="652"/>
        <w:spacing w:after="0" w:line="282" w:lineRule="auto"/>
        <w:tabs>
          <w:tab w:leader="none" w:pos="1597"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Shares, as filed with the Commission pursuant to Rule 424(b) under the Securities Act;</w:t>
      </w:r>
    </w:p>
    <w:p>
      <w:pPr>
        <w:spacing w:after="0" w:line="161" w:lineRule="exact"/>
        <w:rPr>
          <w:rFonts w:ascii="Arial" w:cs="Arial" w:eastAsia="Arial" w:hAnsi="Arial"/>
          <w:sz w:val="18"/>
          <w:szCs w:val="18"/>
          <w:color w:val="auto"/>
        </w:rPr>
      </w:pPr>
    </w:p>
    <w:p>
      <w:pPr>
        <w:jc w:val="both"/>
        <w:ind w:left="644" w:firstLine="652"/>
        <w:spacing w:after="0" w:line="261" w:lineRule="auto"/>
        <w:tabs>
          <w:tab w:leader="none" w:pos="1687"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such registration statement, as amended as of the Effective Date, including any Preliminary Prospectus or the Prospectus, all exhibits to such registration statement, the documents incorporated by reference therein and including the information deemed by virtue of Rule 430A under the Securities Act to be part of such registration statement as of the Effective Date;</w:t>
      </w:r>
    </w:p>
    <w:p>
      <w:pPr>
        <w:spacing w:after="0" w:line="179" w:lineRule="exact"/>
        <w:rPr>
          <w:rFonts w:ascii="Arial" w:cs="Arial" w:eastAsia="Arial" w:hAnsi="Arial"/>
          <w:sz w:val="18"/>
          <w:szCs w:val="18"/>
          <w:color w:val="auto"/>
        </w:rPr>
      </w:pPr>
    </w:p>
    <w:p>
      <w:pPr>
        <w:ind w:left="644" w:firstLine="652"/>
        <w:spacing w:after="0" w:line="282" w:lineRule="auto"/>
        <w:tabs>
          <w:tab w:leader="none" w:pos="1697"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161" w:lineRule="exact"/>
        <w:rPr>
          <w:rFonts w:ascii="Arial" w:cs="Arial" w:eastAsia="Arial" w:hAnsi="Arial"/>
          <w:sz w:val="18"/>
          <w:szCs w:val="18"/>
          <w:color w:val="auto"/>
        </w:rPr>
      </w:pPr>
    </w:p>
    <w:p>
      <w:pPr>
        <w:ind w:left="644" w:right="20" w:firstLine="652"/>
        <w:spacing w:after="0" w:line="282" w:lineRule="auto"/>
        <w:tabs>
          <w:tab w:leader="none" w:pos="1664"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6"/>
          <w:szCs w:val="16"/>
          <w:color w:val="auto"/>
        </w:rPr>
        <w:t>Any reference to any Preliminary Prospectus or the Prospectus shall be deemed to refer to and include any documents incorporated by reference therein pursuant to Form F-3 under the Securities Act as of the date of the Preliminary Prospectus or the Prospectus, as the case may be. Any reference to the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the Preliminary Prospectus or the Prospectus, as the case may be, and before the date of such amendment or supplement and incorporated by reference in the Preliminary Prospectus or the Prospectus, as the case may be; and any reference to any amendment to the Registration Statement shall be deemed to include any document filed with the Commission pursuant to Section 13(a)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The Commission has not notified the Company of any objection to the use of the form of the Registration Statement or any post-effective amendment thereto.</w:t>
      </w:r>
    </w:p>
    <w:p>
      <w:pPr>
        <w:spacing w:after="0" w:line="172" w:lineRule="exact"/>
        <w:rPr>
          <w:sz w:val="20"/>
          <w:szCs w:val="20"/>
          <w:color w:val="auto"/>
        </w:rPr>
      </w:pPr>
    </w:p>
    <w:p>
      <w:pPr>
        <w:ind w:right="20" w:firstLine="644"/>
        <w:spacing w:after="0" w:line="277" w:lineRule="auto"/>
        <w:tabs>
          <w:tab w:leader="none" w:pos="93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and (ii) has not authorized anyone other than the Representatives to engage in Testing-the-Waters Communications.</w:t>
      </w:r>
    </w:p>
    <w:p>
      <w:pPr>
        <w:spacing w:after="0" w:line="170" w:lineRule="exact"/>
        <w:rPr>
          <w:rFonts w:ascii="Arial" w:cs="Arial" w:eastAsia="Arial" w:hAnsi="Arial"/>
          <w:sz w:val="18"/>
          <w:szCs w:val="18"/>
          <w:color w:val="auto"/>
        </w:rPr>
      </w:pPr>
    </w:p>
    <w:p>
      <w:pPr>
        <w:jc w:val="both"/>
        <w:ind w:firstLine="644"/>
        <w:spacing w:after="0" w:line="259" w:lineRule="auto"/>
        <w:tabs>
          <w:tab w:leader="none" w:pos="89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Shares and is not on the date hereof and will not be on the applicable Delivery Date (as defined in Section 5 below), an “ineligible issuer” (as defined in Rule 405 under the Securities Act).</w:t>
      </w:r>
    </w:p>
    <w:p>
      <w:pPr>
        <w:spacing w:after="0" w:line="186" w:lineRule="exact"/>
        <w:rPr>
          <w:rFonts w:ascii="Arial" w:cs="Arial" w:eastAsia="Arial" w:hAnsi="Arial"/>
          <w:sz w:val="18"/>
          <w:szCs w:val="18"/>
          <w:color w:val="auto"/>
        </w:rPr>
      </w:pPr>
    </w:p>
    <w:p>
      <w:pPr>
        <w:jc w:val="both"/>
        <w:ind w:firstLine="644"/>
        <w:spacing w:after="0" w:line="254" w:lineRule="auto"/>
        <w:tabs>
          <w:tab w:leader="none" w:pos="90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191" w:lineRule="exact"/>
        <w:rPr>
          <w:rFonts w:ascii="Arial" w:cs="Arial" w:eastAsia="Arial" w:hAnsi="Arial"/>
          <w:sz w:val="18"/>
          <w:szCs w:val="18"/>
          <w:color w:val="auto"/>
        </w:rPr>
      </w:pPr>
    </w:p>
    <w:p>
      <w:pPr>
        <w:jc w:val="both"/>
        <w:ind w:firstLine="644"/>
        <w:spacing w:after="0" w:line="257" w:lineRule="auto"/>
        <w:tabs>
          <w:tab w:leader="none" w:pos="89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10(f).</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 w:name="page7"/>
    <w:bookmarkEnd w:id="6"/>
    <w:p>
      <w:pPr>
        <w:jc w:val="both"/>
        <w:ind w:left="-460" w:firstLine="644"/>
        <w:spacing w:after="0" w:line="257" w:lineRule="auto"/>
        <w:tabs>
          <w:tab w:leader="none" w:pos="42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10(f).</w:t>
      </w:r>
    </w:p>
    <w:p>
      <w:pPr>
        <w:spacing w:after="0" w:line="187" w:lineRule="exact"/>
        <w:rPr>
          <w:rFonts w:ascii="Arial" w:cs="Arial" w:eastAsia="Arial" w:hAnsi="Arial"/>
          <w:sz w:val="18"/>
          <w:szCs w:val="18"/>
          <w:color w:val="auto"/>
        </w:rPr>
      </w:pPr>
    </w:p>
    <w:p>
      <w:pPr>
        <w:jc w:val="both"/>
        <w:ind w:left="-460" w:firstLine="644"/>
        <w:spacing w:after="0" w:line="311" w:lineRule="auto"/>
        <w:tabs>
          <w:tab w:leader="none" w:pos="4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48" w:lineRule="exact"/>
        <w:rPr>
          <w:rFonts w:ascii="Arial" w:cs="Arial" w:eastAsia="Arial" w:hAnsi="Arial"/>
          <w:sz w:val="16"/>
          <w:szCs w:val="16"/>
          <w:color w:val="auto"/>
        </w:rPr>
      </w:pPr>
    </w:p>
    <w:p>
      <w:pPr>
        <w:jc w:val="both"/>
        <w:ind w:left="-460" w:firstLine="644"/>
        <w:spacing w:after="0" w:line="257" w:lineRule="auto"/>
        <w:tabs>
          <w:tab w:leader="none" w:pos="45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10(f).</w:t>
      </w:r>
    </w:p>
    <w:p>
      <w:pPr>
        <w:spacing w:after="0" w:line="187" w:lineRule="exact"/>
        <w:rPr>
          <w:rFonts w:ascii="Arial" w:cs="Arial" w:eastAsia="Arial" w:hAnsi="Arial"/>
          <w:sz w:val="18"/>
          <w:szCs w:val="18"/>
          <w:color w:val="auto"/>
        </w:rPr>
      </w:pPr>
    </w:p>
    <w:p>
      <w:pPr>
        <w:jc w:val="both"/>
        <w:ind w:left="-460" w:firstLine="644"/>
        <w:spacing w:after="0" w:line="255" w:lineRule="auto"/>
        <w:tabs>
          <w:tab w:leader="none" w:pos="40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10(f).</w:t>
      </w:r>
    </w:p>
    <w:p>
      <w:pPr>
        <w:spacing w:after="0" w:line="192" w:lineRule="exact"/>
        <w:rPr>
          <w:rFonts w:ascii="Arial" w:cs="Arial" w:eastAsia="Arial" w:hAnsi="Arial"/>
          <w:sz w:val="18"/>
          <w:szCs w:val="18"/>
          <w:color w:val="auto"/>
        </w:rPr>
      </w:pPr>
    </w:p>
    <w:p>
      <w:pPr>
        <w:ind w:left="400" w:hanging="21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644"/>
        <w:spacing w:after="0" w:line="293"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 w:name="page8"/>
    <w:bookmarkEnd w:id="7"/>
    <w:p>
      <w:pPr>
        <w:jc w:val="both"/>
        <w:ind w:left="-460" w:firstLine="644"/>
        <w:spacing w:after="0" w:line="286" w:lineRule="auto"/>
        <w:tabs>
          <w:tab w:leader="none" w:pos="40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8.1 to the Company’s Annual Report on Form 20-F for the year ended December 31, 2020. None of the subsidiaries of the Company (other than Kornit Digital Technologies Ltd. and Kornit Digital North America Inc.) is a “significant subsidiary” (as defined in Rule 405 under the Securities Act). The Company and its sole Israeli subsidiary, Kornit Digital Technologies Ltd., are not currently designated as a “breaching company” (within the meaning of the Israeli Companies Law, 5759-1999 (the “</w:t>
      </w:r>
      <w:r>
        <w:rPr>
          <w:rFonts w:ascii="Arial" w:cs="Arial" w:eastAsia="Arial" w:hAnsi="Arial"/>
          <w:sz w:val="16"/>
          <w:szCs w:val="16"/>
          <w:b w:val="1"/>
          <w:bCs w:val="1"/>
          <w:color w:val="auto"/>
        </w:rPr>
        <w:t>Companies Law</w:t>
      </w:r>
      <w:r>
        <w:rPr>
          <w:rFonts w:ascii="Arial" w:cs="Arial" w:eastAsia="Arial" w:hAnsi="Arial"/>
          <w:sz w:val="16"/>
          <w:szCs w:val="16"/>
          <w:color w:val="auto"/>
        </w:rPr>
        <w:t>”) by the Registrar of Companies of the State of Israel, nor has a proceeding been instituted by the Registrar of Companies in Israel for the dissolution of the Company or Kornit Digital Technologies Ltd.</w:t>
      </w:r>
    </w:p>
    <w:p>
      <w:pPr>
        <w:spacing w:after="0" w:line="173" w:lineRule="exact"/>
        <w:rPr>
          <w:rFonts w:ascii="Arial" w:cs="Arial" w:eastAsia="Arial" w:hAnsi="Arial"/>
          <w:sz w:val="16"/>
          <w:szCs w:val="16"/>
          <w:color w:val="auto"/>
        </w:rPr>
      </w:pPr>
    </w:p>
    <w:p>
      <w:pPr>
        <w:jc w:val="both"/>
        <w:ind w:left="-460" w:firstLine="644"/>
        <w:spacing w:after="0" w:line="269" w:lineRule="auto"/>
        <w:tabs>
          <w:tab w:leader="none" w:pos="50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Preliminary Prospectus and the Prospectus, and all of the issued share capital of the Company (including, the Shares to be sold by the Selling Shareholder) has been duly authorized and validly issued, is fully paid and non-assessable, conforms to the description thereof contained in the Preliminary Prospectus and was issued in compliance with Israeli securities laws and, to the extent applicable, other foreign and U.S. federal and state securities laws and not in violation of any preemptive right, resale right, right of first refusal or similar right; provided however, that with respect to the Shares to be sold by the Selling Shareholder, this representation is made solely as of the Initial Delivery Date. All of the Company’s options, warrants and other rights to purchase or exchange any securities for shares of the Company have been duly authorized and validly issued, conform to the description thereof contained in the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left="4" w:firstLine="644"/>
        <w:spacing w:after="0" w:line="259" w:lineRule="auto"/>
        <w:tabs>
          <w:tab w:leader="none" w:pos="91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Preliminary Prospectus, will be issued in compliance with federal and state securities laws and will be free of statutory and contractual preemptive rights, rights of first refusal and similar rights.</w:t>
      </w:r>
    </w:p>
    <w:p>
      <w:pPr>
        <w:spacing w:after="0" w:line="186" w:lineRule="exact"/>
        <w:rPr>
          <w:rFonts w:ascii="Arial" w:cs="Arial" w:eastAsia="Arial" w:hAnsi="Arial"/>
          <w:sz w:val="18"/>
          <w:szCs w:val="18"/>
          <w:color w:val="auto"/>
        </w:rPr>
      </w:pPr>
    </w:p>
    <w:p>
      <w:pPr>
        <w:jc w:val="both"/>
        <w:ind w:left="4" w:firstLine="644"/>
        <w:spacing w:after="0" w:line="289" w:lineRule="auto"/>
        <w:tabs>
          <w:tab w:leader="none" w:pos="919"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grants and issuances of the Company’s shares to its, or its subsidiaries’, employees were made pursuant to an employee benefit plan, qualified share option plan or other equity compensation plan. With respect to any share options or other equity incentive awards granted (collectively, the “</w:t>
      </w:r>
      <w:r>
        <w:rPr>
          <w:rFonts w:ascii="Arial" w:cs="Arial" w:eastAsia="Arial" w:hAnsi="Arial"/>
          <w:sz w:val="16"/>
          <w:szCs w:val="16"/>
          <w:b w:val="1"/>
          <w:bCs w:val="1"/>
          <w:color w:val="auto"/>
        </w:rPr>
        <w:t>Share Options</w:t>
      </w:r>
      <w:r>
        <w:rPr>
          <w:rFonts w:ascii="Arial" w:cs="Arial" w:eastAsia="Arial" w:hAnsi="Arial"/>
          <w:sz w:val="16"/>
          <w:szCs w:val="16"/>
          <w:color w:val="auto"/>
        </w:rPr>
        <w:t>”) (i) each Share Option purported to be issued under Section 102 of the Israel Tax Ordinance [New Version], 5721-1961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66" w:lineRule="exact"/>
        <w:rPr>
          <w:rFonts w:ascii="Arial" w:cs="Arial" w:eastAsia="Arial" w:hAnsi="Arial"/>
          <w:sz w:val="16"/>
          <w:szCs w:val="16"/>
          <w:color w:val="auto"/>
        </w:rPr>
      </w:pPr>
    </w:p>
    <w:p>
      <w:pPr>
        <w:ind w:left="4" w:firstLine="644"/>
        <w:spacing w:after="0" w:line="342" w:lineRule="auto"/>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and obtained all requisite corporate approvals to execute, deliver and perform its obligations under this Agreement. This Agreement has been duly and validly authorized, executed and delivered by the Company.</w:t>
      </w:r>
    </w:p>
    <w:p>
      <w:pPr>
        <w:spacing w:after="0" w:line="123" w:lineRule="exact"/>
        <w:rPr>
          <w:rFonts w:ascii="Arial" w:cs="Arial" w:eastAsia="Arial" w:hAnsi="Arial"/>
          <w:sz w:val="16"/>
          <w:szCs w:val="16"/>
          <w:color w:val="auto"/>
        </w:rPr>
      </w:pPr>
    </w:p>
    <w:p>
      <w:pPr>
        <w:jc w:val="both"/>
        <w:ind w:left="4" w:firstLine="644"/>
        <w:spacing w:after="0" w:line="283" w:lineRule="auto"/>
        <w:tabs>
          <w:tab w:leader="none" w:pos="916"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for purposes of clauses</w:t>
      </w:r>
    </w:p>
    <w:p>
      <w:pPr>
        <w:spacing w:after="0" w:line="5" w:lineRule="exact"/>
        <w:rPr>
          <w:rFonts w:ascii="Arial" w:cs="Arial" w:eastAsia="Arial" w:hAnsi="Arial"/>
          <w:sz w:val="16"/>
          <w:szCs w:val="16"/>
          <w:color w:val="auto"/>
        </w:rPr>
      </w:pPr>
    </w:p>
    <w:p>
      <w:pPr>
        <w:jc w:val="both"/>
        <w:ind w:left="4" w:hanging="4"/>
        <w:spacing w:after="0" w:line="255" w:lineRule="auto"/>
        <w:tabs>
          <w:tab w:leader="none" w:pos="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jc w:val="both"/>
        <w:ind w:left="-460" w:firstLine="644"/>
        <w:spacing w:after="0" w:line="271" w:lineRule="auto"/>
        <w:tabs>
          <w:tab w:leader="none" w:pos="445" w:val="left"/>
        </w:tabs>
        <w:numPr>
          <w:ilvl w:val="0"/>
          <w:numId w:val="7"/>
        </w:numPr>
        <w:rPr>
          <w:rFonts w:ascii="Arial" w:cs="Arial" w:eastAsia="Arial" w:hAnsi="Arial"/>
          <w:sz w:val="17"/>
          <w:szCs w:val="17"/>
          <w:color w:val="auto"/>
        </w:rPr>
      </w:pPr>
      <w:r>
        <w:rPr>
          <w:rFonts w:ascii="Arial" w:cs="Arial" w:eastAsia="Arial" w:hAnsi="Arial"/>
          <w:sz w:val="17"/>
          <w:szCs w:val="17"/>
          <w:color w:val="auto"/>
        </w:rPr>
        <w:t>Neither the Company nor any of its subsidiaries (i) has any outstanding obligations to the National Authority of Technological Innovation (formerly the Office of the Chief Scientist) of the Ministry of Economy and Industry of the State of Israel (“</w:t>
      </w:r>
      <w:r>
        <w:rPr>
          <w:rFonts w:ascii="Arial" w:cs="Arial" w:eastAsia="Arial" w:hAnsi="Arial"/>
          <w:sz w:val="17"/>
          <w:szCs w:val="17"/>
          <w:b w:val="1"/>
          <w:bCs w:val="1"/>
          <w:color w:val="auto"/>
        </w:rPr>
        <w:t>NATI</w:t>
      </w:r>
      <w:r>
        <w:rPr>
          <w:rFonts w:ascii="Arial" w:cs="Arial" w:eastAsia="Arial" w:hAnsi="Arial"/>
          <w:sz w:val="17"/>
          <w:szCs w:val="17"/>
          <w:color w:val="auto"/>
        </w:rPr>
        <w:t>”) except as set forth in each of the Preliminary Prospectus and Prospectus nor (ii) is in violation with respect to any instrument of approval granted to it by the Investment Center of the Ministry of Economy of the State of Israel (the “</w:t>
      </w:r>
      <w:r>
        <w:rPr>
          <w:rFonts w:ascii="Arial" w:cs="Arial" w:eastAsia="Arial" w:hAnsi="Arial"/>
          <w:sz w:val="17"/>
          <w:szCs w:val="17"/>
          <w:b w:val="1"/>
          <w:bCs w:val="1"/>
          <w:color w:val="auto"/>
        </w:rPr>
        <w:t>Investment Center</w:t>
      </w:r>
      <w:r>
        <w:rPr>
          <w:rFonts w:ascii="Arial" w:cs="Arial" w:eastAsia="Arial" w:hAnsi="Arial"/>
          <w:sz w:val="17"/>
          <w:szCs w:val="17"/>
          <w:color w:val="auto"/>
        </w:rPr>
        <w:t>”) or by NATI. Neither the Company nor any of its subsidiaries has received from the Investment Center or other Israeli governmental or regulatory authority any notice denying, revoking or adversely modifying any “approved enterprise” or “benefited enterprise” or “preferred enterprise” “preferred technology enterprise” or “special preferred technology enterprise” status or benefits with respect to any of the Company’s or its Israeli subsidiaries’ facilities or operations (including, in all such cases, notice of proceedings or investigations related thereto).</w:t>
      </w:r>
    </w:p>
    <w:p>
      <w:pPr>
        <w:spacing w:after="0" w:line="178" w:lineRule="exact"/>
        <w:rPr>
          <w:rFonts w:ascii="Arial" w:cs="Arial" w:eastAsia="Arial" w:hAnsi="Arial"/>
          <w:sz w:val="17"/>
          <w:szCs w:val="17"/>
          <w:color w:val="auto"/>
        </w:rPr>
      </w:pPr>
    </w:p>
    <w:p>
      <w:pPr>
        <w:jc w:val="both"/>
        <w:ind w:left="-460" w:firstLine="644"/>
        <w:spacing w:after="0" w:line="270" w:lineRule="auto"/>
        <w:tabs>
          <w:tab w:leader="none" w:pos="426"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Preliminary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purchase and sale of the Shares by the Underwriters; (iii) the filing of certain information with the Registrar of Companies in the State of Israel, following the Closing, regarding the transfer and issuance of the Shares, as applicable; and (iv) the transaction notification to Nasdaq.</w:t>
      </w:r>
    </w:p>
    <w:p>
      <w:pPr>
        <w:spacing w:after="0" w:line="180" w:lineRule="exact"/>
        <w:rPr>
          <w:rFonts w:ascii="Arial" w:cs="Arial" w:eastAsia="Arial" w:hAnsi="Arial"/>
          <w:sz w:val="17"/>
          <w:szCs w:val="17"/>
          <w:color w:val="auto"/>
        </w:rPr>
      </w:pPr>
    </w:p>
    <w:p>
      <w:pPr>
        <w:jc w:val="both"/>
        <w:ind w:left="-460" w:firstLine="644"/>
        <w:spacing w:after="0" w:line="257" w:lineRule="auto"/>
        <w:tabs>
          <w:tab w:leader="none" w:pos="4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historical financial statements (including the related notes and supporting schedules) included or incorporated by reference in the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Kost Forer Gabbay &amp; Kasierer, a member of Ernst &amp; Young Global, who have certified certain financial statements of the Company and its consolidated subsidiaries, whose report appears in the Preliminary Prospectus, or is incorporated therein, and who have delivered the initial letter referred to in Section 9(j) hereof, are independent public accountants as required by the Securities Act and the rules and regulations thereunder.</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 w:firstLine="644"/>
        <w:spacing w:after="0" w:line="285" w:lineRule="auto"/>
        <w:tabs>
          <w:tab w:leader="none" w:pos="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subsidiaries maintain internal accounting controls sufficient to provide reasonable assurance that</w:t>
      </w:r>
    </w:p>
    <w:p>
      <w:pPr>
        <w:spacing w:after="0" w:line="1" w:lineRule="exact"/>
        <w:rPr>
          <w:rFonts w:ascii="Arial" w:cs="Arial" w:eastAsia="Arial" w:hAnsi="Arial"/>
          <w:sz w:val="16"/>
          <w:szCs w:val="16"/>
          <w:color w:val="auto"/>
        </w:rPr>
      </w:pPr>
    </w:p>
    <w:p>
      <w:pPr>
        <w:jc w:val="both"/>
        <w:ind w:left="4" w:hanging="4"/>
        <w:spacing w:after="0" w:line="286" w:lineRule="auto"/>
        <w:tabs>
          <w:tab w:leader="none" w:pos="2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Kost Forer Gabbay &amp; Kasierer, a member of Ernst &amp; Young Global, and the audit committee of the board of directors of the Company, there were no material weaknesses in the Company’s internal controls.</w:t>
      </w:r>
    </w:p>
    <w:p>
      <w:pPr>
        <w:spacing w:after="0" w:line="172" w:lineRule="exact"/>
        <w:rPr>
          <w:rFonts w:ascii="Arial" w:cs="Arial" w:eastAsia="Arial" w:hAnsi="Arial"/>
          <w:sz w:val="16"/>
          <w:szCs w:val="16"/>
          <w:color w:val="auto"/>
        </w:rPr>
      </w:pPr>
    </w:p>
    <w:p>
      <w:pPr>
        <w:jc w:val="both"/>
        <w:ind w:left="4" w:firstLine="644"/>
        <w:spacing w:after="0" w:line="255" w:lineRule="auto"/>
        <w:tabs>
          <w:tab w:leader="none" w:pos="959" w:val="left"/>
        </w:tabs>
        <w:numPr>
          <w:ilvl w:val="1"/>
          <w:numId w:val="9"/>
        </w:numPr>
        <w:rPr>
          <w:rFonts w:ascii="Arial" w:cs="Arial" w:eastAsia="Arial" w:hAnsi="Arial"/>
          <w:sz w:val="18"/>
          <w:szCs w:val="18"/>
          <w:color w:val="auto"/>
        </w:rPr>
      </w:pPr>
      <w:r>
        <w:rPr>
          <w:rFonts w:ascii="Arial" w:cs="Arial" w:eastAsia="Arial" w:hAnsi="Arial"/>
          <w:sz w:val="18"/>
          <w:szCs w:val="18"/>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92" w:lineRule="exact"/>
        <w:rPr>
          <w:rFonts w:ascii="Arial" w:cs="Arial" w:eastAsia="Arial" w:hAnsi="Arial"/>
          <w:sz w:val="18"/>
          <w:szCs w:val="18"/>
          <w:color w:val="auto"/>
        </w:rPr>
      </w:pPr>
    </w:p>
    <w:p>
      <w:pPr>
        <w:jc w:val="both"/>
        <w:ind w:left="4" w:firstLine="644"/>
        <w:spacing w:after="0" w:line="255" w:lineRule="auto"/>
        <w:tabs>
          <w:tab w:leader="none" w:pos="917" w:val="left"/>
        </w:tabs>
        <w:numPr>
          <w:ilvl w:val="1"/>
          <w:numId w:val="9"/>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92" w:lineRule="exact"/>
        <w:rPr>
          <w:rFonts w:ascii="Arial" w:cs="Arial" w:eastAsia="Arial" w:hAnsi="Arial"/>
          <w:sz w:val="18"/>
          <w:szCs w:val="18"/>
          <w:color w:val="auto"/>
        </w:rPr>
      </w:pPr>
    </w:p>
    <w:p>
      <w:pPr>
        <w:jc w:val="both"/>
        <w:ind w:left="4" w:firstLine="644"/>
        <w:spacing w:after="0" w:line="263" w:lineRule="auto"/>
        <w:tabs>
          <w:tab w:leader="none" w:pos="923"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left="-460" w:firstLine="644"/>
        <w:spacing w:after="0" w:line="287" w:lineRule="auto"/>
        <w:tabs>
          <w:tab w:leader="none" w:pos="4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Preliminary Prospectus, (iii) incurred any material liability or obligation, direct or contingent, other than liabilities and obligations that were incurred in the ordinary course of business or otherwise set forth in the Preliminary Prospectus, (iv) entered into any material transaction not in the ordinary course of business, except as set forth in the Preliminary Prospectus or (v) declared or paid any dividend on its share capital, and since such date, there has not been any change in the share capital (other than the issuance of ordinary shares, if any, pursuant to share option plans or other equity compensation plans or arrangements described in the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72" w:lineRule="exact"/>
        <w:rPr>
          <w:sz w:val="20"/>
          <w:szCs w:val="20"/>
          <w:color w:val="auto"/>
        </w:rPr>
      </w:pPr>
    </w:p>
    <w:p>
      <w:pPr>
        <w:jc w:val="both"/>
        <w:ind w:left="-460" w:firstLine="644"/>
        <w:spacing w:after="0" w:line="273" w:lineRule="auto"/>
        <w:tabs>
          <w:tab w:leader="none" w:pos="5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177" w:lineRule="exact"/>
        <w:rPr>
          <w:rFonts w:ascii="Arial" w:cs="Arial" w:eastAsia="Arial" w:hAnsi="Arial"/>
          <w:sz w:val="17"/>
          <w:szCs w:val="17"/>
          <w:color w:val="auto"/>
        </w:rPr>
      </w:pPr>
    </w:p>
    <w:p>
      <w:pPr>
        <w:jc w:val="both"/>
        <w:ind w:left="-460" w:firstLine="644"/>
        <w:spacing w:after="0" w:line="290" w:lineRule="auto"/>
        <w:tabs>
          <w:tab w:leader="none" w:pos="5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under applicable law to own their properties and conduct their businesses in the manner described in the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jc w:val="both"/>
        <w:ind w:left="-460" w:firstLine="644"/>
        <w:spacing w:after="0" w:line="273" w:lineRule="auto"/>
        <w:tabs>
          <w:tab w:leader="none" w:pos="5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177" w:lineRule="exact"/>
        <w:rPr>
          <w:rFonts w:ascii="Arial" w:cs="Arial" w:eastAsia="Arial" w:hAnsi="Arial"/>
          <w:sz w:val="17"/>
          <w:szCs w:val="17"/>
          <w:color w:val="auto"/>
        </w:rPr>
      </w:pPr>
    </w:p>
    <w:p>
      <w:pPr>
        <w:jc w:val="both"/>
        <w:ind w:left="-460" w:firstLine="644"/>
        <w:spacing w:after="0" w:line="311" w:lineRule="auto"/>
        <w:tabs>
          <w:tab w:leader="none" w:pos="5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the Company and its subsidiaries (i) have suffered no information security incidents, (ii) have taken commercially reasonable steps to secure their information technology systems and the data thereon, and (iii) have complied with all applicable data protection laws, regulations and contractual obligations.</w:t>
      </w:r>
    </w:p>
    <w:p>
      <w:pPr>
        <w:spacing w:after="0" w:line="148" w:lineRule="exact"/>
        <w:rPr>
          <w:rFonts w:ascii="Arial" w:cs="Arial" w:eastAsia="Arial" w:hAnsi="Arial"/>
          <w:sz w:val="16"/>
          <w:szCs w:val="16"/>
          <w:color w:val="auto"/>
        </w:rPr>
      </w:pPr>
    </w:p>
    <w:p>
      <w:pPr>
        <w:jc w:val="both"/>
        <w:ind w:left="-460" w:firstLine="644"/>
        <w:spacing w:after="0" w:line="257" w:lineRule="auto"/>
        <w:tabs>
          <w:tab w:leader="none" w:pos="5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7" w:lineRule="exact"/>
        <w:rPr>
          <w:rFonts w:ascii="Arial" w:cs="Arial" w:eastAsia="Arial" w:hAnsi="Arial"/>
          <w:sz w:val="18"/>
          <w:szCs w:val="18"/>
          <w:color w:val="auto"/>
        </w:rPr>
      </w:pPr>
    </w:p>
    <w:p>
      <w:pPr>
        <w:jc w:val="both"/>
        <w:ind w:left="-460" w:firstLine="644"/>
        <w:spacing w:after="0" w:line="273" w:lineRule="auto"/>
        <w:tabs>
          <w:tab w:leader="none" w:pos="4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no contracts or other documents required to be described in the Registration Statement or the Preliminary Prospectus or filed as exhibits to the Registration Statement, that are not described and filed as required. The statements made in the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77" w:lineRule="exact"/>
        <w:rPr>
          <w:rFonts w:ascii="Arial" w:cs="Arial" w:eastAsia="Arial" w:hAnsi="Arial"/>
          <w:sz w:val="17"/>
          <w:szCs w:val="17"/>
          <w:color w:val="auto"/>
        </w:rPr>
      </w:pPr>
    </w:p>
    <w:p>
      <w:pPr>
        <w:jc w:val="both"/>
        <w:ind w:left="-460" w:firstLine="644"/>
        <w:spacing w:after="0" w:line="254" w:lineRule="auto"/>
        <w:tabs>
          <w:tab w:leader="none" w:pos="5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statements made, or incorporated by reference, in the Preliminary Prospectus under the captions “Item 4 – Information on the Company – Business Overview”, “Item 6 – Directors, Senior Management and Employees”, “Underwriting”, “Description of Ordinary Shares”, “Item 5 - Operating and Financial Review and Prospects - Taxation and Israeli Government Programs Applicable to our Company”, “U.S. and Israeli Tax Considerations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60" w:firstLine="644"/>
        <w:spacing w:after="0" w:line="288" w:lineRule="auto"/>
        <w:tabs>
          <w:tab w:leader="none" w:pos="5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8" w:lineRule="exact"/>
        <w:rPr>
          <w:rFonts w:ascii="Arial" w:cs="Arial" w:eastAsia="Arial" w:hAnsi="Arial"/>
          <w:sz w:val="16"/>
          <w:szCs w:val="16"/>
          <w:color w:val="auto"/>
        </w:rPr>
      </w:pPr>
    </w:p>
    <w:p>
      <w:pPr>
        <w:jc w:val="both"/>
        <w:ind w:left="-460" w:firstLine="644"/>
        <w:spacing w:after="0" w:line="342" w:lineRule="auto"/>
        <w:tabs>
          <w:tab w:leader="none" w:pos="4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shareholders, customers or suppliers of the Company, on the other hand, that is required to be described in the Preliminary Prospectus which is not so described.</w:t>
      </w:r>
    </w:p>
    <w:p>
      <w:pPr>
        <w:spacing w:after="0" w:line="123" w:lineRule="exact"/>
        <w:rPr>
          <w:rFonts w:ascii="Arial" w:cs="Arial" w:eastAsia="Arial" w:hAnsi="Arial"/>
          <w:sz w:val="16"/>
          <w:szCs w:val="16"/>
          <w:color w:val="auto"/>
        </w:rPr>
      </w:pPr>
    </w:p>
    <w:p>
      <w:pPr>
        <w:jc w:val="both"/>
        <w:ind w:left="-460" w:firstLine="644"/>
        <w:spacing w:after="0" w:line="259" w:lineRule="auto"/>
        <w:tabs>
          <w:tab w:leader="none" w:pos="4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86" w:lineRule="exact"/>
        <w:rPr>
          <w:rFonts w:ascii="Arial" w:cs="Arial" w:eastAsia="Arial" w:hAnsi="Arial"/>
          <w:sz w:val="18"/>
          <w:szCs w:val="18"/>
          <w:color w:val="auto"/>
        </w:rPr>
      </w:pPr>
    </w:p>
    <w:p>
      <w:pPr>
        <w:jc w:val="both"/>
        <w:ind w:left="-460" w:firstLine="644"/>
        <w:spacing w:after="0" w:line="290" w:lineRule="auto"/>
        <w:tabs>
          <w:tab w:leader="none" w:pos="5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460" w:firstLine="644"/>
        <w:spacing w:after="0" w:line="285" w:lineRule="auto"/>
        <w:tabs>
          <w:tab w:leader="none" w:pos="4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for purposes of clauses (i) and (ii) above, where such non-compliance, violation, liability, or other obligation would not, in the aggregate, reasonably be expected to have a Material Adverse Effect. Except as described in the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73" w:lineRule="exact"/>
        <w:rPr>
          <w:rFonts w:ascii="Arial" w:cs="Arial" w:eastAsia="Arial" w:hAnsi="Arial"/>
          <w:sz w:val="16"/>
          <w:szCs w:val="16"/>
          <w:color w:val="auto"/>
        </w:rPr>
      </w:pPr>
    </w:p>
    <w:p>
      <w:pPr>
        <w:jc w:val="both"/>
        <w:ind w:left="-460" w:firstLine="644"/>
        <w:spacing w:after="0" w:line="255"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material taxes due, except as may be being contested in good faith and by appropriate proceedings and for which adequate reserves have been made under GAAP.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92" w:lineRule="exact"/>
        <w:rPr>
          <w:rFonts w:ascii="Arial" w:cs="Arial" w:eastAsia="Arial" w:hAnsi="Arial"/>
          <w:sz w:val="18"/>
          <w:szCs w:val="18"/>
          <w:color w:val="auto"/>
        </w:rPr>
      </w:pPr>
    </w:p>
    <w:p>
      <w:pPr>
        <w:jc w:val="both"/>
        <w:ind w:left="-460" w:firstLine="644"/>
        <w:spacing w:after="0" w:line="259" w:lineRule="auto"/>
        <w:tabs>
          <w:tab w:leader="none" w:pos="5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jc w:val="both"/>
        <w:ind w:left="4" w:firstLine="644"/>
        <w:spacing w:after="0" w:line="286" w:lineRule="auto"/>
        <w:tabs>
          <w:tab w:leader="none" w:pos="998" w:val="left"/>
        </w:tabs>
        <w:numPr>
          <w:ilvl w:val="1"/>
          <w:numId w:val="15"/>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70" w:lineRule="exact"/>
        <w:rPr>
          <w:rFonts w:ascii="Arial" w:cs="Arial" w:eastAsia="Arial" w:hAnsi="Arial"/>
          <w:sz w:val="16"/>
          <w:szCs w:val="16"/>
          <w:color w:val="auto"/>
        </w:rPr>
      </w:pPr>
    </w:p>
    <w:p>
      <w:pPr>
        <w:ind w:left="4" w:firstLine="644"/>
        <w:spacing w:after="0" w:line="277" w:lineRule="auto"/>
        <w:tabs>
          <w:tab w:leader="none" w:pos="10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Preliminary Prospectus or incorporated by reference are based on or derived from sources that the Company believes to be reliable in all material respects.</w:t>
      </w:r>
    </w:p>
    <w:p>
      <w:pPr>
        <w:spacing w:after="0" w:line="170" w:lineRule="exact"/>
        <w:rPr>
          <w:rFonts w:ascii="Arial" w:cs="Arial" w:eastAsia="Arial" w:hAnsi="Arial"/>
          <w:sz w:val="18"/>
          <w:szCs w:val="18"/>
          <w:color w:val="auto"/>
        </w:rPr>
      </w:pPr>
    </w:p>
    <w:p>
      <w:pPr>
        <w:jc w:val="both"/>
        <w:ind w:left="4" w:firstLine="644"/>
        <w:spacing w:after="0" w:line="286" w:lineRule="auto"/>
        <w:tabs>
          <w:tab w:leader="none" w:pos="1009"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as of the applicable Delivery Date and, after giving effect to the offer and sale of the Shares and the application of the proceeds therefrom as described under “Use of Proceeds” in the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and the rules and regulations of the Commission thereunder,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“business development company” (as defined in Section 2(a)(48) of the Investment Company Act).</w:t>
      </w:r>
    </w:p>
    <w:p>
      <w:pPr>
        <w:spacing w:after="0" w:line="210" w:lineRule="exact"/>
        <w:rPr>
          <w:rFonts w:ascii="Arial" w:cs="Arial" w:eastAsia="Arial" w:hAnsi="Arial"/>
          <w:sz w:val="18"/>
          <w:szCs w:val="18"/>
          <w:color w:val="auto"/>
        </w:rPr>
      </w:pPr>
    </w:p>
    <w:p>
      <w:pPr>
        <w:jc w:val="both"/>
        <w:ind w:left="4" w:firstLine="644"/>
        <w:spacing w:after="0" w:line="275" w:lineRule="auto"/>
        <w:tabs>
          <w:tab w:leader="none" w:pos="949" w:val="left"/>
        </w:tabs>
        <w:numPr>
          <w:ilvl w:val="1"/>
          <w:numId w:val="16"/>
        </w:numPr>
        <w:rPr>
          <w:rFonts w:ascii="Arial" w:cs="Arial" w:eastAsia="Arial" w:hAnsi="Arial"/>
          <w:sz w:val="17"/>
          <w:szCs w:val="17"/>
          <w:color w:val="auto"/>
        </w:rPr>
      </w:pPr>
      <w:r>
        <w:rPr>
          <w:rFonts w:ascii="Arial" w:cs="Arial" w:eastAsia="Arial" w:hAnsi="Arial"/>
          <w:sz w:val="17"/>
          <w:szCs w:val="17"/>
          <w:color w:val="auto"/>
        </w:rPr>
        <w:t>Except as described in the Preliminary Prospectus, there are no contracts, agreements or understandings between the Company and any person granting such person the right (other than rights that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76" w:lineRule="exact"/>
        <w:rPr>
          <w:rFonts w:ascii="Arial" w:cs="Arial" w:eastAsia="Arial" w:hAnsi="Arial"/>
          <w:sz w:val="17"/>
          <w:szCs w:val="17"/>
          <w:color w:val="auto"/>
        </w:rPr>
      </w:pPr>
    </w:p>
    <w:p>
      <w:pPr>
        <w:jc w:val="both"/>
        <w:ind w:left="4" w:firstLine="64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6" w:name="page17"/>
    <w:bookmarkEnd w:id="16"/>
    <w:p>
      <w:pPr>
        <w:ind w:left="-460" w:firstLine="644"/>
        <w:spacing w:after="0" w:line="308" w:lineRule="auto"/>
        <w:tabs>
          <w:tab w:leader="none" w:pos="4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46" w:lineRule="exact"/>
        <w:rPr>
          <w:rFonts w:ascii="Arial" w:cs="Arial" w:eastAsia="Arial" w:hAnsi="Arial"/>
          <w:sz w:val="17"/>
          <w:szCs w:val="17"/>
          <w:color w:val="auto"/>
        </w:rPr>
      </w:pPr>
    </w:p>
    <w:p>
      <w:pPr>
        <w:jc w:val="both"/>
        <w:ind w:left="-460" w:firstLine="644"/>
        <w:spacing w:after="0" w:line="263" w:lineRule="auto"/>
        <w:tabs>
          <w:tab w:leader="none" w:pos="5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83" w:lineRule="exact"/>
        <w:rPr>
          <w:rFonts w:ascii="Arial" w:cs="Arial" w:eastAsia="Arial" w:hAnsi="Arial"/>
          <w:sz w:val="18"/>
          <w:szCs w:val="18"/>
          <w:color w:val="auto"/>
        </w:rPr>
      </w:pPr>
    </w:p>
    <w:p>
      <w:pPr>
        <w:jc w:val="both"/>
        <w:ind w:left="-460" w:firstLine="644"/>
        <w:spacing w:after="0" w:line="296" w:lineRule="auto"/>
        <w:tabs>
          <w:tab w:leader="none" w:pos="5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Assuming the Underwriters have not offered the Shares other than in accordance with their obligations under Section 6(c) or otherwise engaged in solicitation, advertising or any other action constituting an offer to the public under the Israeli Securities Law 5728-1968, as amended, (the “</w:t>
      </w:r>
      <w:r>
        <w:rPr>
          <w:rFonts w:ascii="Arial" w:cs="Arial" w:eastAsia="Arial" w:hAnsi="Arial"/>
          <w:sz w:val="16"/>
          <w:szCs w:val="16"/>
          <w:b w:val="1"/>
          <w:bCs w:val="1"/>
          <w:color w:val="auto"/>
        </w:rPr>
        <w:t>Israeli Securities Law</w:t>
      </w:r>
      <w:r>
        <w:rPr>
          <w:rFonts w:ascii="Arial" w:cs="Arial" w:eastAsia="Arial" w:hAnsi="Arial"/>
          <w:sz w:val="16"/>
          <w:szCs w:val="16"/>
          <w:color w:val="auto"/>
        </w:rPr>
        <w:t>”) in Israel, the Company has not engaged in any form of solicitation, advertising or any other action constituting an offer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61" w:lineRule="exact"/>
        <w:rPr>
          <w:rFonts w:ascii="Arial" w:cs="Arial" w:eastAsia="Arial" w:hAnsi="Arial"/>
          <w:sz w:val="16"/>
          <w:szCs w:val="16"/>
          <w:color w:val="auto"/>
        </w:rPr>
      </w:pPr>
    </w:p>
    <w:p>
      <w:pPr>
        <w:ind w:left="-460" w:firstLine="644"/>
        <w:spacing w:after="0" w:line="277" w:lineRule="auto"/>
        <w:tabs>
          <w:tab w:leader="none" w:pos="6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official notice of issuance and evidence of satisfactory distribution on, The Nasdaq Global Select Market.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5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1(j) or 6(a)(vi) and any Issuer Free Writing Prospectus set forth on Schedule V hereto.</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5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86" w:lineRule="exact"/>
        <w:rPr>
          <w:rFonts w:ascii="Arial" w:cs="Arial" w:eastAsia="Arial" w:hAnsi="Arial"/>
          <w:sz w:val="18"/>
          <w:szCs w:val="18"/>
          <w:color w:val="auto"/>
        </w:rPr>
      </w:pPr>
    </w:p>
    <w:p>
      <w:pPr>
        <w:jc w:val="both"/>
        <w:ind w:left="-460" w:firstLine="644"/>
        <w:spacing w:after="0" w:line="285" w:lineRule="auto"/>
        <w:tabs>
          <w:tab w:leader="none" w:pos="538"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controlled affiliate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 (ii) made any direct or indirect unlawful payment, promise to pay, or authorization or approval of the payment, giving or receipt of money, property, gifts or anything else of value, to any foreign or domestic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from corporate funds; (iii) violated or is in violation of any provision of the FCPA, Section 291 and 291A of the Israeli Penal Law, 5737-1977, the U.K. Bribery Act 2010, as amended, or any other applicable anti-bribery statute or regulation; (iv) made any bribe, rebate, payoff, influence payment, kickback or other unlawful payment to any Government Official or (v) used, directly or indirectly, the proceeds of the offering in furtherance of an offer, payment, promise to pay, or authorization of the payment or giving of money, or anything else of value, to any person in violation of any applicable anti-corruption laws; and the Company and its subsidiaries and the Company’s controlled affiliates have conducted their respective businesses in compliance with the FCPA, Sections 291 and 291A of the Israeli Penal Law 5737-1977, U.K. Bribery Act 2010, and all other applicable anti-bribery and anti-corruption laws, statutes and regulations (“</w:t>
      </w:r>
      <w:r>
        <w:rPr>
          <w:rFonts w:ascii="Arial" w:cs="Arial" w:eastAsia="Arial" w:hAnsi="Arial"/>
          <w:sz w:val="16"/>
          <w:szCs w:val="16"/>
          <w:b w:val="1"/>
          <w:bCs w:val="1"/>
          <w:color w:val="auto"/>
        </w:rPr>
        <w:t>Anti-Corruption Laws</w:t>
      </w:r>
      <w:r>
        <w:rPr>
          <w:rFonts w:ascii="Arial" w:cs="Arial" w:eastAsia="Arial" w:hAnsi="Arial"/>
          <w:sz w:val="16"/>
          <w:szCs w:val="16"/>
          <w:color w:val="auto"/>
        </w:rPr>
        <w:t>”), and have instituted and maintain policies and procedures designed to promote continued compliance therewith and with the representations and warranties contained herein.</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73" w:lineRule="auto"/>
        <w:tabs>
          <w:tab w:leader="none" w:pos="6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7" w:lineRule="exact"/>
        <w:rPr>
          <w:rFonts w:ascii="Arial" w:cs="Arial" w:eastAsia="Arial" w:hAnsi="Arial"/>
          <w:sz w:val="17"/>
          <w:szCs w:val="17"/>
          <w:color w:val="auto"/>
        </w:rPr>
      </w:pPr>
    </w:p>
    <w:p>
      <w:pPr>
        <w:jc w:val="both"/>
        <w:ind w:left="-460" w:firstLine="644"/>
        <w:spacing w:after="0" w:line="286" w:lineRule="auto"/>
        <w:tabs>
          <w:tab w:leader="none" w:pos="6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controlled affiliate of the Company or any of its subsidiaries is an individual or entity that is, or is owned or controlled by one or more individual or entity that are (i) currently subject to any sanctions administered or enforced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w:t>
      </w:r>
      <w:r>
        <w:rPr>
          <w:rFonts w:ascii="Arial" w:cs="Arial" w:eastAsia="Arial" w:hAnsi="Arial"/>
          <w:sz w:val="16"/>
          <w:szCs w:val="16"/>
          <w:b w:val="1"/>
          <w:bCs w:val="1"/>
          <w:color w:val="auto"/>
        </w:rPr>
        <w:t>EU</w:t>
      </w:r>
      <w:r>
        <w:rPr>
          <w:rFonts w:ascii="Arial" w:cs="Arial" w:eastAsia="Arial" w:hAnsi="Arial"/>
          <w:sz w:val="16"/>
          <w:szCs w:val="16"/>
          <w:color w:val="auto"/>
        </w:rPr>
        <w:t>”),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or (ii) located, organized or ordinarily resident in a country that is the subject of comprehensive country-wide Sanctions (including, without limitation, the Crimea region of the Ukraine, Cuba, Iran, North Korea and Syria); and the Company will not directly or indirectly use the proceeds of the offering, or lend, contribute or otherwise make available such proceeds to any subsidiary, joint venture partner or other person or entity, for the purpose of financing or facilitating the activities of or with any person that is the target of Sanctions, or in any country or territory that currently or at the time of such financing or facilitation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170" w:lineRule="exact"/>
        <w:rPr>
          <w:rFonts w:ascii="Arial" w:cs="Arial" w:eastAsia="Arial" w:hAnsi="Arial"/>
          <w:sz w:val="16"/>
          <w:szCs w:val="16"/>
          <w:color w:val="auto"/>
        </w:rPr>
      </w:pPr>
    </w:p>
    <w:p>
      <w:pPr>
        <w:jc w:val="both"/>
        <w:ind w:left="-460" w:firstLine="644"/>
        <w:spacing w:after="0" w:line="279" w:lineRule="auto"/>
        <w:tabs>
          <w:tab w:leader="none" w:pos="599"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for the approval from an Israeli court that would be required in the event that any dividends or other distributions would exceed the Company’s profits and other surplus funds (as defined in the Companies Law) as of the end of the most recent year or as accrued over a period of the most recent two years, whichever amount is greater, no approvals are currently required in the State of Israel in order for the Company to pay dividends or other distributions declared by the Company to the holders of Ordinary Shares.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460" w:firstLine="644"/>
        <w:spacing w:after="0" w:line="257" w:lineRule="auto"/>
        <w:tabs>
          <w:tab w:leader="none" w:pos="6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2021 or for any foreseeable subsequent taxable year.</w:t>
      </w:r>
    </w:p>
    <w:p>
      <w:pPr>
        <w:spacing w:after="0" w:line="187" w:lineRule="exact"/>
        <w:rPr>
          <w:rFonts w:ascii="Arial" w:cs="Arial" w:eastAsia="Arial" w:hAnsi="Arial"/>
          <w:sz w:val="18"/>
          <w:szCs w:val="18"/>
          <w:color w:val="auto"/>
        </w:rPr>
      </w:pPr>
    </w:p>
    <w:p>
      <w:pPr>
        <w:jc w:val="both"/>
        <w:ind w:left="-460" w:firstLine="644"/>
        <w:spacing w:after="0" w:line="311" w:lineRule="auto"/>
        <w:tabs>
          <w:tab w:leader="none" w:pos="59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48" w:lineRule="exact"/>
        <w:rPr>
          <w:rFonts w:ascii="Arial" w:cs="Arial" w:eastAsia="Arial" w:hAnsi="Arial"/>
          <w:sz w:val="16"/>
          <w:szCs w:val="16"/>
          <w:color w:val="auto"/>
        </w:rPr>
      </w:pPr>
    </w:p>
    <w:p>
      <w:pPr>
        <w:jc w:val="both"/>
        <w:ind w:left="-460" w:firstLine="644"/>
        <w:spacing w:after="0" w:line="263" w:lineRule="auto"/>
        <w:tabs>
          <w:tab w:leader="none" w:pos="5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83" w:lineRule="exact"/>
        <w:rPr>
          <w:rFonts w:ascii="Arial" w:cs="Arial" w:eastAsia="Arial" w:hAnsi="Arial"/>
          <w:sz w:val="18"/>
          <w:szCs w:val="18"/>
          <w:color w:val="auto"/>
        </w:rPr>
      </w:pPr>
    </w:p>
    <w:p>
      <w:pPr>
        <w:jc w:val="both"/>
        <w:ind w:left="-460" w:firstLine="644"/>
        <w:spacing w:after="0" w:line="259"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86" w:lineRule="exact"/>
        <w:rPr>
          <w:rFonts w:ascii="Arial" w:cs="Arial" w:eastAsia="Arial" w:hAnsi="Arial"/>
          <w:sz w:val="18"/>
          <w:szCs w:val="18"/>
          <w:color w:val="auto"/>
        </w:rPr>
      </w:pPr>
    </w:p>
    <w:p>
      <w:pPr>
        <w:ind w:left="620" w:hanging="436"/>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qualifies as a “foreign private issuer” within the meaning of Rule 405 under the Act.</w:t>
      </w:r>
    </w:p>
    <w:p>
      <w:pPr>
        <w:spacing w:after="0" w:line="225" w:lineRule="exact"/>
        <w:rPr>
          <w:rFonts w:ascii="Arial" w:cs="Arial" w:eastAsia="Arial" w:hAnsi="Arial"/>
          <w:sz w:val="18"/>
          <w:szCs w:val="18"/>
          <w:color w:val="auto"/>
        </w:rPr>
      </w:pPr>
    </w:p>
    <w:p>
      <w:pPr>
        <w:ind w:left="-460" w:right="20" w:firstLine="644"/>
        <w:spacing w:after="0" w:line="277" w:lineRule="auto"/>
        <w:tabs>
          <w:tab w:leader="none" w:pos="5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duly designated Kornit Digital North America, Inc. as its authorized agent to receive service of process as set forth in Section 22.</w:t>
      </w:r>
    </w:p>
    <w:p>
      <w:pPr>
        <w:spacing w:after="0" w:line="170" w:lineRule="exact"/>
        <w:rPr>
          <w:rFonts w:ascii="Arial" w:cs="Arial" w:eastAsia="Arial" w:hAnsi="Arial"/>
          <w:sz w:val="18"/>
          <w:szCs w:val="18"/>
          <w:color w:val="auto"/>
        </w:rPr>
      </w:pPr>
    </w:p>
    <w:p>
      <w:pPr>
        <w:ind w:left="-460" w:firstLine="644"/>
        <w:spacing w:after="0" w:line="277" w:lineRule="auto"/>
        <w:tabs>
          <w:tab w:leader="none" w:pos="5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securities rated by any “nationally recognized statistical rating organization,” as such term is defined in Section 3(a)(62) of the Exchange Act.</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Any certificate signed by any officer of the Company and delivered to the Representatives or counsel for the Underwriters pursuant to this Agreement in connection with the offering of the Shares shall be deemed a representation and warranty by the Company, as to matters covered thereby, to each Underwriter.</w:t>
      </w:r>
    </w:p>
    <w:p>
      <w:pPr>
        <w:spacing w:after="0" w:line="184"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Warranties and Agreements of the Selling Shareholder. </w:t>
      </w:r>
      <w:r>
        <w:rPr>
          <w:rFonts w:ascii="Arial" w:cs="Arial" w:eastAsia="Arial" w:hAnsi="Arial"/>
          <w:sz w:val="17"/>
          <w:szCs w:val="17"/>
          <w:color w:val="auto"/>
        </w:rPr>
        <w:t>The Selling Shareholder represents, warrants and agrees that:</w:t>
      </w:r>
    </w:p>
    <w:p>
      <w:pPr>
        <w:spacing w:after="0" w:line="236" w:lineRule="exact"/>
        <w:rPr>
          <w:rFonts w:ascii="Arial" w:cs="Arial" w:eastAsia="Arial" w:hAnsi="Arial"/>
          <w:sz w:val="17"/>
          <w:szCs w:val="17"/>
          <w:color w:val="auto"/>
        </w:rPr>
      </w:pPr>
    </w:p>
    <w:p>
      <w:pPr>
        <w:jc w:val="both"/>
        <w:ind w:left="660" w:firstLine="644"/>
        <w:spacing w:after="0" w:line="263" w:lineRule="auto"/>
        <w:tabs>
          <w:tab w:leader="none" w:pos="15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Neither the Selling Shareholder nor any person acting on behalf of the Selling Shareholder (other than, if applicable, the Company and the Underwriters) has made any offer relating to the Shares which would constitute a “free writing prospectus” (as defined in Rule 405 under the Securities Act).</w:t>
      </w:r>
    </w:p>
    <w:p>
      <w:pPr>
        <w:spacing w:after="0" w:line="179" w:lineRule="exact"/>
        <w:rPr>
          <w:rFonts w:ascii="Arial" w:cs="Arial" w:eastAsia="Arial" w:hAnsi="Arial"/>
          <w:sz w:val="18"/>
          <w:szCs w:val="18"/>
          <w:color w:val="auto"/>
        </w:rPr>
      </w:pPr>
    </w:p>
    <w:p>
      <w:pPr>
        <w:ind w:left="660" w:firstLine="644"/>
        <w:spacing w:after="0" w:line="282" w:lineRule="auto"/>
        <w:tabs>
          <w:tab w:leader="none" w:pos="15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769,713 warrants held by the Selling Shareholder (“</w:t>
      </w:r>
      <w:r>
        <w:rPr>
          <w:rFonts w:ascii="Arial" w:cs="Arial" w:eastAsia="Arial" w:hAnsi="Arial"/>
          <w:sz w:val="18"/>
          <w:szCs w:val="18"/>
          <w:b w:val="1"/>
          <w:bCs w:val="1"/>
          <w:color w:val="auto"/>
        </w:rPr>
        <w:t>Warrants</w:t>
      </w:r>
      <w:r>
        <w:rPr>
          <w:rFonts w:ascii="Arial" w:cs="Arial" w:eastAsia="Arial" w:hAnsi="Arial"/>
          <w:sz w:val="18"/>
          <w:szCs w:val="18"/>
          <w:color w:val="auto"/>
        </w:rPr>
        <w:t>”) have been exercised, resulting in 705,953 Shares to be issued to the Underwriters upon the settlement of this offering, subject to terms of the related Warrant exercise notice.</w:t>
      </w:r>
    </w:p>
    <w:p>
      <w:pPr>
        <w:spacing w:after="0" w:line="165" w:lineRule="exact"/>
        <w:rPr>
          <w:rFonts w:ascii="Arial" w:cs="Arial" w:eastAsia="Arial" w:hAnsi="Arial"/>
          <w:sz w:val="18"/>
          <w:szCs w:val="18"/>
          <w:color w:val="auto"/>
        </w:rPr>
      </w:pPr>
    </w:p>
    <w:p>
      <w:pPr>
        <w:jc w:val="both"/>
        <w:ind w:left="660" w:firstLine="644"/>
        <w:spacing w:after="0" w:line="291" w:lineRule="auto"/>
        <w:tabs>
          <w:tab w:leader="none" w:pos="1553" w:val="left"/>
        </w:tabs>
        <w:numPr>
          <w:ilvl w:val="1"/>
          <w:numId w:val="20"/>
        </w:numPr>
        <w:rPr>
          <w:rFonts w:ascii="Arial" w:cs="Arial" w:eastAsia="Arial" w:hAnsi="Arial"/>
          <w:sz w:val="16"/>
          <w:szCs w:val="16"/>
          <w:color w:val="auto"/>
        </w:rPr>
      </w:pPr>
      <w:r>
        <w:rPr>
          <w:rFonts w:ascii="Arial" w:cs="Arial" w:eastAsia="Arial" w:hAnsi="Arial"/>
          <w:sz w:val="16"/>
          <w:szCs w:val="16"/>
          <w:color w:val="auto"/>
        </w:rPr>
        <w:t>Upon the issuance of the Shares in accordance with the terms of the Warrants, the Selling Shareholder will have good and valid title to the Shares to be sold by the Selling Shareholder hereunder on the Delivery Date or a valid “security entitlement” within the meaning of Section 8-</w:t>
      </w:r>
    </w:p>
    <w:p>
      <w:pPr>
        <w:ind w:left="660" w:hanging="4"/>
        <w:spacing w:after="0" w:line="260" w:lineRule="auto"/>
        <w:tabs>
          <w:tab w:leader="none" w:pos="9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New York Uniform Commercial Code (the “</w:t>
      </w:r>
      <w:r>
        <w:rPr>
          <w:rFonts w:ascii="Arial" w:cs="Arial" w:eastAsia="Arial" w:hAnsi="Arial"/>
          <w:sz w:val="18"/>
          <w:szCs w:val="18"/>
          <w:b w:val="1"/>
          <w:bCs w:val="1"/>
          <w:color w:val="auto"/>
        </w:rPr>
        <w:t>UCC</w:t>
      </w:r>
      <w:r>
        <w:rPr>
          <w:rFonts w:ascii="Arial" w:cs="Arial" w:eastAsia="Arial" w:hAnsi="Arial"/>
          <w:sz w:val="18"/>
          <w:szCs w:val="18"/>
          <w:color w:val="auto"/>
        </w:rPr>
        <w:t>”) in respect thereof, free and clear of all liens, encumbrances, equities, community property rights, restrictions on transfer or claims.</w:t>
      </w:r>
    </w:p>
    <w:p>
      <w:pPr>
        <w:spacing w:after="0" w:line="185" w:lineRule="exact"/>
        <w:rPr>
          <w:rFonts w:ascii="Arial" w:cs="Arial" w:eastAsia="Arial" w:hAnsi="Arial"/>
          <w:sz w:val="18"/>
          <w:szCs w:val="18"/>
          <w:color w:val="auto"/>
        </w:rPr>
      </w:pPr>
    </w:p>
    <w:p>
      <w:pPr>
        <w:ind w:left="660" w:firstLine="644"/>
        <w:spacing w:after="0" w:line="277" w:lineRule="auto"/>
        <w:tabs>
          <w:tab w:leader="none" w:pos="15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obligations of the Selling Shareholder hereunder shall not be terminated by any act of the Selling Shareholder, by operation of law or the occurrence of any other event, except as otherwise provided hereunder.</w:t>
      </w:r>
    </w:p>
    <w:p>
      <w:pPr>
        <w:spacing w:after="0" w:line="170" w:lineRule="exact"/>
        <w:rPr>
          <w:rFonts w:ascii="Arial" w:cs="Arial" w:eastAsia="Arial" w:hAnsi="Arial"/>
          <w:sz w:val="18"/>
          <w:szCs w:val="18"/>
          <w:color w:val="auto"/>
        </w:rPr>
      </w:pPr>
    </w:p>
    <w:p>
      <w:pPr>
        <w:jc w:val="both"/>
        <w:ind w:left="660" w:firstLine="644"/>
        <w:spacing w:after="0" w:line="284" w:lineRule="auto"/>
        <w:tabs>
          <w:tab w:leader="none" w:pos="1557" w:val="left"/>
        </w:tabs>
        <w:numPr>
          <w:ilvl w:val="1"/>
          <w:numId w:val="21"/>
        </w:numPr>
        <w:rPr>
          <w:rFonts w:ascii="Arial" w:cs="Arial" w:eastAsia="Arial" w:hAnsi="Arial"/>
          <w:sz w:val="16"/>
          <w:szCs w:val="16"/>
          <w:color w:val="auto"/>
        </w:rPr>
      </w:pPr>
      <w:r>
        <w:rPr>
          <w:rFonts w:ascii="Arial" w:cs="Arial" w:eastAsia="Arial" w:hAnsi="Arial"/>
          <w:sz w:val="16"/>
          <w:szCs w:val="16"/>
          <w:color w:val="auto"/>
        </w:rPr>
        <w:t>Upon payment for the Shares to be sold by the Selling Shareholder, delivery of such Shares, as directed by the Underwriters, to Cede &amp; Co. (“</w:t>
      </w:r>
      <w:r>
        <w:rPr>
          <w:rFonts w:ascii="Arial" w:cs="Arial" w:eastAsia="Arial" w:hAnsi="Arial"/>
          <w:sz w:val="16"/>
          <w:szCs w:val="16"/>
          <w:b w:val="1"/>
          <w:bCs w:val="1"/>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(i) DTC will acquire good and valid title to such Shares free and clear of all liens, encumbrances, equities, community property rights, restrictions on transfer or claims, (ii) DTC shall be a “protected purchaser” of such Shares within the meaning of Section 8-303 of the UCC, (iii) under Section 8-</w:t>
      </w:r>
    </w:p>
    <w:p>
      <w:pPr>
        <w:spacing w:after="0" w:line="4" w:lineRule="exact"/>
        <w:rPr>
          <w:rFonts w:ascii="Arial" w:cs="Arial" w:eastAsia="Arial" w:hAnsi="Arial"/>
          <w:sz w:val="16"/>
          <w:szCs w:val="16"/>
          <w:color w:val="auto"/>
        </w:rPr>
      </w:pPr>
    </w:p>
    <w:p>
      <w:pPr>
        <w:jc w:val="both"/>
        <w:ind w:left="660" w:hanging="4"/>
        <w:spacing w:after="0" w:line="251" w:lineRule="auto"/>
        <w:tabs>
          <w:tab w:leader="none" w:pos="9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UCC, the Underwriters will acquire a valid security entitlement in respect of such Shares, and (iv) an action based on an “adverse claim” (within the meaning of Section 8-102 of the UCC) to such securities entitlement, whether framed in conversion, replevin, constructive trust, equitable lien or other theory may not be asserted against the Underwriters with respect to such security entitlement. For purposes of this representation, the Selling Shareholder may assume that when such payment, delivery and crediting occur, (x) such Shares will have been registered in the name of Cede or another nominee designated by DTC, in each case on the Company’s share registry in accordance with its certificate of incorporation, articles of association and applicable law, (y) DTC will be registered as a “clearing corporation” within the meaning of Section 8-102 of the UCC, and (z) appropriate entries to the accounts of the Underwriters on the records of DTC will have been made pursuant to the UCC.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460" w:firstLine="644"/>
        <w:spacing w:after="0" w:line="263" w:lineRule="auto"/>
        <w:tabs>
          <w:tab w:leader="none" w:pos="4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Selling Shareholder has been duly organized and is validly existing as a limited liability company in good standing under the laws of the State of Nevada, with the limited liability company power and authority to own its properties and conduct its business in all material respects as currently conducted.</w:t>
      </w:r>
    </w:p>
    <w:p>
      <w:pPr>
        <w:spacing w:after="0" w:line="183" w:lineRule="exact"/>
        <w:rPr>
          <w:rFonts w:ascii="Arial" w:cs="Arial" w:eastAsia="Arial" w:hAnsi="Arial"/>
          <w:sz w:val="18"/>
          <w:szCs w:val="18"/>
          <w:color w:val="auto"/>
        </w:rPr>
      </w:pPr>
    </w:p>
    <w:p>
      <w:pPr>
        <w:ind w:left="440" w:hanging="25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Selling Shareholder has full right, power and authority, corporate or otherwise, to enter into this Agreement.</w:t>
      </w:r>
    </w:p>
    <w:p>
      <w:pPr>
        <w:spacing w:after="0" w:line="225" w:lineRule="exact"/>
        <w:rPr>
          <w:rFonts w:ascii="Arial" w:cs="Arial" w:eastAsia="Arial" w:hAnsi="Arial"/>
          <w:sz w:val="18"/>
          <w:szCs w:val="18"/>
          <w:color w:val="auto"/>
        </w:rPr>
      </w:pPr>
    </w:p>
    <w:p>
      <w:pPr>
        <w:ind w:left="440" w:hanging="25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or on behalf of the Selling Shareholder.</w:t>
      </w:r>
    </w:p>
    <w:p>
      <w:pPr>
        <w:spacing w:after="0" w:line="225" w:lineRule="exact"/>
        <w:rPr>
          <w:rFonts w:ascii="Arial" w:cs="Arial" w:eastAsia="Arial" w:hAnsi="Arial"/>
          <w:sz w:val="18"/>
          <w:szCs w:val="18"/>
          <w:color w:val="auto"/>
        </w:rPr>
      </w:pPr>
    </w:p>
    <w:p>
      <w:pPr>
        <w:ind w:left="400" w:hanging="21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644"/>
        <w:spacing w:after="0" w:line="271" w:lineRule="auto"/>
        <w:tabs>
          <w:tab w:leader="none" w:pos="4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sale of the Shares to be sold by the Selling Shareholder, the execution, delivery and performance of this Agreement by the Selling Shareholder and the consummation by the Selling Shareholder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Shareholder is a party or by which the Selling Shareholder is bound or to which any of the property or assets of the Selling Shareholder is subject, or (ii) result in any violation of any statute or any judgment, order, decree, rule or regulation of any court or governmental agency or body having jurisdiction over the Selling Shareholder or the property or assets of the Selling Shareholder, except in each case, any non-material breaches, conflicts or violations that would not materially impact the ability of the Underwriters to consummate the transactions contemplated by this Agreement.</w:t>
      </w:r>
    </w:p>
    <w:p>
      <w:pPr>
        <w:spacing w:after="0" w:line="178" w:lineRule="exact"/>
        <w:rPr>
          <w:rFonts w:ascii="Arial" w:cs="Arial" w:eastAsia="Arial" w:hAnsi="Arial"/>
          <w:sz w:val="17"/>
          <w:szCs w:val="17"/>
          <w:color w:val="auto"/>
        </w:rPr>
      </w:pPr>
    </w:p>
    <w:p>
      <w:pPr>
        <w:jc w:val="both"/>
        <w:ind w:left="-460" w:firstLine="644"/>
        <w:spacing w:after="0" w:line="273" w:lineRule="auto"/>
        <w:tabs>
          <w:tab w:leader="none" w:pos="4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or registration with, any court or governmental agency or body having jurisdiction over the Selling Shareholder or the property or assets of the Selling Shareholder is required for the sale of the Shares by the Selling Shareholder, the execution, delivery and performance of this Agreement by the Selling Shareholder and the consummation by the Selling Shareholder of the transactions contemplated hereby, except for (i) the registration of the Shares under the Securities Act and such consents, approvals, authorizations, orders, filings, registrations or qualifications as may be required under the Exchange Act and the rules of the Nasdaq Stock Market LLC) and (ii) such consents, approvals, authorizations and orders that have been already obtained.</w:t>
      </w:r>
    </w:p>
    <w:p>
      <w:pPr>
        <w:spacing w:after="0" w:line="177" w:lineRule="exact"/>
        <w:rPr>
          <w:rFonts w:ascii="Arial" w:cs="Arial" w:eastAsia="Arial" w:hAnsi="Arial"/>
          <w:sz w:val="17"/>
          <w:szCs w:val="17"/>
          <w:color w:val="auto"/>
        </w:rPr>
      </w:pPr>
    </w:p>
    <w:p>
      <w:pPr>
        <w:jc w:val="both"/>
        <w:ind w:left="-460" w:firstLine="644"/>
        <w:spacing w:after="0" w:line="254" w:lineRule="auto"/>
        <w:tabs>
          <w:tab w:leader="none" w:pos="4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To the knowledge of the Selling Shareholder, 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representations and warranties set forth in this subsection (l)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 (without regard to any information incorporated by reference in the Registration Statement).</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jc w:val="both"/>
        <w:ind w:left="-460" w:firstLine="644"/>
        <w:spacing w:after="0" w:line="254" w:lineRule="auto"/>
        <w:tabs>
          <w:tab w:leader="none" w:pos="5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To the knowledge of the Selling Shareholder, the Prospectus will not, as of its date or as of the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representations and warranties set forth in this subsection (m)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 (without regard to any information incorporated by reference in the Prospectus).</w:t>
      </w:r>
    </w:p>
    <w:p>
      <w:pPr>
        <w:spacing w:after="0" w:line="194" w:lineRule="exact"/>
        <w:rPr>
          <w:rFonts w:ascii="Arial" w:cs="Arial" w:eastAsia="Arial" w:hAnsi="Arial"/>
          <w:sz w:val="18"/>
          <w:szCs w:val="18"/>
          <w:color w:val="auto"/>
        </w:rPr>
      </w:pPr>
    </w:p>
    <w:p>
      <w:pPr>
        <w:jc w:val="both"/>
        <w:ind w:left="-460" w:firstLine="644"/>
        <w:spacing w:after="0" w:line="272" w:lineRule="auto"/>
        <w:tabs>
          <w:tab w:leader="none" w:pos="4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To the knowledge of the Selling Shareholder,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(n) apply only to statements or omissions made in reliance upon and in conformity with information relating to the Selling Shareholder furnished in writing by or on behalf of the Selling Shareholder expressly for use in the Pricing Disclosure Package, it being understood that the only such information furnished by the Selling Shareholder consists of the statements contained with respect to the Selling Shareholder under the caption “Selling shareholder” (without regard to any information incorporated by reference in the Pricing Disclosure Package).</w:t>
      </w:r>
    </w:p>
    <w:p>
      <w:pPr>
        <w:spacing w:after="0" w:line="177" w:lineRule="exact"/>
        <w:rPr>
          <w:rFonts w:ascii="Arial" w:cs="Arial" w:eastAsia="Arial" w:hAnsi="Arial"/>
          <w:sz w:val="17"/>
          <w:szCs w:val="17"/>
          <w:color w:val="auto"/>
        </w:rPr>
      </w:pPr>
    </w:p>
    <w:p>
      <w:pPr>
        <w:jc w:val="both"/>
        <w:ind w:left="-460" w:firstLine="644"/>
        <w:spacing w:after="0" w:line="271" w:lineRule="auto"/>
        <w:tabs>
          <w:tab w:leader="none" w:pos="4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To the knowledge of the Selling Shareholder, the Pricing Disclosure Package, when taken together with each Issuer Free Writing Prospectus listed in Schedule V hereto,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(o) apply only to statements or omissions made in reliance upon and in conformity with information relating to the Selling Shareholder furnished in writing by or on behalf of the Selling Shareholder expressly for use in the Pricing Disclosure Package (or any Issuer Free Writing Package), it being understood that the only such information furnished by the Selling Shareholder consists of the statements contained with respect to the Selling Shareholder under the caption “Selling shareholder” (without regard to any information incorporated by reference in the Pricing Disclosure Package).</w:t>
      </w:r>
    </w:p>
    <w:p>
      <w:pPr>
        <w:spacing w:after="0" w:line="178" w:lineRule="exact"/>
        <w:rPr>
          <w:rFonts w:ascii="Arial" w:cs="Arial" w:eastAsia="Arial" w:hAnsi="Arial"/>
          <w:sz w:val="17"/>
          <w:szCs w:val="17"/>
          <w:color w:val="auto"/>
        </w:rPr>
      </w:pPr>
    </w:p>
    <w:p>
      <w:pPr>
        <w:ind w:left="440" w:hanging="25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jc w:val="both"/>
        <w:ind w:left="660" w:firstLine="644"/>
        <w:spacing w:after="0" w:line="254" w:lineRule="auto"/>
        <w:tabs>
          <w:tab w:leader="none" w:pos="15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Assuming that the Underwriters are not otherwise subject to taxation in the State of Israel, other than any withholding taxes which may be required pursuant to Israeli law arising under clauses (1) and (2) below, no stamp or other issuance of transfer taxes or duties and no capital gains, income or other taxes are payable by or on behalf of the Underwriters, or otherwise imposed on any payments made to the Underwriters, to the State of Israel or to any political subdivision or taxing authority thereof in connection with (1) the execution, delivery or performance of this Agreement by the Selling Shareholder, or (2) the sale or delivery of the Shares to be sold by the Selling Shareholder to or for the respective accounts of the Underwriters as disclosed in the Registration Statement, the Pricing Disclosure Package and the Prospectus, and pursuant to the terms of this Agreement.</w:t>
      </w:r>
    </w:p>
    <w:p>
      <w:pPr>
        <w:spacing w:after="0" w:line="194" w:lineRule="exact"/>
        <w:rPr>
          <w:rFonts w:ascii="Arial" w:cs="Arial" w:eastAsia="Arial" w:hAnsi="Arial"/>
          <w:sz w:val="18"/>
          <w:szCs w:val="18"/>
          <w:color w:val="auto"/>
        </w:rPr>
      </w:pPr>
    </w:p>
    <w:p>
      <w:pPr>
        <w:jc w:val="both"/>
        <w:ind w:left="660" w:firstLine="644"/>
        <w:spacing w:after="0" w:line="257" w:lineRule="auto"/>
        <w:tabs>
          <w:tab w:leader="none" w:pos="15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Selling Shareholder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In addition, the Selling Shareholder has not engaged in any form of solicitation, advertising or any other action constituting an offer to the public under the Israeli Securities Law in connection with the transactions contemplated hereby which would require the publication of a prospectus in the State of Israel under the laws of the State of Israel.</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5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Selling Shareholder is not (1) an employee benefit plan subject to Title I of ERISA, (2) a plan or account subject to Section 4975 of the Code or (3) an entity deemed to hold “plan assets” of any such plan or account under Section 3(42) of ERISA, 29 C.F.R. 2510.3-101, or otherwise.</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5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Selling Shareholder nor any of its subsidiaries nor, to the knowledge of the Selling Shareholder, any director, officer, agent employee or affiliate of the Selling Shareholder or any of its subsidiaries will, directly or indirectly, use the proceeds of this offering, or lend, contribute or otherwise make available such proceeds to any subsidiary, joint venture partner or other individual or entity in any manner that would result in a violation of any Money Laundering Laws, Anti-Corruption Laws, or Sanctions by, or could result in the imposition of Sanctions against, any individual or entity (including any individual or entity participating in the offering, whether as underwriter, advisor, investor or otherwise).</w:t>
      </w:r>
    </w:p>
    <w:p>
      <w:pPr>
        <w:spacing w:after="0" w:line="19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Any certificate signed by the Selling Shareholder and delivered to the Underwriters or counsel for the Underwriters in connection with the offering of the Shares shall be deemed a representation and warranty by the Selling Shareholder, as to matters covered thereby, to each Underwriter.</w:t>
      </w:r>
    </w:p>
    <w:p>
      <w:pPr>
        <w:spacing w:after="0" w:line="146" w:lineRule="exact"/>
        <w:rPr>
          <w:sz w:val="20"/>
          <w:szCs w:val="20"/>
          <w:color w:val="auto"/>
        </w:rPr>
      </w:pPr>
    </w:p>
    <w:p>
      <w:pPr>
        <w:jc w:val="both"/>
        <w:ind w:firstLine="656"/>
        <w:spacing w:after="0" w:line="290" w:lineRule="auto"/>
        <w:tabs>
          <w:tab w:leader="none" w:pos="828"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Purchase of the Shares by the Underwriters</w:t>
      </w:r>
      <w:r>
        <w:rPr>
          <w:rFonts w:ascii="Arial" w:cs="Arial" w:eastAsia="Arial" w:hAnsi="Arial"/>
          <w:sz w:val="16"/>
          <w:szCs w:val="16"/>
          <w:color w:val="auto"/>
        </w:rPr>
        <w:t>. On the basis of the representations, warranties and covenants contained in, and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this Agreement, the Company agrees to sell 1,940,000 Shares to the several Underwriters and the Selling Shareholder agrees to sell 705,953 Shares to the several Underwriters, and each of the Underwriters, severally and not jointly, agrees to purchase the number of Firm Shares set forth opposite that Underwriter’s name in Schedule I hereto. Each Underwriter shall be obligated to purchase from the Company, and from the Selling Shareholder, acting severally and not jointly, that number of Shares that represents the same proportion of the number of Shares to be sold by the Company and by the Selling Shareholder as the number of Shares set forth opposite the name of such Underwriter in Schedule I represents to the total number of Shares to be purchased by all of the Underwriters pursuant to this Agreement. The respective purchase obligations of the Underwriters with respect to the Firm Shares shall be rounded among the Underwriters to avoid fractional shares, as the Representatives may determine.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In addition, the Company grants to the Underwriters an option to purchase up to 396,892 Option Shares. Any such election to purchase Option Shares shall be made in proportion to the maximum number of Option Shares to be sold by the Company. Each Underwriter agrees, severally and not jointly, to purchase the number of Option Shares (subject to such adjustments to eliminate fractional shares as the Representatives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payable by the Underwriters for both the Firm Shares and any Option Shares is $145.7150 per share.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and the Selling Shareholder are not obligated to deliver any of the Firm Shares or Option Shares to be delivered on the applicable Delivery Date, except upon payment for all such Shares to be purchased on such Delivery Date as provided herein.</w:t>
      </w:r>
    </w:p>
    <w:p>
      <w:pPr>
        <w:spacing w:after="0" w:line="170" w:lineRule="exact"/>
        <w:rPr>
          <w:sz w:val="20"/>
          <w:szCs w:val="20"/>
          <w:color w:val="auto"/>
        </w:rPr>
      </w:pPr>
    </w:p>
    <w:p>
      <w:pPr>
        <w:ind w:right="20" w:firstLine="656"/>
        <w:spacing w:after="0" w:line="277" w:lineRule="auto"/>
        <w:tabs>
          <w:tab w:leader="none" w:pos="82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Offering of Shares by the Underwriters</w:t>
      </w:r>
      <w:r>
        <w:rPr>
          <w:rFonts w:ascii="Arial" w:cs="Arial" w:eastAsia="Arial" w:hAnsi="Arial"/>
          <w:sz w:val="18"/>
          <w:szCs w:val="18"/>
          <w:color w:val="auto"/>
        </w:rPr>
        <w:t>. Upon authorization by the Representatives of the release of the Firm Shares,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to offer the Firm Shares for sale upon the terms and conditions to be set forth in the Prospectus.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82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Delivery of and Payment for the Shares</w:t>
      </w:r>
      <w:r>
        <w:rPr>
          <w:rFonts w:ascii="Arial" w:cs="Arial" w:eastAsia="Arial" w:hAnsi="Arial"/>
          <w:sz w:val="17"/>
          <w:szCs w:val="17"/>
          <w:color w:val="auto"/>
        </w:rPr>
        <w:t>. Delivery of and payment for the Firm Shares shall be made at 10:00 A.M., New York City time,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full business day following the date of this Agreement or at such other date or place as shall be determined by agreement between the Representatives, the Selling Shareholder and the Company. This date and time are sometimes referred to as the “</w:t>
      </w:r>
      <w:r>
        <w:rPr>
          <w:rFonts w:ascii="Arial" w:cs="Arial" w:eastAsia="Arial" w:hAnsi="Arial"/>
          <w:sz w:val="17"/>
          <w:szCs w:val="17"/>
          <w:b w:val="1"/>
          <w:bCs w:val="1"/>
          <w:color w:val="auto"/>
        </w:rPr>
        <w:t>Initial Delivery Date</w:t>
      </w:r>
      <w:r>
        <w:rPr>
          <w:rFonts w:ascii="Arial" w:cs="Arial" w:eastAsia="Arial" w:hAnsi="Arial"/>
          <w:sz w:val="17"/>
          <w:szCs w:val="17"/>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and the Selling Shareholder to or upon the order of the Company and the Selling Shareholder of the purchase price by wire transfer in immediately available funds to the accounts specified by the Company and the Selling Shareholder. Time shall be of the essence, and delivery at the time and place specified pursuant to this Agreement is a further condition of the obligation of each Underwriter hereunder. The Company and the Selling Shareholder shall deliver the Firm Shares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unless the Representatives shall otherwise instruct.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option granted in Section 3 will expire 30 days after the date of this Agreement and may be exercised in whole or from time to time in part by written notice being given to the Company by the Representatives within such 30 day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date falls on a day that is not a business day, the option granted in Section 3 will expire on the next succeeding business day. Such notice shall set forth the aggregate number of Option Shares as to which the option is being exercised, the names in which the Option Shares are to be registered, the denominations in which the Option Shares are to be issued and the date and time, as determined by the Representatives, when the Option Shares are to be delivered;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this date and time shall not be earlier than the Initial Delivery Date nor earlier than the second business day after the date on which the option shall have been exercised nor later than the fifth day after the date on which the option shall have been exercised. Each date and time the Option Shares are delivered is sometimes referred to as an “</w:t>
      </w:r>
      <w:r>
        <w:rPr>
          <w:rFonts w:ascii="Arial" w:cs="Arial" w:eastAsia="Arial" w:hAnsi="Arial"/>
          <w:sz w:val="17"/>
          <w:szCs w:val="17"/>
          <w:b w:val="1"/>
          <w:bCs w:val="1"/>
          <w:color w:val="auto"/>
        </w:rPr>
        <w:t>Option Shares Delivery Date</w:t>
      </w:r>
      <w:r>
        <w:rPr>
          <w:rFonts w:ascii="Arial" w:cs="Arial" w:eastAsia="Arial" w:hAnsi="Arial"/>
          <w:sz w:val="17"/>
          <w:szCs w:val="17"/>
          <w:color w:val="auto"/>
        </w:rPr>
        <w:t>”, and the Initial Delivery Date and any Option Shares Delivery Date are sometimes each referred to as a “</w:t>
      </w:r>
      <w:r>
        <w:rPr>
          <w:rFonts w:ascii="Arial" w:cs="Arial" w:eastAsia="Arial" w:hAnsi="Arial"/>
          <w:sz w:val="17"/>
          <w:szCs w:val="17"/>
          <w:b w:val="1"/>
          <w:bCs w:val="1"/>
          <w:color w:val="auto"/>
        </w:rPr>
        <w:t>Delivery Date</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color w:val="auto"/>
        </w:rPr>
        <w:t>Delivery of the Option Shares by the Company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shall deliver or cause to be delivered the Option Shares being sold by the Company on such Option Shares Delivery Date to the Representatives for the account of each Underwriter against payment by the several Underwriters through the Representatives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Representatives shall otherwise instruct.</w:t>
      </w:r>
    </w:p>
    <w:p>
      <w:pPr>
        <w:spacing w:after="0" w:line="181" w:lineRule="exact"/>
        <w:rPr>
          <w:sz w:val="20"/>
          <w:szCs w:val="20"/>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The Company agrees:</w:t>
      </w:r>
    </w:p>
    <w:p>
      <w:pPr>
        <w:spacing w:after="0" w:line="225" w:lineRule="exact"/>
        <w:rPr>
          <w:rFonts w:ascii="Arial" w:cs="Arial" w:eastAsia="Arial" w:hAnsi="Arial"/>
          <w:sz w:val="18"/>
          <w:szCs w:val="18"/>
          <w:color w:val="auto"/>
        </w:rPr>
      </w:pPr>
    </w:p>
    <w:p>
      <w:pPr>
        <w:jc w:val="both"/>
        <w:ind w:left="1300" w:firstLine="652"/>
        <w:spacing w:after="0" w:line="269" w:lineRule="auto"/>
        <w:tabs>
          <w:tab w:leader="none" w:pos="2182"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left="180" w:firstLine="652"/>
        <w:spacing w:after="0" w:line="263"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furnish promptly upon request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83" w:lineRule="exact"/>
        <w:rPr>
          <w:rFonts w:ascii="Arial" w:cs="Arial" w:eastAsia="Arial" w:hAnsi="Arial"/>
          <w:sz w:val="18"/>
          <w:szCs w:val="18"/>
          <w:color w:val="auto"/>
        </w:rPr>
      </w:pPr>
    </w:p>
    <w:p>
      <w:pPr>
        <w:jc w:val="both"/>
        <w:ind w:left="180" w:firstLine="652"/>
        <w:spacing w:after="0" w:line="268" w:lineRule="auto"/>
        <w:tabs>
          <w:tab w:leader="none" w:pos="11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the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186" w:lineRule="exact"/>
        <w:rPr>
          <w:rFonts w:ascii="Arial" w:cs="Arial" w:eastAsia="Arial" w:hAnsi="Arial"/>
          <w:sz w:val="17"/>
          <w:szCs w:val="17"/>
          <w:color w:val="auto"/>
        </w:rPr>
      </w:pPr>
    </w:p>
    <w:p>
      <w:pPr>
        <w:ind w:left="180" w:firstLine="652"/>
        <w:spacing w:after="0" w:line="342" w:lineRule="auto"/>
        <w:tabs>
          <w:tab w:leader="none" w:pos="11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123" w:lineRule="exact"/>
        <w:rPr>
          <w:rFonts w:ascii="Arial" w:cs="Arial" w:eastAsia="Arial" w:hAnsi="Arial"/>
          <w:sz w:val="16"/>
          <w:szCs w:val="16"/>
          <w:color w:val="auto"/>
        </w:rPr>
      </w:pPr>
    </w:p>
    <w:p>
      <w:pPr>
        <w:jc w:val="both"/>
        <w:ind w:left="180" w:firstLine="652"/>
        <w:spacing w:after="0" w:line="259" w:lineRule="auto"/>
        <w:tabs>
          <w:tab w:leader="none" w:pos="11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not to file any such amendment or supplement to which the Representatives shall reasonably object.</w:t>
      </w:r>
    </w:p>
    <w:p>
      <w:pPr>
        <w:spacing w:after="0" w:line="186" w:lineRule="exact"/>
        <w:rPr>
          <w:rFonts w:ascii="Arial" w:cs="Arial" w:eastAsia="Arial" w:hAnsi="Arial"/>
          <w:sz w:val="18"/>
          <w:szCs w:val="18"/>
          <w:color w:val="auto"/>
        </w:rPr>
      </w:pPr>
    </w:p>
    <w:p>
      <w:pPr>
        <w:ind w:left="180" w:firstLine="65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Representatives.</w:t>
      </w:r>
    </w:p>
    <w:p>
      <w:pPr>
        <w:spacing w:after="0" w:line="170" w:lineRule="exact"/>
        <w:rPr>
          <w:rFonts w:ascii="Arial" w:cs="Arial" w:eastAsia="Arial" w:hAnsi="Arial"/>
          <w:sz w:val="18"/>
          <w:szCs w:val="18"/>
          <w:color w:val="auto"/>
        </w:rPr>
      </w:pPr>
    </w:p>
    <w:p>
      <w:pPr>
        <w:jc w:val="both"/>
        <w:ind w:left="180" w:firstLine="652"/>
        <w:spacing w:after="0" w:line="270" w:lineRule="auto"/>
        <w:tabs>
          <w:tab w:leader="none" w:pos="119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180" w:firstLine="652"/>
        <w:spacing w:after="0" w:line="296" w:lineRule="auto"/>
        <w:tabs>
          <w:tab w:leader="none" w:pos="123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61" w:lineRule="exact"/>
        <w:rPr>
          <w:rFonts w:ascii="Arial" w:cs="Arial" w:eastAsia="Arial" w:hAnsi="Arial"/>
          <w:sz w:val="16"/>
          <w:szCs w:val="16"/>
          <w:color w:val="auto"/>
        </w:rPr>
      </w:pPr>
    </w:p>
    <w:p>
      <w:pPr>
        <w:jc w:val="both"/>
        <w:ind w:left="180" w:firstLine="652"/>
        <w:spacing w:after="0" w:line="293" w:lineRule="auto"/>
        <w:tabs>
          <w:tab w:leader="none" w:pos="1154"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60" w:lineRule="exact"/>
        <w:rPr>
          <w:rFonts w:ascii="Arial" w:cs="Arial" w:eastAsia="Arial" w:hAnsi="Arial"/>
          <w:sz w:val="16"/>
          <w:szCs w:val="16"/>
          <w:color w:val="auto"/>
        </w:rPr>
      </w:pPr>
    </w:p>
    <w:p>
      <w:pPr>
        <w:jc w:val="both"/>
        <w:ind w:left="180" w:firstLine="652"/>
        <w:spacing w:after="0" w:line="283" w:lineRule="auto"/>
        <w:tabs>
          <w:tab w:leader="none" w:pos="1102"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90th day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not to, directly or indirectly, (A) offer for sale, sell, pledge, or otherwise dispose of (or enter into any transaction or device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6"/>
          <w:szCs w:val="16"/>
          <w:b w:val="1"/>
          <w:bCs w:val="1"/>
          <w:color w:val="auto"/>
        </w:rPr>
        <w:t>Existing Plans</w:t>
      </w:r>
      <w:r>
        <w:rPr>
          <w:rFonts w:ascii="Arial" w:cs="Arial" w:eastAsia="Arial" w:hAnsi="Arial"/>
          <w:sz w:val="16"/>
          <w:szCs w:val="16"/>
          <w:color w:val="auto"/>
        </w:rPr>
        <w:t xml:space="preserve">”) or upon exercise of currently outstanding options, warrants or rights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 (A) or (B) above is to be settled by delivery of Ordinary Shares or other securities, in cash or otherwise,</w:t>
      </w:r>
    </w:p>
    <w:p>
      <w:pPr>
        <w:spacing w:after="0" w:line="4" w:lineRule="exact"/>
        <w:rPr>
          <w:rFonts w:ascii="Arial" w:cs="Arial" w:eastAsia="Arial" w:hAnsi="Arial"/>
          <w:sz w:val="16"/>
          <w:szCs w:val="16"/>
          <w:color w:val="auto"/>
        </w:rPr>
      </w:pPr>
    </w:p>
    <w:p>
      <w:pPr>
        <w:jc w:val="both"/>
        <w:ind w:left="180" w:firstLine="4"/>
        <w:spacing w:after="0" w:line="252" w:lineRule="auto"/>
        <w:tabs>
          <w:tab w:leader="none" w:pos="4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Citigroup Global Markets Inc., Barclays Capital Inc., Goldman Sachs &amp; Co. LLC and Morgan Stanley &amp; Co. LLC, on behalf of the Underwriters, and to cause each officer, director and shareholder of the Company set forth on Schedule II hereto to furnish to the Representatives, prior to the Initial Delivery Date, a letter or letters, substantially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80" w:firstLine="652"/>
        <w:spacing w:after="0" w:line="277" w:lineRule="auto"/>
        <w:tabs>
          <w:tab w:leader="none" w:pos="11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being sold by the Company substantially in accordance with the description as set forth in the Prospectus under the caption “Use of Proceeds.”</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3" w:lineRule="exact"/>
        <w:rPr>
          <w:rFonts w:ascii="Arial" w:cs="Arial" w:eastAsia="Arial" w:hAnsi="Arial"/>
          <w:sz w:val="18"/>
          <w:szCs w:val="18"/>
          <w:color w:val="auto"/>
        </w:rPr>
      </w:pPr>
    </w:p>
    <w:p>
      <w:pPr>
        <w:ind w:left="180" w:firstLine="652"/>
        <w:spacing w:after="0" w:line="342" w:lineRule="auto"/>
        <w:tabs>
          <w:tab w:leader="none" w:pos="1243"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p>
      <w:pPr>
        <w:jc w:val="both"/>
        <w:ind w:left="4" w:firstLine="644"/>
        <w:spacing w:after="0" w:line="293" w:lineRule="auto"/>
        <w:tabs>
          <w:tab w:leader="none" w:pos="91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64" w:lineRule="exact"/>
        <w:rPr>
          <w:rFonts w:ascii="Arial" w:cs="Arial" w:eastAsia="Arial" w:hAnsi="Arial"/>
          <w:sz w:val="16"/>
          <w:szCs w:val="16"/>
          <w:color w:val="auto"/>
        </w:rPr>
      </w:pPr>
    </w:p>
    <w:p>
      <w:pPr>
        <w:jc w:val="both"/>
        <w:ind w:left="4" w:firstLine="644"/>
        <w:spacing w:after="0" w:line="269" w:lineRule="auto"/>
        <w:tabs>
          <w:tab w:leader="none" w:pos="918"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Underwriter severally agrees that, it will not offer any Shares to offerees in Israel, other than to investors listed in the First Addendum to the Israeli Securities Law (the “</w:t>
      </w:r>
      <w:r>
        <w:rPr>
          <w:rFonts w:ascii="Arial" w:cs="Arial" w:eastAsia="Arial" w:hAnsi="Arial"/>
          <w:sz w:val="17"/>
          <w:szCs w:val="17"/>
          <w:b w:val="1"/>
          <w:bCs w:val="1"/>
          <w:color w:val="auto"/>
        </w:rPr>
        <w:t>Addendum</w:t>
      </w:r>
      <w:r>
        <w:rPr>
          <w:rFonts w:ascii="Arial" w:cs="Arial" w:eastAsia="Arial" w:hAnsi="Arial"/>
          <w:sz w:val="17"/>
          <w:szCs w:val="17"/>
          <w:color w:val="auto"/>
        </w:rPr>
        <w:t>”) as set forth in this Section 6(c). The Company acknowledges, understands and agrees that Shares may be sold in Israel only by the Underwriters and only to such Israeli investors listed in the Addendum; all of whom are to be specifically identified and approved by the Underwriters, and provided further that as a prerequisite to the sale of Shares by the Underwriters to such Israeli investors, each of them shall be required to submit written confirmation to the Underwriters and the Company that such investor (i) falls within the scope of the Addendum, is aware of the consequences of falling within the scope of the Addendum and agrees to the foregoing; and (ii) is acquiring the Shares being offered to it for investment for its own account or, if applicable, for investment for clients who fall within the scope of the Addendum and in any event not as a nominee, market maker or agent and not with a view to, or for the resale in connection with, any distribution thereof. The Underwriters and the Company acknowledge and agree that any failure to comply with the above procedure may result in a violation of the Israeli Securities Law.</w:t>
      </w:r>
    </w:p>
    <w:p>
      <w:pPr>
        <w:spacing w:after="0" w:line="185" w:lineRule="exact"/>
        <w:rPr>
          <w:rFonts w:ascii="Arial" w:cs="Arial" w:eastAsia="Arial" w:hAnsi="Arial"/>
          <w:sz w:val="17"/>
          <w:szCs w:val="17"/>
          <w:color w:val="auto"/>
        </w:rPr>
      </w:pPr>
    </w:p>
    <w:p>
      <w:pPr>
        <w:ind w:left="4" w:firstLine="644"/>
        <w:spacing w:after="0" w:line="277" w:lineRule="auto"/>
        <w:tabs>
          <w:tab w:leader="none" w:pos="931"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Company agrees and each Underwriter severally agrees to comply with the further agreements set forth in Section (a)(1) of </w:t>
      </w:r>
      <w:r>
        <w:rPr>
          <w:rFonts w:ascii="Arial" w:cs="Arial" w:eastAsia="Arial" w:hAnsi="Arial"/>
          <w:sz w:val="18"/>
          <w:szCs w:val="18"/>
          <w:b w:val="1"/>
          <w:bCs w:val="1"/>
          <w:color w:val="auto"/>
        </w:rPr>
        <w:t xml:space="preserve">Annex A </w:t>
      </w:r>
      <w:r>
        <w:rPr>
          <w:rFonts w:ascii="Arial" w:cs="Arial" w:eastAsia="Arial" w:hAnsi="Arial"/>
          <w:sz w:val="18"/>
          <w:szCs w:val="18"/>
          <w:color w:val="auto"/>
        </w:rPr>
        <w:t>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Further Agreements of the Selling Shareholder. </w:t>
      </w:r>
      <w:r>
        <w:rPr>
          <w:rFonts w:ascii="Arial" w:cs="Arial" w:eastAsia="Arial" w:hAnsi="Arial"/>
          <w:sz w:val="18"/>
          <w:szCs w:val="18"/>
          <w:color w:val="auto"/>
        </w:rPr>
        <w:t>The Selling Shareholder agrees:</w:t>
      </w:r>
    </w:p>
    <w:p>
      <w:pPr>
        <w:spacing w:after="0" w:line="225" w:lineRule="exact"/>
        <w:rPr>
          <w:rFonts w:ascii="Arial" w:cs="Arial" w:eastAsia="Arial" w:hAnsi="Arial"/>
          <w:sz w:val="18"/>
          <w:szCs w:val="18"/>
          <w:color w:val="auto"/>
        </w:rPr>
      </w:pPr>
    </w:p>
    <w:p>
      <w:pPr>
        <w:ind w:left="4" w:right="20" w:firstLine="644"/>
        <w:spacing w:after="0" w:line="277" w:lineRule="auto"/>
        <w:tabs>
          <w:tab w:leader="none" w:pos="9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To execute and deliver to Citigroup Global Markets Inc., Barclays Capital Inc., Goldman Sachs &amp; Co. LLC and Morgan Stanley &amp; Co. LLC a lock-up agreement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94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deliver to the Representatives prior to the Initial Delivery Date a properly completed and executed United States Treasury Department Form W-8 (if the Selling Shareholder is a non-United States person) or Form W-9 (if the Selling Shareholder is a United States person).</w:t>
      </w:r>
    </w:p>
    <w:p>
      <w:pPr>
        <w:spacing w:after="0" w:line="183" w:lineRule="exact"/>
        <w:rPr>
          <w:rFonts w:ascii="Arial" w:cs="Arial" w:eastAsia="Arial" w:hAnsi="Arial"/>
          <w:sz w:val="18"/>
          <w:szCs w:val="18"/>
          <w:color w:val="auto"/>
        </w:rPr>
      </w:pPr>
    </w:p>
    <w:p>
      <w:pPr>
        <w:jc w:val="both"/>
        <w:ind w:left="4" w:right="20" w:firstLine="644"/>
        <w:spacing w:after="0" w:line="263" w:lineRule="auto"/>
        <w:tabs>
          <w:tab w:leader="none" w:pos="8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3" w:lineRule="exact"/>
        <w:rPr>
          <w:rFonts w:ascii="Arial" w:cs="Arial" w:eastAsia="Arial" w:hAnsi="Arial"/>
          <w:sz w:val="18"/>
          <w:szCs w:val="18"/>
          <w:color w:val="auto"/>
        </w:rPr>
      </w:pPr>
    </w:p>
    <w:p>
      <w:pPr>
        <w:jc w:val="both"/>
        <w:ind w:left="4" w:firstLine="644"/>
        <w:spacing w:after="0" w:line="263" w:lineRule="auto"/>
        <w:tabs>
          <w:tab w:leader="none" w:pos="9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will do and perform all things required or necessary to be done and performed under this Agreement by the Selling Shareholder prior to each Delivery Date, and to satisfy all conditions precedent to the Underwriters’ obligations hereunder to purchase the Shares.</w:t>
      </w:r>
    </w:p>
    <w:p>
      <w:pPr>
        <w:spacing w:after="0" w:line="183" w:lineRule="exact"/>
        <w:rPr>
          <w:rFonts w:ascii="Arial" w:cs="Arial" w:eastAsia="Arial" w:hAnsi="Arial"/>
          <w:sz w:val="18"/>
          <w:szCs w:val="18"/>
          <w:color w:val="auto"/>
        </w:rPr>
      </w:pPr>
    </w:p>
    <w:p>
      <w:pPr>
        <w:ind w:left="4" w:firstLine="644"/>
        <w:spacing w:after="0" w:line="277" w:lineRule="auto"/>
        <w:tabs>
          <w:tab w:leader="none" w:pos="8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acknowledges, understands and agrees that Shares may be sold in Israel only by the Underwriters and only to such Israeli investors listed in the Addendum as set forth in Section 6(c).</w:t>
      </w:r>
    </w:p>
    <w:p>
      <w:pPr>
        <w:spacing w:after="0" w:line="170" w:lineRule="exact"/>
        <w:rPr>
          <w:rFonts w:ascii="Arial" w:cs="Arial" w:eastAsia="Arial" w:hAnsi="Arial"/>
          <w:sz w:val="18"/>
          <w:szCs w:val="18"/>
          <w:color w:val="auto"/>
        </w:rPr>
      </w:pPr>
    </w:p>
    <w:p>
      <w:pPr>
        <w:ind w:left="4" w:firstLine="644"/>
        <w:spacing w:after="0" w:line="277" w:lineRule="auto"/>
        <w:tabs>
          <w:tab w:leader="none" w:pos="883"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Selling Shareholder acknowledges, understands and agrees to the further representations and warranties and agreements set forth in Sections (b)(1) through (b)(4) on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hereto.</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8" w:name="page29"/>
    <w:bookmarkEnd w:id="28"/>
    <w:p>
      <w:pPr>
        <w:jc w:val="both"/>
        <w:ind w:firstLine="656"/>
        <w:spacing w:after="0" w:line="267" w:lineRule="auto"/>
        <w:tabs>
          <w:tab w:leader="none" w:pos="85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The Company agrees, whether or not the transactions contemplated by this Agreement are consummated or this Agreement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to pay all expenses, costs, fees and taxes incident to and in connection with (a) the authorization, issuance, sale and delivery of the Shares and any stamp duties or other taxes payable in that connection, in each case with respect to, with the Shares to be sold by the Company,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Shares; (e) the listing of the Shares on The Nasdaq Global Select Market and/or any other exchange; (f) the qualification of the Shares under the securities laws of the several jurisdictions as provided in Section 6(a)(ix) and the preparation, printing and distribution of a Blue Sky Memorandum (including related fees and expenses of counsel to the Underwriters, which shall not exceed $15,000); (g)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(h) all other costs and expenses incident to the performance of the obligations of the Company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provided in this Section 8 and in Section 13,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 Except as otherwise agreed with the Company, the Selling Shareholder agrees to pay all costs and expenses incident to the performance of the obligations of the Selling Shareholder under this Agreement.</w:t>
      </w:r>
    </w:p>
    <w:p>
      <w:pPr>
        <w:spacing w:after="0" w:line="186" w:lineRule="exact"/>
        <w:rPr>
          <w:rFonts w:ascii="Arial" w:cs="Arial" w:eastAsia="Arial" w:hAnsi="Arial"/>
          <w:sz w:val="17"/>
          <w:szCs w:val="17"/>
          <w:color w:val="auto"/>
        </w:rPr>
      </w:pPr>
    </w:p>
    <w:p>
      <w:pPr>
        <w:jc w:val="both"/>
        <w:ind w:firstLine="656"/>
        <w:spacing w:after="0" w:line="286" w:lineRule="auto"/>
        <w:tabs>
          <w:tab w:leader="none" w:pos="828"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Conditions of Underwriters’ Obligations</w:t>
      </w:r>
      <w:r>
        <w:rPr>
          <w:rFonts w:ascii="Arial" w:cs="Arial" w:eastAsia="Arial" w:hAnsi="Arial"/>
          <w:sz w:val="17"/>
          <w:szCs w:val="17"/>
          <w:color w:val="auto"/>
        </w:rPr>
        <w:t>. The respective obligations of the Underwriters hereunder are subject to the accuracy, when made and</w:t>
      </w:r>
      <w:r>
        <w:rPr>
          <w:rFonts w:ascii="Arial" w:cs="Arial" w:eastAsia="Arial" w:hAnsi="Arial"/>
          <w:sz w:val="17"/>
          <w:szCs w:val="17"/>
          <w:i w:val="1"/>
          <w:iCs w:val="1"/>
          <w:color w:val="auto"/>
        </w:rPr>
        <w:t xml:space="preserve"> </w:t>
      </w:r>
      <w:r>
        <w:rPr>
          <w:rFonts w:ascii="Arial" w:cs="Arial" w:eastAsia="Arial" w:hAnsi="Arial"/>
          <w:sz w:val="17"/>
          <w:szCs w:val="17"/>
          <w:color w:val="auto"/>
        </w:rPr>
        <w:t>on each Delivery Date, of the representations and warranties of the Company and the Selling Shareholder contained herein, to the performance by the Company and the Selling Shareholder of their respective obligations hereunder, and to each of the following additional terms and conditions:</w:t>
      </w:r>
    </w:p>
    <w:p>
      <w:pPr>
        <w:spacing w:after="0" w:line="165" w:lineRule="exact"/>
        <w:rPr>
          <w:rFonts w:ascii="Arial" w:cs="Arial" w:eastAsia="Arial" w:hAnsi="Arial"/>
          <w:sz w:val="17"/>
          <w:szCs w:val="17"/>
          <w:color w:val="auto"/>
        </w:rPr>
      </w:pPr>
    </w:p>
    <w:p>
      <w:pPr>
        <w:jc w:val="both"/>
        <w:ind w:left="660" w:firstLine="644"/>
        <w:spacing w:after="0" w:line="272" w:lineRule="auto"/>
        <w:tabs>
          <w:tab w:leader="none" w:pos="1583"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Prospectus shall have been timely filed with the Commission in accordance with Section 6(a)(i).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left="-460" w:firstLine="644"/>
        <w:spacing w:after="0" w:line="259" w:lineRule="auto"/>
        <w:tabs>
          <w:tab w:leader="none" w:pos="4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left="-460" w:firstLine="644"/>
        <w:spacing w:after="0" w:line="257" w:lineRule="auto"/>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and the Selling Shareholder shall have furnished to such counsel all documents and information that they may reasonably request to enable them to pass upon such matters.</w:t>
      </w:r>
    </w:p>
    <w:p>
      <w:pPr>
        <w:spacing w:after="0" w:line="187" w:lineRule="exact"/>
        <w:rPr>
          <w:rFonts w:ascii="Arial" w:cs="Arial" w:eastAsia="Arial" w:hAnsi="Arial"/>
          <w:sz w:val="18"/>
          <w:szCs w:val="18"/>
          <w:color w:val="auto"/>
        </w:rPr>
      </w:pPr>
    </w:p>
    <w:p>
      <w:pPr>
        <w:ind w:left="-460" w:firstLine="644"/>
        <w:spacing w:after="0" w:line="342" w:lineRule="auto"/>
        <w:tabs>
          <w:tab w:leader="none" w:pos="4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White &amp; Case LLP shall have furnished to the Representatives its written opinion and negative assurance letter, as U.S. counsel to the Company, addressed to the Underwriters and dated such Delivery Date, in form and substance reasonably satisfactory to the Representatives.</w:t>
      </w:r>
    </w:p>
    <w:p>
      <w:pPr>
        <w:spacing w:after="0" w:line="123" w:lineRule="exact"/>
        <w:rPr>
          <w:rFonts w:ascii="Arial" w:cs="Arial" w:eastAsia="Arial" w:hAnsi="Arial"/>
          <w:sz w:val="16"/>
          <w:szCs w:val="16"/>
          <w:color w:val="auto"/>
        </w:rPr>
      </w:pPr>
    </w:p>
    <w:p>
      <w:pPr>
        <w:ind w:left="-460" w:firstLine="644"/>
        <w:spacing w:after="0" w:line="277" w:lineRule="auto"/>
        <w:tabs>
          <w:tab w:leader="none" w:pos="4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Meitar Law Offices shall have furnished to the Representatives its written opinion, as Israeli counsel to the Company, addressed to the Underwriters and dated such Delivery Date, in form and substance reasonably satisfactory to the Representatives.</w:t>
      </w:r>
    </w:p>
    <w:p>
      <w:pPr>
        <w:spacing w:after="0" w:line="170" w:lineRule="exact"/>
        <w:rPr>
          <w:rFonts w:ascii="Arial" w:cs="Arial" w:eastAsia="Arial" w:hAnsi="Arial"/>
          <w:sz w:val="18"/>
          <w:szCs w:val="18"/>
          <w:color w:val="auto"/>
        </w:rPr>
      </w:pPr>
    </w:p>
    <w:p>
      <w:pPr>
        <w:ind w:left="-460" w:right="20" w:firstLine="644"/>
        <w:spacing w:after="0" w:line="342" w:lineRule="auto"/>
        <w:tabs>
          <w:tab w:leader="none" w:pos="451" w:val="left"/>
        </w:tabs>
        <w:numPr>
          <w:ilvl w:val="0"/>
          <w:numId w:val="35"/>
        </w:numPr>
        <w:rPr>
          <w:rFonts w:ascii="Arial" w:cs="Arial" w:eastAsia="Arial" w:hAnsi="Arial"/>
          <w:sz w:val="16"/>
          <w:szCs w:val="16"/>
          <w:color w:val="auto"/>
        </w:rPr>
      </w:pPr>
      <w:r>
        <w:rPr>
          <w:rFonts w:ascii="Arial" w:cs="Arial" w:eastAsia="Arial" w:hAnsi="Arial"/>
          <w:sz w:val="16"/>
          <w:szCs w:val="16"/>
          <w:color w:val="auto"/>
        </w:rPr>
        <w:t>Gibson, Dunn &amp; Crutcher LLP shall have furnished to the Representatives its written opinion, as U.S. counsel to the Selling Shareholder, addressed to the Underwriters and dated such Delivery Date, in form and substance reasonably satisfactory to the Representatives.</w:t>
      </w:r>
    </w:p>
    <w:p>
      <w:pPr>
        <w:spacing w:after="0" w:line="123" w:lineRule="exact"/>
        <w:rPr>
          <w:rFonts w:ascii="Arial" w:cs="Arial" w:eastAsia="Arial" w:hAnsi="Arial"/>
          <w:sz w:val="16"/>
          <w:szCs w:val="16"/>
          <w:color w:val="auto"/>
        </w:rPr>
      </w:pPr>
    </w:p>
    <w:p>
      <w:pPr>
        <w:ind w:left="-460" w:right="20" w:firstLine="644"/>
        <w:spacing w:after="0" w:line="342" w:lineRule="auto"/>
        <w:tabs>
          <w:tab w:leader="none" w:pos="4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Saltzman Mugan Dushoff, LLC shall have furnished to the Representatives its written opinion, as Nevada counsel to the Selling Shareholder, addressed to the Underwriters and dated such Delivery Date, in form and substance reasonably satisfactory to the Representatives.</w:t>
      </w:r>
    </w:p>
    <w:p>
      <w:pPr>
        <w:spacing w:after="0" w:line="123" w:lineRule="exact"/>
        <w:rPr>
          <w:rFonts w:ascii="Arial" w:cs="Arial" w:eastAsia="Arial" w:hAnsi="Arial"/>
          <w:sz w:val="16"/>
          <w:szCs w:val="16"/>
          <w:color w:val="auto"/>
        </w:rPr>
      </w:pPr>
    </w:p>
    <w:p>
      <w:pPr>
        <w:jc w:val="both"/>
        <w:ind w:left="-460" w:firstLine="644"/>
        <w:spacing w:after="0" w:line="257" w:lineRule="auto"/>
        <w:tabs>
          <w:tab w:leader="none" w:pos="4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Representatives shall have received from Skadden, Arps, Slate, Meagher &amp; Flom LLP, as U.S. counsel to the Underwriters, its written opinion and negative assurance letter,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Representatives shall have received from Gornitzky &amp; Co., as Israeli counsel to the Underwriters, its written opinion,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jc w:val="both"/>
        <w:ind w:left="4" w:firstLine="644"/>
        <w:spacing w:after="0" w:line="291" w:lineRule="auto"/>
        <w:tabs>
          <w:tab w:leader="none" w:pos="869" w:val="left"/>
        </w:tabs>
        <w:numPr>
          <w:ilvl w:val="1"/>
          <w:numId w:val="36"/>
        </w:numPr>
        <w:rPr>
          <w:rFonts w:ascii="Arial" w:cs="Arial" w:eastAsia="Arial" w:hAnsi="Arial"/>
          <w:sz w:val="16"/>
          <w:szCs w:val="16"/>
          <w:color w:val="auto"/>
        </w:rPr>
      </w:pPr>
      <w:r>
        <w:rPr>
          <w:rFonts w:ascii="Arial" w:cs="Arial" w:eastAsia="Arial" w:hAnsi="Arial"/>
          <w:sz w:val="16"/>
          <w:szCs w:val="16"/>
          <w:color w:val="auto"/>
        </w:rPr>
        <w:t>At the time of execution of this Agreement, the Representatives shall have received from Kost Forer Gabbay &amp; Kasierer, a member of Ernst &amp; Young Global, a letter, in form and substance satisfactory to the Representatives, addressed to the Underwriters and dated the date hereof</w:t>
      </w:r>
    </w:p>
    <w:p>
      <w:pPr>
        <w:jc w:val="both"/>
        <w:ind w:left="4" w:hanging="4"/>
        <w:spacing w:after="0" w:line="252" w:lineRule="auto"/>
        <w:tabs>
          <w:tab w:leader="none" w:pos="2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3" w:lineRule="exact"/>
        <w:rPr>
          <w:rFonts w:ascii="Arial" w:cs="Arial" w:eastAsia="Arial" w:hAnsi="Arial"/>
          <w:sz w:val="18"/>
          <w:szCs w:val="18"/>
          <w:color w:val="auto"/>
        </w:rPr>
      </w:pPr>
    </w:p>
    <w:p>
      <w:pPr>
        <w:jc w:val="both"/>
        <w:ind w:left="4" w:firstLine="644"/>
        <w:spacing w:after="0" w:line="270" w:lineRule="auto"/>
        <w:tabs>
          <w:tab w:leader="none" w:pos="908" w:val="left"/>
        </w:tabs>
        <w:numPr>
          <w:ilvl w:val="1"/>
          <w:numId w:val="37"/>
        </w:numPr>
        <w:rPr>
          <w:rFonts w:ascii="Arial" w:cs="Arial" w:eastAsia="Arial" w:hAnsi="Arial"/>
          <w:sz w:val="17"/>
          <w:szCs w:val="17"/>
          <w:color w:val="auto"/>
        </w:rPr>
      </w:pPr>
      <w:r>
        <w:rPr>
          <w:rFonts w:ascii="Arial" w:cs="Arial" w:eastAsia="Arial" w:hAnsi="Arial"/>
          <w:sz w:val="17"/>
          <w:szCs w:val="17"/>
          <w:color w:val="auto"/>
        </w:rPr>
        <w:t>With respect to the letter of Kost Forer Gabbay &amp; Kasierer, a member of Ernst &amp; Young Global referred to in the preceding paragraph and delivered to the Representatives concurrently with the execution of this Agreement (the “</w:t>
      </w:r>
      <w:r>
        <w:rPr>
          <w:rFonts w:ascii="Arial" w:cs="Arial" w:eastAsia="Arial" w:hAnsi="Arial"/>
          <w:sz w:val="17"/>
          <w:szCs w:val="17"/>
          <w:b w:val="1"/>
          <w:bCs w:val="1"/>
          <w:color w:val="auto"/>
        </w:rPr>
        <w:t>initial letter</w:t>
      </w:r>
      <w:r>
        <w:rPr>
          <w:rFonts w:ascii="Arial" w:cs="Arial" w:eastAsia="Arial" w:hAnsi="Arial"/>
          <w:sz w:val="17"/>
          <w:szCs w:val="17"/>
          <w:color w:val="auto"/>
        </w:rPr>
        <w:t>”), the Company shall have furnished to the Representatives a letter (the “</w:t>
      </w:r>
      <w:r>
        <w:rPr>
          <w:rFonts w:ascii="Arial" w:cs="Arial" w:eastAsia="Arial" w:hAnsi="Arial"/>
          <w:sz w:val="17"/>
          <w:szCs w:val="17"/>
          <w:b w:val="1"/>
          <w:bCs w:val="1"/>
          <w:color w:val="auto"/>
        </w:rPr>
        <w:t>bring-down letter</w:t>
      </w:r>
      <w:r>
        <w:rPr>
          <w:rFonts w:ascii="Arial" w:cs="Arial" w:eastAsia="Arial" w:hAnsi="Arial"/>
          <w:sz w:val="17"/>
          <w:szCs w:val="17"/>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80" w:lineRule="exact"/>
        <w:rPr>
          <w:rFonts w:ascii="Arial" w:cs="Arial" w:eastAsia="Arial" w:hAnsi="Arial"/>
          <w:sz w:val="17"/>
          <w:szCs w:val="17"/>
          <w:color w:val="auto"/>
        </w:rPr>
      </w:pPr>
    </w:p>
    <w:p>
      <w:pPr>
        <w:ind w:left="4" w:firstLine="644"/>
        <w:spacing w:after="0" w:line="308" w:lineRule="auto"/>
        <w:tabs>
          <w:tab w:leader="none" w:pos="867"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146" w:lineRule="exact"/>
        <w:rPr>
          <w:rFonts w:ascii="Arial" w:cs="Arial" w:eastAsia="Arial" w:hAnsi="Arial"/>
          <w:sz w:val="17"/>
          <w:szCs w:val="17"/>
          <w:color w:val="auto"/>
        </w:rPr>
      </w:pPr>
    </w:p>
    <w:p>
      <w:pPr>
        <w:jc w:val="both"/>
        <w:ind w:left="644" w:firstLine="652"/>
        <w:spacing w:after="0" w:line="263" w:lineRule="auto"/>
        <w:tabs>
          <w:tab w:leader="none" w:pos="153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83" w:lineRule="exact"/>
        <w:rPr>
          <w:rFonts w:ascii="Arial" w:cs="Arial" w:eastAsia="Arial" w:hAnsi="Arial"/>
          <w:sz w:val="18"/>
          <w:szCs w:val="18"/>
          <w:color w:val="auto"/>
        </w:rPr>
      </w:pPr>
    </w:p>
    <w:p>
      <w:pPr>
        <w:jc w:val="both"/>
        <w:ind w:left="644" w:firstLine="652"/>
        <w:spacing w:after="0" w:line="311" w:lineRule="auto"/>
        <w:tabs>
          <w:tab w:leader="none" w:pos="159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w:t>
      </w:r>
    </w:p>
    <w:p>
      <w:pPr>
        <w:spacing w:after="0" w:line="3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1" w:name="page32"/>
    <w:bookmarkEnd w:id="31"/>
    <w:p>
      <w:pPr>
        <w:jc w:val="both"/>
        <w:ind w:left="180" w:firstLine="652"/>
        <w:spacing w:after="0" w:line="272" w:lineRule="auto"/>
        <w:tabs>
          <w:tab w:leader="none" w:pos="1173"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That they have examined the Registration Statement, the Prospectus and the Pricing Disclosure Package, and, in their opinion, (A)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77" w:lineRule="exact"/>
        <w:rPr>
          <w:rFonts w:ascii="Arial" w:cs="Arial" w:eastAsia="Arial" w:hAnsi="Arial"/>
          <w:sz w:val="17"/>
          <w:szCs w:val="17"/>
          <w:color w:val="auto"/>
        </w:rPr>
      </w:pPr>
    </w:p>
    <w:p>
      <w:pPr>
        <w:ind w:left="1160" w:hanging="328"/>
        <w:spacing w:after="0"/>
        <w:tabs>
          <w:tab w:leader="none" w:pos="11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the effect of Section 9(n) (provided that no representation with respect to the judgment of the Representatives need be</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210" w:lineRule="exact"/>
        <w:rPr>
          <w:rFonts w:ascii="Arial" w:cs="Arial" w:eastAsia="Arial" w:hAnsi="Arial"/>
          <w:sz w:val="16"/>
          <w:szCs w:val="16"/>
          <w:color w:val="auto"/>
        </w:rPr>
      </w:pPr>
    </w:p>
    <w:p>
      <w:pPr>
        <w:jc w:val="both"/>
        <w:ind w:left="-460" w:firstLine="644"/>
        <w:spacing w:after="0" w:line="301" w:lineRule="auto"/>
        <w:tabs>
          <w:tab w:leader="none" w:pos="5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Selling Shareholder shall have furnished to the Representatives on the Delivery Date a certificate, dated such Delivery Date, signed by, or on behalf of, the Selling Shareholder stating that the representations, warranties and agreements of the Selling Shareholder contained herein are true and correct on and as of such Delivery Date and that the Selling Shareholder has complied with all its agreements contained herein and has satisfied all the conditions on its part to be performed or satisfied hereunder at or prior to such Delivery Date.</w:t>
      </w:r>
    </w:p>
    <w:p>
      <w:pPr>
        <w:spacing w:after="0" w:line="157" w:lineRule="exact"/>
        <w:rPr>
          <w:rFonts w:ascii="Arial" w:cs="Arial" w:eastAsia="Arial" w:hAnsi="Arial"/>
          <w:sz w:val="16"/>
          <w:szCs w:val="16"/>
          <w:color w:val="auto"/>
        </w:rPr>
      </w:pPr>
    </w:p>
    <w:p>
      <w:pPr>
        <w:jc w:val="both"/>
        <w:ind w:left="-460" w:firstLine="644"/>
        <w:spacing w:after="0" w:line="289" w:lineRule="auto"/>
        <w:tabs>
          <w:tab w:leader="none" w:pos="4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or incorporated by reference in the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660" w:firstLine="644"/>
        <w:spacing w:after="0" w:line="286" w:lineRule="auto"/>
        <w:tabs>
          <w:tab w:leader="none" w:pos="15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173" w:lineRule="exact"/>
        <w:rPr>
          <w:rFonts w:ascii="Arial" w:cs="Arial" w:eastAsia="Arial" w:hAnsi="Arial"/>
          <w:sz w:val="16"/>
          <w:szCs w:val="16"/>
          <w:color w:val="auto"/>
        </w:rPr>
      </w:pPr>
    </w:p>
    <w:p>
      <w:pPr>
        <w:ind w:left="660" w:firstLine="644"/>
        <w:spacing w:after="0" w:line="277" w:lineRule="auto"/>
        <w:tabs>
          <w:tab w:leader="none" w:pos="15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Nasdaq Global Select Market shall have approved the Shares for listing, subject only to official notice of issuance and evidence of satisfactory distribution.</w:t>
      </w:r>
    </w:p>
    <w:p>
      <w:pPr>
        <w:spacing w:after="0" w:line="170" w:lineRule="exact"/>
        <w:rPr>
          <w:rFonts w:ascii="Arial" w:cs="Arial" w:eastAsia="Arial" w:hAnsi="Arial"/>
          <w:sz w:val="18"/>
          <w:szCs w:val="18"/>
          <w:color w:val="auto"/>
        </w:rPr>
      </w:pPr>
    </w:p>
    <w:p>
      <w:pPr>
        <w:ind w:left="660" w:firstLine="644"/>
        <w:spacing w:after="0" w:line="308" w:lineRule="auto"/>
        <w:tabs>
          <w:tab w:leader="none" w:pos="159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146" w:lineRule="exact"/>
        <w:rPr>
          <w:rFonts w:ascii="Arial" w:cs="Arial" w:eastAsia="Arial" w:hAnsi="Arial"/>
          <w:sz w:val="17"/>
          <w:szCs w:val="17"/>
          <w:color w:val="auto"/>
        </w:rPr>
      </w:pPr>
    </w:p>
    <w:p>
      <w:pPr>
        <w:ind w:left="660" w:firstLine="644"/>
        <w:spacing w:after="0" w:line="277" w:lineRule="auto"/>
        <w:tabs>
          <w:tab w:leader="none" w:pos="15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Underwriters such further certificates and documents as the Representatives may reasonably request.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4"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hereby agrees to indemnify and hold harmless each Underwriter, its affiliates, directors, officers, employees and agents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6"/>
          <w:szCs w:val="16"/>
          <w:b w:val="1"/>
          <w:b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10(f). The foregoing indemnity agreement is in addition to any liability which the Company may otherwise have to any Underwriter or to any affiliate, director, officer, agent, employee or controlling person of that Underwriter.</w:t>
      </w:r>
    </w:p>
    <w:p>
      <w:pPr>
        <w:spacing w:after="0" w:line="169" w:lineRule="exact"/>
        <w:rPr>
          <w:rFonts w:ascii="Arial" w:cs="Arial" w:eastAsia="Arial" w:hAnsi="Arial"/>
          <w:sz w:val="16"/>
          <w:szCs w:val="16"/>
          <w:color w:val="auto"/>
        </w:rPr>
      </w:pPr>
    </w:p>
    <w:p>
      <w:pPr>
        <w:jc w:val="both"/>
        <w:ind w:left="4" w:firstLine="644"/>
        <w:spacing w:after="0" w:line="284" w:lineRule="auto"/>
        <w:tabs>
          <w:tab w:leader="none" w:pos="9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Selling Shareholder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Shareholder or used or referred to by the Selling Shareholder in connection with the offering of the Shares in violation of Section 7(c) being referred to as a “</w:t>
      </w:r>
      <w:r>
        <w:rPr>
          <w:rFonts w:ascii="Arial" w:cs="Arial" w:eastAsia="Arial" w:hAnsi="Arial"/>
          <w:sz w:val="16"/>
          <w:szCs w:val="16"/>
          <w:b w:val="1"/>
          <w:bCs w:val="1"/>
          <w:color w:val="auto"/>
        </w:rPr>
        <w:t>Selling Shareholder Free Writing Prospectus</w:t>
      </w:r>
      <w:r>
        <w:rPr>
          <w:rFonts w:ascii="Arial" w:cs="Arial" w:eastAsia="Arial" w:hAnsi="Arial"/>
          <w:sz w:val="16"/>
          <w:szCs w:val="16"/>
          <w:color w:val="auto"/>
        </w:rPr>
        <w:t xml:space="preserve">”),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Shareholder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Selling Shareholder shall be liable under this Section 10(b) only to the extent that any such loss, claim, damage, liability or action arises out of, or is based upon, any untrue statement or alleged untrue statement or omission or alleged omission made in a Preliminary Prospectus, the Registration Statement, the Prospectus, an Issuer Free Writing Prospectus or in any amendment or supplement thereto, a Permitted Issuer Information, any Marketing Materials, a Blue Sky Application or a Selling Shareholder Free Writing Prospectus in reliance upon and in conformity with information relating to the Selling Shareholder furnished in writing to the Company by or on behalf of the Selling Shareholder expressly for use in the Preliminary Prospectus, Registration Statement, Prospectus, Issuer Free Writing Prospectus or amendment or supplement thereto, Permitted Issuer Information, Marketing Materials, Blue Sky Application or Selling Shareholder Free Writing Prospectus (as applicable), it being understood that the information furnished by the Selling Shareholder consists only of the statements contained with respect to the Selling Shareholder under the caption “Selling shareholder” (without regard to any information 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4" w:name="page35"/>
    <w:bookmarkEnd w:id="34"/>
    <w:p>
      <w:pPr>
        <w:jc w:val="both"/>
        <w:ind w:left="-460" w:firstLine="644"/>
        <w:spacing w:after="0" w:line="268" w:lineRule="auto"/>
        <w:tabs>
          <w:tab w:leader="none" w:pos="4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directors, officers, employees and agents, the Selling Shareholder, its respective directors, officers, employees and agents (as applicable), and each person, if any, who controls the Company or the Selling Shareholder (as applicable) within the meaning of Section 15 of the Securities Act or Section 20 of the Exchange Act, from and against any loss, claim, damage or liability, joint or several, or any action in respect thereof, to which the Company or the Selling Shareholder or any such director, officer, employee, agent or controlling person (as applicable)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10(f). The foregoing indemnity agreement is in addition to any liability that any Underwriter may otherwise have to the Company, the Selling Shareholder or any such director, officer, employee or controlling person.</w:t>
      </w:r>
    </w:p>
    <w:p>
      <w:pPr>
        <w:spacing w:after="0" w:line="181" w:lineRule="exact"/>
        <w:rPr>
          <w:rFonts w:ascii="Arial" w:cs="Arial" w:eastAsia="Arial" w:hAnsi="Arial"/>
          <w:sz w:val="17"/>
          <w:szCs w:val="17"/>
          <w:color w:val="auto"/>
        </w:rPr>
      </w:pPr>
    </w:p>
    <w:p>
      <w:pPr>
        <w:jc w:val="both"/>
        <w:ind w:left="-460" w:firstLine="644"/>
        <w:spacing w:after="0" w:line="283"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any claim or the commencement of any action, the indemnified party shall, if a claim in respect thereof is to be made against the indemnifying party under this Section 10, notify the indemnifying party in writing of the claim or the commencement of that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10 except to the extent it has been materially prejudiced (through the forfeiture of substantive rights and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party shall not relieve it from any liability which it may have to an indemnified party otherwise than under this Section 10.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10 for any legal or other expenses subsequently incurred by the indemnified party in connection with the defense thereof other than reasonable costs of investigation; provided, however,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10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10(a) or 10(b)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left="4" w:firstLine="644"/>
        <w:spacing w:after="0" w:line="284" w:lineRule="auto"/>
        <w:tabs>
          <w:tab w:leader="none" w:pos="926"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10 shall for any reason be unavailable to or insufficient to hold harmless an indemnified party under Section 10(a), 10(b) or 10(c)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Shareholder,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and the Selling Shareholder, on the one hand, and the Underwriters, on the other, with respect to the statements or omissions that resulted in such loss, claim, damage or liability, or action in respect thereof, as well as any other relevant equitable considerations. The relative benefits received by the Company and the Selling Shareholder, on the one hand, and the Underwriters, on the other, with respect to such offering shall be deemed to be in the same proportion as the total net proceeds from the offering of the Shares purchased under this Agreement (before deducting expenses) received by the Company and the Selling Shareholder,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the Selling Shareholder or the Underwriters, the intent of the parties and their relative knowledge, access to information and opportunity to correct or prevent such statement or omission. The Company, the Selling Shareholder and the Underwriters agree that it would not be just and equitable if contributions pursuant to this Section 10(e)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10(e) shall be deemed to include, for purposes of this Section 10(e), any legal or other expenses reasonably incurred by such indemnified party in connection with investigating or defending any such action or claim. Notwithstanding the provisions of this Section 10(e),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10(e) are several in proportion to their respective underwriting obligations and not joint.</w:t>
      </w:r>
    </w:p>
    <w:p>
      <w:pPr>
        <w:spacing w:after="0" w:line="385" w:lineRule="exact"/>
        <w:rPr>
          <w:rFonts w:ascii="Arial" w:cs="Arial" w:eastAsia="Arial" w:hAnsi="Arial"/>
          <w:sz w:val="16"/>
          <w:szCs w:val="16"/>
          <w:color w:val="auto"/>
        </w:rPr>
      </w:pPr>
    </w:p>
    <w:p>
      <w:pPr>
        <w:jc w:val="both"/>
        <w:ind w:left="4" w:firstLine="644"/>
        <w:spacing w:after="0" w:line="273" w:lineRule="auto"/>
        <w:tabs>
          <w:tab w:leader="none" w:pos="91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Underwriters severally confirm and the Company and the Selling Shareholder acknowledge and agree that the statements regarding delivery of the Shares by the Underwriters set forth on the cover page of, and the concession and reallowance figures and the paragraph relating to stabilization, short positions and penalty bids by the Underwriters appearing under the caption “Underwriting” in the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77" w:lineRule="exact"/>
        <w:rPr>
          <w:rFonts w:ascii="Arial" w:cs="Arial" w:eastAsia="Arial" w:hAnsi="Arial"/>
          <w:sz w:val="17"/>
          <w:szCs w:val="17"/>
          <w:color w:val="auto"/>
        </w:rPr>
      </w:pPr>
    </w:p>
    <w:p>
      <w:pPr>
        <w:jc w:val="both"/>
        <w:ind w:left="4" w:firstLine="644"/>
        <w:spacing w:after="0" w:line="311" w:lineRule="auto"/>
        <w:tabs>
          <w:tab w:leader="none" w:pos="91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aggregate liability of the Selling Shareholder under this Agreement and the transactions contemplated hereby shall be limited to an amount equal to the total gross proceeds from the offering of the Shares purchased under the Agreement received by the Selling Shareholder, as set forth in the table on the cover page of the Prospectus, after deduction of underwriting commissions and discounts.</w:t>
      </w:r>
    </w:p>
    <w:p>
      <w:pPr>
        <w:spacing w:after="0" w:line="148" w:lineRule="exact"/>
        <w:rPr>
          <w:rFonts w:ascii="Arial" w:cs="Arial" w:eastAsia="Arial" w:hAnsi="Arial"/>
          <w:sz w:val="16"/>
          <w:szCs w:val="16"/>
          <w:color w:val="auto"/>
        </w:rPr>
      </w:pPr>
    </w:p>
    <w:p>
      <w:pPr>
        <w:ind w:left="264" w:hanging="264"/>
        <w:spacing w:after="0"/>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6" w:lineRule="auto"/>
        <w:tabs>
          <w:tab w:leader="none" w:pos="907"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11, purchases Shares that a defaulting Underwriter agreed but failed to purchase.</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 w:name="page37"/>
    <w:bookmarkEnd w:id="36"/>
    <w:p>
      <w:pPr>
        <w:jc w:val="both"/>
        <w:ind w:left="660" w:firstLine="644"/>
        <w:spacing w:after="0" w:line="291" w:lineRule="auto"/>
        <w:tabs>
          <w:tab w:leader="none" w:pos="1582"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pro rata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non-defaulting Underwriters shall not be obligated to purchase more than 110% of the total number of Shares that it agreed to purchase on such Delivery Date pursuant to the terms of Section 3.</w:t>
      </w:r>
    </w:p>
    <w:p>
      <w:pPr>
        <w:spacing w:after="0" w:line="166" w:lineRule="exact"/>
        <w:rPr>
          <w:rFonts w:ascii="Arial" w:cs="Arial" w:eastAsia="Arial" w:hAnsi="Arial"/>
          <w:sz w:val="16"/>
          <w:szCs w:val="16"/>
          <w:color w:val="auto"/>
        </w:rPr>
      </w:pPr>
    </w:p>
    <w:p>
      <w:pPr>
        <w:jc w:val="both"/>
        <w:ind w:left="660" w:firstLine="644"/>
        <w:spacing w:after="0" w:line="293" w:lineRule="auto"/>
        <w:tabs>
          <w:tab w:leader="none" w:pos="157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Sections 8 and 13 and except that the provisions of Section 10 shall not terminate and shall remain in effect.</w:t>
      </w:r>
    </w:p>
    <w:p>
      <w:pPr>
        <w:spacing w:after="0" w:line="164" w:lineRule="exact"/>
        <w:rPr>
          <w:rFonts w:ascii="Arial" w:cs="Arial" w:eastAsia="Arial" w:hAnsi="Arial"/>
          <w:sz w:val="16"/>
          <w:szCs w:val="16"/>
          <w:color w:val="auto"/>
        </w:rPr>
      </w:pPr>
    </w:p>
    <w:p>
      <w:pPr>
        <w:ind w:left="660" w:right="20" w:firstLine="644"/>
        <w:spacing w:after="0" w:line="277" w:lineRule="auto"/>
        <w:tabs>
          <w:tab w:leader="none" w:pos="15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8"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obligations of the Underwriters hereunder may be terminated by the Representatives by notice given to and received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Selling Shareholder prior to delivery of and payment for the Firm Shares if, prior to that time, any of the events described in Sections 9(n) and 9(o) shall have occurred or if the Underwriters shall decline to purchase the Shares for any reason permitted under this Agreement.</w:t>
      </w:r>
    </w:p>
    <w:p>
      <w:pPr>
        <w:spacing w:after="0" w:line="165" w:lineRule="exact"/>
        <w:rPr>
          <w:rFonts w:ascii="Arial" w:cs="Arial" w:eastAsia="Arial" w:hAnsi="Arial"/>
          <w:sz w:val="17"/>
          <w:szCs w:val="17"/>
          <w:color w:val="auto"/>
        </w:rPr>
      </w:pPr>
    </w:p>
    <w:p>
      <w:pPr>
        <w:jc w:val="both"/>
        <w:ind w:firstLine="656"/>
        <w:spacing w:after="0" w:line="288" w:lineRule="auto"/>
        <w:tabs>
          <w:tab w:leader="none" w:pos="918"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Underwriters’ Expenses </w:t>
      </w:r>
      <w:r>
        <w:rPr>
          <w:rFonts w:ascii="Arial" w:cs="Arial" w:eastAsia="Arial" w:hAnsi="Arial"/>
          <w:sz w:val="16"/>
          <w:szCs w:val="16"/>
          <w:color w:val="auto"/>
        </w:rPr>
        <w:t>. If (a) the Company shall fail to tender the Shares for delivery to the Underwriters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or (b) the Underwriters shall decline to purchase the Shares for any reason permitted under this Agreement (other than due to the termination of this Agreement because of the failure of the Selling Shareholder to tender the Shares for delivery to the Underwriters),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If the Selling Shareholder shall fail to tender the Shares for delivery to the Underwriters for any reason, the Selling Shareholder will reimburse the Underwriters for all reasonable out-of-pocket expenses (including fees and disbursements of counsel for the Underwriters) incurred by the Underwriters in connection with this Agreement and the proposed purchase of the Shares, and upon demand the Selling Shareholder shall pay the full amount thereof to the Representatives. If this Agreement is terminated pursuant to Section 11 by reason of the default of one or more Underwriters, the Company and the Selling Shareholder shall not be obligated to reimburse any defaulting Underwriter on account of those expenses.</w:t>
      </w:r>
    </w:p>
    <w:p>
      <w:pPr>
        <w:spacing w:after="0" w:line="168" w:lineRule="exact"/>
        <w:rPr>
          <w:rFonts w:ascii="Arial" w:cs="Arial" w:eastAsia="Arial" w:hAnsi="Arial"/>
          <w:sz w:val="16"/>
          <w:szCs w:val="16"/>
          <w:color w:val="auto"/>
        </w:rPr>
      </w:pPr>
    </w:p>
    <w:p>
      <w:pPr>
        <w:jc w:val="both"/>
        <w:ind w:firstLine="656"/>
        <w:spacing w:after="0" w:line="288" w:lineRule="auto"/>
        <w:tabs>
          <w:tab w:leader="none" w:pos="918"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Research Analyst Independence</w:t>
      </w:r>
      <w:r>
        <w:rPr>
          <w:rFonts w:ascii="Arial" w:cs="Arial" w:eastAsia="Arial" w:hAnsi="Arial"/>
          <w:sz w:val="16"/>
          <w:szCs w:val="16"/>
          <w:color w:val="auto"/>
        </w:rPr>
        <w:t>. The Company acknowledges that the Underwriters’ research analysts and research departments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Shareholder hereby waive and release, to the fullest extent permitted by law, any claims that the Company or the Selling Shareholder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Shareholder by such Underwriters’ investment banking divisions. The Company and the Selling Shareholder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56"/>
        <w:spacing w:after="0" w:line="286" w:lineRule="auto"/>
        <w:tabs>
          <w:tab w:leader="none" w:pos="918"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No Fiduciary Duty</w:t>
      </w:r>
      <w:r>
        <w:rPr>
          <w:rFonts w:ascii="Arial" w:cs="Arial" w:eastAsia="Arial" w:hAnsi="Arial"/>
          <w:sz w:val="16"/>
          <w:szCs w:val="16"/>
          <w:color w:val="auto"/>
        </w:rPr>
        <w:t>. The Company and the Selling Shareholder acknowledge and agree that in connection with this offering, sale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the Selling Shareholder and any other person, on the one hand, and the Underwriters, on the other, exists; (b) the Underwriters are not acting as advisors, expert or otherwise and are not providing a recommendation or investment advice, to either the Company or the Selling Shareholder, including, without limitation, with respect to the determination of the public offering price of the Shares, and such relationship between the Company and the Selling Shareholder, on the one hand, and the Underwriters, on the other, is entirely and solely commercial, based on arms-length negotiations; (c) any duties and obligations that the Underwriters may have to the Company or the Selling Shareholder shall be limited to those duties and obligations specifically stated herein; and (d) the Underwriters and their respective affiliates may have interests that differ from those of the Company and the Selling Shareholder. The Company and the Selling Shareholder hereby (x) waive any claims that the Company or the Selling Shareholder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and the Selling Shareholder has consulted their own legal, accounting, financial, regulatory and tax advisors to the extent deemed appropriate.</w:t>
      </w:r>
    </w:p>
    <w:p>
      <w:pPr>
        <w:spacing w:after="0" w:line="170" w:lineRule="exact"/>
        <w:rPr>
          <w:rFonts w:ascii="Arial" w:cs="Arial" w:eastAsia="Arial" w:hAnsi="Arial"/>
          <w:sz w:val="16"/>
          <w:szCs w:val="16"/>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Notices, etc</w:t>
      </w:r>
      <w:r>
        <w:rPr>
          <w:rFonts w:ascii="Arial" w:cs="Arial" w:eastAsia="Arial" w:hAnsi="Arial"/>
          <w:sz w:val="18"/>
          <w:szCs w:val="18"/>
          <w:color w:val="auto"/>
        </w:rPr>
        <w:t>. All statements, requests, notices and agreements hereunder shall be in writing, and:</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91"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to the Underwriters, shall be delivered or sent by mail or facsimile transmission to (i) Citigroup Global Markets Inc., 388 Greenwich Street, New York, New York 10013 Attention: General Counsel (Fax: (646) 291-1469), with a copy, in the case of any notice pursuant to Section 8(c), to the General Counsel, Citigroup Global Markets Inc., 388 Greenwich Street, New York, New York 10013, (ii) Barclays Capital Inc., 745 Seventh Avenue, New York, New York 10019, Attention: Syndicate Registration (Fax: (646) 834-8133), (iii) Goldman Sachs &amp; Co. LLC, 200 West Street, New York, New York 10282, Attention: Registration Department and (iv) Morgan Stanley &amp; Co. LLC, 1585 Broadway, New York, New York 10036, Attention: Equity Syndicate Desk, with a copy to the Legal Department; and</w:t>
      </w:r>
    </w:p>
    <w:p>
      <w:pPr>
        <w:spacing w:after="0" w:line="177" w:lineRule="exact"/>
        <w:rPr>
          <w:rFonts w:ascii="Arial" w:cs="Arial" w:eastAsia="Arial" w:hAnsi="Arial"/>
          <w:sz w:val="17"/>
          <w:szCs w:val="17"/>
          <w:color w:val="auto"/>
        </w:rPr>
      </w:pPr>
    </w:p>
    <w:p>
      <w:pPr>
        <w:ind w:left="660" w:right="20" w:firstLine="644"/>
        <w:spacing w:after="0" w:line="277" w:lineRule="auto"/>
        <w:tabs>
          <w:tab w:leader="none" w:pos="1593"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Alon Rozner (Fax: (+972) 3-908-0280).</w:t>
      </w:r>
    </w:p>
    <w:p>
      <w:pPr>
        <w:spacing w:after="0" w:line="170" w:lineRule="exact"/>
        <w:rPr>
          <w:rFonts w:ascii="Arial" w:cs="Arial" w:eastAsia="Arial" w:hAnsi="Arial"/>
          <w:sz w:val="18"/>
          <w:szCs w:val="18"/>
          <w:color w:val="auto"/>
        </w:rPr>
      </w:pPr>
    </w:p>
    <w:p>
      <w:pPr>
        <w:ind w:left="660" w:firstLine="644"/>
        <w:spacing w:after="0" w:line="277" w:lineRule="auto"/>
        <w:tabs>
          <w:tab w:leader="none" w:pos="15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to the Selling Shareholder, shall be delivered or sent by mail or facsimile transmission to 410 Terry Avenue North, Seattle, Washington 98109-5210, Attention: General Counsel (Fax: (206) 266-7010).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and the Selling Shareholder shall be entitled to act and rely upon any request, consent, notice or agreement given or made on behalf of the Underwriters by Citigroup Global Markets Inc. on behalf of the Representatives.</w:t>
      </w:r>
    </w:p>
    <w:p>
      <w:pPr>
        <w:spacing w:after="0" w:line="184" w:lineRule="exact"/>
        <w:rPr>
          <w:sz w:val="20"/>
          <w:szCs w:val="20"/>
          <w:color w:val="auto"/>
        </w:rPr>
      </w:pPr>
    </w:p>
    <w:p>
      <w:pPr>
        <w:jc w:val="both"/>
        <w:ind w:firstLine="656"/>
        <w:spacing w:after="0" w:line="270" w:lineRule="auto"/>
        <w:tabs>
          <w:tab w:leader="none" w:pos="918"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Persons Entitled to Benefit of Agreement</w:t>
      </w:r>
      <w:r>
        <w:rPr>
          <w:rFonts w:ascii="Arial" w:cs="Arial" w:eastAsia="Arial" w:hAnsi="Arial"/>
          <w:sz w:val="17"/>
          <w:szCs w:val="17"/>
          <w:color w:val="auto"/>
        </w:rPr>
        <w:t>. This Agreement shall inure to the benefit of and be binding upon the Underwriters, the Company,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Shareholder and their respective successors. This Agreement and the terms and provisions hereof are for the sole benefit of only those persons, except that (a) the representations, warranties, indemnities and agreements of the Company and the Selling Shareholder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10(c)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17, any legal or equitable right, remedy or claim under or in respect of this Agreement or any provision contained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56"/>
        <w:spacing w:after="0" w:line="259" w:lineRule="auto"/>
        <w:tabs>
          <w:tab w:leader="none" w:pos="97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respective indemnities, representations, warranties and agreements of the Company, the Selling Shareholder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6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2" w:lineRule="exact"/>
        <w:rPr>
          <w:rFonts w:ascii="Arial" w:cs="Arial" w:eastAsia="Arial" w:hAnsi="Arial"/>
          <w:sz w:val="18"/>
          <w:szCs w:val="18"/>
          <w:color w:val="auto"/>
        </w:rPr>
      </w:pPr>
    </w:p>
    <w:p>
      <w:pPr>
        <w:jc w:val="both"/>
        <w:ind w:left="660" w:firstLine="644"/>
        <w:spacing w:after="0" w:line="292" w:lineRule="auto"/>
        <w:tabs>
          <w:tab w:leader="none" w:pos="1556"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 purposes of this Section 17, a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b w:val="1"/>
          <w:bCs w:val="1"/>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w:t>
      </w:r>
      <w:r>
        <w:rPr>
          <w:rFonts w:ascii="Arial" w:cs="Arial" w:eastAsia="Arial" w:hAnsi="Arial"/>
          <w:sz w:val="16"/>
          <w:szCs w:val="16"/>
          <w:b w:val="1"/>
          <w:bCs w:val="1"/>
          <w:color w:val="auto"/>
        </w:rPr>
        <w:t>U.S. Special</w:t>
      </w:r>
      <w:r>
        <w:rPr>
          <w:rFonts w:ascii="Arial" w:cs="Arial" w:eastAsia="Arial" w:hAnsi="Arial"/>
          <w:sz w:val="16"/>
          <w:szCs w:val="16"/>
          <w:color w:val="auto"/>
        </w:rPr>
        <w:t xml:space="preserve"> </w:t>
      </w:r>
      <w:r>
        <w:rPr>
          <w:rFonts w:ascii="Arial" w:cs="Arial" w:eastAsia="Arial" w:hAnsi="Arial"/>
          <w:sz w:val="16"/>
          <w:szCs w:val="16"/>
          <w:b w:val="1"/>
          <w:bCs w:val="1"/>
          <w:color w:val="auto"/>
        </w:rPr>
        <w:t>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1" w:lineRule="exact"/>
        <w:rPr>
          <w:rFonts w:ascii="Arial" w:cs="Arial" w:eastAsia="Arial" w:hAnsi="Arial"/>
          <w:sz w:val="16"/>
          <w:szCs w:val="16"/>
          <w:color w:val="auto"/>
        </w:rPr>
      </w:pPr>
    </w:p>
    <w:p>
      <w:pPr>
        <w:jc w:val="both"/>
        <w:ind w:firstLine="656"/>
        <w:spacing w:after="0" w:line="289" w:lineRule="auto"/>
        <w:tabs>
          <w:tab w:leader="none" w:pos="94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color w:val="auto"/>
        </w:rPr>
        <w:t>business day</w:t>
      </w:r>
      <w:r>
        <w:rPr>
          <w:rFonts w:ascii="Arial" w:cs="Arial" w:eastAsia="Arial" w:hAnsi="Arial"/>
          <w:sz w:val="17"/>
          <w:szCs w:val="17"/>
          <w:color w:val="auto"/>
        </w:rPr>
        <w:t>” means each</w:t>
      </w:r>
      <w:r>
        <w:rPr>
          <w:rFonts w:ascii="Arial" w:cs="Arial" w:eastAsia="Arial" w:hAnsi="Arial"/>
          <w:sz w:val="17"/>
          <w:szCs w:val="17"/>
          <w:i w:val="1"/>
          <w:iCs w:val="1"/>
          <w:color w:val="auto"/>
        </w:rPr>
        <w:t xml:space="preserve"> </w:t>
      </w:r>
      <w:r>
        <w:rPr>
          <w:rFonts w:ascii="Arial" w:cs="Arial" w:eastAsia="Arial" w:hAnsi="Arial"/>
          <w:sz w:val="17"/>
          <w:szCs w:val="17"/>
          <w:color w:val="auto"/>
        </w:rPr>
        <w:t>Monday, 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color w:val="auto"/>
        </w:rPr>
        <w:t>affiliate</w:t>
      </w:r>
      <w:r>
        <w:rPr>
          <w:rFonts w:ascii="Arial" w:cs="Arial" w:eastAsia="Arial" w:hAnsi="Arial"/>
          <w:sz w:val="17"/>
          <w:szCs w:val="17"/>
          <w:color w:val="auto"/>
        </w:rPr>
        <w:t>” and “</w:t>
      </w:r>
      <w:r>
        <w:rPr>
          <w:rFonts w:ascii="Arial" w:cs="Arial" w:eastAsia="Arial" w:hAnsi="Arial"/>
          <w:sz w:val="17"/>
          <w:szCs w:val="17"/>
          <w:b w:val="1"/>
          <w:bCs w:val="1"/>
          <w:color w:val="auto"/>
        </w:rPr>
        <w:t>subsidiary</w:t>
      </w:r>
      <w:r>
        <w:rPr>
          <w:rFonts w:ascii="Arial" w:cs="Arial" w:eastAsia="Arial" w:hAnsi="Arial"/>
          <w:sz w:val="17"/>
          <w:szCs w:val="17"/>
          <w:color w:val="auto"/>
        </w:rPr>
        <w:t>” have the meanings set forth in Rule 405 under the Securities Act.</w:t>
      </w:r>
    </w:p>
    <w:p>
      <w:pPr>
        <w:spacing w:after="0" w:line="157" w:lineRule="exact"/>
        <w:rPr>
          <w:rFonts w:ascii="Arial" w:cs="Arial" w:eastAsia="Arial" w:hAnsi="Arial"/>
          <w:sz w:val="17"/>
          <w:szCs w:val="17"/>
          <w:color w:val="auto"/>
        </w:rPr>
      </w:pPr>
    </w:p>
    <w:p>
      <w:pPr>
        <w:ind w:firstLine="656"/>
        <w:spacing w:after="0" w:line="282" w:lineRule="auto"/>
        <w:tabs>
          <w:tab w:leader="none" w:pos="93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regard to conflict of laws principles (other than Section 5-1401 of the General Obligations Law)</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56"/>
        <w:spacing w:after="0" w:line="269" w:lineRule="auto"/>
        <w:tabs>
          <w:tab w:leader="none" w:pos="918"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Submission to Jurisdiction, Etc</w:t>
      </w:r>
      <w:r>
        <w:rPr>
          <w:rFonts w:ascii="Arial" w:cs="Arial" w:eastAsia="Arial" w:hAnsi="Arial"/>
          <w:sz w:val="17"/>
          <w:szCs w:val="17"/>
          <w:color w:val="auto"/>
        </w:rPr>
        <w:t>. The Company and the Selling Shareholder hereby submit to the exclusive jurisdiction of the U.S. federal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state courts in 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appoints Kornit Digital North America Inc., as its authorized agent in the Borough of Manhattan, The City of New York, New York upon which process may be served in any such suit or proceeding, and agree that service of process upon such agent, and written notice of said service to the Company by the person serving the same to the address provided in Section 16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seven years from the date of this Agreement.</w:t>
      </w:r>
    </w:p>
    <w:p>
      <w:pPr>
        <w:spacing w:after="0" w:line="185" w:lineRule="exact"/>
        <w:rPr>
          <w:rFonts w:ascii="Arial" w:cs="Arial" w:eastAsia="Arial" w:hAnsi="Arial"/>
          <w:sz w:val="17"/>
          <w:szCs w:val="17"/>
          <w:color w:val="auto"/>
        </w:rPr>
      </w:pPr>
    </w:p>
    <w:p>
      <w:pPr>
        <w:jc w:val="both"/>
        <w:ind w:firstLine="656"/>
        <w:spacing w:after="0" w:line="255" w:lineRule="auto"/>
        <w:tabs>
          <w:tab w:leader="none" w:pos="93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Waiver of Immunity</w:t>
      </w:r>
      <w:r>
        <w:rPr>
          <w:rFonts w:ascii="Arial" w:cs="Arial" w:eastAsia="Arial" w:hAnsi="Arial"/>
          <w:sz w:val="18"/>
          <w:szCs w:val="18"/>
          <w:color w:val="auto"/>
        </w:rPr>
        <w:t>. With respect to any suit or proceeding arising out of or relating to this Agreement or the transactions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92" w:lineRule="exact"/>
        <w:rPr>
          <w:rFonts w:ascii="Arial" w:cs="Arial" w:eastAsia="Arial" w:hAnsi="Arial"/>
          <w:sz w:val="18"/>
          <w:szCs w:val="18"/>
          <w:color w:val="auto"/>
        </w:rPr>
      </w:pPr>
    </w:p>
    <w:p>
      <w:pPr>
        <w:jc w:val="both"/>
        <w:ind w:firstLine="656"/>
        <w:spacing w:after="0" w:line="270" w:lineRule="auto"/>
        <w:tabs>
          <w:tab w:leader="none" w:pos="931"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The obligation of the Company and the Selling Shareholder in respect of any sum due to any Underwriter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notwithstanding any judgment in a currency other than U.S. dollars or any other applicable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and the Selling Shareholder agree,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or the Selling Shareholder, as the case may be, an amount equal to the excess of the U.S. dollars or other applicable currency so purchased over the sum originally due to such Underwriter hereunder.</w:t>
      </w:r>
    </w:p>
    <w:p>
      <w:pPr>
        <w:spacing w:after="0" w:line="180" w:lineRule="exact"/>
        <w:rPr>
          <w:rFonts w:ascii="Arial" w:cs="Arial" w:eastAsia="Arial" w:hAnsi="Arial"/>
          <w:sz w:val="17"/>
          <w:szCs w:val="17"/>
          <w:color w:val="auto"/>
        </w:rPr>
      </w:pPr>
    </w:p>
    <w:p>
      <w:pPr>
        <w:ind w:firstLine="656"/>
        <w:spacing w:after="0" w:line="308" w:lineRule="auto"/>
        <w:tabs>
          <w:tab w:leader="none" w:pos="918"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The Company and the Underwriters hereby irrevocably waive, to the fullest extent permitted by applicable law, 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right="20" w:firstLine="656"/>
        <w:spacing w:after="0" w:line="308" w:lineRule="auto"/>
        <w:tabs>
          <w:tab w:leader="none" w:pos="931"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executed in one or more counterparts and, if executed in more than one counterpart, the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counterparts shall each be deemed to be an original but all such counterparts shall together constitute one and the same instrument.</w:t>
      </w:r>
    </w:p>
    <w:p>
      <w:pPr>
        <w:spacing w:after="0" w:line="146" w:lineRule="exact"/>
        <w:rPr>
          <w:rFonts w:ascii="Arial" w:cs="Arial" w:eastAsia="Arial" w:hAnsi="Arial"/>
          <w:sz w:val="17"/>
          <w:szCs w:val="17"/>
          <w:color w:val="auto"/>
        </w:rPr>
      </w:pPr>
    </w:p>
    <w:p>
      <w:pPr>
        <w:ind w:firstLine="656"/>
        <w:spacing w:after="0" w:line="277" w:lineRule="auto"/>
        <w:tabs>
          <w:tab w:leader="none" w:pos="91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If the foregoing correctly sets forth the agreement among the Company, the Selling Shareholder and the Underwriters, please indicate your acceptance in the space provided for that purpose below.</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AMAZON.COM NV INVESTMENT HOLDINGS LLC</w:t>
      </w:r>
    </w:p>
    <w:p>
      <w:pPr>
        <w:spacing w:after="0" w:line="225"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Torben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Torben Severson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left="5260"/>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OLDMAN</w:t>
      </w:r>
      <w:r>
        <w:rPr>
          <w:rFonts w:ascii="Arial" w:cs="Arial" w:eastAsia="Arial" w:hAnsi="Arial"/>
          <w:sz w:val="18"/>
          <w:szCs w:val="18"/>
          <w:color w:val="auto"/>
        </w:rPr>
        <w:t xml:space="preserve">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ORGAN</w:t>
      </w:r>
      <w:r>
        <w:rPr>
          <w:rFonts w:ascii="Arial" w:cs="Arial" w:eastAsia="Arial" w:hAnsi="Arial"/>
          <w:sz w:val="18"/>
          <w:szCs w:val="18"/>
          <w:color w:val="auto"/>
        </w:rPr>
        <w:t xml:space="preserve"> S</w:t>
      </w:r>
      <w:r>
        <w:rPr>
          <w:rFonts w:ascii="Arial" w:cs="Arial" w:eastAsia="Arial" w:hAnsi="Arial"/>
          <w:sz w:val="12"/>
          <w:szCs w:val="12"/>
          <w:color w:val="auto"/>
        </w:rPr>
        <w:t>TANLEY</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Elena Shamardina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G</w:t>
      </w:r>
      <w:r>
        <w:rPr>
          <w:rFonts w:ascii="Arial" w:cs="Arial" w:eastAsia="Arial" w:hAnsi="Arial"/>
          <w:sz w:val="12"/>
          <w:szCs w:val="12"/>
          <w:color w:val="auto"/>
        </w:rPr>
        <w:t>OLDMAN</w:t>
      </w:r>
      <w:r>
        <w:rPr>
          <w:rFonts w:ascii="Arial" w:cs="Arial" w:eastAsia="Arial" w:hAnsi="Arial"/>
          <w:sz w:val="18"/>
          <w:szCs w:val="18"/>
          <w:color w:val="auto"/>
        </w:rPr>
        <w:t xml:space="preserve">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Becky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w:t>
      </w:r>
      <w:r>
        <w:rPr>
          <w:rFonts w:ascii="Arial" w:cs="Arial" w:eastAsia="Arial" w:hAnsi="Arial"/>
          <w:sz w:val="12"/>
          <w:szCs w:val="12"/>
          <w:color w:val="auto"/>
        </w:rPr>
        <w:t>ORGAN</w:t>
      </w:r>
      <w:r>
        <w:rPr>
          <w:rFonts w:ascii="Arial" w:cs="Arial" w:eastAsia="Arial" w:hAnsi="Arial"/>
          <w:sz w:val="18"/>
          <w:szCs w:val="18"/>
          <w:color w:val="auto"/>
        </w:rPr>
        <w:t xml:space="preserve"> S</w:t>
      </w:r>
      <w:r>
        <w:rPr>
          <w:rFonts w:ascii="Arial" w:cs="Arial" w:eastAsia="Arial" w:hAnsi="Arial"/>
          <w:sz w:val="12"/>
          <w:szCs w:val="12"/>
          <w:color w:val="auto"/>
        </w:rPr>
        <w:t>TANLEY</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Ashley MacNeill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i w:val="1"/>
          <w:iCs w:val="1"/>
          <w:color w:val="auto"/>
        </w:rPr>
        <w:t>[Signature Page to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4"/>
          </w:tcPr>
          <w:p>
            <w:pPr>
              <w:ind w:left="1020"/>
              <w:spacing w:after="0"/>
              <w:rPr>
                <w:sz w:val="20"/>
                <w:szCs w:val="20"/>
                <w:color w:val="auto"/>
              </w:rPr>
            </w:pPr>
            <w:r>
              <w:rPr>
                <w:rFonts w:ascii="Arial" w:cs="Arial" w:eastAsia="Arial" w:hAnsi="Arial"/>
                <w:sz w:val="18"/>
                <w:szCs w:val="18"/>
                <w:b w:val="1"/>
                <w:bCs w:val="1"/>
                <w:color w:val="auto"/>
              </w:rPr>
              <w:t>SCHEDULE I</w:t>
            </w:r>
          </w:p>
        </w:tc>
      </w:tr>
      <w:tr>
        <w:trPr>
          <w:trHeight w:val="439"/>
        </w:trPr>
        <w:tc>
          <w:tcPr>
            <w:tcW w:w="4060" w:type="dxa"/>
            <w:vAlign w:val="bottom"/>
          </w:tcPr>
          <w:p>
            <w:pPr>
              <w:spacing w:after="0"/>
              <w:rPr>
                <w:sz w:val="20"/>
                <w:szCs w:val="20"/>
                <w:color w:val="auto"/>
              </w:rPr>
            </w:pPr>
            <w:r>
              <w:rPr>
                <w:rFonts w:ascii="Arial" w:cs="Arial" w:eastAsia="Arial" w:hAnsi="Arial"/>
                <w:sz w:val="18"/>
                <w:szCs w:val="18"/>
                <w:color w:val="auto"/>
              </w:rPr>
              <w:t>Underwriters</w:t>
            </w: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w w:val="95"/>
              </w:rPr>
              <w:t>Number of Firm Shares</w:t>
            </w:r>
          </w:p>
        </w:tc>
      </w:tr>
      <w:tr>
        <w:trPr>
          <w:trHeight w:val="216"/>
        </w:trPr>
        <w:tc>
          <w:tcPr>
            <w:tcW w:w="406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529,191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Barclays Capital Inc.</w:t>
            </w:r>
          </w:p>
        </w:tc>
        <w:tc>
          <w:tcPr>
            <w:tcW w:w="7180" w:type="dxa"/>
            <w:vAlign w:val="bottom"/>
            <w:gridSpan w:val="4"/>
          </w:tcPr>
          <w:p>
            <w:pPr>
              <w:jc w:val="right"/>
              <w:ind w:right="100"/>
              <w:spacing w:after="0"/>
              <w:rPr>
                <w:sz w:val="20"/>
                <w:szCs w:val="20"/>
                <w:color w:val="auto"/>
              </w:rPr>
            </w:pPr>
            <w:r>
              <w:rPr>
                <w:rFonts w:ascii="Arial" w:cs="Arial" w:eastAsia="Arial" w:hAnsi="Arial"/>
                <w:sz w:val="18"/>
                <w:szCs w:val="18"/>
                <w:color w:val="auto"/>
              </w:rPr>
              <w:t>529,191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7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529,191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7180" w:type="dxa"/>
            <w:vAlign w:val="bottom"/>
            <w:gridSpan w:val="4"/>
          </w:tcPr>
          <w:p>
            <w:pPr>
              <w:jc w:val="right"/>
              <w:ind w:right="100"/>
              <w:spacing w:after="0"/>
              <w:rPr>
                <w:sz w:val="20"/>
                <w:szCs w:val="20"/>
                <w:color w:val="auto"/>
              </w:rPr>
            </w:pPr>
            <w:r>
              <w:rPr>
                <w:rFonts w:ascii="Arial" w:cs="Arial" w:eastAsia="Arial" w:hAnsi="Arial"/>
                <w:sz w:val="18"/>
                <w:szCs w:val="18"/>
                <w:color w:val="auto"/>
              </w:rPr>
              <w:t>529,191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7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158,756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Needham &amp; Company, LLC</w:t>
            </w:r>
          </w:p>
        </w:tc>
        <w:tc>
          <w:tcPr>
            <w:tcW w:w="7180" w:type="dxa"/>
            <w:vAlign w:val="bottom"/>
            <w:gridSpan w:val="4"/>
          </w:tcPr>
          <w:p>
            <w:pPr>
              <w:jc w:val="right"/>
              <w:ind w:right="100"/>
              <w:spacing w:after="0"/>
              <w:rPr>
                <w:sz w:val="20"/>
                <w:szCs w:val="20"/>
                <w:color w:val="auto"/>
              </w:rPr>
            </w:pPr>
            <w:r>
              <w:rPr>
                <w:rFonts w:ascii="Arial" w:cs="Arial" w:eastAsia="Arial" w:hAnsi="Arial"/>
                <w:sz w:val="18"/>
                <w:szCs w:val="18"/>
                <w:color w:val="auto"/>
              </w:rPr>
              <w:t>105,838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7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105,838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Berenberg Capital Markets LLC</w:t>
            </w:r>
          </w:p>
        </w:tc>
        <w:tc>
          <w:tcPr>
            <w:tcW w:w="7180" w:type="dxa"/>
            <w:vAlign w:val="bottom"/>
            <w:gridSpan w:val="4"/>
          </w:tcPr>
          <w:p>
            <w:pPr>
              <w:jc w:val="right"/>
              <w:ind w:right="100"/>
              <w:spacing w:after="0"/>
              <w:rPr>
                <w:sz w:val="20"/>
                <w:szCs w:val="20"/>
                <w:color w:val="auto"/>
              </w:rPr>
            </w:pPr>
            <w:r>
              <w:rPr>
                <w:rFonts w:ascii="Arial" w:cs="Arial" w:eastAsia="Arial" w:hAnsi="Arial"/>
                <w:sz w:val="18"/>
                <w:szCs w:val="18"/>
                <w:color w:val="auto"/>
              </w:rPr>
              <w:t>52,919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CJS Securities, Inc.</w:t>
            </w:r>
          </w:p>
        </w:tc>
        <w:tc>
          <w:tcPr>
            <w:tcW w:w="7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52,919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Craig-Hallum Capital Group LLC</w:t>
            </w:r>
          </w:p>
        </w:tc>
        <w:tc>
          <w:tcPr>
            <w:tcW w:w="7180" w:type="dxa"/>
            <w:vAlign w:val="bottom"/>
            <w:gridSpan w:val="4"/>
          </w:tcPr>
          <w:p>
            <w:pPr>
              <w:jc w:val="right"/>
              <w:ind w:right="100"/>
              <w:spacing w:after="0"/>
              <w:rPr>
                <w:sz w:val="20"/>
                <w:szCs w:val="20"/>
                <w:color w:val="auto"/>
              </w:rPr>
            </w:pPr>
            <w:r>
              <w:rPr>
                <w:rFonts w:ascii="Arial" w:cs="Arial" w:eastAsia="Arial" w:hAnsi="Arial"/>
                <w:sz w:val="18"/>
                <w:szCs w:val="18"/>
                <w:color w:val="auto"/>
              </w:rPr>
              <w:t>52,919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2,645,953</w:t>
            </w:r>
          </w:p>
        </w:tc>
      </w:tr>
      <w:tr>
        <w:trPr>
          <w:trHeight w:val="682"/>
        </w:trPr>
        <w:tc>
          <w:tcPr>
            <w:tcW w:w="40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3" w:name="page44"/>
    <w:bookmarkEnd w:id="43"/>
    <w:p>
      <w:pPr>
        <w:jc w:val="center"/>
        <w:ind w:right="-1100"/>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399"/>
        <w:spacing w:after="0" w:line="500" w:lineRule="auto"/>
        <w:rPr>
          <w:sz w:val="20"/>
          <w:szCs w:val="20"/>
          <w:color w:val="auto"/>
        </w:rPr>
      </w:pPr>
      <w:r>
        <w:rPr>
          <w:rFonts w:ascii="Arial" w:cs="Arial" w:eastAsia="Arial" w:hAnsi="Arial"/>
          <w:sz w:val="18"/>
          <w:szCs w:val="18"/>
          <w:color w:val="auto"/>
        </w:rPr>
        <w:t xml:space="preserve">Yuval Cohen, Gabi Seligsohn, Ofer Ben-Zur, Lauri Hanover, Alon Lumbroso, Yehoshua Nir, Dov Ofer, Stephen Nirgro, Ronen Samuel </w:t>
      </w:r>
      <w:r>
        <w:rPr>
          <w:rFonts w:ascii="Arial" w:cs="Arial" w:eastAsia="Arial" w:hAnsi="Arial"/>
          <w:sz w:val="18"/>
          <w:szCs w:val="18"/>
          <w:u w:val="single" w:color="auto"/>
          <w:color w:val="auto"/>
        </w:rPr>
        <w:t>Officers</w:t>
      </w:r>
    </w:p>
    <w:p>
      <w:pPr>
        <w:spacing w:after="0" w:line="2" w:lineRule="exact"/>
        <w:rPr>
          <w:sz w:val="20"/>
          <w:szCs w:val="20"/>
          <w:color w:val="auto"/>
        </w:rPr>
      </w:pPr>
    </w:p>
    <w:p>
      <w:pPr>
        <w:ind w:right="4999"/>
        <w:spacing w:after="0" w:line="500" w:lineRule="auto"/>
        <w:rPr>
          <w:sz w:val="20"/>
          <w:szCs w:val="20"/>
          <w:color w:val="auto"/>
        </w:rPr>
      </w:pPr>
      <w:r>
        <w:rPr>
          <w:rFonts w:ascii="Arial" w:cs="Arial" w:eastAsia="Arial" w:hAnsi="Arial"/>
          <w:sz w:val="18"/>
          <w:szCs w:val="18"/>
          <w:color w:val="auto"/>
        </w:rPr>
        <w:t xml:space="preserve">Ronen Samuel, Jecka Glasman, Omer Kulka, Kobi Mann, Alon Rozner </w:t>
      </w:r>
      <w:r>
        <w:rPr>
          <w:rFonts w:ascii="Arial" w:cs="Arial" w:eastAsia="Arial" w:hAnsi="Arial"/>
          <w:sz w:val="18"/>
          <w:szCs w:val="18"/>
          <w:u w:val="single" w:color="auto"/>
          <w:color w:val="auto"/>
        </w:rPr>
        <w:t>Shareholders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Amazon.com NV Investment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44" w:name="page45"/>
    <w:bookmarkEnd w:id="44"/>
    <w:p>
      <w:pPr>
        <w:jc w:val="center"/>
        <w:ind w:right="-1100"/>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CONVEYED PRICING INFORMATION</w:t>
      </w:r>
    </w:p>
    <w:p>
      <w:pPr>
        <w:spacing w:after="0" w:line="225"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 offering price: $151.00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Number of Firm Shares offered by the Company: 1,940,000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Number of Firm Shares offered by the Selling Shareholder: 705,953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center"/>
        <w:ind w:right="-1120"/>
        <w:spacing w:after="0"/>
        <w:rPr>
          <w:sz w:val="20"/>
          <w:szCs w:val="20"/>
          <w:color w:val="auto"/>
        </w:rPr>
      </w:pPr>
      <w:r>
        <w:rPr>
          <w:rFonts w:ascii="Arial" w:cs="Arial" w:eastAsia="Arial" w:hAnsi="Arial"/>
          <w:sz w:val="18"/>
          <w:szCs w:val="18"/>
          <w:b w:val="1"/>
          <w:bCs w:val="1"/>
          <w:color w:val="auto"/>
        </w:rPr>
        <w:t>SCHEDULE IV</w:t>
      </w:r>
    </w:p>
    <w:p>
      <w:pPr>
        <w:spacing w:after="0" w:line="229" w:lineRule="exact"/>
        <w:rPr>
          <w:sz w:val="20"/>
          <w:szCs w:val="20"/>
          <w:color w:val="auto"/>
        </w:rPr>
      </w:pPr>
    </w:p>
    <w:p>
      <w:pPr>
        <w:jc w:val="right"/>
        <w:ind w:right="1699"/>
        <w:spacing w:after="0"/>
        <w:rPr>
          <w:sz w:val="20"/>
          <w:szCs w:val="20"/>
          <w:color w:val="auto"/>
        </w:rPr>
      </w:pPr>
      <w:r>
        <w:rPr>
          <w:rFonts w:ascii="Arial" w:cs="Arial" w:eastAsia="Arial" w:hAnsi="Arial"/>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6" w:name="page47"/>
    <w:bookmarkEnd w:id="46"/>
    <w:p>
      <w:pPr>
        <w:jc w:val="center"/>
        <w:ind w:right="-1120"/>
        <w:spacing w:after="0"/>
        <w:rPr>
          <w:sz w:val="20"/>
          <w:szCs w:val="20"/>
          <w:color w:val="auto"/>
        </w:rPr>
      </w:pPr>
      <w:r>
        <w:rPr>
          <w:rFonts w:ascii="Arial" w:cs="Arial" w:eastAsia="Arial" w:hAnsi="Arial"/>
          <w:sz w:val="18"/>
          <w:szCs w:val="18"/>
          <w:b w:val="1"/>
          <w:bCs w:val="1"/>
          <w:color w:val="auto"/>
        </w:rPr>
        <w:t>SCHEDULE V</w:t>
      </w:r>
    </w:p>
    <w:p>
      <w:pPr>
        <w:spacing w:after="0" w:line="229"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Further Agreements of the Company and the Underwriters</w:t>
      </w:r>
    </w:p>
    <w:p>
      <w:pPr>
        <w:spacing w:after="0" w:line="225" w:lineRule="exact"/>
        <w:rPr>
          <w:sz w:val="20"/>
          <w:szCs w:val="20"/>
          <w:color w:val="auto"/>
        </w:rPr>
      </w:pPr>
    </w:p>
    <w:p>
      <w:pPr>
        <w:ind w:firstLine="656"/>
        <w:spacing w:after="0" w:line="308" w:lineRule="auto"/>
        <w:tabs>
          <w:tab w:leader="none" w:pos="835" w:val="left"/>
        </w:tabs>
        <w:numPr>
          <w:ilvl w:val="1"/>
          <w:numId w:val="52"/>
        </w:numPr>
        <w:rPr>
          <w:rFonts w:ascii="Arial" w:cs="Arial" w:eastAsia="Arial" w:hAnsi="Arial"/>
          <w:sz w:val="17"/>
          <w:szCs w:val="17"/>
          <w:color w:val="auto"/>
        </w:rPr>
      </w:pPr>
      <w:r>
        <w:rPr>
          <w:rFonts w:ascii="Arial" w:cs="Arial" w:eastAsia="Arial" w:hAnsi="Arial"/>
          <w:sz w:val="17"/>
          <w:szCs w:val="17"/>
          <w:color w:val="auto"/>
        </w:rPr>
        <w:t>Solely for the purposes of this Agreement and to the extent any Shares are sold by the Underwriters to investors in Israel, such Shares shall be deemed to have been Shares issued and sold by the Company and not to have been Shares sold by the Selling Shareholder hereunder.</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Further Agreements of the Selling Shareholder</w:t>
      </w:r>
    </w:p>
    <w:p>
      <w:pPr>
        <w:spacing w:after="0" w:line="225" w:lineRule="exact"/>
        <w:rPr>
          <w:rFonts w:ascii="Arial" w:cs="Arial" w:eastAsia="Arial" w:hAnsi="Arial"/>
          <w:sz w:val="18"/>
          <w:szCs w:val="18"/>
          <w:i w:val="1"/>
          <w:iCs w:val="1"/>
          <w:color w:val="auto"/>
        </w:rPr>
      </w:pPr>
    </w:p>
    <w:p>
      <w:pPr>
        <w:jc w:val="both"/>
        <w:ind w:firstLine="656"/>
        <w:spacing w:after="0" w:line="271" w:lineRule="auto"/>
        <w:tabs>
          <w:tab w:leader="none" w:pos="848"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Selling Shareholder hereby represents and warrants to the Underwriters that: (i) the Selling Shareholder is not, and has never been, an Israeli resident for Israeli tax purposes and is not otherwise subject to taxation in Israel by virtue of being treated as an Israeli tax resident for Israeli tax purposes, (ii) the Selling Shareholder is entitled to an exemption from capital gains according to the provisions of the Israeli Income Tax Ordinance [New Version], 5721-1961, including the regulations promulgated thereunder, or according to an applicable tax treaty, and (iii) the Selling Shareholder is not otherwise subject to taxation in Israel by virtue of having a permanent establishment in Israel. The foregoing representations and warranties are true and correct as of the date hereof and will be true and correct on the Initial Delivery Date as though made on and as of such date. Without derogating from the foregoing representations and warranties and in supplement thereto, the Selling Shareholder has provided a properly executed copy of a Declaration of Status for Israeli Income Tax Purposes to the Underwriters in the form attached hereto.</w:t>
      </w:r>
    </w:p>
    <w:p>
      <w:pPr>
        <w:spacing w:after="0" w:line="178" w:lineRule="exact"/>
        <w:rPr>
          <w:rFonts w:ascii="Arial" w:cs="Arial" w:eastAsia="Arial" w:hAnsi="Arial"/>
          <w:sz w:val="17"/>
          <w:szCs w:val="17"/>
          <w:color w:val="auto"/>
        </w:rPr>
      </w:pPr>
    </w:p>
    <w:p>
      <w:pPr>
        <w:jc w:val="both"/>
        <w:ind w:firstLine="656"/>
        <w:spacing w:after="0" w:line="273" w:lineRule="auto"/>
        <w:tabs>
          <w:tab w:leader="none" w:pos="851"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Selling Shareholder agrees, without limitation as to time, to indemnify and hold harmless, to the fullest extent permitted by law, each Underwriter, its affiliates, directors, officers, employees, representatives and agents and each person, if any, who controls any Underwriter within the meaning of Section 15 of the Securities Act or Section 20 of the Exchange Act, from and against all losses, claims, damages, action, liabilities, costs, expenses (including reasonable expenses in investigating or defending or preparing to defend against any such loss, claim, damage, liability, action, cost, expense, and reasonable attorneys’ fees and expenses), judgments, fines, penalties, charges and amounts, including if paid in settlement, as incurred, arising out of, caused by, resulting from or relating to, the matters set forth in this letter.</w:t>
      </w:r>
    </w:p>
    <w:p>
      <w:pPr>
        <w:spacing w:after="0" w:line="177" w:lineRule="exact"/>
        <w:rPr>
          <w:rFonts w:ascii="Arial" w:cs="Arial" w:eastAsia="Arial" w:hAnsi="Arial"/>
          <w:sz w:val="17"/>
          <w:szCs w:val="17"/>
          <w:color w:val="auto"/>
        </w:rPr>
      </w:pPr>
    </w:p>
    <w:p>
      <w:pPr>
        <w:jc w:val="both"/>
        <w:ind w:firstLine="656"/>
        <w:spacing w:after="0" w:line="263" w:lineRule="auto"/>
        <w:tabs>
          <w:tab w:leader="none" w:pos="8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Based on the representations and warranties and undertakings in the above paragraphs (1) and (2), the Underwriters will not withhold or deduct any amounts from the proceeds to be delivered to the Selling Shareholder from the sale of the Shares in accordance with the terms of the Agreement on account of Israeli tax.</w:t>
      </w:r>
    </w:p>
    <w:p>
      <w:pPr>
        <w:spacing w:after="0" w:line="183" w:lineRule="exact"/>
        <w:rPr>
          <w:rFonts w:ascii="Arial" w:cs="Arial" w:eastAsia="Arial" w:hAnsi="Arial"/>
          <w:sz w:val="18"/>
          <w:szCs w:val="18"/>
          <w:color w:val="auto"/>
        </w:rPr>
      </w:pPr>
    </w:p>
    <w:p>
      <w:pPr>
        <w:ind w:right="20" w:firstLine="656"/>
        <w:spacing w:after="0" w:line="308" w:lineRule="auto"/>
        <w:tabs>
          <w:tab w:leader="none" w:pos="835"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Selling Shareholder acknowledges and agrees that the agreement by the Underwriters in paragraph (3) above is made by the Underwriters in reliance on the Selling Shareholder’s representations and warranties and undertakings set forth in paragraphs (1) and (2) above.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Declaration of Status for Israeli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color w:val="auto"/>
        </w:rPr>
        <w:t>Underwriters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providing for the purchase by the Underwriters of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par value NIS 0.01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of Kornit Digital Ltd., a company incorporated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that the Underwriters propose to reoffer the Shares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Citigroup Global Markets Inc., Barclays Capital Inc., Goldman Sachs &amp; Co. LLC. and Morgan Stanley &amp; Co. LLC, on behalf of the Underwriters or except as contemplated by the Underwriting Agreement,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w:t>
      </w:r>
      <w:r>
        <w:rPr>
          <w:rFonts w:ascii="Arial" w:cs="Arial" w:eastAsia="Arial" w:hAnsi="Arial"/>
          <w:sz w:val="16"/>
          <w:szCs w:val="16"/>
          <w:b w:val="1"/>
          <w:bCs w:val="1"/>
          <w:color w:val="auto"/>
        </w:rPr>
        <w:t>Lock-Up Securities</w:t>
      </w:r>
      <w:r>
        <w:rPr>
          <w:rFonts w:ascii="Arial" w:cs="Arial" w:eastAsia="Arial" w:hAnsi="Arial"/>
          <w:sz w:val="16"/>
          <w:szCs w:val="16"/>
          <w:color w:val="auto"/>
        </w:rPr>
        <w:t>”), (2) enter into any swap or other derivatives transaction that transfers to another, in whole or in part, any of the economic benefits or risks of ownership of Lock-Up Securities,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Lock-Up Securities, or (4) publicly disclose the intention to do any of the</w:t>
      </w:r>
    </w:p>
    <w:p>
      <w:pPr>
        <w:spacing w:after="0" w:line="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foregoing for a period commencing on the date hereof and ending 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date of the Prospectus relating to the Offering (such 90-day period, the “</w:t>
      </w:r>
      <w:r>
        <w:rPr>
          <w:rFonts w:ascii="Arial" w:cs="Arial" w:eastAsia="Arial" w:hAnsi="Arial"/>
          <w:sz w:val="18"/>
          <w:szCs w:val="18"/>
          <w:b w:val="1"/>
          <w:bCs w:val="1"/>
          <w:color w:val="auto"/>
        </w:rPr>
        <w:t>Lock-Up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4"/>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left="244" w:hanging="244"/>
        <w:spacing w:after="0"/>
        <w:tabs>
          <w:tab w:leader="none" w:pos="2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the open market after the completion of the Offering,</w:t>
      </w:r>
    </w:p>
    <w:p>
      <w:pPr>
        <w:spacing w:after="0" w:line="221" w:lineRule="exact"/>
        <w:rPr>
          <w:rFonts w:ascii="Arial" w:cs="Arial" w:eastAsia="Arial" w:hAnsi="Arial"/>
          <w:sz w:val="18"/>
          <w:szCs w:val="18"/>
          <w:color w:val="auto"/>
        </w:rPr>
      </w:pPr>
    </w:p>
    <w:p>
      <w:pPr>
        <w:ind w:left="264" w:hanging="264"/>
        <w:spacing w:after="0"/>
        <w:tabs>
          <w:tab w:leader="none" w:pos="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bona fide gifts (of “</w:t>
      </w:r>
      <w:r>
        <w:rPr>
          <w:rFonts w:ascii="Arial" w:cs="Arial" w:eastAsia="Arial" w:hAnsi="Arial"/>
          <w:sz w:val="18"/>
          <w:szCs w:val="18"/>
          <w:b w:val="1"/>
          <w:bCs w:val="1"/>
          <w:color w:val="auto"/>
        </w:rPr>
        <w:t>Lock-Up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56" w:firstLine="656"/>
        <w:spacing w:after="0" w:line="259" w:lineRule="auto"/>
        <w:tabs>
          <w:tab w:leader="none" w:pos="2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undersigned, or to any investment fund or other entity controlled or managed by, or under the common control or management with, the undersigned,</w:t>
      </w:r>
    </w:p>
    <w:p>
      <w:pPr>
        <w:spacing w:after="0" w:line="186" w:lineRule="exact"/>
        <w:rPr>
          <w:rFonts w:ascii="Arial" w:cs="Arial" w:eastAsia="Arial" w:hAnsi="Arial"/>
          <w:sz w:val="18"/>
          <w:szCs w:val="18"/>
          <w:color w:val="auto"/>
        </w:rPr>
      </w:pPr>
    </w:p>
    <w:p>
      <w:pPr>
        <w:ind w:left="-656" w:firstLine="656"/>
        <w:spacing w:after="0" w:line="277"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transfers of Lock-Up Securities to the undersigned’s limited or general partners (if a partnership), members (if a limited liability company), beneficiaries (if a trust) or shareholders (if a corporation),</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of Lock-Up Securities by will or by intestacy,</w:t>
      </w:r>
    </w:p>
    <w:p>
      <w:pPr>
        <w:spacing w:after="0" w:line="225" w:lineRule="exact"/>
        <w:rPr>
          <w:rFonts w:ascii="Arial" w:cs="Arial" w:eastAsia="Arial" w:hAnsi="Arial"/>
          <w:sz w:val="18"/>
          <w:szCs w:val="18"/>
          <w:color w:val="auto"/>
        </w:rPr>
      </w:pPr>
    </w:p>
    <w:p>
      <w:pPr>
        <w:ind w:left="-656" w:firstLine="656"/>
        <w:spacing w:after="0" w:line="308" w:lineRule="auto"/>
        <w:tabs>
          <w:tab w:leader="none" w:pos="237"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restrictions shall apply to Ordinary Shares issued upon such exercise or conversion,</w:t>
      </w:r>
    </w:p>
    <w:p>
      <w:pPr>
        <w:spacing w:after="0" w:line="142" w:lineRule="exact"/>
        <w:rPr>
          <w:rFonts w:ascii="Arial" w:cs="Arial" w:eastAsia="Arial" w:hAnsi="Arial"/>
          <w:sz w:val="17"/>
          <w:szCs w:val="17"/>
          <w:color w:val="auto"/>
        </w:rPr>
      </w:pPr>
    </w:p>
    <w:p>
      <w:pPr>
        <w:jc w:val="both"/>
        <w:ind w:left="-656" w:firstLine="656"/>
        <w:spacing w:after="0" w:line="256"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establishment of any contract, instruction or plan that satisfies all of the requirements of Rule 10b5-1 (a “</w:t>
      </w:r>
      <w:r>
        <w:rPr>
          <w:rFonts w:ascii="Arial" w:cs="Arial" w:eastAsia="Arial" w:hAnsi="Arial"/>
          <w:sz w:val="18"/>
          <w:szCs w:val="18"/>
          <w:b w:val="1"/>
          <w:bCs w:val="1"/>
          <w:color w:val="auto"/>
        </w:rPr>
        <w:t>Rule 10b5-l Plan</w:t>
      </w:r>
      <w:r>
        <w:rPr>
          <w:rFonts w:ascii="Arial" w:cs="Arial" w:eastAsia="Arial" w:hAnsi="Arial"/>
          <w:sz w:val="18"/>
          <w:szCs w:val="18"/>
          <w:color w:val="auto"/>
        </w:rPr>
        <w:t>”)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sales of Ordinary Shares or securities convertible into, or exchangeable or exercisable for, Ordinary Shares, shall be made pursuant to such Rule 10b5-1 Plan prior to the expiration of the Lock-Up Period (as the same may be extended pursuant to the provisions 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91" w:lineRule="exact"/>
        <w:rPr>
          <w:rFonts w:ascii="Arial" w:cs="Arial" w:eastAsia="Arial" w:hAnsi="Arial"/>
          <w:sz w:val="18"/>
          <w:szCs w:val="18"/>
          <w:color w:val="auto"/>
        </w:rPr>
      </w:pPr>
    </w:p>
    <w:p>
      <w:pPr>
        <w:jc w:val="both"/>
        <w:ind w:left="-656" w:firstLine="656"/>
        <w:spacing w:after="0" w:line="279" w:lineRule="auto"/>
        <w:tabs>
          <w:tab w:leader="none" w:pos="2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sales or transfers of Ordinary Shares under a Rule 10b5-1 Plan that has been entered into by the undersigned prior to the date hereof (an “</w:t>
      </w:r>
      <w:r>
        <w:rPr>
          <w:rFonts w:ascii="Arial" w:cs="Arial" w:eastAsia="Arial" w:hAnsi="Arial"/>
          <w:sz w:val="17"/>
          <w:szCs w:val="17"/>
          <w:b w:val="1"/>
          <w:bCs w:val="1"/>
          <w:color w:val="auto"/>
        </w:rPr>
        <w:t>Existing Rule 10b5-1 Plan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amendment shall be made to any such Existing Rule 10b5-1 Plan during the Lock-Up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any public report or filing is made with the Commission in connection with such sales or transfers under an Existing Rule 10b5-1 Plan, such report or filing indicates that such sales or transfers are being made pursuant to an Existing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 w:name="page51"/>
    <w:bookmarkEnd w:id="50"/>
    <w:p>
      <w:pPr>
        <w:jc w:val="both"/>
        <w:ind w:firstLine="656"/>
        <w:spacing w:after="0" w:line="259" w:lineRule="auto"/>
        <w:tabs>
          <w:tab w:leader="none" w:pos="8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demands or requests for, exercises of any right with respect to, or any action in preparation of, the registration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undersigned’s Lock-Up Securities, provided that no transfer of the undersigned’s Lock-Up Securities registered pursuant to the exercise of any such right and no registration statement shall be filed under the Securities Act with respect to any of the undersigned’s Lock-Up Securities during the Lock-Up Period,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such tender offer, merger, consolidation or other such transaction is not completed, the Lock-Up Securities held by the undersigned shall remain subject to the provisions of this Lock-Up Letter Agreement,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it shall be a condition to any transfer pursuant to clauses (b) through (e) that the transferee or donee agrees to be bound by the terms of this Lock Up Letter Agreement (including, without limitation, the restrictions set forth in the preceding sentence) to the same extent as if the transferee/donee were a party hereto, and (ii) it shall be a condition to any transfer pursuant to clauses (b) through (e) that the undersigned notifies Citigroup Global Markets Inc., Barclays Capital Inc., Goldman Sachs &amp; Co. LLC and Morgan Stanley &amp; Co. LLC at least two business days prior to the proposed transfer or disposition;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the case of clauses (a) through (d) and (f) through (h),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referred to above.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or (iii) the Underwriting Agreement (other than the provisions thereof which survive termination) shall terminate or be terminated prior to payment for and delivery of the Shares.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understands that the Company and the Underwriters will proceed with the Offering in reliance on this Lock-Up Letter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any Selling Shareholder named therein and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59" w:lineRule="auto"/>
        <w:rPr>
          <w:sz w:val="20"/>
          <w:szCs w:val="20"/>
          <w:color w:val="auto"/>
        </w:rPr>
      </w:pPr>
      <w:r>
        <w:rPr>
          <w:rFonts w:ascii="Arial" w:cs="Arial" w:eastAsia="Arial" w:hAnsi="Arial"/>
          <w:sz w:val="18"/>
          <w:szCs w:val="18"/>
          <w:color w:val="auto"/>
        </w:rPr>
        <w:t>The undersigned acknowledges and agrees that none of the Underwriters has made any recommendation or provided any investment or other advice to the undersigned with respect to this Lock-Up Letter Agreement or the subject matter hereof, and the undersigned has consulted its own legal, accounting, financial, regulatory, tax and other advisors with respect to this Lock-Up Letter Agreement and the subject matter hereof to the extent the undersigned has deemed appropriate.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Lock-Up Letter Agreement and any claim, controversy or dispute arising under or related to this Lock-Up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91785" cy="814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39178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Underwritten Offering Pursuant to 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acted as Israeli counsel for Kornit Digital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an underwritten public offering by the Company, contemplating (i) the offer, issuance and sale by the Company of an aggregate of 1,940,000 ordinary shares, par value NIS 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the Company (the “</w:t>
      </w:r>
      <w:r>
        <w:rPr>
          <w:rFonts w:ascii="Arial" w:cs="Arial" w:eastAsia="Arial" w:hAnsi="Arial"/>
          <w:sz w:val="18"/>
          <w:szCs w:val="18"/>
          <w:b w:val="1"/>
          <w:bCs w:val="1"/>
          <w:color w:val="auto"/>
        </w:rPr>
        <w:t>Offering Shares</w:t>
      </w:r>
      <w:r>
        <w:rPr>
          <w:rFonts w:ascii="Arial" w:cs="Arial" w:eastAsia="Arial" w:hAnsi="Arial"/>
          <w:sz w:val="18"/>
          <w:szCs w:val="18"/>
          <w:color w:val="auto"/>
        </w:rPr>
        <w:t>”) and (ii) the potential issuance and sale by the Company of up to an additional 396,892 Ordinary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and, collectively with the Offering Shares, the “</w:t>
      </w:r>
      <w:r>
        <w:rPr>
          <w:rFonts w:ascii="Arial" w:cs="Arial" w:eastAsia="Arial" w:hAnsi="Arial"/>
          <w:sz w:val="18"/>
          <w:szCs w:val="18"/>
          <w:b w:val="1"/>
          <w:bCs w:val="1"/>
          <w:color w:val="auto"/>
        </w:rPr>
        <w:t>Primary Shares</w:t>
      </w:r>
      <w:r>
        <w:rPr>
          <w:rFonts w:ascii="Arial" w:cs="Arial" w:eastAsia="Arial" w:hAnsi="Arial"/>
          <w:sz w:val="18"/>
          <w:szCs w:val="18"/>
          <w:color w:val="auto"/>
        </w:rPr>
        <w:t>) that are subject to an option to purchase additional shares granted by the Company to the underwriters of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As part of the Offering, Amazon.com NV Investment Holdings LLC (the “</w:t>
      </w:r>
      <w:r>
        <w:rPr>
          <w:rFonts w:ascii="Arial" w:cs="Arial" w:eastAsia="Arial" w:hAnsi="Arial"/>
          <w:sz w:val="18"/>
          <w:szCs w:val="18"/>
          <w:b w:val="1"/>
          <w:bCs w:val="1"/>
          <w:color w:val="auto"/>
        </w:rPr>
        <w:t>Selling Shareholder</w:t>
      </w:r>
      <w:r>
        <w:rPr>
          <w:rFonts w:ascii="Arial" w:cs="Arial" w:eastAsia="Arial" w:hAnsi="Arial"/>
          <w:sz w:val="18"/>
          <w:szCs w:val="18"/>
          <w:color w:val="auto"/>
        </w:rPr>
        <w:t>”) will be offering and selling 705,953 Ordinary Shares (the “</w:t>
      </w:r>
      <w:r>
        <w:rPr>
          <w:rFonts w:ascii="Arial" w:cs="Arial" w:eastAsia="Arial" w:hAnsi="Arial"/>
          <w:sz w:val="18"/>
          <w:szCs w:val="18"/>
          <w:b w:val="1"/>
          <w:bCs w:val="1"/>
          <w:color w:val="auto"/>
        </w:rPr>
        <w:t>Secondary Shares</w:t>
      </w:r>
      <w:r>
        <w:rPr>
          <w:rFonts w:ascii="Arial" w:cs="Arial" w:eastAsia="Arial" w:hAnsi="Arial"/>
          <w:sz w:val="18"/>
          <w:szCs w:val="18"/>
          <w:color w:val="auto"/>
        </w:rPr>
        <w:t>”, and together with the Primary Shares, collectively, the “</w:t>
      </w:r>
      <w:r>
        <w:rPr>
          <w:rFonts w:ascii="Arial" w:cs="Arial" w:eastAsia="Arial" w:hAnsi="Arial"/>
          <w:sz w:val="18"/>
          <w:szCs w:val="18"/>
          <w:b w:val="1"/>
          <w:bCs w:val="1"/>
          <w:color w:val="auto"/>
        </w:rPr>
        <w:t>Shares</w:t>
      </w:r>
      <w:r>
        <w:rPr>
          <w:rFonts w:ascii="Arial" w:cs="Arial" w:eastAsia="Arial" w:hAnsi="Arial"/>
          <w:sz w:val="18"/>
          <w:szCs w:val="18"/>
          <w:color w:val="auto"/>
        </w:rPr>
        <w:t>”) issuable under a warrant, dated January 10, 2017, issued by the Company to the Selling Shareholder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Warrant</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Offering is being effected pursuant to the registration statement on Form F-3 (File No. 333-248784)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on September 14, 2020, including the prospectus contained therein, as supplemented by the preliminary prospectus supplement dated November 16, 2021 (the “</w:t>
      </w:r>
      <w:r>
        <w:rPr>
          <w:rFonts w:ascii="Arial" w:cs="Arial" w:eastAsia="Arial" w:hAnsi="Arial"/>
          <w:sz w:val="16"/>
          <w:szCs w:val="16"/>
          <w:b w:val="1"/>
          <w:bCs w:val="1"/>
          <w:color w:val="auto"/>
        </w:rPr>
        <w:t>Preliminary Prospectus Supplement</w:t>
      </w:r>
      <w:r>
        <w:rPr>
          <w:rFonts w:ascii="Arial" w:cs="Arial" w:eastAsia="Arial" w:hAnsi="Arial"/>
          <w:sz w:val="16"/>
          <w:szCs w:val="16"/>
          <w:color w:val="auto"/>
        </w:rPr>
        <w:t>”) and the final prospectus supplement dated November 18, 2021 (the “</w:t>
      </w:r>
      <w:r>
        <w:rPr>
          <w:rFonts w:ascii="Arial" w:cs="Arial" w:eastAsia="Arial" w:hAnsi="Arial"/>
          <w:sz w:val="16"/>
          <w:szCs w:val="16"/>
          <w:b w:val="1"/>
          <w:bCs w:val="1"/>
          <w:color w:val="auto"/>
        </w:rPr>
        <w:t>Final Prospectus Supplement” and,</w:t>
      </w:r>
      <w:r>
        <w:rPr>
          <w:rFonts w:ascii="Arial" w:cs="Arial" w:eastAsia="Arial" w:hAnsi="Arial"/>
          <w:sz w:val="16"/>
          <w:szCs w:val="16"/>
          <w:color w:val="auto"/>
        </w:rPr>
        <w:t xml:space="preserve"> </w:t>
      </w:r>
      <w:r>
        <w:rPr>
          <w:rFonts w:ascii="Arial" w:cs="Arial" w:eastAsia="Arial" w:hAnsi="Arial"/>
          <w:sz w:val="16"/>
          <w:szCs w:val="16"/>
          <w:b w:val="1"/>
          <w:bCs w:val="1"/>
          <w:color w:val="auto"/>
        </w:rPr>
        <w:t>together with the Preliminary Prospectus Supplement, the “Prospectus Supplements”), in each case as filed by the Company with the SEC.</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letter is rendered pursuant to Items 601(b)(5) and (b)(23) of Regulation S-K promulgated under the Securities Act.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connection herewith, we have examined the originals, or photocopies or copies, certified or otherwise identified to our satisfaction, of: (i) the Registration Statement; (ii) the Prospectus Supplements; (iii) the underwriting agreement, dated as of November 18, 2021, by and among the Company; the Selling Shareholder; and Citigroup Global Markets Inc., Barclays Capital Inc., Goldman Sachs &amp; Co. LLC and Morgan Stanley &amp; Co. LLC as representatives of the underwriters named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thereto, pursuant to which the Offering is being effected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(iv) the articles of association of the Company, as amended and as currently in effect (the “</w:t>
      </w:r>
      <w:r>
        <w:rPr>
          <w:rFonts w:ascii="Arial" w:cs="Arial" w:eastAsia="Arial" w:hAnsi="Arial"/>
          <w:sz w:val="17"/>
          <w:szCs w:val="17"/>
          <w:b w:val="1"/>
          <w:bCs w:val="1"/>
          <w:color w:val="auto"/>
        </w:rPr>
        <w:t>Articles</w:t>
      </w:r>
      <w:r>
        <w:rPr>
          <w:rFonts w:ascii="Arial" w:cs="Arial" w:eastAsia="Arial" w:hAnsi="Arial"/>
          <w:sz w:val="17"/>
          <w:szCs w:val="17"/>
          <w:color w:val="auto"/>
        </w:rPr>
        <w:t>”); (v) resolutions of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and a pricing committee thereof, that relate to the Registration Statement, the Prospectus Supplement and the actions to be taken in connection with the Offering; (vi) the Selling Shareholder Warrant; (vii) the Transaction Agreement, dated January 10, 2017, between the Company and Amazon.com, Inc. pursuant to which the Selling Shareholder Warrant was issued; and (viii)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1543050" cy="351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51155"/>
                    </a:xfrm>
                    <a:prstGeom prst="rect">
                      <a:avLst/>
                    </a:prstGeom>
                    <a:noFill/>
                  </pic:spPr>
                </pic:pic>
              </a:graphicData>
            </a:graphic>
          </wp:anchor>
        </w:drawing>
        <w:t>Based upon and subject to the foregoing, we are of the opinion that the Shares have been duly authorized, and, upon payment to the Company of</w:t>
      </w:r>
    </w:p>
    <w:p>
      <w:pPr>
        <w:spacing w:after="0" w:line="46" w:lineRule="exact"/>
        <w:rPr>
          <w:sz w:val="20"/>
          <w:szCs w:val="20"/>
          <w:color w:val="auto"/>
        </w:rPr>
      </w:pPr>
    </w:p>
    <w:p>
      <w:pPr>
        <w:jc w:val="both"/>
        <w:ind w:firstLine="8"/>
        <w:spacing w:after="0" w:line="255" w:lineRule="auto"/>
        <w:tabs>
          <w:tab w:leader="none" w:pos="2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per Primary Share in such amount and form as is set forth in the Underwriting Agreement, and (ii) the exercise price per Secondary Share in such amount and form as is set forth in the Selling Shareholder Warrant, and when issued and sold in the Offering as described in the Prospectus Supplement, the Shares will be validly issued, fully paid and non-assessable.</w:t>
      </w:r>
    </w:p>
    <w:p>
      <w:pPr>
        <w:spacing w:after="0" w:line="1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consent to the filing of this opinion as an exhibit to the Registration Statement (as an exhibit to a Report of Foreign Private Issuer on Form 6-K that is incorporated by reference in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date of the Final Prospectus Supplement that may alter, affect or modify the opinions expressed herein.</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54" w:name="page55"/>
    <w:bookmarkEnd w:id="5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168910</wp:posOffset>
            </wp:positionV>
            <wp:extent cx="1071245" cy="891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07124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andrew.backman@kornit.com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Kornit Digital Announces Launch of Public Offering of Ordinary Shares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November 16, 2021, Rosh Ha’ayn, Israel – Kornit Digital Ltd. (NASDAQ: KRNT) (“Kornit”), a company that develops, designs and markets innovative, sustainable, on-demand, digital fashion and textile production technologies, today announced the launch of an underwritten public offering of 2,205,701 ordinary shares, 1,500,000 of which are being offered by Kornit and 705,701 of which are being offered by an affiliate of Amazon.com, Inc. (“Amazon”). Kornit will not receive any of the proceeds from the sale of shares being offered by an affiliate of Amazon. The shares being sold by an affiliate of Amazon are being issued pursuant to the exercise of a warrant granted to Amazon by Kornit. Kornit intends to grant the underwriters a 30-day option to purchase up to an additional 330,855 ordinary shares.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Kornit intends to use the proceeds from the offering for future potential acquisitions, including complementary businesses, technologies or assets, and for general corporate purposes, including working capital and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Citigroup, Barclays, Goldman Sachs &amp; Co. LLC and Morgan Stanley are acting as bookrunners and as representatives of the underwriters for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Needham &amp; Company, Stifel, William Blair, Berenberg, CJS Securities and Craig-Hallum are acting as co-managers in the offering.</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Kornit is filing a preliminary prospectus supplement to its shelf registration statement on Form F-3 with the U.S. Securities and Exchange Commission (the “SEC”) for the proposed offering of its ordinary shares. The offering will be made only by means of a prospectus supplement and the accompanying prospectus. When available, a copy of the preliminary prospectus supplement relating to the offering and accompanying prospectus may be obtained from Citigroup, c/o Broadridge Financial Solutions, 1155 Long Island Avenue, Edgewood, NY 11717 (Tel: 800-831-9146 or email to: </w:t>
      </w:r>
      <w:r>
        <w:rPr>
          <w:rFonts w:ascii="Arial" w:cs="Arial" w:eastAsia="Arial" w:hAnsi="Arial"/>
          <w:sz w:val="17"/>
          <w:szCs w:val="17"/>
          <w:b w:val="1"/>
          <w:bCs w:val="1"/>
          <w:color w:val="auto"/>
        </w:rPr>
        <w:t>Prospectus@citi.com</w:t>
      </w:r>
      <w:r>
        <w:rPr>
          <w:rFonts w:ascii="Arial" w:cs="Arial" w:eastAsia="Arial" w:hAnsi="Arial"/>
          <w:sz w:val="17"/>
          <w:szCs w:val="17"/>
          <w:color w:val="auto"/>
        </w:rPr>
        <w:t xml:space="preserve">); Barclays, c/o Broadridge Financial Solutions, 1155 Long Island Avenue, Edgewood, NY 11717, or by telephone at 888-603-5847, or by emailing </w:t>
      </w:r>
      <w:r>
        <w:rPr>
          <w:rFonts w:ascii="Arial" w:cs="Arial" w:eastAsia="Arial" w:hAnsi="Arial"/>
          <w:sz w:val="17"/>
          <w:szCs w:val="17"/>
          <w:b w:val="1"/>
          <w:bCs w:val="1"/>
          <w:color w:val="auto"/>
        </w:rPr>
        <w:t>barclaysprospectus@broadridge.com</w:t>
      </w:r>
      <w:r>
        <w:rPr>
          <w:rFonts w:ascii="Arial" w:cs="Arial" w:eastAsia="Arial" w:hAnsi="Arial"/>
          <w:sz w:val="17"/>
          <w:szCs w:val="17"/>
          <w:color w:val="auto"/>
        </w:rPr>
        <w:t>; or Goldman Sachs &amp; Co. LLC, Attention: Prospectus Department, 200 West Street, New York, NY 10282, or by telephone at 866-471-2526, or by email at prospectus-ny@ny.email.gs.com; Morgan Stanley &amp; Co. LLC, Attention: Prospectus Department, 180 Varick Street,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10014, or by telephone: 1-866-718-1649.</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SEC.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Digital Ltd. (NASDAQ: KRNT) develops, designs and markets innovative, sustainable, on-demand, digital fashion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154305</wp:posOffset>
            </wp:positionV>
            <wp:extent cx="1071245" cy="891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107124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andrew.backman@kornit.com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Announces Pricing of Upsized Public Offering of Ordinary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November 18, 2021, Rosh Ha’ayn, Israel </w:t>
      </w:r>
      <w:r>
        <w:rPr>
          <w:rFonts w:ascii="Arial" w:cs="Arial" w:eastAsia="Arial" w:hAnsi="Arial"/>
          <w:sz w:val="17"/>
          <w:szCs w:val="17"/>
          <w:color w:val="auto"/>
        </w:rPr>
        <w:t>– Kornit Digital Ltd. (NASDAQ: KRNT) (“Kornit”), a company that develops, designs and markets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sustainable, on-demand, digital fashion and textile production technologies, announced today the pricing of an upsized underwritten public offering of 2,645,953 ordinary shares at a price to the public of $151.00 per share. Kornit is offering 1,941,191 ordinary shares and an affiliate of Amazon.com, Inc. (“Amazon”) is offering 705,953 ordinary shares. Kornit will not receive any of the proceeds from the sale of shares being offered by an affiliate of Amazon. The shares being sold by an affiliate of Amazon are being issued pursuant to the exercise of a warrant granted to Amazon by Kornit. Kornit has also granted the underwriters a 30-day option to purchase up to an additional 397,072 ordinary shares at the public offering price. The offering is expected to close on November 23, 2021, subject to customary closing conditions.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Kornit intends to use the proceeds from the offering for future potential acquisitions, including complementary businesses, technologies or assets, and for general corporate purposes, including working capital and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Citigroup, Barclays, Goldman Sachs &amp; Co. LLC and Morgan Stanley are acting as bookrunners and as representatives of the underwriters for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Needham &amp; Company, Stifel, William Blair, Berenberg, CJS Securities and Craig-Hallum are acting as co-managers in the offering.</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Kornit has filed a preliminary prospectus supplement to its shelf registration statement on Form F-3 with the U.S. Securities and Exchange Commission (the “SEC”) for the offering of its ordinary shares. The offering will be made only by means of a prospectus supplement and the accompanying prospectus. A copy of the preliminary prospectus supplement relating to the offering and accompanying prospectus and, when available, the final prospectus supplement relating to the offering and accompanying prospectus, may be obtained from Citigroup, c/o Broadridge Financial Solutions, 1155 Long Island Avenue, Edgewood, NY 11717 (Tel: 800-831-9146 or email to: Prospectus@citi.com); Barclays, c/o Broadridge Financial Solutions, 1155 Long Island Avenue, Edgewood, NY 11717, or by telephone at 888-603-5847, or by emailing barclaysprospectus@broadridge.com; or Goldman Sachs &amp; Co. LLC, Attention: Prospectus Department, 200 West Street, New York, NY 10282, or by telephone at 866-471-2526, or by email at prospectus-ny@ny.email.gs.com; Morgan Stanley &amp; Co. LLC, Attention: Prospectus Department, 180 Varick Street,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New York 10014, or by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telephone: 1-866-718-1649.</w:t>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offering of these securities is being made under an effective shelf registration statement on file with the SEC. The registration statement, preliminary prospectus supplement and, when available, the final prospectus supplement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Digital Ltd. (NASDAQ: KRNT) is a company that develops, designs and markets innovative, sustainable, on-demand, digital fashion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
    <w:nsid w:val="2901D82"/>
    <w:multiLevelType w:val="hybridMultilevel"/>
    <w:lvl w:ilvl="0">
      <w:lvlJc w:val="left"/>
      <w:lvlText w:val="(%1)"/>
      <w:numFmt w:val="lowerLetter"/>
      <w:start w:val="2"/>
    </w:lvl>
  </w:abstractNum>
  <w:abstractNum w:abstractNumId="2">
    <w:nsid w:val="3A95F874"/>
    <w:multiLevelType w:val="hybridMultilevel"/>
    <w:lvl w:ilvl="0">
      <w:lvlJc w:val="left"/>
      <w:lvlText w:val="(%1)"/>
      <w:numFmt w:val="lowerLetter"/>
      <w:start w:val="6"/>
    </w:lvl>
  </w:abstractNum>
  <w:abstractNum w:abstractNumId="3">
    <w:nsid w:val="8138641"/>
    <w:multiLevelType w:val="hybridMultilevel"/>
    <w:lvl w:ilvl="0">
      <w:lvlJc w:val="left"/>
      <w:lvlText w:val="(%1)"/>
      <w:numFmt w:val="lowerLetter"/>
      <w:start w:val="12"/>
    </w:lvl>
  </w:abstractNum>
  <w:abstractNum w:abstractNumId="4">
    <w:nsid w:val="1E7FF521"/>
    <w:multiLevelType w:val="hybridMultilevel"/>
    <w:lvl w:ilvl="0">
      <w:lvlJc w:val="left"/>
      <w:lvlText w:val="%1"/>
      <w:numFmt w:val="lowerLetter"/>
      <w:start w:val="1"/>
    </w:lvl>
    <w:lvl w:ilvl="1">
      <w:lvlJc w:val="left"/>
      <w:lvlText w:val="(%2)"/>
      <w:numFmt w:val="lowerLetter"/>
      <w:start w:val="14"/>
    </w:lvl>
  </w:abstractNum>
  <w:abstractNum w:abstractNumId="5">
    <w:nsid w:val="7C3DBD3D"/>
    <w:multiLevelType w:val="hybridMultilevel"/>
    <w:lvl w:ilvl="0">
      <w:lvlJc w:val="left"/>
      <w:lvlText w:val="(%1)"/>
      <w:numFmt w:val="lowerLetter"/>
      <w:start w:val="9"/>
    </w:lvl>
    <w:lvl w:ilvl="1">
      <w:lvlJc w:val="left"/>
      <w:lvlText w:val="%2"/>
      <w:numFmt w:val="lowerLetter"/>
      <w:start w:val="1"/>
    </w:lvl>
  </w:abstractNum>
  <w:abstractNum w:abstractNumId="6">
    <w:nsid w:val="737B8DDC"/>
    <w:multiLevelType w:val="hybridMultilevel"/>
    <w:lvl w:ilvl="0">
      <w:lvlJc w:val="left"/>
      <w:lvlText w:val="(%1)"/>
      <w:numFmt w:val="lowerLetter"/>
      <w:start w:val="18"/>
    </w:lvl>
  </w:abstractNum>
  <w:abstractNum w:abstractNumId="7">
    <w:nsid w:val="6CEAF087"/>
    <w:multiLevelType w:val="hybridMultilevel"/>
    <w:lvl w:ilvl="0">
      <w:lvlJc w:val="left"/>
      <w:lvlText w:val="%1"/>
      <w:numFmt w:val="lowerLetter"/>
      <w:start w:val="1"/>
    </w:lvl>
    <w:lvl w:ilvl="1">
      <w:lvlJc w:val="left"/>
      <w:lvlText w:val="(%2)"/>
      <w:numFmt w:val="lowerLetter"/>
      <w:start w:val="22"/>
    </w:lvl>
  </w:abstractNum>
  <w:abstractNum w:abstractNumId="8">
    <w:nsid w:val="22221A70"/>
    <w:multiLevelType w:val="hybridMultilevel"/>
    <w:lvl w:ilvl="0">
      <w:lvlJc w:val="left"/>
      <w:lvlText w:val="(%1)"/>
      <w:numFmt w:val="lowerLetter"/>
      <w:start w:val="9"/>
    </w:lvl>
    <w:lvl w:ilvl="1">
      <w:lvlJc w:val="left"/>
      <w:lvlText w:val="(%2)"/>
      <w:numFmt w:val="lowerLetter"/>
      <w:start w:val="23"/>
    </w:lvl>
  </w:abstractNum>
  <w:abstractNum w:abstractNumId="9">
    <w:nsid w:val="4516DDE9"/>
    <w:multiLevelType w:val="hybridMultilevel"/>
    <w:lvl w:ilvl="0">
      <w:lvlJc w:val="left"/>
      <w:lvlText w:val="(%1)"/>
      <w:numFmt w:val="lowerLetter"/>
      <w:start w:val="26"/>
    </w:lvl>
  </w:abstractNum>
  <w:abstractNum w:abstractNumId="10">
    <w:nsid w:val="3006C83E"/>
    <w:multiLevelType w:val="hybridMultilevel"/>
    <w:lvl w:ilvl="0">
      <w:lvlJc w:val="left"/>
      <w:lvlText w:val="(%1)"/>
      <w:numFmt w:val="lowerLetter"/>
      <w:start w:val="27"/>
    </w:lvl>
  </w:abstractNum>
  <w:abstractNum w:abstractNumId="11">
    <w:nsid w:val="614FD4A1"/>
    <w:multiLevelType w:val="hybridMultilevel"/>
    <w:lvl w:ilvl="0">
      <w:lvlJc w:val="left"/>
      <w:lvlText w:val="(%1)"/>
      <w:numFmt w:val="lowerLetter"/>
      <w:start w:val="29"/>
    </w:lvl>
  </w:abstractNum>
  <w:abstractNum w:abstractNumId="12">
    <w:nsid w:val="419AC241"/>
    <w:multiLevelType w:val="hybridMultilevel"/>
    <w:lvl w:ilvl="0">
      <w:lvlJc w:val="left"/>
      <w:lvlText w:val="(%1)"/>
      <w:numFmt w:val="lowerLetter"/>
      <w:start w:val="34"/>
    </w:lvl>
  </w:abstractNum>
  <w:abstractNum w:abstractNumId="13">
    <w:nsid w:val="5577F8E1"/>
    <w:multiLevelType w:val="hybridMultilevel"/>
    <w:lvl w:ilvl="0">
      <w:lvlJc w:val="left"/>
      <w:lvlText w:val="(%1)"/>
      <w:numFmt w:val="lowerLetter"/>
      <w:start w:val="38"/>
    </w:lvl>
  </w:abstractNum>
  <w:abstractNum w:abstractNumId="14">
    <w:nsid w:val="440BADFC"/>
    <w:multiLevelType w:val="hybridMultilevel"/>
    <w:lvl w:ilvl="0">
      <w:lvlJc w:val="left"/>
      <w:lvlText w:val="%1"/>
      <w:numFmt w:val="lowerLetter"/>
      <w:start w:val="1"/>
    </w:lvl>
    <w:lvl w:ilvl="1">
      <w:lvlJc w:val="left"/>
      <w:lvlText w:val="(%2)"/>
      <w:numFmt w:val="lowerLetter"/>
      <w:start w:val="41"/>
    </w:lvl>
  </w:abstractNum>
  <w:abstractNum w:abstractNumId="15">
    <w:nsid w:val="5072367"/>
    <w:multiLevelType w:val="hybridMultilevel"/>
    <w:lvl w:ilvl="0">
      <w:lvlJc w:val="left"/>
      <w:lvlText w:val="(%1)"/>
      <w:numFmt w:val="lowerLetter"/>
      <w:start w:val="35"/>
    </w:lvl>
    <w:lvl w:ilvl="1">
      <w:lvlJc w:val="left"/>
      <w:lvlText w:val="(%2)"/>
      <w:numFmt w:val="lowerLetter"/>
      <w:start w:val="44"/>
    </w:lvl>
  </w:abstractNum>
  <w:abstractNum w:abstractNumId="16">
    <w:nsid w:val="3804823E"/>
    <w:multiLevelType w:val="hybridMultilevel"/>
    <w:lvl w:ilvl="0">
      <w:lvlJc w:val="left"/>
      <w:lvlText w:val="(%1)"/>
      <w:numFmt w:val="lowerLetter"/>
      <w:start w:val="46"/>
    </w:lvl>
  </w:abstractNum>
  <w:abstractNum w:abstractNumId="17">
    <w:nsid w:val="77465F01"/>
    <w:multiLevelType w:val="hybridMultilevel"/>
    <w:lvl w:ilvl="0">
      <w:lvlJc w:val="left"/>
      <w:lvlText w:val="(%1)"/>
      <w:numFmt w:val="lowerLetter"/>
      <w:start w:val="53"/>
    </w:lvl>
  </w:abstractNum>
  <w:abstractNum w:abstractNumId="18">
    <w:nsid w:val="7724C67E"/>
    <w:multiLevelType w:val="hybridMultilevel"/>
    <w:lvl w:ilvl="0">
      <w:lvlJc w:val="left"/>
      <w:lvlText w:val="(%1)"/>
      <w:numFmt w:val="lowerLetter"/>
      <w:start w:val="56"/>
    </w:lvl>
  </w:abstractNum>
  <w:abstractNum w:abstractNumId="19">
    <w:nsid w:val="5C482A97"/>
    <w:multiLevelType w:val="hybridMultilevel"/>
    <w:lvl w:ilvl="0">
      <w:lvlJc w:val="left"/>
      <w:lvlText w:val="%1."/>
      <w:numFmt w:val="decimal"/>
      <w:start w:val="2"/>
    </w:lvl>
    <w:lvl w:ilvl="1">
      <w:lvlJc w:val="left"/>
      <w:lvlText w:val="(%2)"/>
      <w:numFmt w:val="lowerLetter"/>
      <w:start w:val="1"/>
    </w:lvl>
  </w:abstractNum>
  <w:abstractNum w:abstractNumId="20">
    <w:nsid w:val="2463B9EA"/>
    <w:multiLevelType w:val="hybridMultilevel"/>
    <w:lvl w:ilvl="0">
      <w:lvlJc w:val="left"/>
      <w:lvlText w:val="%1"/>
      <w:numFmt w:val="decimal"/>
      <w:start w:val="501"/>
    </w:lvl>
    <w:lvl w:ilvl="1">
      <w:lvlJc w:val="left"/>
      <w:lvlText w:val="(%2)"/>
      <w:numFmt w:val="lowerLetter"/>
      <w:start w:val="4"/>
    </w:lvl>
  </w:abstractNum>
  <w:abstractNum w:abstractNumId="21">
    <w:nsid w:val="5E884ADC"/>
    <w:multiLevelType w:val="hybridMultilevel"/>
    <w:lvl w:ilvl="0">
      <w:lvlJc w:val="left"/>
      <w:lvlText w:val="%1"/>
      <w:numFmt w:val="decimal"/>
      <w:start w:val="501"/>
    </w:lvl>
    <w:lvl w:ilvl="1">
      <w:lvlJc w:val="left"/>
      <w:lvlText w:val="%2"/>
      <w:numFmt w:val="lowerLetter"/>
      <w:start w:val="1"/>
    </w:lvl>
  </w:abstractNum>
  <w:abstractNum w:abstractNumId="22">
    <w:nsid w:val="51EAD36B"/>
    <w:multiLevelType w:val="hybridMultilevel"/>
    <w:lvl w:ilvl="0">
      <w:lvlJc w:val="left"/>
      <w:lvlText w:val="(%1)"/>
      <w:numFmt w:val="lowerLetter"/>
      <w:start w:val="6"/>
    </w:lvl>
  </w:abstractNum>
  <w:abstractNum w:abstractNumId="23">
    <w:nsid w:val="2D517796"/>
    <w:multiLevelType w:val="hybridMultilevel"/>
    <w:lvl w:ilvl="0">
      <w:lvlJc w:val="left"/>
      <w:lvlText w:val="(%1)"/>
      <w:numFmt w:val="lowerLetter"/>
      <w:start w:val="13"/>
    </w:lvl>
  </w:abstractNum>
  <w:abstractNum w:abstractNumId="24">
    <w:nsid w:val="580BD78F"/>
    <w:multiLevelType w:val="hybridMultilevel"/>
    <w:lvl w:ilvl="0">
      <w:lvlJc w:val="left"/>
      <w:lvlText w:val="(%1)"/>
      <w:numFmt w:val="lowerLetter"/>
      <w:start w:val="17"/>
    </w:lvl>
  </w:abstractNum>
  <w:abstractNum w:abstractNumId="25">
    <w:nsid w:val="153EA438"/>
    <w:multiLevelType w:val="hybridMultilevel"/>
    <w:lvl w:ilvl="0">
      <w:lvlJc w:val="left"/>
      <w:lvlText w:val="%1."/>
      <w:numFmt w:val="decimal"/>
      <w:start w:val="3"/>
    </w:lvl>
  </w:abstractNum>
  <w:abstractNum w:abstractNumId="26">
    <w:nsid w:val="3855585C"/>
    <w:multiLevelType w:val="hybridMultilevel"/>
    <w:lvl w:ilvl="0">
      <w:lvlJc w:val="left"/>
      <w:lvlText w:val="%1."/>
      <w:numFmt w:val="decimal"/>
      <w:start w:val="4"/>
    </w:lvl>
  </w:abstractNum>
  <w:abstractNum w:abstractNumId="27">
    <w:nsid w:val="70A64E2A"/>
    <w:multiLevelType w:val="hybridMultilevel"/>
    <w:lvl w:ilvl="0">
      <w:lvlJc w:val="left"/>
      <w:lvlText w:val="%1."/>
      <w:numFmt w:val="decimal"/>
      <w:start w:val="6"/>
    </w:lvl>
    <w:lvl w:ilvl="1">
      <w:lvlJc w:val="left"/>
      <w:lvlText w:val="(%2)"/>
      <w:numFmt w:val="lowerLetter"/>
      <w:start w:val="9"/>
    </w:lvl>
  </w:abstractNum>
  <w:abstractNum w:abstractNumId="28">
    <w:nsid w:val="6A2342EC"/>
    <w:multiLevelType w:val="hybridMultilevel"/>
    <w:lvl w:ilvl="0">
      <w:lvlJc w:val="left"/>
      <w:lvlText w:val="(%1)"/>
      <w:numFmt w:val="lowerRoman"/>
      <w:start w:val="2"/>
    </w:lvl>
  </w:abstractNum>
  <w:abstractNum w:abstractNumId="29">
    <w:nsid w:val="2A487CB0"/>
    <w:multiLevelType w:val="hybridMultilevel"/>
    <w:lvl w:ilvl="0">
      <w:lvlJc w:val="left"/>
      <w:lvlText w:val="%1"/>
      <w:numFmt w:val="upperLetter"/>
      <w:start w:val="1"/>
    </w:lvl>
    <w:lvl w:ilvl="1">
      <w:lvlJc w:val="left"/>
      <w:lvlText w:val="(%2)"/>
      <w:numFmt w:val="lowerRoman"/>
      <w:start w:val="8"/>
    </w:lvl>
  </w:abstractNum>
  <w:abstractNum w:abstractNumId="30">
    <w:nsid w:val="1D4ED43B"/>
    <w:multiLevelType w:val="hybridMultilevel"/>
    <w:lvl w:ilvl="0">
      <w:lvlJc w:val="left"/>
      <w:lvlText w:val="(%1)"/>
      <w:numFmt w:val="upperLetter"/>
      <w:start w:val="3"/>
    </w:lvl>
    <w:lvl w:ilvl="1">
      <w:lvlJc w:val="left"/>
      <w:lvlText w:val="(%2)"/>
      <w:numFmt w:val="lowerRoman"/>
      <w:start w:val="11"/>
    </w:lvl>
  </w:abstractNum>
  <w:abstractNum w:abstractNumId="31">
    <w:nsid w:val="725A06FB"/>
    <w:multiLevelType w:val="hybridMultilevel"/>
    <w:lvl w:ilvl="0">
      <w:lvlJc w:val="left"/>
      <w:lvlText w:val="%1"/>
      <w:numFmt w:val="decimal"/>
      <w:start w:val="1"/>
    </w:lvl>
    <w:lvl w:ilvl="1">
      <w:lvlJc w:val="left"/>
      <w:lvlText w:val="(%2)"/>
      <w:numFmt w:val="lowerLetter"/>
      <w:start w:val="2"/>
    </w:lvl>
  </w:abstractNum>
  <w:abstractNum w:abstractNumId="32">
    <w:nsid w:val="2CD89A32"/>
    <w:multiLevelType w:val="hybridMultilevel"/>
    <w:lvl w:ilvl="0">
      <w:lvlJc w:val="left"/>
      <w:lvlText w:val="%1."/>
      <w:numFmt w:val="decimal"/>
      <w:start w:val="7"/>
    </w:lvl>
    <w:lvl w:ilvl="1">
      <w:lvlJc w:val="left"/>
      <w:lvlText w:val="(%2)"/>
      <w:numFmt w:val="lowerLetter"/>
      <w:start w:val="1"/>
    </w:lvl>
  </w:abstractNum>
  <w:abstractNum w:abstractNumId="33">
    <w:nsid w:val="57E4CCAF"/>
    <w:multiLevelType w:val="hybridMultilevel"/>
    <w:lvl w:ilvl="0">
      <w:lvlJc w:val="left"/>
      <w:lvlText w:val="%1."/>
      <w:numFmt w:val="decimal"/>
      <w:start w:val="8"/>
    </w:lvl>
    <w:lvl w:ilvl="1">
      <w:lvlJc w:val="left"/>
      <w:lvlText w:val="(%2)"/>
      <w:numFmt w:val="lowerLetter"/>
      <w:start w:val="1"/>
    </w:lvl>
  </w:abstractNum>
  <w:abstractNum w:abstractNumId="34">
    <w:nsid w:val="7A6D8D3C"/>
    <w:multiLevelType w:val="hybridMultilevel"/>
    <w:lvl w:ilvl="0">
      <w:lvlJc w:val="left"/>
      <w:lvlText w:val="(%1)"/>
      <w:numFmt w:val="lowerLetter"/>
      <w:start w:val="2"/>
    </w:lvl>
  </w:abstractNum>
  <w:abstractNum w:abstractNumId="35">
    <w:nsid w:val="4B588F54"/>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36">
    <w:nsid w:val="542289EC"/>
    <w:multiLevelType w:val="hybridMultilevel"/>
    <w:lvl w:ilvl="0">
      <w:lvlJc w:val="left"/>
      <w:lvlText w:val="(%1)"/>
      <w:numFmt w:val="lowerLetter"/>
      <w:start w:val="9"/>
    </w:lvl>
    <w:lvl w:ilvl="1">
      <w:lvlJc w:val="left"/>
      <w:lvlText w:val="(%2)"/>
      <w:numFmt w:val="lowerLetter"/>
      <w:start w:val="11"/>
    </w:lvl>
    <w:lvl w:ilvl="2">
      <w:lvlJc w:val="left"/>
      <w:lvlText w:val="(%3)"/>
      <w:numFmt w:val="lowerRoman"/>
      <w:start w:val="1"/>
    </w:lvl>
  </w:abstractNum>
  <w:abstractNum w:abstractNumId="37">
    <w:nsid w:val="6DE91B18"/>
    <w:multiLevelType w:val="hybridMultilevel"/>
    <w:lvl w:ilvl="0">
      <w:lvlJc w:val="left"/>
      <w:lvlText w:val="%1"/>
      <w:numFmt w:val="lowerLetter"/>
      <w:start w:val="1"/>
    </w:lvl>
    <w:lvl w:ilvl="1">
      <w:lvlJc w:val="left"/>
      <w:lvlText w:val="(%2)"/>
      <w:numFmt w:val="lowerRoman"/>
      <w:start w:val="3"/>
    </w:lvl>
  </w:abstractNum>
  <w:abstractNum w:abstractNumId="38">
    <w:nsid w:val="38437FDB"/>
    <w:multiLevelType w:val="hybridMultilevel"/>
    <w:lvl w:ilvl="0">
      <w:lvlJc w:val="left"/>
      <w:lvlText w:val="(%1)"/>
      <w:numFmt w:val="lowerLetter"/>
      <w:start w:val="13"/>
    </w:lvl>
    <w:lvl w:ilvl="1">
      <w:lvlJc w:val="left"/>
      <w:lvlText w:val="%2"/>
      <w:numFmt w:val="lowerRoman"/>
      <w:start w:val="1"/>
    </w:lvl>
  </w:abstractNum>
  <w:abstractNum w:abstractNumId="39">
    <w:nsid w:val="7644A45C"/>
    <w:multiLevelType w:val="hybridMultilevel"/>
    <w:lvl w:ilvl="0">
      <w:lvlJc w:val="left"/>
      <w:lvlText w:val="(%1)"/>
      <w:numFmt w:val="lowerLetter"/>
      <w:start w:val="15"/>
    </w:lvl>
  </w:abstractNum>
  <w:abstractNum w:abstractNumId="40">
    <w:nsid w:val="32FFF902"/>
    <w:multiLevelType w:val="hybridMultilevel"/>
    <w:lvl w:ilvl="0">
      <w:lvlJc w:val="left"/>
      <w:lvlText w:val="%1."/>
      <w:numFmt w:val="decimal"/>
      <w:start w:val="10"/>
    </w:lvl>
    <w:lvl w:ilvl="1">
      <w:lvlJc w:val="left"/>
      <w:lvlText w:val="(%2)"/>
      <w:numFmt w:val="lowerLetter"/>
      <w:start w:val="1"/>
    </w:lvl>
  </w:abstractNum>
  <w:abstractNum w:abstractNumId="41">
    <w:nsid w:val="684A481A"/>
    <w:multiLevelType w:val="hybridMultilevel"/>
    <w:lvl w:ilvl="0">
      <w:lvlJc w:val="left"/>
      <w:lvlText w:val="(%1)"/>
      <w:numFmt w:val="lowerLetter"/>
      <w:start w:val="3"/>
    </w:lvl>
  </w:abstractNum>
  <w:abstractNum w:abstractNumId="42">
    <w:nsid w:val="579478FE"/>
    <w:multiLevelType w:val="hybridMultilevel"/>
    <w:lvl w:ilvl="0">
      <w:lvlJc w:val="left"/>
      <w:lvlText w:val="%1"/>
      <w:numFmt w:val="decimal"/>
      <w:start w:val="1"/>
    </w:lvl>
    <w:lvl w:ilvl="1">
      <w:lvlJc w:val="left"/>
      <w:lvlText w:val="(%2)"/>
      <w:numFmt w:val="lowerLetter"/>
      <w:start w:val="5"/>
    </w:lvl>
  </w:abstractNum>
  <w:abstractNum w:abstractNumId="43">
    <w:nsid w:val="749ABB43"/>
    <w:multiLevelType w:val="hybridMultilevel"/>
    <w:lvl w:ilvl="0">
      <w:lvlJc w:val="left"/>
      <w:lvlText w:val="%1."/>
      <w:numFmt w:val="decimal"/>
      <w:start w:val="11"/>
    </w:lvl>
    <w:lvl w:ilvl="1">
      <w:lvlJc w:val="left"/>
      <w:lvlText w:val="(%2)"/>
      <w:numFmt w:val="lowerLetter"/>
      <w:start w:val="1"/>
    </w:lvl>
  </w:abstractNum>
  <w:abstractNum w:abstractNumId="44">
    <w:nsid w:val="3DC240FB"/>
    <w:multiLevelType w:val="hybridMultilevel"/>
    <w:lvl w:ilvl="0">
      <w:lvlJc w:val="left"/>
      <w:lvlText w:val="%1"/>
      <w:numFmt w:val="decimal"/>
      <w:start w:val="1"/>
    </w:lvl>
    <w:lvl w:ilvl="1">
      <w:lvlJc w:val="left"/>
      <w:lvlText w:val="(%2)"/>
      <w:numFmt w:val="lowerLetter"/>
      <w:start w:val="2"/>
    </w:lvl>
  </w:abstractNum>
  <w:abstractNum w:abstractNumId="45">
    <w:nsid w:val="1BA026FA"/>
    <w:multiLevelType w:val="hybridMultilevel"/>
    <w:lvl w:ilvl="0">
      <w:lvlJc w:val="left"/>
      <w:lvlText w:val="%1."/>
      <w:numFmt w:val="decimal"/>
      <w:start w:val="12"/>
    </w:lvl>
    <w:lvl w:ilvl="1">
      <w:lvlJc w:val="left"/>
      <w:lvlText w:val="%2"/>
      <w:numFmt w:val="lowerLetter"/>
      <w:start w:val="1"/>
    </w:lvl>
  </w:abstractNum>
  <w:abstractNum w:abstractNumId="46">
    <w:nsid w:val="79A1DEAA"/>
    <w:multiLevelType w:val="hybridMultilevel"/>
    <w:lvl w:ilvl="0">
      <w:lvlJc w:val="left"/>
      <w:lvlText w:val="%1."/>
      <w:numFmt w:val="decimal"/>
      <w:start w:val="15"/>
    </w:lvl>
    <w:lvl w:ilvl="1">
      <w:lvlJc w:val="left"/>
      <w:lvlText w:val="(%2)"/>
      <w:numFmt w:val="lowerLetter"/>
      <w:start w:val="1"/>
    </w:lvl>
  </w:abstractNum>
  <w:abstractNum w:abstractNumId="47">
    <w:nsid w:val="75C6C33A"/>
    <w:multiLevelType w:val="hybridMultilevel"/>
    <w:lvl w:ilvl="0">
      <w:lvlJc w:val="left"/>
      <w:lvlText w:val="%1."/>
      <w:numFmt w:val="decimal"/>
      <w:start w:val="17"/>
    </w:lvl>
  </w:abstractNum>
  <w:abstractNum w:abstractNumId="48">
    <w:nsid w:val="12E685FB"/>
    <w:multiLevelType w:val="hybridMultilevel"/>
    <w:lvl w:ilvl="0">
      <w:lvlJc w:val="left"/>
      <w:lvlText w:val="%1."/>
      <w:numFmt w:val="decimal"/>
      <w:start w:val="18"/>
    </w:lvl>
    <w:lvl w:ilvl="1">
      <w:lvlJc w:val="left"/>
      <w:lvlText w:val="(%2)"/>
      <w:numFmt w:val="lowerLetter"/>
      <w:start w:val="1"/>
    </w:lvl>
  </w:abstractNum>
  <w:abstractNum w:abstractNumId="49">
    <w:nsid w:val="70C6A529"/>
    <w:multiLevelType w:val="hybridMultilevel"/>
    <w:lvl w:ilvl="0">
      <w:lvlJc w:val="left"/>
      <w:lvlText w:val="%1."/>
      <w:numFmt w:val="decimal"/>
      <w:start w:val="22"/>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lvl w:ilvl="1">
      <w:lvlJc w:val="left"/>
      <w:lvlText w:val="%2."/>
      <w:numFmt w:val="decimal"/>
      <w:start w:val="1"/>
    </w:lvl>
  </w:abstractNum>
  <w:abstractNum w:abstractNumId="52">
    <w:nsid w:val="4F4EF005"/>
    <w:multiLevelType w:val="hybridMultilevel"/>
    <w:lvl w:ilvl="0">
      <w:lvlJc w:val="left"/>
      <w:lvlText w:val="%1."/>
      <w:numFmt w:val="lowerLetter"/>
      <w:start w:val="2"/>
    </w:lvl>
    <w:lvl w:ilvl="1">
      <w:lvlJc w:val="left"/>
      <w:lvlText w:val="%2."/>
      <w:numFmt w:val="decimal"/>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9"/>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jpeg"/><Relationship Id="rId78" Type="http://schemas.openxmlformats.org/officeDocument/2006/relationships/image" Target="media/image63.png"/><Relationship Id="rId79" Type="http://schemas.openxmlformats.org/officeDocument/2006/relationships/image" Target="media/image64.jpe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jpeg"/><Relationship Id="rId83" Type="http://schemas.openxmlformats.org/officeDocument/2006/relationships/image" Target="media/image68.jpe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21390021017777/ea138332-s8_kornitdigital.htm" TargetMode="External"/><Relationship Id="rId15" Type="http://schemas.openxmlformats.org/officeDocument/2006/relationships/hyperlink" Target="http://www.sec.gov/Archives/edgar/data/1625791/000121390020007116/ea119827-s8_kornitdigital.htm" TargetMode="External"/><Relationship Id="rId16" Type="http://schemas.openxmlformats.org/officeDocument/2006/relationships/hyperlink" Target="http://www.sec.gov/Archives/edgar/data/1625791/000121390019005079/fs82019_kornitdigitalltd.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7003012/fs82017_kornitdigital.htm" TargetMode="External"/><Relationship Id="rId19" Type="http://schemas.openxmlformats.org/officeDocument/2006/relationships/hyperlink" Target="http://www.sec.gov/Archives/edgar/data/1625791/000121390016017339/fs82016_kornitdigital.htm" TargetMode="External"/><Relationship Id="rId20" Type="http://schemas.openxmlformats.org/officeDocument/2006/relationships/hyperlink" Target="http://www.sec.gov/Archives/edgar/data/1625791/000161577415000908/s101052_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2021-11-19T15:12:41Z</dcterms:created>
  <dcterms:modified xsi:type="dcterms:W3CDTF">2021-11-19T15:12:41Z</dcterms:modified>
</cp:coreProperties>
</file>