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May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Pursuant to the notice of the extraordinary general meeting of shareholders of Kornit Digital Ltd. (the “Company”), which was attached as Exhibit 99.1 to the Company’s report of Foreign Private Issuer on Form 6-K furnished to the Securities and Exchange Commission on May 8, 2015, the Company hereby furnishes the following documents:</w:t>
      </w:r>
    </w:p>
    <w:p>
      <w:pPr>
        <w:spacing w:after="0" w:line="181" w:lineRule="exact"/>
        <w:rPr>
          <w:sz w:val="20"/>
          <w:szCs w:val="20"/>
          <w:color w:val="auto"/>
        </w:rPr>
      </w:pPr>
    </w:p>
    <w:p>
      <w:pPr>
        <w:ind w:left="1300" w:hanging="644"/>
        <w:spacing w:after="0" w:line="259"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and Proxy Statement with respect to the Company’s extraordinary general meeting of shareholders (the “Meeting”) to be held at 2:00 p.m. (Israel time) on June 15, 2015, at the Company’s offices at 12 Ha’Amal Street, Park Afek, Rosh Ha’Ayin Israel, describing the proposal to be voted upon at the Meeting, the procedure for voting in person or by proxy at the Meeting and various other details related to the Meeting; and</w:t>
      </w:r>
    </w:p>
    <w:p>
      <w:pPr>
        <w:spacing w:after="0" w:line="186" w:lineRule="exact"/>
        <w:rPr>
          <w:rFonts w:ascii="Arial" w:cs="Arial" w:eastAsia="Arial" w:hAnsi="Arial"/>
          <w:sz w:val="18"/>
          <w:szCs w:val="18"/>
          <w:color w:val="auto"/>
        </w:rPr>
      </w:pPr>
    </w:p>
    <w:p>
      <w:pPr>
        <w:ind w:left="1620" w:hanging="802"/>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 Proxy Card whereby holders of ordinary shares of the Company may vote at the Meeting without attending in person.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Notice and Proxy Statement is attached to this Form 6-K as Exhibit 99.1 and the Proxy Card is attached to this Form 6-K as Exhibit 99.2 and are available on the Company’s website at ir.kornit.com.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KORNIT DIGITAL LTD.</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18, 2015</w:t>
            </w:r>
          </w:p>
        </w:tc>
        <w:tc>
          <w:tcPr>
            <w:tcW w:w="2840" w:type="dxa"/>
            <w:vAlign w:val="bottom"/>
          </w:tcPr>
          <w:p>
            <w:pPr>
              <w:ind w:left="21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Itamar Rosen</w:t>
            </w:r>
          </w:p>
        </w:tc>
      </w:tr>
      <w:tr>
        <w:trPr>
          <w:trHeight w:val="195"/>
        </w:trPr>
        <w:tc>
          <w:tcPr>
            <w:tcW w:w="3560" w:type="dxa"/>
            <w:vAlign w:val="bottom"/>
          </w:tcPr>
          <w:p>
            <w:pPr>
              <w:spacing w:after="0"/>
              <w:rPr>
                <w:sz w:val="16"/>
                <w:szCs w:val="16"/>
                <w:color w:val="auto"/>
              </w:rPr>
            </w:pPr>
          </w:p>
        </w:tc>
        <w:tc>
          <w:tcPr>
            <w:tcW w:w="28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Itamar Rosen</w:t>
            </w:r>
          </w:p>
        </w:tc>
      </w:tr>
      <w:tr>
        <w:trPr>
          <w:trHeight w:val="230"/>
        </w:trPr>
        <w:tc>
          <w:tcPr>
            <w:tcW w:w="3560" w:type="dxa"/>
            <w:vAlign w:val="bottom"/>
          </w:tcPr>
          <w:p>
            <w:pPr>
              <w:spacing w:after="0"/>
              <w:rPr>
                <w:sz w:val="20"/>
                <w:szCs w:val="20"/>
                <w:color w:val="auto"/>
              </w:rPr>
            </w:pPr>
          </w:p>
        </w:tc>
        <w:tc>
          <w:tcPr>
            <w:tcW w:w="2840" w:type="dxa"/>
            <w:vAlign w:val="bottom"/>
          </w:tcPr>
          <w:p>
            <w:pPr>
              <w:ind w:left="21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48"/>
        </w:trPr>
        <w:tc>
          <w:tcPr>
            <w:tcW w:w="3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3</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2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4"/>
              </w:rPr>
              <w:t>Exhibit Index</w:t>
            </w: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8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240"/>
              <w:spacing w:after="0"/>
              <w:rPr>
                <w:sz w:val="20"/>
                <w:szCs w:val="20"/>
                <w:color w:val="auto"/>
              </w:rPr>
            </w:pPr>
            <w:r>
              <w:rPr>
                <w:rFonts w:ascii="Arial" w:cs="Arial" w:eastAsia="Arial" w:hAnsi="Arial"/>
                <w:sz w:val="18"/>
                <w:szCs w:val="18"/>
                <w:color w:val="auto"/>
              </w:rPr>
              <w:t>Notice and Proxy Statement for the extraordinary general meeting of shareholders to be held on June 15, 2015.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280" w:type="dxa"/>
            <w:vAlign w:val="bottom"/>
          </w:tcPr>
          <w:p>
            <w:pPr>
              <w:ind w:left="240"/>
              <w:spacing w:after="0"/>
              <w:rPr>
                <w:sz w:val="20"/>
                <w:szCs w:val="20"/>
                <w:color w:val="auto"/>
              </w:rPr>
            </w:pPr>
            <w:r>
              <w:rPr>
                <w:rFonts w:ascii="Arial" w:cs="Arial" w:eastAsia="Arial" w:hAnsi="Arial"/>
                <w:sz w:val="18"/>
                <w:szCs w:val="18"/>
                <w:color w:val="auto"/>
              </w:rPr>
              <w:t>Proxy card for the extraordinary general meeting of shareholders to be held on June 15, 2015.</w:t>
            </w:r>
          </w:p>
        </w:tc>
      </w:tr>
      <w:tr>
        <w:trPr>
          <w:trHeight w:val="648"/>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87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cordially invite you to attend an Extraordinary General Meeting of Shareholders, or the Meeting, of Kornit Digital Ltd., or the Company, to be held at 2:00 p.m. (Israel time) on Monday, June 15, 2015, at our offices at 12 Ha’Amal Street, Park Afek, Rosh Ha’Ayin Israel.</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Meeting is being called to ratify the election of each of (a) Ms. Lauri Hanover and (b) Mr. Jerry Mandel as an external director of the Company, subject to, and in accordance with, the provisions of the Israeli Companies Law, 5759-1999, or the Companies Law.</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 which is described in the Proxy Statement to be delivered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Tuesday, May 12, 2015 are entitled to notice of and to vote at the Meeting.</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the Notice of Extraordinary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 together with the form of proxy card for the Meeting, may also be viewed beginning on Monday, May 19, 2015, at the registered office of the Company, 12 Ha’Amal Street, Park Afek, Rosh Ha’Ayin Israel, from Sunday to Thursday (excluding holidays), 10:00 a.m. to 5:00 p.m. (Israel time). Our telephone number at our registered office is +972-3-908-5800.</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 Ha’Amal Street, Park Afek, Rosh Ha’Ayin 4824096 Israel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+972-3-908-5800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Proxy Statement is being furnished in connection with the solicitation of proxies on behalf of the Board of Directors, or the Board, of Kornit Digital Ltd., to which we refer as Kornit Digital or the Company, to be voted at an Extraordinary General Meeting of Shareholders, or the Meeting, and at any adjournment thereof, pursuant to the accompanying Notice of Extraordinary General Meeting of Shareholders. The Meeting will be held at 2:00 p.m. (Israel time) on Monday June 15, 2015, at our offices at 12 Ha’Amal Street, Park Afek, Rosh Ha’Ayin Israel.</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Proxy Statement, the attached Notice of Extraordinary General Meeting of Shareholders and the enclosed proxy card or voting instruction card are being made available on or about Monday May 18, 2015 to holders of Kornit Digital ordinary shares.</w:t>
      </w:r>
    </w:p>
    <w:p>
      <w:pPr>
        <w:spacing w:after="0" w:line="170"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You are entitled to receive notice of, and to vote at, the Meeting, if you hold ordinary shares as of the close of business on Tuesday, May 12, 2015,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Meeting is being called to ratify the election of each of (a) Ms. Lauri Hanover and (b) Mr. Jerry Mandel as an external director of the Company, subject to, and in accordance with, the provisions of the Israeli Companies Law, 5759-1999, or the Companies Law</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May 12, 2015, we had 29,766,965 ordinary shares issued and outstanding. Each ordinary share outstanding as of the close of business on the record date, Tuesday, May 12, 2015, is entitled to one vote upon each part of the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on a particular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Vote Required for Approval of the Proposal</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the proposal. Broker non-votes are not counted as present and entitled to vote with respect to the proposal,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the approval of the proposal requires that either of the following two voting requirements be met as part of the approval by an ordinary majority of shares present and voting thereon:</w:t>
      </w:r>
    </w:p>
    <w:p>
      <w:pPr>
        <w:spacing w:after="0" w:line="170" w:lineRule="exact"/>
        <w:rPr>
          <w:sz w:val="20"/>
          <w:szCs w:val="20"/>
          <w:color w:val="auto"/>
        </w:rPr>
      </w:pPr>
    </w:p>
    <w:p>
      <w:pPr>
        <w:ind w:left="1620" w:right="140" w:hanging="802"/>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by a majority of the ordinary shares held by non-controlling shareholders who do not have a personal interest in the approval of the proposal that are voted at the Meeting, excluding abstentions; or</w:t>
      </w:r>
    </w:p>
    <w:p>
      <w:pPr>
        <w:spacing w:after="0" w:line="170" w:lineRule="exact"/>
        <w:rPr>
          <w:rFonts w:ascii="Arial" w:cs="Arial" w:eastAsia="Arial" w:hAnsi="Arial"/>
          <w:sz w:val="18"/>
          <w:szCs w:val="18"/>
          <w:color w:val="auto"/>
        </w:rPr>
      </w:pPr>
    </w:p>
    <w:p>
      <w:pPr>
        <w:ind w:left="1620" w:right="180" w:hanging="802"/>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voted against the proposal does not exceed two percent (2%) of the aggregate voting rights in our Company.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purposes of the proposal, a “controlling shareholder” is any shareholder that has the ability to direct the Company’s activities (other than by means of being a director or other office holder of the Company). A person is presumed to be a controlling shareholder if it holds or controls, by itself or together with others, one-half or more of any one of the “means of control” of the Company. “Means of control” is defined as any one of the following: (i) the right to vote at a general meeting of the Company, or (ii) the right to appoint directors of the Company or its chief executive officer.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Fortissimo Capital Fund II (Israel), L.P. is a controlling shareholder.</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 “personal interest” of a shareholder, for purposes of the proposal, (x) includes an interest of any members of the shareholder’s immediate family (or spouses thereof) or an interest of a company with respect to which the shareholder (or such a family member thereof) serves as a director or the chief executive officer, owns at least 5% of the shares or has the right to appoint a director or the chief executive officer; and (y) excludes an interest arising solely from the ownership of ordinary shares of the Company. In determining whether a vote cast by proxy is disinterested, the “personal interest” of the proxy holder is also considered and will cause that vote to be excluded from the disinterested vote, even if the shareholder granting the proxy does not have a personal interest in the matter being voted upon. For purposes of the proposal, a personal interest excludes a personal interest that does not derive from ties with a controlling shareholder.</w:t>
      </w:r>
    </w:p>
    <w:p>
      <w:pPr>
        <w:spacing w:after="0" w:line="189" w:lineRule="exact"/>
        <w:rPr>
          <w:sz w:val="20"/>
          <w:szCs w:val="20"/>
          <w:color w:val="auto"/>
        </w:rPr>
      </w:pPr>
    </w:p>
    <w:p>
      <w:pPr>
        <w:jc w:val="both"/>
        <w:ind w:right="120" w:firstLine="638"/>
        <w:spacing w:after="0" w:line="264" w:lineRule="auto"/>
        <w:rPr>
          <w:sz w:val="20"/>
          <w:szCs w:val="20"/>
          <w:color w:val="auto"/>
        </w:rPr>
      </w:pPr>
      <w:r>
        <w:rPr>
          <w:rFonts w:ascii="Arial" w:cs="Arial" w:eastAsia="Arial" w:hAnsi="Arial"/>
          <w:sz w:val="18"/>
          <w:szCs w:val="18"/>
          <w:color w:val="auto"/>
        </w:rPr>
        <w:t>A controlling shareholder and a shareholder that has a personal interest are qualified to participate in the vote on the proposal; however, the vote of such shareholders may not be counted towards the majority requirement described in the first bullet point above and will not count towards the 2% threshold described in the second bullet point above.</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A shareholder must inform our Company before the vote (or if voting by proxy, indicate on the proxy card) whether or not such shareholder has a personal interest, and failure to do so disqualifies the shareholder from participating in the vote on the proposal. Since it is highly unlikely that any of our public shareholders has a personal interest in the proposal and in order to avoid confusion in the voting and tabulation process, a shareholder who signs and returns a proxy card or voting instruction form will be deemed to be confirming that such shareholder, and any related party of such shareholder, is not a controlling shareholder and has no personal interest with respect to the proposal. If you believe that you, or a related party of yours, is a controlling shareholder or possesses a personal interest and you wish to participate in the vote on either proposal, you should indicate the existence of a personal interest on the enclosed proxy card (if applicable) and should furthermore contact Itamar Rosen, our general counsel, at itamar.rosen@kornit.com, who will advise you as to how to submit your vote for that proposal. If you hold your shares in </w:t>
      </w:r>
      <w:r>
        <w:rPr>
          <w:rFonts w:ascii="Arial" w:cs="Arial" w:eastAsia="Arial" w:hAnsi="Arial"/>
          <w:sz w:val="16"/>
          <w:szCs w:val="16"/>
          <w:color w:val="auto"/>
        </w:rPr>
        <w:t>“</w:t>
      </w:r>
      <w:r>
        <w:rPr>
          <w:rFonts w:ascii="Arial" w:cs="Arial" w:eastAsia="Arial" w:hAnsi="Arial"/>
          <w:sz w:val="16"/>
          <w:szCs w:val="16"/>
          <w:b w:val="1"/>
          <w:bCs w:val="1"/>
          <w:color w:val="auto"/>
        </w:rPr>
        <w:t>street name</w:t>
      </w:r>
      <w:r>
        <w:rPr>
          <w:rFonts w:ascii="Arial" w:cs="Arial" w:eastAsia="Arial" w:hAnsi="Arial"/>
          <w:sz w:val="16"/>
          <w:szCs w:val="16"/>
          <w:color w:val="auto"/>
        </w:rPr>
        <w:t>”</w:t>
      </w:r>
      <w:r>
        <w:rPr>
          <w:rFonts w:ascii="Arial" w:cs="Arial" w:eastAsia="Arial" w:hAnsi="Arial"/>
          <w:sz w:val="16"/>
          <w:szCs w:val="16"/>
          <w:b w:val="1"/>
          <w:bCs w:val="1"/>
          <w:color w:val="auto"/>
        </w:rPr>
        <w:t xml:space="preserve"> (i.e., shares that are held through a bank, broker or other nominee) and believe that you possess a personal interest in the approval of either proposal, you may also contact the representative managing your account, who could then contact our general counsel on your behalf.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right="80" w:firstLine="638"/>
        <w:spacing w:after="0" w:line="269" w:lineRule="auto"/>
        <w:rPr>
          <w:sz w:val="20"/>
          <w:szCs w:val="20"/>
          <w:color w:val="auto"/>
        </w:rPr>
      </w:pPr>
      <w:r>
        <w:rPr>
          <w:rFonts w:ascii="Arial" w:cs="Arial" w:eastAsia="Arial" w:hAnsi="Arial"/>
          <w:sz w:val="17"/>
          <w:szCs w:val="17"/>
          <w:color w:val="auto"/>
        </w:rPr>
        <w:t>You can vote your shares by attending the Meeting or by completing and signing a proxy card or voting instruction form. 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(indicating the name of the record shareholder holding your ordinary shares) and return it to our General Counsel, Itamar Rosen, via e-mail to itamar.rosen@kornit.com or via fax to his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or our registrar and transfer agent receives it in the enclosed envelope, not later than forty-eight (48) hours before the time fixed for the Meeting, or such shorter period prior to the Meeting as the Chairman of the Meeting may determine.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right="80" w:firstLine="638"/>
        <w:spacing w:after="0" w:line="253" w:lineRule="auto"/>
        <w:rPr>
          <w:sz w:val="20"/>
          <w:szCs w:val="20"/>
          <w:color w:val="auto"/>
        </w:rPr>
      </w:pPr>
      <w:r>
        <w:rPr>
          <w:rFonts w:ascii="Arial" w:cs="Arial" w:eastAsia="Arial" w:hAnsi="Arial"/>
          <w:sz w:val="18"/>
          <w:szCs w:val="18"/>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(at www.proxyvote.com), if so indicated on their voting instruction form. All votes should be submitted by 2:00 pm (Israel time) on June 13, 2015 (or such earlier deadline as may be indicated on the voting instruction form) in order to be counted towards the tally of ordinary shares voted at the Meeting (unless the Chairman of the Meeting extends that deadline). Alternatively, if you wish to attend the Meeting and vote in person, you must obtain a “legal proxy” from the broker, trustee or nominee that holds your shares, giving you the right to vote the shares at the Meeting.</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you provide specific instructions (by marking a box) with regard to the proposal, your shares will be voted as you instruct. If you sign and return your proxy card without giving specific instructions with respect to the proposal, your shares will be voted in favor of the proposal, in accordance with the recommendation of the Board. However, if you are a beneficial owner of shares and do not specify how you want to vote on your voting instruction form, your broker will not be permitted to instruct the depositary to cast a vote with respect to the proposal (commonly referred to as a “broker non-vote”). In that circumstance, the shares held by you will be included in determining the presence of a quorum at the Meeting, but are not considered “present” for the purpose of voting on the proposal. Such shares have no impact on the outcome of the voting on the proposal. If your shares are held of record by a bank, broker, or other nominee, we urge you to give instructions to your bank, broker, or other nominee as to how your shares should be voted so that you thereby participate in the voting on these important matters. In all cases, you must remember to indicate in writing and/or contact the Company if you have a personal interest in the approval of the proposal. If you sign and return your proxy card or voting instruction form, the persons named as proxies will vote in their discretion on any other matters that properly come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You are entitled to receive notice of the Meeting and to vote at the Meeting if you are a shareholder of record at the close of business on Tuesday, May 12, 2015. You are also entitled to notice of the Meeting and to vote at the Meeting if you held ordinary shares through a bank, broker or other nominee that is one of our shareholders of record at the close of business on Tuesday, May 12, 2015, or which appear in the participant listing of a securities depository on that date.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Chief Financial Officer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may revoke the authority granted by their execution of proxies at any time before the effective exercise thereof by filing with us a written notice of revocation or duly executed proxy bearing a later date, or by voting in person at the Meeting. Unless otherwise indicated on the form of proxy, shares represented by any proxy in the enclosed form, if the proxy is properly executed and received by the Company at least 48 hours (or such shorter period as the Chairman of the Meeting may determine) prior to the Meeting, will be voted in favor of the proposal and any other matters that may be presented to the Meeting,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Proxies are being distributed to shareholders on or about May 19, 2015.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final voting results will be tallied by the Company’s Chief Financial Officer based on the information provided by the Company’s transfer agent or otherwise, and the overall results of the Meeting will be published following the Meeting in a report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ELECTION OF EXTERNAL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the NASDAQ Global Market, are required to elect at least two external directors who meet the qualification requirements in the Companies Law. The initial election or – in the case of a company such as ours that elected its external directors prior to our initial public offering in anticipation of our becoming a public company – ratification of initial election of external directors must be made by a general meeting of the shareholders no later than three months following the completion of a company’s initial public offering.</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 person may not serve as an external director of a company if the person is a relative of a controlling shareholder of the company or if on the date of the person’s appointment or within the preceding two years the person or his or her relatives, partners, employers or anyone to whom that person is subordinated, whether directly or indirectly, or entities under the person’s control have or had any affiliation with any of: (1) the company; or (2) any person or entity controlling the company on the date of such appointment; or (3) any relative of a controlling shareholder; or (4) any entity controlled, on the date of such appointment or within the preceding two years, by the company or by the company’s controlling shareholder. If there is no controlling shareholder or any shareholder holding 25% or more of voting rights in a company, a person may not serve as an external director if the person has any affiliation to the chairman of the board of directors, the general manager (chief executive officer), any shareholder holding 5% or more of the company’s shares or voting rights or the senior financial officer as of the date of the person’s appointment.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affiliation</w:t>
      </w:r>
      <w:r>
        <w:rPr>
          <w:rFonts w:ascii="Arial" w:cs="Arial" w:eastAsia="Arial" w:hAnsi="Arial"/>
          <w:sz w:val="18"/>
          <w:szCs w:val="18"/>
          <w:color w:val="auto"/>
        </w:rPr>
        <w:t>” includes:</w:t>
      </w:r>
    </w:p>
    <w:p>
      <w:pPr>
        <w:spacing w:after="0" w:line="229" w:lineRule="exact"/>
        <w:rPr>
          <w:sz w:val="20"/>
          <w:szCs w:val="20"/>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business or professional relationship maintained on a regular basis (excluding insignificant relationships);</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jc w:val="both"/>
        <w:ind w:left="1620" w:right="260" w:hanging="802"/>
        <w:spacing w:after="0" w:line="264"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initial public offering.</w:t>
      </w:r>
    </w:p>
    <w:p>
      <w:pPr>
        <w:spacing w:after="0" w:line="177" w:lineRule="exact"/>
        <w:rPr>
          <w:sz w:val="20"/>
          <w:szCs w:val="20"/>
          <w:color w:val="auto"/>
        </w:rPr>
      </w:pPr>
    </w:p>
    <w:p>
      <w:pPr>
        <w:ind w:right="100" w:firstLine="638"/>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relative</w:t>
      </w:r>
      <w:r>
        <w:rPr>
          <w:rFonts w:ascii="Arial" w:cs="Arial" w:eastAsia="Arial" w:hAnsi="Arial"/>
          <w:sz w:val="18"/>
          <w:szCs w:val="18"/>
          <w:color w:val="auto"/>
        </w:rPr>
        <w:t>” is defined as a spouse, sibling, parent, grandparent, descendant; spouse’s descendant, sibling and parent; and the spouse of each of the foregoing.</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office holder</w:t>
      </w:r>
      <w:r>
        <w:rPr>
          <w:rFonts w:ascii="Arial" w:cs="Arial" w:eastAsia="Arial" w:hAnsi="Arial"/>
          <w:sz w:val="18"/>
          <w:szCs w:val="18"/>
          <w:color w:val="auto"/>
        </w:rPr>
        <w:t>” is defined as including each of the following: a general manager (chief executive officer), chief business manager, deputy general manager, vice general manager, any other person assuming the responsibilities of any of the foregoing positions, without regard to such person’s title; a director; and a manager who is directly subordinated to the general manager.</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 person may not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and/or exculpation contracts or commitments and insurance coverage for his or her service as an external director, other than as permitted by the Companies Law and the regulations promulgated thereunder.</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Companies Law provides that an external director must meet certain professional qualifications or have financial and accounting expertise, and that at least one external director must have financial and accounting expertise.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0" w:name="page11"/>
    <w:bookmarkEnd w:id="10"/>
    <w:p>
      <w:pPr>
        <w:ind w:right="100" w:firstLine="648"/>
        <w:spacing w:after="0" w:line="288" w:lineRule="auto"/>
        <w:rPr>
          <w:sz w:val="20"/>
          <w:szCs w:val="20"/>
          <w:color w:val="auto"/>
        </w:rPr>
      </w:pPr>
      <w:r>
        <w:rPr>
          <w:rFonts w:ascii="Arial" w:cs="Arial" w:eastAsia="Arial" w:hAnsi="Arial"/>
          <w:sz w:val="16"/>
          <w:szCs w:val="16"/>
          <w:color w:val="auto"/>
        </w:rPr>
        <w:t>A director with financial and accounting expertise is a director who by virtue of his or her education, professional experience and skill, has a high level of proficiency in and understanding of business accounting matters and financial statements so that he or she is able to fully understand the Company’s financial statements and initiate debate regarding the manner in which the financial information is presented. The regulations promulgated under the Companies Law define an external director with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his or her office as an external director in the company or (3) the director has at least five years of experience serving in any one of the following, or at least five years of cumulative experience serving in one of the following capacities: (a) a senior business management position in a company with a substantial scope of business, (b) a senior position in the company’s primary field of business or (c) a senior position in public administration. The board of directors is charged with determining whether a director possesses financial and accounting expertise or professional qualifications.</w:t>
      </w:r>
    </w:p>
    <w:p>
      <w:pPr>
        <w:spacing w:after="0" w:line="169" w:lineRule="exact"/>
        <w:rPr>
          <w:sz w:val="20"/>
          <w:szCs w:val="20"/>
          <w:color w:val="auto"/>
        </w:rPr>
      </w:pPr>
    </w:p>
    <w:p>
      <w:pPr>
        <w:ind w:right="40" w:firstLine="638"/>
        <w:spacing w:after="0" w:line="308" w:lineRule="auto"/>
        <w:rPr>
          <w:sz w:val="20"/>
          <w:szCs w:val="20"/>
          <w:color w:val="auto"/>
        </w:rPr>
      </w:pPr>
      <w:r>
        <w:rPr>
          <w:rFonts w:ascii="Arial" w:cs="Arial" w:eastAsia="Arial" w:hAnsi="Arial"/>
          <w:sz w:val="17"/>
          <w:szCs w:val="17"/>
          <w:color w:val="auto"/>
        </w:rPr>
        <w:t>Under Israeli law, the initial term of an external director of an Israeli public company is three years. Thereafter, an external director may be reelected by shareholders to serve in that capacity for additional three-year terms, provided that certain conditions are satisfied and that either:</w:t>
      </w:r>
    </w:p>
    <w:p>
      <w:pPr>
        <w:spacing w:after="0" w:line="147" w:lineRule="exact"/>
        <w:rPr>
          <w:sz w:val="20"/>
          <w:szCs w:val="20"/>
          <w:color w:val="auto"/>
        </w:rPr>
      </w:pPr>
    </w:p>
    <w:p>
      <w:pPr>
        <w:ind w:left="920" w:right="100" w:hanging="561"/>
        <w:spacing w:after="0" w:line="286"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or</w:t>
      </w:r>
    </w:p>
    <w:p>
      <w:pPr>
        <w:spacing w:after="0" w:line="165" w:lineRule="exact"/>
        <w:rPr>
          <w:rFonts w:ascii="Arial" w:cs="Arial" w:eastAsia="Arial" w:hAnsi="Arial"/>
          <w:sz w:val="17"/>
          <w:szCs w:val="17"/>
          <w:color w:val="auto"/>
        </w:rPr>
      </w:pPr>
    </w:p>
    <w:p>
      <w:pPr>
        <w:ind w:left="920" w:right="220" w:hanging="561"/>
        <w:spacing w:after="0" w:line="342"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his or her service for each such additional term is recommended by the board of directors and is approved at a meeting of shareholders by the same majority required for the initial election of an external director (as described below with respect to the election of our external directors).</w:t>
      </w:r>
    </w:p>
    <w:p>
      <w:pPr>
        <w:spacing w:after="0" w:line="124" w:lineRule="exact"/>
        <w:rPr>
          <w:sz w:val="20"/>
          <w:szCs w:val="20"/>
          <w:color w:val="auto"/>
        </w:rPr>
      </w:pPr>
    </w:p>
    <w:p>
      <w:pPr>
        <w:ind w:right="100" w:firstLine="638"/>
        <w:spacing w:after="0" w:line="272" w:lineRule="auto"/>
        <w:rPr>
          <w:sz w:val="20"/>
          <w:szCs w:val="20"/>
          <w:color w:val="auto"/>
        </w:rPr>
      </w:pPr>
      <w:r>
        <w:rPr>
          <w:rFonts w:ascii="Arial" w:cs="Arial" w:eastAsia="Arial" w:hAnsi="Arial"/>
          <w:sz w:val="17"/>
          <w:szCs w:val="17"/>
          <w:color w:val="auto"/>
        </w:rPr>
        <w:t>The term of office for external directors of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below with respect to the election of our external directors). Prior to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 external director may be removed by the same special majority of the shareholders required for his or her election, if he or she ceases to meet the statutory qualifications for appointment or if he or she violates his or her fiduciary duty to the company. An external director may also be removed by order of an Israeli court if the court finds that the external director is permanently unable to exercise his or her office, has ceased to meet the statutory qualifications for his or her appointment, has violated his or her fiduciary duty to the company, or has been convicted by a court outside Israel of certain offenses detailed in the Companies Law.</w:t>
      </w:r>
    </w:p>
    <w:p>
      <w:pPr>
        <w:spacing w:after="0" w:line="18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An external director is entitled to compensation and reimbursement of expenses in accordance with regulations promulgated under the Companies Law and is otherwise prohibited from receiving any other compensation, directly or indirectly, in connection with serving as a director except for certain exculpation, indemnification and insurance provided by the company, as specifically allowed by the Companies Law.</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Prior to our initial public offering, our shareholders elected Ms. Lauri Hanover and Mr. Jerry Mandel as external directors for a three-year term following the nomination by, and recommendation of, the Board and subject to the consummation of our initial public offering and the required ratification of their election by our shareholders following the offering. Both external directors are required to serve on our audit committee and compensation committee, and at least one external director is required to serve on each other committee of our Board that is authorized to exercise the powers of the Board. If their election is ratified at the Meeting, Ms. Lauri Hanover will continue to serve as the Chairwoman of our audit committee and as a member of our compensation committee, and Mr. Jerry Mandel will continue to serve as the Chairman of our compensation committee and as a member of our audit committee.</w:t>
      </w:r>
    </w:p>
    <w:p>
      <w:pPr>
        <w:spacing w:after="0" w:line="165" w:lineRule="exact"/>
        <w:rPr>
          <w:sz w:val="20"/>
          <w:szCs w:val="20"/>
          <w:color w:val="auto"/>
        </w:rPr>
      </w:pPr>
    </w:p>
    <w:p>
      <w:pPr>
        <w:ind w:right="140" w:firstLine="638"/>
        <w:spacing w:after="0" w:line="286" w:lineRule="auto"/>
        <w:rPr>
          <w:sz w:val="20"/>
          <w:szCs w:val="20"/>
          <w:color w:val="auto"/>
        </w:rPr>
      </w:pPr>
      <w:r>
        <w:rPr>
          <w:rFonts w:ascii="Arial" w:cs="Arial" w:eastAsia="Arial" w:hAnsi="Arial"/>
          <w:sz w:val="17"/>
          <w:szCs w:val="17"/>
          <w:color w:val="auto"/>
        </w:rPr>
        <w:t>The Board has determined that each of Ms. Hanover and Mr. Mandel satisfies the external director requirements under the Companies Law, as each of Ms. Hanover and Mr. Mandel possesses requisite financial and accounting expertise. The Board has also determined that each of Ms. Hanover and Mr. Mandel satisfies the independent director requirements under the NASDAQ Listing Rules and the SEC’s audit committee rules.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 w:name="page12"/>
    <w:bookmarkEnd w:id="11"/>
    <w:p>
      <w:pPr>
        <w:ind w:right="760" w:firstLine="648"/>
        <w:spacing w:after="0" w:line="277" w:lineRule="auto"/>
        <w:rPr>
          <w:sz w:val="20"/>
          <w:szCs w:val="20"/>
          <w:color w:val="auto"/>
        </w:rPr>
      </w:pPr>
      <w:r>
        <w:rPr>
          <w:rFonts w:ascii="Arial" w:cs="Arial" w:eastAsia="Arial" w:hAnsi="Arial"/>
          <w:sz w:val="18"/>
          <w:szCs w:val="18"/>
          <w:color w:val="auto"/>
        </w:rPr>
        <w:t>The background information for each of Ms. Lauri Hanover and Mr. Jerry Mandel, whose election as an external director will be subject to ratification at the Meeting, appears below:</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and as the chairwoman of our audit committee and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since April 2015. Ms. Hanover is the Chief Financial Officer of Netafim Ltd. since August 2013, the global leader in smart irrigation systems. From 2009 to 2013, she served as Chief Financial Officer and Executive Vice President of the Tnuva Group, Israel’s largest food manufacturer. From 2008 to 2009, Ms. Hanover served as Chief Executive Officer of Gross, Kleinhendler, Hodak, Halvey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188" w:lineRule="exact"/>
        <w:rPr>
          <w:sz w:val="20"/>
          <w:szCs w:val="20"/>
          <w:color w:val="auto"/>
        </w:rPr>
      </w:pPr>
    </w:p>
    <w:p>
      <w:pPr>
        <w:ind w:right="20" w:firstLine="638"/>
        <w:spacing w:after="0" w:line="270" w:lineRule="auto"/>
        <w:rPr>
          <w:sz w:val="20"/>
          <w:szCs w:val="20"/>
          <w:color w:val="auto"/>
        </w:rPr>
      </w:pPr>
      <w:r>
        <w:rPr>
          <w:rFonts w:ascii="Arial" w:cs="Arial" w:eastAsia="Arial" w:hAnsi="Arial"/>
          <w:sz w:val="17"/>
          <w:szCs w:val="17"/>
          <w:i w:val="1"/>
          <w:iCs w:val="1"/>
          <w:color w:val="auto"/>
        </w:rPr>
        <w:t xml:space="preserve">Jerry Mandel </w:t>
      </w:r>
      <w:r>
        <w:rPr>
          <w:rFonts w:ascii="Arial" w:cs="Arial" w:eastAsia="Arial" w:hAnsi="Arial"/>
          <w:sz w:val="17"/>
          <w:szCs w:val="17"/>
          <w:color w:val="auto"/>
        </w:rPr>
        <w:t>has served as a member of our board of directors since March 2015 and as the chairman of our compensation committee and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our audit committee since April 2015. Mr. Mandel is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182" w:lineRule="exact"/>
        <w:rPr>
          <w:sz w:val="20"/>
          <w:szCs w:val="20"/>
          <w:color w:val="auto"/>
        </w:rPr>
      </w:pPr>
    </w:p>
    <w:p>
      <w:pPr>
        <w:ind w:right="220" w:firstLine="638"/>
        <w:spacing w:after="0" w:line="264" w:lineRule="auto"/>
        <w:rPr>
          <w:sz w:val="20"/>
          <w:szCs w:val="20"/>
          <w:color w:val="auto"/>
        </w:rPr>
      </w:pPr>
      <w:r>
        <w:rPr>
          <w:rFonts w:ascii="Arial" w:cs="Arial" w:eastAsia="Arial" w:hAnsi="Arial"/>
          <w:sz w:val="18"/>
          <w:szCs w:val="18"/>
          <w:color w:val="auto"/>
        </w:rPr>
        <w:t>If their election is ratified pursuant to the proposal, each of our external director nominees will continue to receive annual and per meeting cash compensation in accordance with the “relative compensation track” under the regulations under the Companies Law, which compensation was approved by our shareholders prior to our initial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w:t>
      </w:r>
    </w:p>
    <w:p>
      <w:pPr>
        <w:spacing w:after="0" w:line="221" w:lineRule="exact"/>
        <w:rPr>
          <w:sz w:val="20"/>
          <w:szCs w:val="20"/>
          <w:color w:val="auto"/>
        </w:rPr>
      </w:pPr>
    </w:p>
    <w:p>
      <w:pPr>
        <w:ind w:left="980" w:right="260" w:hanging="324"/>
        <w:spacing w:after="0" w:line="26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ratify the election of Ms. Lauri Hanover as an external director of Kornit Digital Ltd. following her initial election as an external director by the shareholders on March 6, 2015, prior to the Company’s initial public offering, in accordance with the requirements of the Companies Law;” and</w:t>
      </w:r>
    </w:p>
    <w:p>
      <w:pPr>
        <w:spacing w:after="0" w:line="176" w:lineRule="exact"/>
        <w:rPr>
          <w:rFonts w:ascii="Arial" w:cs="Arial" w:eastAsia="Arial" w:hAnsi="Arial"/>
          <w:sz w:val="18"/>
          <w:szCs w:val="18"/>
          <w:color w:val="auto"/>
        </w:rPr>
      </w:pPr>
    </w:p>
    <w:p>
      <w:pPr>
        <w:ind w:left="980" w:right="60" w:hanging="324"/>
        <w:spacing w:after="0" w:line="26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RESOLVED</w:t>
      </w:r>
      <w:r>
        <w:rPr>
          <w:rFonts w:ascii="Arial" w:cs="Arial" w:eastAsia="Arial" w:hAnsi="Arial"/>
          <w:sz w:val="18"/>
          <w:szCs w:val="18"/>
          <w:color w:val="auto"/>
        </w:rPr>
        <w:t>, to ratify the election of Mr. Jerry Mandel as an external director of Kornit Digital Ltd., following his initial election as an external director by the Company’s shareholders on March 6, 2015, prior to the Company’s initial public offering, in accordance with the requirements of the Companies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vote required for the ratification of the election of each of Ms. Lauri Hanover and Mr. Jerry Mandel as an external director is the affirmative vote of the holders of a majority of the voting power represented at the Meeting in person or by proxy and voting thereon (excluding abstentions). Broker non-votes are not counted as present and entitled to vote with respect to the proposal, although they are counted as present and entitled to vote for the purpose of determining a quorum at the meeting. Abstentions are not treated as a vote “FOR” or a vote “AGAINST” the proposal.</w:t>
      </w:r>
    </w:p>
    <w:p>
      <w:pPr>
        <w:spacing w:after="0" w:line="17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In addition, the Companies Law requires that either of two additional voting requirements be met as part of the approval by an ordinary majority of shares present and voting on this proposal, with respect to each of its subsections (that is, the ratification of election of each external director). Please see the discussion under “Vote Required for Approval of the Proposal” above for a description of those voting requirements, as well as for instructions as to how to vote in the event that you possess a personal interest in the approval of part (a) or (b) of the proposal.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The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ratification of the election of each of the two external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0"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Extraordinary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220" w:firstLine="690"/>
        <w:spacing w:after="0" w:line="308" w:lineRule="auto"/>
        <w:rPr>
          <w:sz w:val="20"/>
          <w:szCs w:val="20"/>
          <w:color w:val="auto"/>
        </w:rPr>
      </w:pPr>
      <w:r>
        <w:rPr>
          <w:rFonts w:ascii="Arial" w:cs="Arial" w:eastAsia="Arial" w:hAnsi="Arial"/>
          <w:sz w:val="17"/>
          <w:szCs w:val="17"/>
          <w:color w:val="auto"/>
        </w:rPr>
        <w:t xml:space="preserve">The Company’s final prospectus from its initial public offering, filed with the SEC on April 2, 2015, is available for viewing and downloading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as well as under the Investor Relations section of the Company’s website at </w:t>
      </w:r>
      <w:r>
        <w:rPr>
          <w:rFonts w:ascii="Arial" w:cs="Arial" w:eastAsia="Arial" w:hAnsi="Arial"/>
          <w:sz w:val="17"/>
          <w:szCs w:val="17"/>
          <w:u w:val="single" w:color="auto"/>
          <w:color w:val="auto"/>
        </w:rPr>
        <w:t>http://ir.kornit.com</w:t>
      </w:r>
      <w:r>
        <w:rPr>
          <w:rFonts w:ascii="Arial" w:cs="Arial" w:eastAsia="Arial" w:hAnsi="Arial"/>
          <w:sz w:val="17"/>
          <w:szCs w:val="17"/>
          <w:color w:val="auto"/>
        </w:rPr>
        <w:t>.</w:t>
      </w:r>
    </w:p>
    <w:p>
      <w:pPr>
        <w:spacing w:after="0" w:line="147" w:lineRule="exact"/>
        <w:rPr>
          <w:sz w:val="20"/>
          <w:szCs w:val="20"/>
          <w:color w:val="auto"/>
        </w:rPr>
      </w:pPr>
    </w:p>
    <w:p>
      <w:pPr>
        <w:ind w:firstLine="690"/>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PROXY FOR AN EXTRAORDINARY GENERAL MEETING OF SHAREHOLDERS</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TO BE HELD ON JUNE 15, 2015</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undersigned hereby constitutes and appoints Guy Avidan and Itamar Rosen, and each of them, the true and lawful attorneys, agents and proxies of the undersigned, with full power of substitution to each of them, to represent and to vote, on behalf of the undersigned, all the Ordinary Shares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of record in the name of the undersigned at the close of business on Tuesday May 12, 2015, at an Extraordinary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to be held at the executive offices of the Company, 12 Ha’Amal Street, Park Afek, Rosh Ha’Ayin, Israel, on Monday, June 15, 2015 at 2:00 p.m. (Israel time), and at any and all adjournments or postponements thereof, on the matter listed below, which are more fully described in the Notice of Extraordinary General Meeting of Shareholders of the Company and Proxy Statement relating to the Meeting.</w:t>
      </w:r>
    </w:p>
    <w:p>
      <w:pPr>
        <w:spacing w:after="0" w:line="165"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The undersigned acknowledges receipt of the Notice of Extraordinary General Meeting of Shareholders and Proxy Statement of the Company (the “</w:t>
      </w:r>
      <w:r>
        <w:rPr>
          <w:rFonts w:ascii="Arial" w:cs="Arial" w:eastAsia="Arial" w:hAnsi="Arial"/>
          <w:sz w:val="18"/>
          <w:szCs w:val="18"/>
          <w:b w:val="1"/>
          <w:bCs w:val="1"/>
          <w:color w:val="auto"/>
        </w:rPr>
        <w:t>Proxy Statement</w:t>
      </w:r>
      <w:r>
        <w:rPr>
          <w:rFonts w:ascii="Arial" w:cs="Arial" w:eastAsia="Arial" w:hAnsi="Arial"/>
          <w:sz w:val="18"/>
          <w:szCs w:val="18"/>
          <w:color w:val="auto"/>
        </w:rPr>
        <w:t>”) relating to the Meeting.</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Proxy, when properly executed, will be voted in the manner directed herein by the undersigned. If no direction is given with respect to the proposal for the Meeting, this Proxy will be voted “FOR” each proposal and in such manner as the holder of the Proxy determines with respect to any other business as may properly come before the Meeting or all and any adjournments or postponements thereof. In such case, however, the votes under this Proxy will not count towards the special majority of shareholders lacking a Personal Interest in any such proposal, as described in the Proxy Statement.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EXTRAORDINARY GENERAL MEETING OF SHAREHOLDERS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KORNIT DIGITAL LTD.</w:t>
      </w:r>
    </w:p>
    <w:p>
      <w:pPr>
        <w:spacing w:after="0" w:line="1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15, 2015</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48" w:lineRule="exact"/>
        <w:rPr>
          <w:sz w:val="20"/>
          <w:szCs w:val="20"/>
          <w:color w:val="auto"/>
        </w:rPr>
      </w:pPr>
    </w:p>
    <w:p>
      <w:pPr>
        <w:jc w:val="center"/>
        <w:ind w:left="160" w:right="140"/>
        <w:spacing w:after="0" w:line="251"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rPr>
        <w:t>☒</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Directions (Proposal 1(a) and 1(b))</w:t>
      </w:r>
    </w:p>
    <w:p>
      <w:pPr>
        <w:spacing w:after="0" w:line="27" w:lineRule="exact"/>
        <w:rPr>
          <w:sz w:val="20"/>
          <w:szCs w:val="20"/>
          <w:color w:val="auto"/>
        </w:rPr>
      </w:pPr>
    </w:p>
    <w:p>
      <w:pPr>
        <w:jc w:val="both"/>
        <w:ind w:left="200" w:right="180"/>
        <w:spacing w:after="0" w:line="287" w:lineRule="auto"/>
        <w:rPr>
          <w:sz w:val="20"/>
          <w:szCs w:val="20"/>
          <w:color w:val="auto"/>
        </w:rPr>
      </w:pPr>
      <w:r>
        <w:rPr>
          <w:rFonts w:ascii="Arial" w:cs="Arial" w:eastAsia="Arial" w:hAnsi="Arial"/>
          <w:sz w:val="16"/>
          <w:szCs w:val="16"/>
          <w:color w:val="auto"/>
        </w:rPr>
        <w:t>If you possess a Personal Interest (as described in the Proxy Statement) in the approval of Proposal 1(a) or 1(b) and wish to vote “For” or “Against” any such proposal, you should not fill out your vote for such proposal in this proxy card but should instead indicate in the space below that you possess such a Personal Interest and should furthermore contact the Company’s General Counsel, Itamar Rosen, at +972-3-908-5800 or itamar.rosen@kornit.com, who will advise you as to how to submit your vote for any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line="180" w:lineRule="auto"/>
        <w:rPr>
          <w:sz w:val="20"/>
          <w:szCs w:val="20"/>
          <w:color w:val="auto"/>
        </w:rPr>
      </w:pPr>
      <w:r>
        <w:rPr>
          <w:rFonts w:ascii="Arial" w:cs="Arial" w:eastAsia="Arial" w:hAnsi="Arial"/>
          <w:sz w:val="18"/>
          <w:szCs w:val="18"/>
          <w:color w:val="auto"/>
        </w:rPr>
        <w:t xml:space="preserve">To change the address on your account, please check the box at the </w:t>
      </w:r>
      <w:r>
        <w:rPr>
          <w:rFonts w:ascii="Arial" w:cs="Arial" w:eastAsia="Arial" w:hAnsi="Arial"/>
          <w:sz w:val="86"/>
          <w:szCs w:val="86"/>
          <w:color w:val="auto"/>
          <w:vertAlign w:val="subscript"/>
        </w:rPr>
        <w:t>□</w:t>
      </w:r>
      <w:r>
        <w:rPr>
          <w:rFonts w:ascii="Arial" w:cs="Arial" w:eastAsia="Arial" w:hAnsi="Arial"/>
          <w:sz w:val="18"/>
          <w:szCs w:val="18"/>
          <w:color w:val="auto"/>
        </w:rPr>
        <w:t xml:space="preserve">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080" w:type="dxa"/>
            <w:vAlign w:val="bottom"/>
            <w:gridSpan w:val="3"/>
          </w:tcPr>
          <w:p>
            <w:pPr>
              <w:ind w:left="60"/>
              <w:spacing w:after="0"/>
              <w:rPr>
                <w:sz w:val="20"/>
                <w:szCs w:val="20"/>
                <w:color w:val="auto"/>
              </w:rPr>
            </w:pPr>
            <w:r>
              <w:rPr>
                <w:rFonts w:ascii="Arial" w:cs="Arial" w:eastAsia="Arial" w:hAnsi="Arial"/>
                <w:sz w:val="18"/>
                <w:szCs w:val="18"/>
                <w:color w:val="auto"/>
              </w:rPr>
              <w:t>FOR AGAINSTABSTAIN</w:t>
            </w: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w w:val="98"/>
              </w:rPr>
              <w:t>1. (a) To ratify the election of Ms. Lauri Hanover</w:t>
            </w:r>
          </w:p>
        </w:tc>
        <w:tc>
          <w:tcPr>
            <w:tcW w:w="580" w:type="dxa"/>
            <w:vAlign w:val="bottom"/>
            <w:vMerge w:val="restart"/>
          </w:tcPr>
          <w:p>
            <w:pPr>
              <w:ind w:left="140"/>
              <w:spacing w:after="0"/>
              <w:rPr>
                <w:sz w:val="20"/>
                <w:szCs w:val="20"/>
                <w:color w:val="auto"/>
              </w:rPr>
            </w:pPr>
            <w:r>
              <w:rPr>
                <w:rFonts w:ascii="Arial" w:cs="Arial" w:eastAsia="Arial" w:hAnsi="Arial"/>
                <w:sz w:val="32"/>
                <w:szCs w:val="32"/>
                <w:color w:val="auto"/>
              </w:rPr>
              <w:t>□</w:t>
            </w:r>
          </w:p>
        </w:tc>
        <w:tc>
          <w:tcPr>
            <w:tcW w:w="720" w:type="dxa"/>
            <w:vAlign w:val="bottom"/>
            <w:vMerge w:val="restart"/>
          </w:tcPr>
          <w:p>
            <w:pPr>
              <w:ind w:left="240"/>
              <w:spacing w:after="0"/>
              <w:rPr>
                <w:sz w:val="20"/>
                <w:szCs w:val="20"/>
                <w:color w:val="auto"/>
              </w:rPr>
            </w:pPr>
            <w:r>
              <w:rPr>
                <w:rFonts w:ascii="Arial" w:cs="Arial" w:eastAsia="Arial" w:hAnsi="Arial"/>
                <w:sz w:val="32"/>
                <w:szCs w:val="32"/>
                <w:color w:val="auto"/>
              </w:rPr>
              <w:t>□</w:t>
            </w:r>
          </w:p>
        </w:tc>
        <w:tc>
          <w:tcPr>
            <w:tcW w:w="780" w:type="dxa"/>
            <w:vAlign w:val="bottom"/>
            <w:vMerge w:val="restart"/>
          </w:tcPr>
          <w:p>
            <w:pPr>
              <w:ind w:left="300"/>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as an external director of the Company for a</w:t>
            </w:r>
          </w:p>
        </w:tc>
        <w:tc>
          <w:tcPr>
            <w:tcW w:w="5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tcPr>
          <w:p>
            <w:pPr>
              <w:ind w:left="200"/>
              <w:spacing w:after="0"/>
              <w:rPr>
                <w:sz w:val="20"/>
                <w:szCs w:val="20"/>
                <w:color w:val="auto"/>
              </w:rPr>
            </w:pPr>
            <w:r>
              <w:rPr>
                <w:rFonts w:ascii="Arial" w:cs="Arial" w:eastAsia="Arial" w:hAnsi="Arial"/>
                <w:sz w:val="18"/>
                <w:szCs w:val="18"/>
                <w:color w:val="auto"/>
                <w:w w:val="96"/>
              </w:rPr>
              <w:t>three-year term, in accordance with the Israeli</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w w:val="95"/>
              </w:rPr>
              <w:t>Companies Law, 5759-1999 (the “</w:t>
            </w:r>
            <w:r>
              <w:rPr>
                <w:rFonts w:ascii="Arial" w:cs="Arial" w:eastAsia="Arial" w:hAnsi="Arial"/>
                <w:sz w:val="18"/>
                <w:szCs w:val="18"/>
                <w:b w:val="1"/>
                <w:bCs w:val="1"/>
                <w:color w:val="auto"/>
                <w:w w:val="95"/>
              </w:rPr>
              <w:t>Companies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Law</w:t>
            </w: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60" w:type="dxa"/>
            <w:vAlign w:val="bottom"/>
          </w:tcPr>
          <w:p>
            <w:pPr>
              <w:ind w:left="200"/>
              <w:spacing w:after="0"/>
              <w:rPr>
                <w:sz w:val="20"/>
                <w:szCs w:val="20"/>
                <w:color w:val="auto"/>
              </w:rPr>
            </w:pPr>
            <w:r>
              <w:rPr>
                <w:rFonts w:ascii="Arial" w:cs="Arial" w:eastAsia="Arial" w:hAnsi="Arial"/>
                <w:sz w:val="18"/>
                <w:szCs w:val="18"/>
                <w:color w:val="auto"/>
                <w:w w:val="94"/>
              </w:rPr>
              <w:t>(b) To ratify the election of Mr. Jerry Mandel as</w:t>
            </w:r>
          </w:p>
        </w:tc>
        <w:tc>
          <w:tcPr>
            <w:tcW w:w="580" w:type="dxa"/>
            <w:vAlign w:val="bottom"/>
            <w:vMerge w:val="restart"/>
          </w:tcPr>
          <w:p>
            <w:pPr>
              <w:ind w:left="140"/>
              <w:spacing w:after="0"/>
              <w:rPr>
                <w:sz w:val="20"/>
                <w:szCs w:val="20"/>
                <w:color w:val="auto"/>
              </w:rPr>
            </w:pPr>
            <w:r>
              <w:rPr>
                <w:rFonts w:ascii="Arial" w:cs="Arial" w:eastAsia="Arial" w:hAnsi="Arial"/>
                <w:sz w:val="32"/>
                <w:szCs w:val="32"/>
                <w:color w:val="auto"/>
              </w:rPr>
              <w:t>□</w:t>
            </w:r>
          </w:p>
        </w:tc>
        <w:tc>
          <w:tcPr>
            <w:tcW w:w="720" w:type="dxa"/>
            <w:vAlign w:val="bottom"/>
            <w:vMerge w:val="restart"/>
          </w:tcPr>
          <w:p>
            <w:pPr>
              <w:ind w:left="240"/>
              <w:spacing w:after="0"/>
              <w:rPr>
                <w:sz w:val="20"/>
                <w:szCs w:val="20"/>
                <w:color w:val="auto"/>
              </w:rPr>
            </w:pPr>
            <w:r>
              <w:rPr>
                <w:rFonts w:ascii="Arial" w:cs="Arial" w:eastAsia="Arial" w:hAnsi="Arial"/>
                <w:sz w:val="32"/>
                <w:szCs w:val="32"/>
                <w:color w:val="auto"/>
              </w:rPr>
              <w:t>□</w:t>
            </w:r>
          </w:p>
        </w:tc>
        <w:tc>
          <w:tcPr>
            <w:tcW w:w="780" w:type="dxa"/>
            <w:vAlign w:val="bottom"/>
            <w:vMerge w:val="restart"/>
          </w:tcPr>
          <w:p>
            <w:pPr>
              <w:ind w:left="300"/>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w w:val="93"/>
              </w:rPr>
              <w:t>an external director of the Company for a three-</w:t>
            </w:r>
          </w:p>
        </w:tc>
        <w:tc>
          <w:tcPr>
            <w:tcW w:w="5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-1379855</wp:posOffset>
            </wp:positionV>
            <wp:extent cx="7246620" cy="3996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996055"/>
                    </a:xfrm>
                    <a:prstGeom prst="rect">
                      <a:avLst/>
                    </a:prstGeom>
                    <a:noFill/>
                  </pic:spPr>
                </pic:pic>
              </a:graphicData>
            </a:graphic>
          </wp:anchor>
        </w:drawing>
      </w:r>
    </w:p>
    <w:p>
      <w:pPr>
        <w:ind w:left="200" w:right="2380"/>
        <w:spacing w:after="0" w:line="261" w:lineRule="auto"/>
        <w:rPr>
          <w:sz w:val="20"/>
          <w:szCs w:val="20"/>
          <w:color w:val="auto"/>
        </w:rPr>
      </w:pPr>
      <w:r>
        <w:rPr>
          <w:rFonts w:ascii="Arial" w:cs="Arial" w:eastAsia="Arial" w:hAnsi="Arial"/>
          <w:sz w:val="18"/>
          <w:szCs w:val="18"/>
          <w:color w:val="auto"/>
        </w:rPr>
        <w:t>year term, in accordance with the Companies Law.</w:t>
      </w:r>
    </w:p>
    <w:p>
      <w:pPr>
        <w:spacing w:after="0" w:line="180" w:lineRule="exact"/>
        <w:rPr>
          <w:sz w:val="20"/>
          <w:szCs w:val="20"/>
          <w:color w:val="auto"/>
        </w:rPr>
      </w:pPr>
    </w:p>
    <w:p>
      <w:pPr>
        <w:jc w:val="both"/>
        <w:ind w:right="2140"/>
        <w:spacing w:after="0" w:line="287" w:lineRule="auto"/>
        <w:rPr>
          <w:sz w:val="20"/>
          <w:szCs w:val="20"/>
          <w:color w:val="auto"/>
        </w:rPr>
      </w:pPr>
      <w:r>
        <w:rPr>
          <w:rFonts w:ascii="Arial" w:cs="Arial" w:eastAsia="Arial" w:hAnsi="Arial"/>
          <w:sz w:val="16"/>
          <w:szCs w:val="16"/>
          <w:b w:val="1"/>
          <w:bCs w:val="1"/>
          <w:color w:val="auto"/>
        </w:rPr>
        <w:t>By filling out and returning this proxy card with respect to Proposal 1(a) or 1(b) above, the undersigned hereby confirms (whether voting “For” or “Against” such proposal) that he, she or it does not possess a Personal Interest (as defined in the Companies Law) with respect to the subject matter of such proposal. If you possess a Personal Interest or believe that you possess a Personal Interest and wish to vote “For” or “Against” such proposal, you should not fill out your vote for such proposal and should instead follow the “Directions” opposite.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616585</wp:posOffset>
            </wp:positionV>
            <wp:extent cx="5143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154305"/>
                    </a:xfrm>
                    <a:prstGeom prst="rect">
                      <a:avLst/>
                    </a:prstGeom>
                    <a:noFill/>
                  </pic:spPr>
                </pic:pic>
              </a:graphicData>
            </a:graphic>
          </wp:anchor>
        </w:drawing>
      </w:r>
    </w:p>
    <w:p>
      <w:pPr>
        <w:spacing w:after="0" w:line="950" w:lineRule="exact"/>
        <w:rPr>
          <w:sz w:val="20"/>
          <w:szCs w:val="20"/>
          <w:color w:val="auto"/>
        </w:rPr>
      </w:pPr>
    </w:p>
    <w:p>
      <w:pPr>
        <w:sectPr>
          <w:pgSz w:w="11900" w:h="16838" w:orient="portrait"/>
          <w:cols w:equalWidth="0" w:num="2">
            <w:col w:w="5360" w:space="220"/>
            <w:col w:w="58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Signature of shareholder</w:t>
            </w:r>
          </w:p>
        </w:tc>
        <w:tc>
          <w:tcPr>
            <w:tcW w:w="1840" w:type="dxa"/>
            <w:vAlign w:val="bottom"/>
            <w:tcBorders>
              <w:top w:val="single" w:sz="8" w:color="auto"/>
              <w:bottom w:val="single" w:sz="8" w:color="auto"/>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Date</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Signature of shareholder</w:t>
            </w:r>
          </w:p>
        </w:tc>
        <w:tc>
          <w:tcPr>
            <w:tcW w:w="3080" w:type="dxa"/>
            <w:vAlign w:val="bottom"/>
            <w:tcBorders>
              <w:top w:val="single" w:sz="8" w:color="auto"/>
              <w:bottom w:val="single" w:sz="8" w:color="auto"/>
              <w:right w:val="single" w:sz="8" w:color="auto"/>
            </w:tcBorders>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78"/>
              </w:rPr>
              <w:t>Date</w:t>
            </w:r>
          </w:p>
        </w:tc>
      </w:tr>
    </w:tbl>
    <w:p>
      <w:pPr>
        <w:jc w:val="both"/>
        <w:ind w:left="480" w:hanging="472"/>
        <w:spacing w:after="0" w:line="277" w:lineRule="auto"/>
        <w:rPr>
          <w:sz w:val="20"/>
          <w:szCs w:val="20"/>
          <w:color w:val="auto"/>
        </w:rPr>
      </w:pPr>
      <w:r>
        <w:rPr>
          <w:rFonts w:ascii="Arial" w:cs="Arial" w:eastAsia="Arial" w:hAnsi="Arial"/>
          <w:sz w:val="17"/>
          <w:szCs w:val="17"/>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lvl w:ilvl="1">
      <w:lvlJc w:val="left"/>
      <w:lvlText w:val="(%2)"/>
      <w:numFmt w:val="lowerRoman"/>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2019-12-09T04:06:27Z</dcterms:created>
  <dcterms:modified xsi:type="dcterms:W3CDTF">2019-12-09T04:06:27Z</dcterms:modified>
</cp:coreProperties>
</file>